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C31435">
      <w:pPr>
        <w:ind w:firstLine="1807"/>
        <w:jc w:val="center"/>
        <w:rPr>
          <w:rFonts w:ascii="宋体" w:hAnsi="宋体" w:cs="宋体"/>
          <w:b/>
          <w:bCs/>
          <w:color w:val="auto"/>
          <w:sz w:val="72"/>
          <w:szCs w:val="72"/>
          <w:highlight w:val="none"/>
          <w14:shadow w14:blurRad="50800" w14:dist="38100" w14:dir="2700000" w14:sx="100000" w14:sy="100000" w14:kx="0" w14:ky="0" w14:algn="tl">
            <w14:srgbClr w14:val="000000">
              <w14:alpha w14:val="60000"/>
            </w14:srgbClr>
          </w14:shadow>
        </w:rPr>
      </w:pPr>
      <w:r>
        <w:rPr>
          <w:rFonts w:hint="eastAsia" w:ascii="宋体" w:hAnsi="宋体" w:cs="宋体"/>
          <w:b/>
          <w:bCs/>
          <w:color w:val="auto"/>
          <w:sz w:val="72"/>
          <w:szCs w:val="72"/>
          <w:highlight w:val="none"/>
          <w14:shadow w14:blurRad="50800" w14:dist="38100" w14:dir="2700000" w14:sx="100000" w14:sy="100000" w14:kx="0" w14:ky="0" w14:algn="tl">
            <w14:srgbClr w14:val="000000">
              <w14:alpha w14:val="60000"/>
            </w14:srgbClr>
          </w14:shadow>
        </w:rPr>
        <w:drawing>
          <wp:anchor distT="0" distB="0" distL="114300" distR="114300" simplePos="0" relativeHeight="251662336" behindDoc="1" locked="0" layoutInCell="1" allowOverlap="1">
            <wp:simplePos x="0" y="0"/>
            <wp:positionH relativeFrom="column">
              <wp:posOffset>161290</wp:posOffset>
            </wp:positionH>
            <wp:positionV relativeFrom="paragraph">
              <wp:posOffset>-232410</wp:posOffset>
            </wp:positionV>
            <wp:extent cx="731520" cy="755650"/>
            <wp:effectExtent l="0" t="0" r="11430" b="6350"/>
            <wp:wrapNone/>
            <wp:docPr id="5" name="图片 10" descr="QQ图片2016061717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 descr="QQ图片20160617170011"/>
                    <pic:cNvPicPr>
                      <a:picLocks noChangeAspect="1"/>
                    </pic:cNvPicPr>
                  </pic:nvPicPr>
                  <pic:blipFill>
                    <a:blip r:embed="rId23"/>
                    <a:stretch>
                      <a:fillRect/>
                    </a:stretch>
                  </pic:blipFill>
                  <pic:spPr>
                    <a:xfrm>
                      <a:off x="0" y="0"/>
                      <a:ext cx="731520" cy="755650"/>
                    </a:xfrm>
                    <a:prstGeom prst="rect">
                      <a:avLst/>
                    </a:prstGeom>
                    <a:noFill/>
                    <a:ln>
                      <a:noFill/>
                    </a:ln>
                  </pic:spPr>
                </pic:pic>
              </a:graphicData>
            </a:graphic>
          </wp:anchor>
        </w:drawing>
      </w:r>
      <w:r>
        <w:rPr>
          <w:rFonts w:hint="eastAsia" w:ascii="宋体" w:hAnsi="宋体" w:cs="宋体"/>
          <w:b/>
          <w:bCs/>
          <w:color w:val="auto"/>
          <w:sz w:val="66"/>
          <w:szCs w:val="66"/>
          <w:highlight w:val="none"/>
          <w14:shadow w14:blurRad="50800" w14:dist="38100" w14:dir="2700000" w14:sx="100000" w14:sy="100000" w14:kx="0" w14:ky="0" w14:algn="tl">
            <w14:srgbClr w14:val="000000">
              <w14:alpha w14:val="60000"/>
            </w14:srgbClr>
          </w14:shadow>
        </w:rPr>
        <w:t>广西龙建工程管理有限公司</w:t>
      </w:r>
    </w:p>
    <w:p w14:paraId="39938751">
      <w:pPr>
        <w:pStyle w:val="19"/>
        <w:ind w:firstLine="195" w:firstLineChars="50"/>
        <w:rPr>
          <w:rFonts w:ascii="宋体" w:hAnsi="宋体" w:cs="宋体"/>
          <w:bCs/>
          <w:color w:val="auto"/>
          <w:sz w:val="39"/>
          <w:szCs w:val="39"/>
          <w:highlight w:val="none"/>
          <w:lang w:val="en-GB"/>
        </w:rPr>
      </w:pPr>
      <w:r>
        <w:rPr>
          <w:rFonts w:hint="eastAsia" w:ascii="宋体" w:hAnsi="宋体" w:cs="宋体"/>
          <w:bCs/>
          <w:color w:val="auto"/>
          <w:sz w:val="39"/>
          <w:szCs w:val="39"/>
          <w:highlight w:val="none"/>
          <w:lang w:val="en-GB"/>
        </w:rPr>
        <w:t>Guangxi Longjian engineering management co., Ltd</w:t>
      </w:r>
    </w:p>
    <w:p w14:paraId="482F501D">
      <w:pPr>
        <w:pStyle w:val="19"/>
        <w:ind w:firstLine="250"/>
        <w:rPr>
          <w:rFonts w:ascii="宋体" w:hAnsi="宋体" w:cs="宋体"/>
          <w:bCs/>
          <w:color w:val="auto"/>
          <w:sz w:val="10"/>
          <w:highlight w:val="none"/>
          <w:lang w:val="en-GB"/>
        </w:rPr>
      </w:pPr>
      <w:r>
        <w:rPr>
          <w:rFonts w:hint="eastAsia" w:ascii="宋体" w:hAnsi="宋体" w:cs="宋体"/>
          <w:bCs/>
          <w:color w:val="auto"/>
          <w:sz w:val="10"/>
          <w:highlight w:val="none"/>
          <w:lang w:val="en-GB"/>
        </w:rPr>
        <w:t xml:space="preserve">                                                                                                                                                                                                            </w:t>
      </w:r>
    </w:p>
    <w:p w14:paraId="3B764694">
      <w:pPr>
        <w:pStyle w:val="19"/>
        <w:ind w:firstLine="500"/>
        <w:rPr>
          <w:rFonts w:ascii="宋体" w:hAnsi="宋体" w:cs="宋体"/>
          <w:color w:val="auto"/>
          <w:szCs w:val="21"/>
          <w:highlight w:val="none"/>
          <w:lang w:val="en-GB"/>
          <w14:shadow w14:blurRad="50800" w14:dist="38100" w14:dir="2700000" w14:sx="100000" w14:sy="100000" w14:kx="0" w14:ky="0" w14:algn="tl">
            <w14:srgbClr w14:val="000000">
              <w14:alpha w14:val="60000"/>
            </w14:srgbClr>
          </w14:shadow>
        </w:rPr>
      </w:pPr>
      <w:r>
        <w:rPr>
          <w:rFonts w:hint="eastAsia" w:ascii="宋体" w:hAnsi="宋体" w:cs="宋体"/>
          <w:color w:val="auto"/>
          <w:sz w:val="20"/>
          <w:highlight w:val="none"/>
          <w:u w:val="single"/>
        </w:rPr>
        <mc:AlternateContent>
          <mc:Choice Requires="wps">
            <w:drawing>
              <wp:anchor distT="0" distB="0" distL="114300" distR="114300" simplePos="0" relativeHeight="251663360" behindDoc="0" locked="0" layoutInCell="1" allowOverlap="1">
                <wp:simplePos x="0" y="0"/>
                <wp:positionH relativeFrom="column">
                  <wp:posOffset>-9525</wp:posOffset>
                </wp:positionH>
                <wp:positionV relativeFrom="paragraph">
                  <wp:posOffset>56515</wp:posOffset>
                </wp:positionV>
                <wp:extent cx="6353810" cy="36195"/>
                <wp:effectExtent l="0" t="13970" r="8890" b="26035"/>
                <wp:wrapNone/>
                <wp:docPr id="6" name="直接连接符 6"/>
                <wp:cNvGraphicFramePr/>
                <a:graphic xmlns:a="http://schemas.openxmlformats.org/drawingml/2006/main">
                  <a:graphicData uri="http://schemas.microsoft.com/office/word/2010/wordprocessingShape">
                    <wps:wsp>
                      <wps:cNvCnPr/>
                      <wps:spPr>
                        <a:xfrm flipV="1">
                          <a:off x="0" y="0"/>
                          <a:ext cx="6353810" cy="36195"/>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0.75pt;margin-top:4.45pt;height:2.85pt;width:500.3pt;z-index:251663360;mso-width-relative:page;mso-height-relative:page;" filled="f" stroked="t" coordsize="21600,21600" o:gfxdata="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76QfI1QAAAAcBAAAPAAAAAAAAAAEAIAAAACIAAABkcnMvZG93bnJldi54bWxQSwEC&#10;FAAUAAAACACHTuJA5tWMP/cBAADnAwAADgAAAAAAAAABACAAAAAkAQAAZHJzL2Uyb0RvYy54bWxQ&#10;SwUGAAAAAAYABgBZAQAAjQUAAAAA&#10;">
                <v:fill on="f" focussize="0,0"/>
                <v:stroke weight="2.25pt" color="#000000" joinstyle="round"/>
                <v:imagedata o:title=""/>
                <o:lock v:ext="edit" aspectratio="f"/>
              </v:line>
            </w:pict>
          </mc:Fallback>
        </mc:AlternateContent>
      </w:r>
    </w:p>
    <w:p w14:paraId="37620142">
      <w:pPr>
        <w:pStyle w:val="19"/>
        <w:spacing w:line="240" w:lineRule="exact"/>
        <w:ind w:firstLine="2500"/>
        <w:jc w:val="center"/>
        <w:rPr>
          <w:rFonts w:ascii="宋体" w:hAnsi="宋体" w:cs="宋体"/>
          <w:color w:val="auto"/>
          <w:sz w:val="100"/>
          <w:szCs w:val="100"/>
          <w:highlight w:val="none"/>
          <w:lang w:val="en-GB"/>
          <w14:shadow w14:blurRad="50800" w14:dist="38100" w14:dir="2700000" w14:sx="100000" w14:sy="100000" w14:kx="0" w14:ky="0" w14:algn="tl">
            <w14:srgbClr w14:val="000000">
              <w14:alpha w14:val="60000"/>
            </w14:srgbClr>
          </w14:shadow>
        </w:rPr>
      </w:pPr>
    </w:p>
    <w:p w14:paraId="5FBFC853">
      <w:pPr>
        <w:spacing w:before="65" w:line="228" w:lineRule="auto"/>
        <w:ind w:left="3679"/>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（全流程电子化评标）</w:t>
      </w:r>
    </w:p>
    <w:p w14:paraId="685C0AF3">
      <w:pPr>
        <w:pStyle w:val="19"/>
        <w:spacing w:line="240" w:lineRule="exact"/>
        <w:ind w:firstLine="2500"/>
        <w:jc w:val="center"/>
        <w:rPr>
          <w:rFonts w:ascii="宋体" w:hAnsi="宋体" w:cs="宋体"/>
          <w:color w:val="auto"/>
          <w:sz w:val="100"/>
          <w:szCs w:val="100"/>
          <w:highlight w:val="none"/>
          <w:lang w:val="en-GB"/>
          <w14:shadow w14:blurRad="50800" w14:dist="38100" w14:dir="2700000" w14:sx="100000" w14:sy="100000" w14:kx="0" w14:ky="0" w14:algn="tl">
            <w14:srgbClr w14:val="000000">
              <w14:alpha w14:val="60000"/>
            </w14:srgbClr>
          </w14:shadow>
        </w:rPr>
      </w:pPr>
    </w:p>
    <w:p w14:paraId="17E74D72">
      <w:pPr>
        <w:pStyle w:val="19"/>
        <w:spacing w:line="240" w:lineRule="exact"/>
        <w:ind w:firstLine="2500"/>
        <w:jc w:val="center"/>
        <w:rPr>
          <w:rFonts w:ascii="宋体" w:hAnsi="宋体" w:cs="宋体"/>
          <w:color w:val="auto"/>
          <w:sz w:val="100"/>
          <w:szCs w:val="100"/>
          <w:highlight w:val="none"/>
          <w:lang w:val="en-GB"/>
          <w14:shadow w14:blurRad="50800" w14:dist="38100" w14:dir="2700000" w14:sx="100000" w14:sy="100000" w14:kx="0" w14:ky="0" w14:algn="tl">
            <w14:srgbClr w14:val="000000">
              <w14:alpha w14:val="60000"/>
            </w14:srgbClr>
          </w14:shadow>
        </w:rPr>
      </w:pPr>
    </w:p>
    <w:p w14:paraId="650CE5B9">
      <w:pPr>
        <w:pStyle w:val="19"/>
        <w:spacing w:line="240" w:lineRule="exact"/>
        <w:ind w:firstLine="2500"/>
        <w:rPr>
          <w:rFonts w:ascii="宋体" w:hAnsi="宋体" w:cs="宋体"/>
          <w:color w:val="auto"/>
          <w:sz w:val="100"/>
          <w:szCs w:val="100"/>
          <w:highlight w:val="none"/>
          <w:lang w:val="en-GB"/>
          <w14:shadow w14:blurRad="50800" w14:dist="38100" w14:dir="2700000" w14:sx="100000" w14:sy="100000" w14:kx="0" w14:ky="0" w14:algn="tl">
            <w14:srgbClr w14:val="000000">
              <w14:alpha w14:val="60000"/>
            </w14:srgbClr>
          </w14:shadow>
        </w:rPr>
      </w:pPr>
    </w:p>
    <w:p w14:paraId="5F2B97B4">
      <w:pPr>
        <w:pStyle w:val="19"/>
        <w:spacing w:line="240" w:lineRule="exact"/>
        <w:ind w:firstLine="2500"/>
        <w:rPr>
          <w:rFonts w:ascii="宋体" w:hAnsi="宋体" w:cs="宋体"/>
          <w:color w:val="auto"/>
          <w:sz w:val="100"/>
          <w:szCs w:val="100"/>
          <w:highlight w:val="none"/>
          <w:lang w:val="en-GB"/>
          <w14:shadow w14:blurRad="50800" w14:dist="38100" w14:dir="2700000" w14:sx="100000" w14:sy="100000" w14:kx="0" w14:ky="0" w14:algn="tl">
            <w14:srgbClr w14:val="000000">
              <w14:alpha w14:val="60000"/>
            </w14:srgbClr>
          </w14:shadow>
        </w:rPr>
      </w:pPr>
    </w:p>
    <w:p w14:paraId="464A7F19">
      <w:pPr>
        <w:pStyle w:val="19"/>
        <w:spacing w:line="240" w:lineRule="exact"/>
        <w:ind w:firstLine="2500"/>
        <w:jc w:val="center"/>
        <w:rPr>
          <w:rFonts w:ascii="宋体" w:hAnsi="宋体" w:cs="宋体"/>
          <w:color w:val="auto"/>
          <w:sz w:val="100"/>
          <w:szCs w:val="100"/>
          <w:highlight w:val="none"/>
          <w:lang w:val="en-GB"/>
          <w14:shadow w14:blurRad="50800" w14:dist="38100" w14:dir="2700000" w14:sx="100000" w14:sy="100000" w14:kx="0" w14:ky="0" w14:algn="tl">
            <w14:srgbClr w14:val="000000">
              <w14:alpha w14:val="60000"/>
            </w14:srgbClr>
          </w14:shadow>
        </w:rPr>
      </w:pPr>
    </w:p>
    <w:p w14:paraId="46D9F6ED">
      <w:pPr>
        <w:pStyle w:val="19"/>
        <w:spacing w:line="240" w:lineRule="exact"/>
        <w:ind w:firstLine="2500"/>
        <w:jc w:val="center"/>
        <w:rPr>
          <w:rFonts w:ascii="宋体" w:hAnsi="宋体" w:cs="宋体"/>
          <w:color w:val="auto"/>
          <w:sz w:val="100"/>
          <w:szCs w:val="100"/>
          <w:highlight w:val="none"/>
          <w:lang w:val="en-GB"/>
          <w14:shadow w14:blurRad="50800" w14:dist="38100" w14:dir="2700000" w14:sx="100000" w14:sy="100000" w14:kx="0" w14:ky="0" w14:algn="tl">
            <w14:srgbClr w14:val="000000">
              <w14:alpha w14:val="60000"/>
            </w14:srgbClr>
          </w14:shadow>
        </w:rPr>
      </w:pPr>
    </w:p>
    <w:p w14:paraId="7EF9E81B">
      <w:pPr>
        <w:pStyle w:val="19"/>
        <w:spacing w:line="1000" w:lineRule="exact"/>
        <w:ind w:firstLine="2500"/>
        <w:jc w:val="both"/>
        <w:rPr>
          <w:rFonts w:ascii="宋体" w:hAnsi="宋体" w:cs="宋体"/>
          <w:color w:val="auto"/>
          <w:szCs w:val="21"/>
          <w:highlight w:val="none"/>
          <w14:shadow w14:blurRad="50800" w14:dist="38100" w14:dir="2700000" w14:sx="100000" w14:sy="100000" w14:kx="0" w14:ky="0" w14:algn="tl">
            <w14:srgbClr w14:val="000000">
              <w14:alpha w14:val="60000"/>
            </w14:srgbClr>
          </w14:shadow>
        </w:rPr>
      </w:pPr>
      <w:r>
        <w:rPr>
          <w:rFonts w:hint="eastAsia" w:ascii="宋体" w:hAnsi="宋体" w:cs="宋体"/>
          <w:color w:val="auto"/>
          <w:sz w:val="100"/>
          <w:szCs w:val="100"/>
          <w:highlight w:val="none"/>
          <w14:shadow w14:blurRad="50800" w14:dist="38100" w14:dir="2700000" w14:sx="100000" w14:sy="100000" w14:kx="0" w14:ky="0" w14:algn="tl">
            <w14:srgbClr w14:val="000000">
              <w14:alpha w14:val="60000"/>
            </w14:srgbClr>
          </w14:shadow>
        </w:rPr>
        <w:t>公开招标文件</w:t>
      </w:r>
    </w:p>
    <w:p w14:paraId="3C53FB18">
      <w:pPr>
        <w:pStyle w:val="19"/>
        <w:ind w:firstLine="600"/>
        <w:rPr>
          <w:rFonts w:ascii="宋体" w:hAnsi="宋体" w:cs="宋体"/>
          <w:color w:val="auto"/>
          <w:szCs w:val="21"/>
          <w:highlight w:val="none"/>
          <w14:shadow w14:blurRad="50800" w14:dist="38100" w14:dir="2700000" w14:sx="100000" w14:sy="100000" w14:kx="0" w14:ky="0" w14:algn="tl">
            <w14:srgbClr w14:val="000000">
              <w14:alpha w14:val="60000"/>
            </w14:srgbClr>
          </w14:shadow>
        </w:rPr>
      </w:pPr>
    </w:p>
    <w:p w14:paraId="5658E12C">
      <w:pPr>
        <w:ind w:firstLine="800"/>
        <w:jc w:val="right"/>
        <w:rPr>
          <w:rFonts w:ascii="宋体" w:hAnsi="宋体" w:cs="宋体"/>
          <w:color w:val="auto"/>
          <w:sz w:val="32"/>
          <w:highlight w:val="none"/>
        </w:rPr>
      </w:pPr>
    </w:p>
    <w:p w14:paraId="33507D90">
      <w:pPr>
        <w:ind w:firstLine="800"/>
        <w:rPr>
          <w:rFonts w:ascii="宋体" w:hAnsi="宋体" w:cs="宋体"/>
          <w:color w:val="auto"/>
          <w:sz w:val="32"/>
          <w:highlight w:val="none"/>
        </w:rPr>
      </w:pPr>
    </w:p>
    <w:p w14:paraId="5717A4DD">
      <w:pPr>
        <w:ind w:firstLine="2240" w:firstLineChars="700"/>
        <w:rPr>
          <w:rFonts w:ascii="宋体" w:hAnsi="宋体" w:cs="宋体"/>
          <w:color w:val="auto"/>
          <w:sz w:val="32"/>
          <w:szCs w:val="22"/>
          <w:highlight w:val="none"/>
        </w:rPr>
      </w:pPr>
      <w:r>
        <w:rPr>
          <w:rFonts w:hint="eastAsia" w:ascii="宋体" w:hAnsi="宋体" w:cs="宋体"/>
          <w:color w:val="auto"/>
          <w:sz w:val="32"/>
          <w:highlight w:val="none"/>
        </w:rPr>
        <w:t>项目</w:t>
      </w:r>
      <w:r>
        <w:rPr>
          <w:rFonts w:hint="eastAsia" w:ascii="宋体" w:hAnsi="宋体" w:cs="宋体"/>
          <w:color w:val="auto"/>
          <w:sz w:val="32"/>
          <w:szCs w:val="22"/>
          <w:highlight w:val="none"/>
        </w:rPr>
        <w:t>名称：</w:t>
      </w:r>
      <w:r>
        <w:rPr>
          <w:rFonts w:hint="eastAsia" w:ascii="宋体" w:hAnsi="宋体" w:cs="宋体"/>
          <w:color w:val="auto"/>
          <w:sz w:val="32"/>
          <w:szCs w:val="22"/>
          <w:highlight w:val="none"/>
          <w:lang w:eastAsia="zh-CN"/>
        </w:rPr>
        <w:t>2026年大新县中小学校教学仪器设备采购</w:t>
      </w:r>
      <w:r>
        <w:rPr>
          <w:rFonts w:hint="eastAsia" w:ascii="宋体" w:hAnsi="宋体" w:cs="宋体"/>
          <w:color w:val="auto"/>
          <w:sz w:val="32"/>
          <w:szCs w:val="22"/>
          <w:highlight w:val="none"/>
        </w:rPr>
        <w:t xml:space="preserve"> </w:t>
      </w:r>
    </w:p>
    <w:p w14:paraId="4448AD28">
      <w:pPr>
        <w:ind w:firstLine="2240" w:firstLineChars="700"/>
        <w:rPr>
          <w:rFonts w:ascii="宋体" w:hAnsi="宋体" w:cs="宋体"/>
          <w:color w:val="auto"/>
          <w:sz w:val="32"/>
          <w:szCs w:val="32"/>
          <w:highlight w:val="none"/>
        </w:rPr>
      </w:pPr>
    </w:p>
    <w:p w14:paraId="296001E9">
      <w:pPr>
        <w:ind w:firstLine="2240" w:firstLineChars="700"/>
        <w:rPr>
          <w:rFonts w:hint="eastAsia" w:ascii="宋体" w:hAnsi="宋体" w:eastAsia="宋体" w:cs="宋体"/>
          <w:color w:val="auto"/>
          <w:sz w:val="32"/>
          <w:szCs w:val="32"/>
          <w:highlight w:val="none"/>
          <w:lang w:eastAsia="zh-CN"/>
        </w:rPr>
      </w:pPr>
      <w:r>
        <w:rPr>
          <w:rFonts w:hint="eastAsia" w:ascii="宋体" w:hAnsi="宋体" w:cs="宋体"/>
          <w:color w:val="auto"/>
          <w:sz w:val="32"/>
          <w:szCs w:val="32"/>
          <w:highlight w:val="none"/>
        </w:rPr>
        <w:t>项目编号：</w:t>
      </w:r>
      <w:r>
        <w:rPr>
          <w:rFonts w:hint="eastAsia" w:ascii="宋体" w:hAnsi="宋体" w:cs="宋体"/>
          <w:color w:val="auto"/>
          <w:sz w:val="32"/>
          <w:szCs w:val="32"/>
          <w:highlight w:val="none"/>
          <w:lang w:eastAsia="zh-CN"/>
        </w:rPr>
        <w:t>CZZC2026-G1-240080-GXLJ</w:t>
      </w:r>
    </w:p>
    <w:p w14:paraId="352C67F6">
      <w:pPr>
        <w:pStyle w:val="132"/>
        <w:ind w:left="-134" w:firstLine="800"/>
        <w:rPr>
          <w:rFonts w:ascii="宋体" w:hAnsi="宋体" w:cs="宋体"/>
          <w:color w:val="auto"/>
          <w:sz w:val="32"/>
          <w:szCs w:val="32"/>
          <w:highlight w:val="none"/>
        </w:rPr>
      </w:pPr>
    </w:p>
    <w:p w14:paraId="53D77CB2">
      <w:pPr>
        <w:pStyle w:val="132"/>
        <w:ind w:left="-134" w:firstLine="800"/>
        <w:rPr>
          <w:rFonts w:ascii="宋体" w:hAnsi="宋体" w:cs="宋体"/>
          <w:color w:val="auto"/>
          <w:sz w:val="32"/>
          <w:szCs w:val="32"/>
          <w:highlight w:val="none"/>
        </w:rPr>
      </w:pPr>
    </w:p>
    <w:p w14:paraId="1D542487">
      <w:pPr>
        <w:pStyle w:val="19"/>
        <w:spacing w:line="600" w:lineRule="exact"/>
        <w:ind w:right="-260" w:rightChars="-124" w:firstLine="640" w:firstLineChars="200"/>
        <w:rPr>
          <w:rFonts w:ascii="宋体" w:hAnsi="宋体" w:cs="宋体"/>
          <w:color w:val="auto"/>
          <w:sz w:val="32"/>
          <w:szCs w:val="32"/>
          <w:highlight w:val="none"/>
        </w:rPr>
      </w:pPr>
    </w:p>
    <w:p w14:paraId="6E50A05A">
      <w:pPr>
        <w:pStyle w:val="19"/>
        <w:spacing w:line="600" w:lineRule="exact"/>
        <w:ind w:right="-260" w:rightChars="-124" w:firstLine="640" w:firstLineChars="200"/>
        <w:rPr>
          <w:rFonts w:ascii="宋体" w:hAnsi="宋体" w:cs="宋体"/>
          <w:color w:val="auto"/>
          <w:sz w:val="32"/>
          <w:szCs w:val="32"/>
          <w:highlight w:val="none"/>
        </w:rPr>
      </w:pPr>
      <w:r>
        <w:rPr>
          <w:rFonts w:hint="eastAsia" w:ascii="宋体" w:hAnsi="宋体" w:cs="宋体"/>
          <w:color w:val="auto"/>
          <w:sz w:val="32"/>
          <w:szCs w:val="32"/>
          <w:highlight w:val="none"/>
          <w:u w:val="single"/>
        </w:rPr>
        <mc:AlternateContent>
          <mc:Choice Requires="wps">
            <w:drawing>
              <wp:anchor distT="0" distB="0" distL="114300" distR="114300" simplePos="0" relativeHeight="251664384" behindDoc="0" locked="0" layoutInCell="1" allowOverlap="1">
                <wp:simplePos x="0" y="0"/>
                <wp:positionH relativeFrom="column">
                  <wp:posOffset>85725</wp:posOffset>
                </wp:positionH>
                <wp:positionV relativeFrom="paragraph">
                  <wp:posOffset>32385</wp:posOffset>
                </wp:positionV>
                <wp:extent cx="6229350" cy="6350"/>
                <wp:effectExtent l="0" t="0" r="0" b="0"/>
                <wp:wrapNone/>
                <wp:docPr id="8" name="直接连接符 8"/>
                <wp:cNvGraphicFramePr/>
                <a:graphic xmlns:a="http://schemas.openxmlformats.org/drawingml/2006/main">
                  <a:graphicData uri="http://schemas.microsoft.com/office/word/2010/wordprocessingShape">
                    <wps:wsp>
                      <wps:cNvCnPr/>
                      <wps:spPr>
                        <a:xfrm flipV="1">
                          <a:off x="0" y="0"/>
                          <a:ext cx="6229350" cy="6350"/>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6.75pt;margin-top:2.55pt;height:0.5pt;width:490.5pt;z-index:251664384;mso-width-relative:page;mso-height-relative:page;" filled="f" stroked="t" coordsize="21600,21600" o:gfxdata="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PxwBnrUAAAABgEAAA8AAAAAAAAAAQAgAAAAIgAAAGRycy9kb3ducmV2LnhtbFBLAQIUABQA&#10;AAAIAIdO4kCprncm9AEAAOYDAAAOAAAAAAAAAAEAIAAAACMBAABkcnMvZTJvRG9jLnhtbFBLBQYA&#10;AAAABgAGAFkBAACJBQAAAAA=&#10;">
                <v:fill on="f" focussize="0,0"/>
                <v:stroke weight="2.25pt" color="#000000" joinstyle="round"/>
                <v:imagedata o:title=""/>
                <o:lock v:ext="edit" aspectratio="f"/>
              </v:line>
            </w:pict>
          </mc:Fallback>
        </mc:AlternateContent>
      </w:r>
    </w:p>
    <w:p w14:paraId="0394E31D">
      <w:pPr>
        <w:ind w:firstLine="800"/>
        <w:rPr>
          <w:rFonts w:ascii="宋体" w:hAnsi="宋体" w:cs="宋体"/>
          <w:color w:val="auto"/>
          <w:sz w:val="32"/>
          <w:szCs w:val="32"/>
          <w:highlight w:val="none"/>
        </w:rPr>
      </w:pPr>
      <w:r>
        <w:rPr>
          <w:rFonts w:hint="eastAsia" w:ascii="宋体" w:hAnsi="宋体" w:cs="宋体"/>
          <w:color w:val="auto"/>
          <w:sz w:val="32"/>
          <w:szCs w:val="32"/>
          <w:highlight w:val="none"/>
        </w:rPr>
        <w:t xml:space="preserve">            采购单位：大新县教育局</w:t>
      </w:r>
    </w:p>
    <w:p w14:paraId="6AFA553F">
      <w:pPr>
        <w:ind w:firstLine="800"/>
        <w:rPr>
          <w:rFonts w:ascii="宋体" w:hAnsi="宋体" w:cs="宋体"/>
          <w:bCs/>
          <w:color w:val="auto"/>
          <w:sz w:val="32"/>
          <w:szCs w:val="32"/>
          <w:highlight w:val="none"/>
        </w:rPr>
      </w:pPr>
    </w:p>
    <w:p w14:paraId="56D66D2A">
      <w:pPr>
        <w:ind w:firstLine="800"/>
        <w:rPr>
          <w:rFonts w:ascii="宋体" w:hAnsi="宋体" w:cs="宋体"/>
          <w:color w:val="auto"/>
          <w:sz w:val="32"/>
          <w:szCs w:val="32"/>
          <w:highlight w:val="none"/>
        </w:rPr>
      </w:pPr>
      <w:r>
        <w:rPr>
          <w:rFonts w:hint="eastAsia" w:ascii="宋体" w:hAnsi="宋体" w:cs="宋体"/>
          <w:color w:val="auto"/>
          <w:sz w:val="32"/>
          <w:szCs w:val="32"/>
          <w:highlight w:val="none"/>
        </w:rPr>
        <w:t xml:space="preserve">            采购代理机构：广西龙建工程管理有限公司</w:t>
      </w:r>
    </w:p>
    <w:p w14:paraId="4298989C">
      <w:pPr>
        <w:pStyle w:val="62"/>
        <w:rPr>
          <w:rFonts w:ascii="宋体" w:hAnsi="宋体" w:eastAsia="宋体" w:cs="宋体"/>
          <w:color w:val="auto"/>
          <w:highlight w:val="none"/>
        </w:rPr>
      </w:pPr>
    </w:p>
    <w:p w14:paraId="1A03D209">
      <w:pPr>
        <w:ind w:firstLine="3520" w:firstLineChars="1100"/>
        <w:rPr>
          <w:rFonts w:ascii="宋体" w:hAnsi="宋体" w:cs="宋体"/>
          <w:color w:val="auto"/>
          <w:sz w:val="32"/>
          <w:szCs w:val="32"/>
          <w:highlight w:val="none"/>
        </w:rPr>
      </w:pPr>
      <w:r>
        <w:rPr>
          <w:rFonts w:hint="eastAsia" w:ascii="宋体" w:hAnsi="宋体" w:cs="宋体"/>
          <w:color w:val="auto"/>
          <w:sz w:val="32"/>
          <w:szCs w:val="32"/>
          <w:highlight w:val="none"/>
        </w:rPr>
        <w:t>二〇二</w:t>
      </w:r>
      <w:r>
        <w:rPr>
          <w:rFonts w:hint="eastAsia" w:ascii="宋体" w:hAnsi="宋体" w:cs="宋体"/>
          <w:color w:val="auto"/>
          <w:sz w:val="32"/>
          <w:szCs w:val="32"/>
          <w:highlight w:val="none"/>
          <w:lang w:eastAsia="zh-CN"/>
        </w:rPr>
        <w:t>六</w:t>
      </w:r>
      <w:r>
        <w:rPr>
          <w:rFonts w:hint="eastAsia" w:ascii="宋体" w:hAnsi="宋体" w:cs="宋体"/>
          <w:color w:val="auto"/>
          <w:sz w:val="32"/>
          <w:szCs w:val="32"/>
          <w:highlight w:val="none"/>
        </w:rPr>
        <w:t>年</w:t>
      </w:r>
      <w:r>
        <w:rPr>
          <w:rFonts w:hint="eastAsia" w:ascii="宋体" w:hAnsi="宋体" w:cs="宋体"/>
          <w:color w:val="auto"/>
          <w:sz w:val="32"/>
          <w:szCs w:val="32"/>
          <w:highlight w:val="none"/>
          <w:lang w:eastAsia="zh-CN"/>
        </w:rPr>
        <w:t>七</w:t>
      </w:r>
      <w:r>
        <w:rPr>
          <w:rFonts w:hint="eastAsia" w:ascii="宋体" w:hAnsi="宋体" w:cs="宋体"/>
          <w:color w:val="auto"/>
          <w:sz w:val="32"/>
          <w:szCs w:val="32"/>
          <w:highlight w:val="none"/>
        </w:rPr>
        <w:t>月</w:t>
      </w:r>
    </w:p>
    <w:p w14:paraId="47472481">
      <w:pPr>
        <w:pStyle w:val="62"/>
        <w:rPr>
          <w:rFonts w:ascii="宋体" w:hAnsi="宋体" w:eastAsia="宋体" w:cs="宋体"/>
          <w:color w:val="auto"/>
          <w:highlight w:val="none"/>
        </w:rPr>
      </w:pPr>
    </w:p>
    <w:p w14:paraId="34ADE774">
      <w:pPr>
        <w:pStyle w:val="27"/>
        <w:spacing w:line="288" w:lineRule="auto"/>
        <w:ind w:firstLine="1305"/>
        <w:jc w:val="center"/>
        <w:rPr>
          <w:rFonts w:hAnsi="宋体" w:cs="宋体"/>
          <w:b/>
          <w:color w:val="auto"/>
          <w:sz w:val="52"/>
          <w:szCs w:val="52"/>
          <w:highlight w:val="none"/>
        </w:rPr>
        <w:sectPr>
          <w:headerReference r:id="rId5" w:type="first"/>
          <w:headerReference r:id="rId3" w:type="default"/>
          <w:headerReference r:id="rId4" w:type="even"/>
          <w:pgSz w:w="11900" w:h="16838"/>
          <w:pgMar w:top="1440" w:right="986" w:bottom="941" w:left="998" w:header="0" w:footer="850" w:gutter="0"/>
          <w:cols w:space="720" w:num="1"/>
          <w:docGrid w:linePitch="360" w:charSpace="0"/>
        </w:sectPr>
      </w:pPr>
    </w:p>
    <w:p w14:paraId="3AD57952">
      <w:pPr>
        <w:pStyle w:val="27"/>
        <w:spacing w:before="120" w:after="120" w:line="360" w:lineRule="auto"/>
        <w:ind w:firstLine="500"/>
        <w:jc w:val="center"/>
        <w:rPr>
          <w:rFonts w:hAnsi="宋体" w:cs="宋体"/>
          <w:color w:val="auto"/>
          <w:highlight w:val="none"/>
        </w:rPr>
      </w:pPr>
    </w:p>
    <w:p w14:paraId="13317A94">
      <w:pPr>
        <w:spacing w:line="360" w:lineRule="auto"/>
        <w:ind w:firstLine="1104"/>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14:paraId="77959E7C">
      <w:pPr>
        <w:pStyle w:val="35"/>
        <w:tabs>
          <w:tab w:val="right" w:leader="dot" w:pos="8730"/>
          <w:tab w:val="clear" w:pos="8398"/>
        </w:tabs>
        <w:ind w:firstLine="280"/>
        <w:rPr>
          <w:color w:val="auto"/>
          <w:highlight w:val="none"/>
        </w:rPr>
      </w:pPr>
      <w:r>
        <w:rPr>
          <w:rFonts w:hint="eastAsia" w:cs="宋体"/>
          <w:b w:val="0"/>
          <w:color w:val="auto"/>
          <w:sz w:val="28"/>
          <w:szCs w:val="28"/>
          <w:highlight w:val="none"/>
        </w:rPr>
        <w:fldChar w:fldCharType="begin"/>
      </w:r>
      <w:r>
        <w:rPr>
          <w:rFonts w:hint="eastAsia" w:cs="宋体"/>
          <w:b w:val="0"/>
          <w:color w:val="auto"/>
          <w:sz w:val="28"/>
          <w:szCs w:val="28"/>
          <w:highlight w:val="none"/>
        </w:rPr>
        <w:instrText xml:space="preserve"> TOC \o "1-2" \h \z \u </w:instrText>
      </w:r>
      <w:r>
        <w:rPr>
          <w:rFonts w:hint="eastAsia" w:cs="宋体"/>
          <w:b w:val="0"/>
          <w:color w:val="auto"/>
          <w:sz w:val="28"/>
          <w:szCs w:val="28"/>
          <w:highlight w:val="none"/>
        </w:rPr>
        <w:fldChar w:fldCharType="separate"/>
      </w:r>
      <w:r>
        <w:rPr>
          <w:color w:val="auto"/>
          <w:highlight w:val="none"/>
        </w:rPr>
        <w:fldChar w:fldCharType="begin"/>
      </w:r>
      <w:r>
        <w:rPr>
          <w:color w:val="auto"/>
          <w:highlight w:val="none"/>
        </w:rPr>
        <w:instrText xml:space="preserve"> HYPERLINK \l "_Toc5415" </w:instrText>
      </w:r>
      <w:r>
        <w:rPr>
          <w:color w:val="auto"/>
          <w:highlight w:val="none"/>
        </w:rPr>
        <w:fldChar w:fldCharType="separate"/>
      </w:r>
      <w:r>
        <w:rPr>
          <w:rFonts w:hint="eastAsia" w:cs="宋体"/>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_Toc5415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5873DB19">
      <w:pPr>
        <w:pStyle w:val="35"/>
        <w:tabs>
          <w:tab w:val="right" w:leader="dot" w:pos="8730"/>
          <w:tab w:val="clear" w:pos="8398"/>
        </w:tabs>
        <w:ind w:firstLine="241"/>
        <w:rPr>
          <w:color w:val="auto"/>
          <w:highlight w:val="none"/>
        </w:rPr>
      </w:pPr>
      <w:r>
        <w:rPr>
          <w:color w:val="auto"/>
          <w:highlight w:val="none"/>
        </w:rPr>
        <w:fldChar w:fldCharType="begin"/>
      </w:r>
      <w:r>
        <w:rPr>
          <w:color w:val="auto"/>
          <w:highlight w:val="none"/>
        </w:rPr>
        <w:instrText xml:space="preserve"> HYPERLINK \l "_Toc20883" </w:instrText>
      </w:r>
      <w:r>
        <w:rPr>
          <w:color w:val="auto"/>
          <w:highlight w:val="none"/>
        </w:rPr>
        <w:fldChar w:fldCharType="separate"/>
      </w:r>
      <w:r>
        <w:rPr>
          <w:rFonts w:hint="eastAsia" w:cs="宋体"/>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_Toc20883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190124FA">
      <w:pPr>
        <w:pStyle w:val="35"/>
        <w:tabs>
          <w:tab w:val="right" w:leader="dot" w:pos="8730"/>
          <w:tab w:val="clear" w:pos="8398"/>
        </w:tabs>
        <w:ind w:firstLine="241"/>
        <w:rPr>
          <w:color w:val="auto"/>
          <w:highlight w:val="none"/>
        </w:rPr>
      </w:pPr>
      <w:r>
        <w:rPr>
          <w:color w:val="auto"/>
          <w:highlight w:val="none"/>
        </w:rPr>
        <w:fldChar w:fldCharType="begin"/>
      </w:r>
      <w:r>
        <w:rPr>
          <w:color w:val="auto"/>
          <w:highlight w:val="none"/>
        </w:rPr>
        <w:instrText xml:space="preserve"> HYPERLINK \l "_Toc7718" </w:instrText>
      </w:r>
      <w:r>
        <w:rPr>
          <w:color w:val="auto"/>
          <w:highlight w:val="none"/>
        </w:rPr>
        <w:fldChar w:fldCharType="separate"/>
      </w:r>
      <w:r>
        <w:rPr>
          <w:rFonts w:hint="eastAsia" w:cs="宋体"/>
          <w:color w:val="auto"/>
          <w:highlight w:val="none"/>
        </w:rPr>
        <w:t>第三章  投标人须知</w:t>
      </w:r>
      <w:r>
        <w:rPr>
          <w:color w:val="auto"/>
          <w:highlight w:val="none"/>
        </w:rPr>
        <w:tab/>
      </w:r>
      <w:r>
        <w:rPr>
          <w:color w:val="auto"/>
          <w:highlight w:val="none"/>
        </w:rPr>
        <w:fldChar w:fldCharType="begin"/>
      </w:r>
      <w:r>
        <w:rPr>
          <w:color w:val="auto"/>
          <w:highlight w:val="none"/>
        </w:rPr>
        <w:instrText xml:space="preserve"> PAGEREF _Toc7718 \h </w:instrText>
      </w:r>
      <w:r>
        <w:rPr>
          <w:color w:val="auto"/>
          <w:highlight w:val="none"/>
        </w:rPr>
        <w:fldChar w:fldCharType="separate"/>
      </w:r>
      <w:r>
        <w:rPr>
          <w:color w:val="auto"/>
          <w:highlight w:val="none"/>
        </w:rPr>
        <w:t>154</w:t>
      </w:r>
      <w:r>
        <w:rPr>
          <w:color w:val="auto"/>
          <w:highlight w:val="none"/>
        </w:rPr>
        <w:fldChar w:fldCharType="end"/>
      </w:r>
      <w:r>
        <w:rPr>
          <w:color w:val="auto"/>
          <w:highlight w:val="none"/>
        </w:rPr>
        <w:fldChar w:fldCharType="end"/>
      </w:r>
    </w:p>
    <w:p w14:paraId="4EC0757B">
      <w:pPr>
        <w:pStyle w:val="35"/>
        <w:tabs>
          <w:tab w:val="right" w:leader="dot" w:pos="8730"/>
          <w:tab w:val="clear" w:pos="8398"/>
        </w:tabs>
        <w:ind w:firstLine="241"/>
        <w:rPr>
          <w:color w:val="auto"/>
          <w:highlight w:val="none"/>
        </w:rPr>
      </w:pPr>
      <w:r>
        <w:rPr>
          <w:color w:val="auto"/>
          <w:highlight w:val="none"/>
        </w:rPr>
        <w:fldChar w:fldCharType="begin"/>
      </w:r>
      <w:r>
        <w:rPr>
          <w:color w:val="auto"/>
          <w:highlight w:val="none"/>
        </w:rPr>
        <w:instrText xml:space="preserve"> HYPERLINK \l "_Toc13949" </w:instrText>
      </w:r>
      <w:r>
        <w:rPr>
          <w:color w:val="auto"/>
          <w:highlight w:val="none"/>
        </w:rPr>
        <w:fldChar w:fldCharType="separate"/>
      </w:r>
      <w:r>
        <w:rPr>
          <w:rFonts w:hint="eastAsia" w:cs="宋体"/>
          <w:color w:val="auto"/>
          <w:highlight w:val="none"/>
        </w:rPr>
        <w:t>第四章  评标方法及评标标准</w:t>
      </w:r>
      <w:r>
        <w:rPr>
          <w:color w:val="auto"/>
          <w:highlight w:val="none"/>
        </w:rPr>
        <w:tab/>
      </w:r>
      <w:r>
        <w:rPr>
          <w:color w:val="auto"/>
          <w:highlight w:val="none"/>
        </w:rPr>
        <w:fldChar w:fldCharType="begin"/>
      </w:r>
      <w:r>
        <w:rPr>
          <w:color w:val="auto"/>
          <w:highlight w:val="none"/>
        </w:rPr>
        <w:instrText xml:space="preserve"> PAGEREF _Toc13949 \h </w:instrText>
      </w:r>
      <w:r>
        <w:rPr>
          <w:color w:val="auto"/>
          <w:highlight w:val="none"/>
        </w:rPr>
        <w:fldChar w:fldCharType="separate"/>
      </w:r>
      <w:r>
        <w:rPr>
          <w:color w:val="auto"/>
          <w:highlight w:val="none"/>
        </w:rPr>
        <w:t>175</w:t>
      </w:r>
      <w:r>
        <w:rPr>
          <w:color w:val="auto"/>
          <w:highlight w:val="none"/>
        </w:rPr>
        <w:fldChar w:fldCharType="end"/>
      </w:r>
      <w:r>
        <w:rPr>
          <w:color w:val="auto"/>
          <w:highlight w:val="none"/>
        </w:rPr>
        <w:fldChar w:fldCharType="end"/>
      </w:r>
    </w:p>
    <w:p w14:paraId="534C32B2">
      <w:pPr>
        <w:pStyle w:val="35"/>
        <w:tabs>
          <w:tab w:val="right" w:leader="dot" w:pos="8730"/>
          <w:tab w:val="clear" w:pos="8398"/>
        </w:tabs>
        <w:ind w:firstLine="241"/>
        <w:rPr>
          <w:color w:val="auto"/>
          <w:highlight w:val="none"/>
        </w:rPr>
      </w:pPr>
      <w:r>
        <w:rPr>
          <w:color w:val="auto"/>
          <w:highlight w:val="none"/>
        </w:rPr>
        <w:fldChar w:fldCharType="begin"/>
      </w:r>
      <w:r>
        <w:rPr>
          <w:color w:val="auto"/>
          <w:highlight w:val="none"/>
        </w:rPr>
        <w:instrText xml:space="preserve"> HYPERLINK \l "_Toc16823" </w:instrText>
      </w:r>
      <w:r>
        <w:rPr>
          <w:color w:val="auto"/>
          <w:highlight w:val="none"/>
        </w:rPr>
        <w:fldChar w:fldCharType="separate"/>
      </w:r>
      <w:r>
        <w:rPr>
          <w:rFonts w:hint="eastAsia" w:cs="宋体"/>
          <w:color w:val="auto"/>
          <w:highlight w:val="none"/>
        </w:rPr>
        <w:t>第五章  拟签订的合同文本</w:t>
      </w:r>
      <w:r>
        <w:rPr>
          <w:color w:val="auto"/>
          <w:highlight w:val="none"/>
        </w:rPr>
        <w:tab/>
      </w:r>
      <w:r>
        <w:rPr>
          <w:color w:val="auto"/>
          <w:highlight w:val="none"/>
        </w:rPr>
        <w:fldChar w:fldCharType="begin"/>
      </w:r>
      <w:r>
        <w:rPr>
          <w:color w:val="auto"/>
          <w:highlight w:val="none"/>
        </w:rPr>
        <w:instrText xml:space="preserve"> PAGEREF _Toc16823 \h </w:instrText>
      </w:r>
      <w:r>
        <w:rPr>
          <w:color w:val="auto"/>
          <w:highlight w:val="none"/>
        </w:rPr>
        <w:fldChar w:fldCharType="separate"/>
      </w:r>
      <w:r>
        <w:rPr>
          <w:color w:val="auto"/>
          <w:highlight w:val="none"/>
        </w:rPr>
        <w:t>189</w:t>
      </w:r>
      <w:r>
        <w:rPr>
          <w:color w:val="auto"/>
          <w:highlight w:val="none"/>
        </w:rPr>
        <w:fldChar w:fldCharType="end"/>
      </w:r>
      <w:r>
        <w:rPr>
          <w:color w:val="auto"/>
          <w:highlight w:val="none"/>
        </w:rPr>
        <w:fldChar w:fldCharType="end"/>
      </w:r>
    </w:p>
    <w:p w14:paraId="33B3CF67">
      <w:pPr>
        <w:pStyle w:val="35"/>
        <w:tabs>
          <w:tab w:val="right" w:leader="dot" w:pos="8730"/>
          <w:tab w:val="clear" w:pos="8398"/>
        </w:tabs>
        <w:ind w:firstLine="241"/>
        <w:rPr>
          <w:color w:val="auto"/>
          <w:highlight w:val="none"/>
        </w:rPr>
      </w:pPr>
      <w:r>
        <w:rPr>
          <w:color w:val="auto"/>
          <w:highlight w:val="none"/>
        </w:rPr>
        <w:fldChar w:fldCharType="begin"/>
      </w:r>
      <w:r>
        <w:rPr>
          <w:color w:val="auto"/>
          <w:highlight w:val="none"/>
        </w:rPr>
        <w:instrText xml:space="preserve"> HYPERLINK \l "_Toc27068" </w:instrText>
      </w:r>
      <w:r>
        <w:rPr>
          <w:color w:val="auto"/>
          <w:highlight w:val="none"/>
        </w:rPr>
        <w:fldChar w:fldCharType="separate"/>
      </w:r>
      <w:r>
        <w:rPr>
          <w:rFonts w:hint="eastAsia" w:cs="宋体"/>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_Toc27068 \h </w:instrText>
      </w:r>
      <w:r>
        <w:rPr>
          <w:color w:val="auto"/>
          <w:highlight w:val="none"/>
        </w:rPr>
        <w:fldChar w:fldCharType="separate"/>
      </w:r>
      <w:r>
        <w:rPr>
          <w:color w:val="auto"/>
          <w:highlight w:val="none"/>
        </w:rPr>
        <w:t>195</w:t>
      </w:r>
      <w:r>
        <w:rPr>
          <w:color w:val="auto"/>
          <w:highlight w:val="none"/>
        </w:rPr>
        <w:fldChar w:fldCharType="end"/>
      </w:r>
      <w:r>
        <w:rPr>
          <w:color w:val="auto"/>
          <w:highlight w:val="none"/>
        </w:rPr>
        <w:fldChar w:fldCharType="end"/>
      </w:r>
    </w:p>
    <w:p w14:paraId="1470DA91">
      <w:pPr>
        <w:spacing w:before="120" w:line="600" w:lineRule="exact"/>
        <w:ind w:left="-18" w:leftChars="-67" w:right="-340" w:rightChars="-162" w:hanging="123" w:hangingChars="59"/>
        <w:rPr>
          <w:rFonts w:ascii="宋体" w:hAnsi="宋体" w:cs="宋体"/>
          <w:color w:val="auto"/>
          <w:sz w:val="30"/>
          <w:highlight w:val="none"/>
        </w:rPr>
      </w:pPr>
      <w:r>
        <w:rPr>
          <w:rFonts w:hint="eastAsia" w:ascii="宋体" w:hAnsi="宋体" w:cs="宋体"/>
          <w:color w:val="auto"/>
          <w:szCs w:val="28"/>
          <w:highlight w:val="none"/>
        </w:rPr>
        <w:fldChar w:fldCharType="end"/>
      </w:r>
    </w:p>
    <w:p w14:paraId="442DED03">
      <w:pPr>
        <w:pStyle w:val="17"/>
        <w:ind w:firstLine="527"/>
        <w:rPr>
          <w:rFonts w:ascii="宋体" w:hAnsi="宋体" w:cs="宋体"/>
          <w:b/>
          <w:bCs/>
          <w:color w:val="auto"/>
          <w:highlight w:val="none"/>
        </w:rPr>
        <w:sectPr>
          <w:footerReference r:id="rId7" w:type="first"/>
          <w:footerReference r:id="rId6" w:type="default"/>
          <w:pgSz w:w="11910" w:h="16840"/>
          <w:pgMar w:top="1520" w:right="1500" w:bottom="280" w:left="1680" w:header="720" w:footer="720" w:gutter="0"/>
          <w:pgNumType w:start="1"/>
          <w:cols w:space="720" w:num="1"/>
          <w:titlePg/>
          <w:docGrid w:linePitch="286" w:charSpace="0"/>
        </w:sectPr>
      </w:pPr>
      <w:bookmarkStart w:id="0" w:name="_Toc254970489"/>
      <w:bookmarkStart w:id="1" w:name="_Toc254970630"/>
    </w:p>
    <w:p w14:paraId="1B89679D">
      <w:pPr>
        <w:pStyle w:val="17"/>
        <w:ind w:firstLine="527"/>
        <w:rPr>
          <w:rFonts w:ascii="宋体" w:hAnsi="宋体" w:cs="宋体"/>
          <w:b/>
          <w:bCs/>
          <w:color w:val="auto"/>
          <w:highlight w:val="none"/>
        </w:rPr>
      </w:pPr>
    </w:p>
    <w:p w14:paraId="23AAEE78">
      <w:pPr>
        <w:pStyle w:val="2"/>
        <w:keepNext w:val="0"/>
        <w:keepLines w:val="0"/>
        <w:tabs>
          <w:tab w:val="left" w:pos="0"/>
          <w:tab w:val="left" w:pos="3165"/>
          <w:tab w:val="center" w:pos="4153"/>
        </w:tabs>
        <w:autoSpaceDE w:val="0"/>
        <w:autoSpaceDN w:val="0"/>
        <w:adjustRightInd w:val="0"/>
        <w:spacing w:before="0" w:after="0" w:line="360" w:lineRule="auto"/>
        <w:ind w:firstLine="1104"/>
        <w:jc w:val="center"/>
        <w:rPr>
          <w:rFonts w:ascii="宋体" w:hAnsi="宋体" w:cs="宋体"/>
          <w:color w:val="auto"/>
          <w:highlight w:val="none"/>
        </w:rPr>
      </w:pPr>
      <w:bookmarkStart w:id="2" w:name="_Toc5415"/>
      <w:r>
        <w:rPr>
          <w:rFonts w:hint="eastAsia" w:ascii="宋体" w:hAnsi="宋体" w:cs="宋体"/>
          <w:color w:val="auto"/>
          <w:highlight w:val="none"/>
        </w:rPr>
        <w:t>第一章</w:t>
      </w:r>
      <w:bookmarkEnd w:id="0"/>
      <w:bookmarkEnd w:id="1"/>
      <w:bookmarkStart w:id="3" w:name="_Toc28359001"/>
      <w:bookmarkStart w:id="4" w:name="_Toc35393789"/>
      <w:r>
        <w:rPr>
          <w:rFonts w:hint="eastAsia" w:ascii="宋体" w:hAnsi="宋体" w:cs="宋体"/>
          <w:color w:val="auto"/>
          <w:highlight w:val="none"/>
        </w:rPr>
        <w:t xml:space="preserve"> 招标公告</w:t>
      </w:r>
      <w:bookmarkEnd w:id="2"/>
      <w:bookmarkEnd w:id="3"/>
      <w:bookmarkEnd w:id="4"/>
    </w:p>
    <w:p w14:paraId="3680F96C">
      <w:pPr>
        <w:pBdr>
          <w:top w:val="single" w:color="auto" w:sz="4" w:space="1"/>
          <w:left w:val="single" w:color="auto" w:sz="4" w:space="4"/>
          <w:bottom w:val="single" w:color="auto" w:sz="4" w:space="1"/>
          <w:right w:val="single" w:color="auto" w:sz="4" w:space="4"/>
        </w:pBd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项目概况</w:t>
      </w:r>
    </w:p>
    <w:p w14:paraId="52ECAA5F">
      <w:pPr>
        <w:pBdr>
          <w:top w:val="single" w:color="auto" w:sz="4" w:space="1"/>
          <w:left w:val="single" w:color="auto" w:sz="4" w:space="4"/>
          <w:bottom w:val="single" w:color="auto" w:sz="4" w:space="1"/>
          <w:right w:val="single" w:color="auto" w:sz="4" w:space="4"/>
        </w:pBdr>
        <w:wordWrap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u w:val="single"/>
          <w:lang w:eastAsia="zh-CN"/>
        </w:rPr>
        <w:t>2026年大新县中小学校教学仪器设备采购</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招标项目的潜在投标人应在</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（https://www.gcy.zfcg.gxzf.gov.cn/）获取（下载）招标文件，并于</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 xml:space="preserve">29 </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rPr>
        <w:t>9时30分</w:t>
      </w:r>
      <w:r>
        <w:rPr>
          <w:rFonts w:hint="eastAsia" w:ascii="宋体" w:hAnsi="宋体" w:cs="宋体"/>
          <w:bCs/>
          <w:color w:val="auto"/>
          <w:szCs w:val="21"/>
          <w:highlight w:val="none"/>
        </w:rPr>
        <w:t>（北京时间）前按要求递交（上传）投标文件</w:t>
      </w:r>
      <w:r>
        <w:rPr>
          <w:rFonts w:hint="eastAsia" w:ascii="宋体" w:hAnsi="宋体" w:cs="宋体"/>
          <w:color w:val="auto"/>
          <w:szCs w:val="21"/>
          <w:highlight w:val="none"/>
        </w:rPr>
        <w:t>。</w:t>
      </w:r>
    </w:p>
    <w:p w14:paraId="680402BD">
      <w:pPr>
        <w:spacing w:line="360" w:lineRule="exact"/>
        <w:ind w:firstLine="602"/>
        <w:rPr>
          <w:rFonts w:ascii="宋体" w:hAnsi="宋体" w:cs="宋体"/>
          <w:b/>
          <w:bCs/>
          <w:color w:val="auto"/>
          <w:sz w:val="24"/>
          <w:highlight w:val="none"/>
        </w:rPr>
      </w:pPr>
      <w:bookmarkStart w:id="5" w:name="_Toc28359079"/>
      <w:bookmarkStart w:id="6" w:name="_Toc35393790"/>
      <w:bookmarkStart w:id="7" w:name="_Toc35393621"/>
      <w:bookmarkStart w:id="8" w:name="_Toc28359002"/>
      <w:bookmarkStart w:id="9" w:name="_Hlk24379207"/>
      <w:r>
        <w:rPr>
          <w:rFonts w:hint="eastAsia" w:ascii="宋体" w:hAnsi="宋体" w:cs="宋体"/>
          <w:b/>
          <w:bCs/>
          <w:color w:val="auto"/>
          <w:sz w:val="24"/>
          <w:highlight w:val="none"/>
        </w:rPr>
        <w:t>一、项目基本情况</w:t>
      </w:r>
      <w:bookmarkEnd w:id="5"/>
      <w:bookmarkEnd w:id="6"/>
      <w:bookmarkEnd w:id="7"/>
      <w:bookmarkEnd w:id="8"/>
    </w:p>
    <w:p w14:paraId="479C3FC1">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CZZC2026-G1-240080-GXLJ</w:t>
      </w:r>
    </w:p>
    <w:p w14:paraId="061E075C">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2026年大新县中小学校教学仪器设备采购</w:t>
      </w:r>
      <w:r>
        <w:rPr>
          <w:rFonts w:hint="eastAsia" w:ascii="宋体" w:hAnsi="宋体" w:cs="宋体"/>
          <w:color w:val="auto"/>
          <w:szCs w:val="21"/>
          <w:highlight w:val="none"/>
        </w:rPr>
        <w:t xml:space="preserve"> </w:t>
      </w:r>
    </w:p>
    <w:p w14:paraId="182CE954">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招标方式: 公开招标</w:t>
      </w:r>
    </w:p>
    <w:bookmarkEnd w:id="9"/>
    <w:p w14:paraId="52B53953">
      <w:pPr>
        <w:spacing w:line="400" w:lineRule="exact"/>
        <w:ind w:firstLine="420" w:firstLineChars="2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预算金额：</w:t>
      </w:r>
      <w:r>
        <w:rPr>
          <w:rFonts w:hint="eastAsia" w:ascii="宋体" w:hAnsi="宋体" w:cs="宋体"/>
          <w:color w:val="auto"/>
          <w:szCs w:val="21"/>
          <w:highlight w:val="none"/>
          <w:lang w:val="en-US" w:eastAsia="zh-CN"/>
        </w:rPr>
        <w:t>600</w:t>
      </w:r>
      <w:r>
        <w:rPr>
          <w:rFonts w:hint="eastAsia" w:ascii="宋体" w:hAnsi="宋体" w:cs="宋体"/>
          <w:color w:val="auto"/>
          <w:szCs w:val="21"/>
          <w:highlight w:val="none"/>
        </w:rPr>
        <w:t>万元</w:t>
      </w:r>
      <w:r>
        <w:rPr>
          <w:rFonts w:hint="eastAsia" w:ascii="宋体" w:hAnsi="宋体" w:cs="宋体"/>
          <w:color w:val="auto"/>
          <w:szCs w:val="21"/>
          <w:highlight w:val="none"/>
          <w:lang w:eastAsia="zh-CN"/>
        </w:rPr>
        <w:t>（</w:t>
      </w:r>
      <w:r>
        <w:rPr>
          <w:rFonts w:hint="eastAsia" w:ascii="宋体" w:eastAsia="宋体"/>
          <w:color w:val="auto"/>
          <w:sz w:val="21"/>
          <w:szCs w:val="21"/>
          <w:highlight w:val="none"/>
          <w:lang w:val="en-US" w:eastAsia="zh-CN"/>
        </w:rPr>
        <w:t>其中分标1预算金额：150.00万元</w:t>
      </w:r>
      <w:r>
        <w:rPr>
          <w:rFonts w:hint="eastAsia" w:ascii="宋体"/>
          <w:color w:val="auto"/>
          <w:sz w:val="21"/>
          <w:szCs w:val="21"/>
          <w:highlight w:val="none"/>
          <w:lang w:val="en-US" w:eastAsia="zh-CN"/>
        </w:rPr>
        <w:t>；</w:t>
      </w:r>
      <w:r>
        <w:rPr>
          <w:rFonts w:hint="eastAsia" w:ascii="宋体" w:eastAsia="宋体"/>
          <w:color w:val="auto"/>
          <w:sz w:val="21"/>
          <w:szCs w:val="21"/>
          <w:highlight w:val="none"/>
          <w:lang w:val="en-US" w:eastAsia="zh-CN"/>
        </w:rPr>
        <w:t>分标2预算金额：257.55万元</w:t>
      </w:r>
      <w:r>
        <w:rPr>
          <w:rFonts w:hint="eastAsia" w:ascii="宋体"/>
          <w:color w:val="auto"/>
          <w:sz w:val="21"/>
          <w:szCs w:val="21"/>
          <w:highlight w:val="none"/>
          <w:lang w:val="en-US" w:eastAsia="zh-CN"/>
        </w:rPr>
        <w:t>；</w:t>
      </w:r>
      <w:r>
        <w:rPr>
          <w:rFonts w:hint="eastAsia" w:ascii="宋体" w:eastAsia="宋体"/>
          <w:color w:val="auto"/>
          <w:sz w:val="21"/>
          <w:szCs w:val="21"/>
          <w:highlight w:val="none"/>
          <w:lang w:val="en-US" w:eastAsia="zh-CN"/>
        </w:rPr>
        <w:t>分标3预算金额：192.45万元</w:t>
      </w:r>
      <w:r>
        <w:rPr>
          <w:rFonts w:hint="eastAsia" w:ascii="宋体"/>
          <w:color w:val="auto"/>
          <w:sz w:val="21"/>
          <w:szCs w:val="21"/>
          <w:highlight w:val="none"/>
          <w:lang w:val="en-US" w:eastAsia="zh-CN"/>
        </w:rPr>
        <w:t>，分标3包含大新县3所学校人工智能实验室设备预算金额：144.4495万元，大新县城南小学等3所学校图书采购预算金额：48.0005万元</w:t>
      </w:r>
      <w:r>
        <w:rPr>
          <w:rFonts w:hint="eastAsia" w:ascii="宋体" w:eastAsia="宋体"/>
          <w:color w:val="auto"/>
          <w:sz w:val="21"/>
          <w:szCs w:val="21"/>
          <w:highlight w:val="none"/>
          <w:lang w:val="en-US" w:eastAsia="zh-CN"/>
        </w:rPr>
        <w:t>。</w:t>
      </w:r>
      <w:r>
        <w:rPr>
          <w:rFonts w:hint="eastAsia" w:ascii="宋体" w:hAnsi="宋体" w:cs="宋体"/>
          <w:color w:val="auto"/>
          <w:szCs w:val="21"/>
          <w:highlight w:val="none"/>
          <w:lang w:eastAsia="zh-CN"/>
        </w:rPr>
        <w:t>）</w:t>
      </w:r>
    </w:p>
    <w:p w14:paraId="7E141748">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最高限价：</w:t>
      </w:r>
      <w:r>
        <w:rPr>
          <w:rFonts w:hint="eastAsia" w:ascii="宋体" w:hAnsi="宋体" w:cs="宋体"/>
          <w:color w:val="auto"/>
          <w:szCs w:val="21"/>
          <w:highlight w:val="none"/>
          <w:lang w:val="en-US" w:eastAsia="zh-CN"/>
        </w:rPr>
        <w:t>600</w:t>
      </w:r>
      <w:r>
        <w:rPr>
          <w:rFonts w:hint="eastAsia" w:ascii="宋体" w:hAnsi="宋体" w:cs="宋体"/>
          <w:color w:val="auto"/>
          <w:szCs w:val="21"/>
          <w:highlight w:val="none"/>
        </w:rPr>
        <w:t>万元</w:t>
      </w:r>
      <w:r>
        <w:rPr>
          <w:rFonts w:hint="eastAsia" w:ascii="宋体" w:hAnsi="宋体" w:cs="宋体"/>
          <w:color w:val="auto"/>
          <w:szCs w:val="21"/>
          <w:highlight w:val="none"/>
          <w:lang w:eastAsia="zh-CN"/>
        </w:rPr>
        <w:t>（</w:t>
      </w:r>
      <w:r>
        <w:rPr>
          <w:rFonts w:hint="eastAsia" w:ascii="宋体" w:eastAsia="宋体"/>
          <w:color w:val="auto"/>
          <w:sz w:val="21"/>
          <w:szCs w:val="21"/>
          <w:highlight w:val="none"/>
          <w:lang w:val="en-US" w:eastAsia="zh-CN"/>
        </w:rPr>
        <w:t>其中分标1：150.00万元</w:t>
      </w:r>
      <w:r>
        <w:rPr>
          <w:rFonts w:hint="eastAsia" w:ascii="宋体"/>
          <w:color w:val="auto"/>
          <w:sz w:val="21"/>
          <w:szCs w:val="21"/>
          <w:highlight w:val="none"/>
          <w:lang w:val="en-US" w:eastAsia="zh-CN"/>
        </w:rPr>
        <w:t>；</w:t>
      </w:r>
      <w:r>
        <w:rPr>
          <w:rFonts w:hint="eastAsia" w:ascii="宋体" w:eastAsia="宋体"/>
          <w:color w:val="auto"/>
          <w:sz w:val="21"/>
          <w:szCs w:val="21"/>
          <w:highlight w:val="none"/>
          <w:lang w:val="en-US" w:eastAsia="zh-CN"/>
        </w:rPr>
        <w:t>分标2：257.55万元</w:t>
      </w:r>
      <w:r>
        <w:rPr>
          <w:rFonts w:hint="eastAsia" w:ascii="宋体"/>
          <w:color w:val="auto"/>
          <w:sz w:val="21"/>
          <w:szCs w:val="21"/>
          <w:highlight w:val="none"/>
          <w:lang w:val="en-US" w:eastAsia="zh-CN"/>
        </w:rPr>
        <w:t>；</w:t>
      </w:r>
      <w:r>
        <w:rPr>
          <w:rFonts w:hint="eastAsia" w:ascii="宋体" w:eastAsia="宋体"/>
          <w:color w:val="auto"/>
          <w:sz w:val="21"/>
          <w:szCs w:val="21"/>
          <w:highlight w:val="none"/>
          <w:lang w:val="en-US" w:eastAsia="zh-CN"/>
        </w:rPr>
        <w:t>分标3：192.45万元</w:t>
      </w:r>
      <w:r>
        <w:rPr>
          <w:rFonts w:hint="eastAsia" w:ascii="宋体"/>
          <w:color w:val="auto"/>
          <w:sz w:val="21"/>
          <w:szCs w:val="21"/>
          <w:highlight w:val="none"/>
          <w:lang w:val="en-US" w:eastAsia="zh-CN"/>
        </w:rPr>
        <w:t>，分标3包含大新县3所学校人工智能实验室设备预算金额：144.4495万元，</w:t>
      </w:r>
      <w:r>
        <w:rPr>
          <w:rFonts w:hint="eastAsia" w:ascii="宋体" w:hAnsi="宋体" w:cs="宋体"/>
          <w:color w:val="auto"/>
          <w:szCs w:val="21"/>
          <w:highlight w:val="none"/>
        </w:rPr>
        <w:t>大新县城南小学等3所学校图书</w:t>
      </w:r>
      <w:r>
        <w:rPr>
          <w:rFonts w:hint="eastAsia" w:ascii="宋体" w:hAnsi="宋体" w:cs="宋体"/>
          <w:color w:val="auto"/>
          <w:szCs w:val="21"/>
          <w:highlight w:val="none"/>
          <w:lang w:eastAsia="zh-CN"/>
        </w:rPr>
        <w:t>采购</w:t>
      </w:r>
      <w:r>
        <w:rPr>
          <w:rFonts w:hint="eastAsia" w:ascii="宋体"/>
          <w:color w:val="auto"/>
          <w:sz w:val="21"/>
          <w:szCs w:val="21"/>
          <w:highlight w:val="none"/>
          <w:lang w:val="en-US" w:eastAsia="zh-CN"/>
        </w:rPr>
        <w:t>预算金额：48.0005万元。）</w:t>
      </w:r>
    </w:p>
    <w:p w14:paraId="1FBA74C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采购需求：</w:t>
      </w:r>
    </w:p>
    <w:tbl>
      <w:tblPr>
        <w:tblStyle w:val="51"/>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96"/>
        <w:gridCol w:w="3129"/>
        <w:gridCol w:w="1780"/>
        <w:gridCol w:w="3823"/>
      </w:tblGrid>
      <w:tr w14:paraId="52FF88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465" w:type="pct"/>
            <w:tcBorders>
              <w:top w:val="single" w:color="auto" w:sz="4" w:space="0"/>
              <w:left w:val="single" w:color="auto" w:sz="4" w:space="0"/>
              <w:bottom w:val="single" w:color="auto" w:sz="4" w:space="0"/>
              <w:right w:val="single" w:color="auto" w:sz="4" w:space="0"/>
            </w:tcBorders>
            <w:vAlign w:val="center"/>
          </w:tcPr>
          <w:p w14:paraId="53545154">
            <w:pPr>
              <w:spacing w:line="400" w:lineRule="exact"/>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分标号</w:t>
            </w:r>
          </w:p>
        </w:tc>
        <w:tc>
          <w:tcPr>
            <w:tcW w:w="1624" w:type="pct"/>
            <w:tcBorders>
              <w:top w:val="single" w:color="auto" w:sz="4" w:space="0"/>
              <w:left w:val="single" w:color="auto" w:sz="4" w:space="0"/>
              <w:bottom w:val="single" w:color="auto" w:sz="4" w:space="0"/>
              <w:right w:val="single" w:color="auto" w:sz="4" w:space="0"/>
            </w:tcBorders>
            <w:vAlign w:val="center"/>
          </w:tcPr>
          <w:p w14:paraId="67CE17AC">
            <w:pPr>
              <w:spacing w:line="400" w:lineRule="exact"/>
              <w:jc w:val="center"/>
              <w:rPr>
                <w:rFonts w:ascii="宋体" w:hAnsi="宋体"/>
                <w:color w:val="auto"/>
                <w:szCs w:val="21"/>
                <w:highlight w:val="none"/>
              </w:rPr>
            </w:pPr>
            <w:r>
              <w:rPr>
                <w:rFonts w:hint="eastAsia" w:ascii="宋体" w:hAnsi="宋体"/>
                <w:color w:val="auto"/>
                <w:szCs w:val="21"/>
                <w:highlight w:val="none"/>
              </w:rPr>
              <w:t>标的名称</w:t>
            </w:r>
          </w:p>
        </w:tc>
        <w:tc>
          <w:tcPr>
            <w:tcW w:w="924" w:type="pct"/>
            <w:tcBorders>
              <w:top w:val="single" w:color="auto" w:sz="4" w:space="0"/>
              <w:left w:val="single" w:color="auto" w:sz="4" w:space="0"/>
              <w:bottom w:val="single" w:color="auto" w:sz="4" w:space="0"/>
              <w:right w:val="single" w:color="auto" w:sz="4" w:space="0"/>
            </w:tcBorders>
            <w:vAlign w:val="center"/>
          </w:tcPr>
          <w:p w14:paraId="45C80904">
            <w:pPr>
              <w:spacing w:line="400" w:lineRule="exact"/>
              <w:jc w:val="center"/>
              <w:rPr>
                <w:rFonts w:ascii="宋体" w:hAnsi="宋体"/>
                <w:color w:val="auto"/>
                <w:szCs w:val="21"/>
                <w:highlight w:val="none"/>
              </w:rPr>
            </w:pPr>
            <w:r>
              <w:rPr>
                <w:rFonts w:hint="eastAsia" w:ascii="宋体" w:hAnsi="宋体"/>
                <w:color w:val="auto"/>
                <w:szCs w:val="21"/>
                <w:highlight w:val="none"/>
              </w:rPr>
              <w:t>数量及单位</w:t>
            </w:r>
          </w:p>
        </w:tc>
        <w:tc>
          <w:tcPr>
            <w:tcW w:w="1984" w:type="pct"/>
            <w:tcBorders>
              <w:top w:val="single" w:color="auto" w:sz="4" w:space="0"/>
              <w:left w:val="single" w:color="auto" w:sz="4" w:space="0"/>
              <w:bottom w:val="single" w:color="auto" w:sz="4" w:space="0"/>
              <w:right w:val="single" w:color="auto" w:sz="4" w:space="0"/>
            </w:tcBorders>
            <w:vAlign w:val="center"/>
          </w:tcPr>
          <w:p w14:paraId="7C38F88D">
            <w:pPr>
              <w:spacing w:line="400" w:lineRule="exact"/>
              <w:jc w:val="center"/>
              <w:rPr>
                <w:rFonts w:ascii="宋体" w:hAnsi="宋体"/>
                <w:color w:val="auto"/>
                <w:szCs w:val="21"/>
                <w:highlight w:val="none"/>
              </w:rPr>
            </w:pPr>
            <w:r>
              <w:rPr>
                <w:rFonts w:hint="eastAsia" w:ascii="宋体" w:hAnsi="宋体"/>
                <w:color w:val="auto"/>
                <w:szCs w:val="21"/>
                <w:highlight w:val="none"/>
              </w:rPr>
              <w:t>简要技术需求或者服务要求</w:t>
            </w:r>
          </w:p>
        </w:tc>
      </w:tr>
      <w:tr w14:paraId="3E0D24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65" w:type="pct"/>
            <w:tcBorders>
              <w:top w:val="single" w:color="auto" w:sz="4" w:space="0"/>
              <w:left w:val="single" w:color="auto" w:sz="4" w:space="0"/>
              <w:bottom w:val="single" w:color="auto" w:sz="4" w:space="0"/>
              <w:right w:val="single" w:color="auto" w:sz="4" w:space="0"/>
            </w:tcBorders>
            <w:vAlign w:val="center"/>
          </w:tcPr>
          <w:p w14:paraId="67241FA6">
            <w:pPr>
              <w:spacing w:line="400" w:lineRule="exact"/>
              <w:jc w:val="center"/>
              <w:rPr>
                <w:rFonts w:ascii="宋体" w:hAnsi="宋体"/>
                <w:color w:val="auto"/>
                <w:szCs w:val="21"/>
                <w:highlight w:val="none"/>
              </w:rPr>
            </w:pPr>
            <w:r>
              <w:rPr>
                <w:rFonts w:hint="eastAsia" w:ascii="宋体" w:hAnsi="宋体"/>
                <w:color w:val="auto"/>
                <w:szCs w:val="21"/>
                <w:highlight w:val="none"/>
              </w:rPr>
              <w:t>1</w:t>
            </w:r>
          </w:p>
        </w:tc>
        <w:tc>
          <w:tcPr>
            <w:tcW w:w="1624" w:type="pct"/>
            <w:tcBorders>
              <w:top w:val="single" w:color="auto" w:sz="4" w:space="0"/>
              <w:left w:val="single" w:color="auto" w:sz="4" w:space="0"/>
              <w:bottom w:val="single" w:color="auto" w:sz="4" w:space="0"/>
              <w:right w:val="single" w:color="auto" w:sz="4" w:space="0"/>
            </w:tcBorders>
            <w:vAlign w:val="center"/>
          </w:tcPr>
          <w:p w14:paraId="4766044A">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高中理化生实验室成套设备采购项目</w:t>
            </w:r>
          </w:p>
        </w:tc>
        <w:tc>
          <w:tcPr>
            <w:tcW w:w="924" w:type="pct"/>
            <w:tcBorders>
              <w:top w:val="single" w:color="auto" w:sz="4" w:space="0"/>
              <w:left w:val="single" w:color="auto" w:sz="4" w:space="0"/>
              <w:bottom w:val="single" w:color="auto" w:sz="4" w:space="0"/>
              <w:right w:val="single" w:color="auto" w:sz="4" w:space="0"/>
            </w:tcBorders>
            <w:vAlign w:val="center"/>
          </w:tcPr>
          <w:p w14:paraId="4E1BA6AD">
            <w:pPr>
              <w:spacing w:line="40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批</w:t>
            </w:r>
          </w:p>
        </w:tc>
        <w:tc>
          <w:tcPr>
            <w:tcW w:w="1984" w:type="pct"/>
            <w:tcBorders>
              <w:top w:val="single" w:color="auto" w:sz="4" w:space="0"/>
              <w:left w:val="single" w:color="auto" w:sz="4" w:space="0"/>
              <w:bottom w:val="single" w:color="auto" w:sz="4" w:space="0"/>
              <w:right w:val="single" w:color="auto" w:sz="4" w:space="0"/>
            </w:tcBorders>
            <w:vAlign w:val="center"/>
          </w:tcPr>
          <w:p w14:paraId="62D08D64">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6B675E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65" w:type="pct"/>
            <w:tcBorders>
              <w:top w:val="single" w:color="auto" w:sz="4" w:space="0"/>
              <w:left w:val="single" w:color="auto" w:sz="4" w:space="0"/>
              <w:bottom w:val="single" w:color="auto" w:sz="4" w:space="0"/>
              <w:right w:val="single" w:color="auto" w:sz="4" w:space="0"/>
            </w:tcBorders>
            <w:vAlign w:val="center"/>
          </w:tcPr>
          <w:p w14:paraId="469D98DD">
            <w:pPr>
              <w:spacing w:line="400" w:lineRule="exact"/>
              <w:jc w:val="center"/>
              <w:rPr>
                <w:rFonts w:ascii="宋体" w:hAnsi="宋体"/>
                <w:color w:val="auto"/>
                <w:szCs w:val="21"/>
                <w:highlight w:val="none"/>
              </w:rPr>
            </w:pPr>
            <w:r>
              <w:rPr>
                <w:rFonts w:hint="eastAsia" w:ascii="宋体" w:hAnsi="宋体"/>
                <w:color w:val="auto"/>
                <w:szCs w:val="21"/>
                <w:highlight w:val="none"/>
              </w:rPr>
              <w:t>2</w:t>
            </w:r>
          </w:p>
        </w:tc>
        <w:tc>
          <w:tcPr>
            <w:tcW w:w="1624" w:type="pct"/>
            <w:tcBorders>
              <w:top w:val="single" w:color="auto" w:sz="4" w:space="0"/>
              <w:left w:val="single" w:color="auto" w:sz="4" w:space="0"/>
              <w:bottom w:val="single" w:color="auto" w:sz="4" w:space="0"/>
              <w:right w:val="single" w:color="auto" w:sz="4" w:space="0"/>
            </w:tcBorders>
            <w:vAlign w:val="center"/>
          </w:tcPr>
          <w:p w14:paraId="3E848D89">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大新县中小学校设备更新计算机教室及录播教室设备采购</w:t>
            </w:r>
          </w:p>
        </w:tc>
        <w:tc>
          <w:tcPr>
            <w:tcW w:w="924" w:type="pct"/>
            <w:tcBorders>
              <w:top w:val="single" w:color="auto" w:sz="4" w:space="0"/>
              <w:left w:val="single" w:color="auto" w:sz="4" w:space="0"/>
              <w:bottom w:val="single" w:color="auto" w:sz="4" w:space="0"/>
              <w:right w:val="single" w:color="auto" w:sz="4" w:space="0"/>
            </w:tcBorders>
            <w:vAlign w:val="center"/>
          </w:tcPr>
          <w:p w14:paraId="59A096E2">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批</w:t>
            </w:r>
          </w:p>
        </w:tc>
        <w:tc>
          <w:tcPr>
            <w:tcW w:w="1984" w:type="pct"/>
            <w:tcBorders>
              <w:top w:val="single" w:color="auto" w:sz="4" w:space="0"/>
              <w:left w:val="single" w:color="auto" w:sz="4" w:space="0"/>
              <w:bottom w:val="single" w:color="auto" w:sz="4" w:space="0"/>
              <w:right w:val="single" w:color="auto" w:sz="4" w:space="0"/>
            </w:tcBorders>
            <w:vAlign w:val="center"/>
          </w:tcPr>
          <w:p w14:paraId="47F7BBCD">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r w14:paraId="7AD5A1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65" w:type="pct"/>
            <w:tcBorders>
              <w:top w:val="single" w:color="auto" w:sz="4" w:space="0"/>
              <w:left w:val="single" w:color="auto" w:sz="4" w:space="0"/>
              <w:bottom w:val="single" w:color="auto" w:sz="4" w:space="0"/>
              <w:right w:val="single" w:color="auto" w:sz="4" w:space="0"/>
            </w:tcBorders>
            <w:vAlign w:val="center"/>
          </w:tcPr>
          <w:p w14:paraId="1CD4BF25">
            <w:pPr>
              <w:spacing w:line="400" w:lineRule="exact"/>
              <w:jc w:val="center"/>
              <w:rPr>
                <w:rFonts w:ascii="宋体" w:hAnsi="宋体"/>
                <w:color w:val="auto"/>
                <w:szCs w:val="21"/>
                <w:highlight w:val="none"/>
              </w:rPr>
            </w:pPr>
            <w:r>
              <w:rPr>
                <w:rFonts w:hint="eastAsia" w:ascii="宋体" w:hAnsi="宋体"/>
                <w:color w:val="auto"/>
                <w:szCs w:val="21"/>
                <w:highlight w:val="none"/>
              </w:rPr>
              <w:t>3</w:t>
            </w:r>
          </w:p>
        </w:tc>
        <w:tc>
          <w:tcPr>
            <w:tcW w:w="1624" w:type="pct"/>
            <w:tcBorders>
              <w:top w:val="single" w:color="auto" w:sz="4" w:space="0"/>
              <w:left w:val="single" w:color="auto" w:sz="4" w:space="0"/>
              <w:bottom w:val="single" w:color="auto" w:sz="4" w:space="0"/>
              <w:right w:val="single" w:color="auto" w:sz="4" w:space="0"/>
            </w:tcBorders>
            <w:vAlign w:val="center"/>
          </w:tcPr>
          <w:p w14:paraId="41D992CC">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大新县3所学校人工智能实验室</w:t>
            </w:r>
            <w:r>
              <w:rPr>
                <w:rFonts w:hint="eastAsia" w:ascii="宋体" w:hAnsi="宋体" w:cs="宋体"/>
                <w:color w:val="auto"/>
                <w:szCs w:val="21"/>
                <w:highlight w:val="none"/>
                <w:lang w:eastAsia="zh-CN"/>
              </w:rPr>
              <w:t>设备</w:t>
            </w:r>
            <w:r>
              <w:rPr>
                <w:rFonts w:hint="eastAsia" w:ascii="宋体" w:hAnsi="宋体" w:cs="宋体"/>
                <w:color w:val="auto"/>
                <w:szCs w:val="21"/>
                <w:highlight w:val="none"/>
              </w:rPr>
              <w:t>及大新县城南小学等3所学校图书采购</w:t>
            </w:r>
          </w:p>
        </w:tc>
        <w:tc>
          <w:tcPr>
            <w:tcW w:w="924" w:type="pct"/>
            <w:tcBorders>
              <w:top w:val="single" w:color="auto" w:sz="4" w:space="0"/>
              <w:left w:val="single" w:color="auto" w:sz="4" w:space="0"/>
              <w:bottom w:val="single" w:color="auto" w:sz="4" w:space="0"/>
              <w:right w:val="single" w:color="auto" w:sz="4" w:space="0"/>
            </w:tcBorders>
            <w:vAlign w:val="center"/>
          </w:tcPr>
          <w:p w14:paraId="65EB8B8A">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批</w:t>
            </w:r>
          </w:p>
        </w:tc>
        <w:tc>
          <w:tcPr>
            <w:tcW w:w="1984" w:type="pct"/>
            <w:tcBorders>
              <w:top w:val="single" w:color="auto" w:sz="4" w:space="0"/>
              <w:left w:val="single" w:color="auto" w:sz="4" w:space="0"/>
              <w:bottom w:val="single" w:color="auto" w:sz="4" w:space="0"/>
              <w:right w:val="single" w:color="auto" w:sz="4" w:space="0"/>
            </w:tcBorders>
            <w:vAlign w:val="center"/>
          </w:tcPr>
          <w:p w14:paraId="6B2C8D36">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详见《采购需求》</w:t>
            </w:r>
          </w:p>
        </w:tc>
      </w:tr>
    </w:tbl>
    <w:p w14:paraId="434F3D0D">
      <w:pPr>
        <w:pStyle w:val="45"/>
        <w:spacing w:before="0" w:beforeAutospacing="0" w:after="0" w:afterAutospacing="0" w:line="276" w:lineRule="auto"/>
        <w:jc w:val="both"/>
        <w:rPr>
          <w:rFonts w:cs="宋体"/>
          <w:color w:val="auto"/>
          <w:sz w:val="21"/>
          <w:szCs w:val="21"/>
          <w:highlight w:val="none"/>
        </w:rPr>
      </w:pPr>
    </w:p>
    <w:p w14:paraId="3F92281B">
      <w:pPr>
        <w:pStyle w:val="45"/>
        <w:spacing w:before="0" w:beforeAutospacing="0" w:after="0" w:afterAutospacing="0" w:line="276" w:lineRule="auto"/>
        <w:ind w:firstLine="525"/>
        <w:jc w:val="both"/>
        <w:rPr>
          <w:rFonts w:hint="eastAsia" w:cs="宋体"/>
          <w:color w:val="auto"/>
          <w:sz w:val="21"/>
          <w:szCs w:val="21"/>
          <w:highlight w:val="none"/>
        </w:rPr>
      </w:pPr>
      <w:r>
        <w:rPr>
          <w:rFonts w:hint="eastAsia" w:cs="宋体"/>
          <w:color w:val="auto"/>
          <w:sz w:val="21"/>
          <w:szCs w:val="21"/>
          <w:highlight w:val="none"/>
        </w:rPr>
        <w:t>如需进一步了解采购内容，详见采购文件。</w:t>
      </w:r>
    </w:p>
    <w:p w14:paraId="44686863">
      <w:pPr>
        <w:pStyle w:val="45"/>
        <w:spacing w:before="0" w:beforeAutospacing="0" w:after="0" w:afterAutospacing="0" w:line="276" w:lineRule="auto"/>
        <w:ind w:firstLine="525"/>
        <w:jc w:val="both"/>
        <w:rPr>
          <w:rFonts w:hint="eastAsia" w:eastAsia="宋体" w:cs="宋体"/>
          <w:color w:val="auto"/>
          <w:sz w:val="21"/>
          <w:szCs w:val="21"/>
          <w:highlight w:val="none"/>
          <w:lang w:eastAsia="zh-CN"/>
        </w:rPr>
      </w:pPr>
      <w:r>
        <w:rPr>
          <w:rFonts w:hint="eastAsia" w:cs="宋体"/>
          <w:color w:val="auto"/>
          <w:sz w:val="21"/>
          <w:szCs w:val="21"/>
          <w:highlight w:val="none"/>
          <w:lang w:eastAsia="zh-CN"/>
        </w:rPr>
        <w:t>合同期限：</w:t>
      </w:r>
    </w:p>
    <w:p w14:paraId="3F689765">
      <w:pPr>
        <w:pStyle w:val="45"/>
        <w:spacing w:before="0" w:beforeAutospacing="0" w:after="0" w:afterAutospacing="0" w:line="276" w:lineRule="auto"/>
        <w:ind w:firstLine="648" w:firstLineChars="309"/>
        <w:jc w:val="both"/>
        <w:rPr>
          <w:rFonts w:hint="eastAsia" w:ascii="宋体" w:eastAsia="宋体"/>
          <w:color w:val="auto"/>
          <w:sz w:val="21"/>
          <w:szCs w:val="21"/>
          <w:highlight w:val="none"/>
          <w:lang w:val="en-US" w:eastAsia="zh-CN"/>
        </w:rPr>
      </w:pPr>
      <w:bookmarkStart w:id="10" w:name="_Toc35393622"/>
      <w:bookmarkStart w:id="11" w:name="_Toc28359003"/>
      <w:bookmarkStart w:id="12" w:name="_Toc28359080"/>
      <w:bookmarkStart w:id="13" w:name="_Toc35393791"/>
      <w:r>
        <w:rPr>
          <w:rFonts w:hint="eastAsia" w:ascii="宋体" w:eastAsia="宋体"/>
          <w:color w:val="auto"/>
          <w:sz w:val="21"/>
          <w:szCs w:val="21"/>
          <w:highlight w:val="none"/>
          <w:lang w:val="en-US" w:eastAsia="zh-CN"/>
        </w:rPr>
        <w:t>分标1：</w:t>
      </w:r>
      <w:r>
        <w:rPr>
          <w:rFonts w:hint="eastAsia" w:ascii="宋体" w:hAnsi="宋体" w:eastAsia="宋体" w:cs="宋体"/>
          <w:i w:val="0"/>
          <w:iCs w:val="0"/>
          <w:color w:val="auto"/>
          <w:kern w:val="0"/>
          <w:sz w:val="21"/>
          <w:szCs w:val="21"/>
          <w:highlight w:val="none"/>
          <w:u w:val="none"/>
          <w:lang w:val="en-US" w:eastAsia="zh-CN" w:bidi="ar"/>
        </w:rPr>
        <w:t>自签订合同之日起</w:t>
      </w:r>
      <w:r>
        <w:rPr>
          <w:rFonts w:hint="eastAsia" w:ascii="宋体" w:hAnsi="宋体" w:cs="宋体"/>
          <w:i w:val="0"/>
          <w:iCs w:val="0"/>
          <w:color w:val="auto"/>
          <w:kern w:val="0"/>
          <w:sz w:val="21"/>
          <w:szCs w:val="21"/>
          <w:highlight w:val="none"/>
          <w:u w:val="none"/>
          <w:lang w:val="en-US" w:eastAsia="zh-CN" w:bidi="ar"/>
        </w:rPr>
        <w:t>45</w:t>
      </w:r>
      <w:r>
        <w:rPr>
          <w:rFonts w:hint="eastAsia" w:ascii="宋体" w:hAnsi="宋体" w:eastAsia="宋体" w:cs="宋体"/>
          <w:i w:val="0"/>
          <w:iCs w:val="0"/>
          <w:color w:val="auto"/>
          <w:kern w:val="0"/>
          <w:sz w:val="21"/>
          <w:szCs w:val="21"/>
          <w:highlight w:val="none"/>
          <w:u w:val="none"/>
          <w:lang w:val="en-US" w:eastAsia="zh-CN" w:bidi="ar"/>
        </w:rPr>
        <w:t>日历日内交付使用并通过验收</w:t>
      </w:r>
      <w:r>
        <w:rPr>
          <w:rFonts w:hint="eastAsia" w:ascii="宋体" w:hAnsi="宋体"/>
          <w:color w:val="auto"/>
          <w:sz w:val="21"/>
          <w:szCs w:val="21"/>
          <w:highlight w:val="none"/>
          <w:lang w:val="en-US" w:eastAsia="zh-CN"/>
        </w:rPr>
        <w:t>。</w:t>
      </w:r>
    </w:p>
    <w:p w14:paraId="7B01B92E">
      <w:pPr>
        <w:pStyle w:val="45"/>
        <w:spacing w:before="0" w:beforeAutospacing="0" w:after="0" w:afterAutospacing="0" w:line="276" w:lineRule="auto"/>
        <w:ind w:firstLine="648" w:firstLineChars="309"/>
        <w:jc w:val="both"/>
        <w:rPr>
          <w:rFonts w:hint="eastAsia" w:ascii="宋体" w:eastAsia="宋体"/>
          <w:color w:val="auto"/>
          <w:sz w:val="21"/>
          <w:szCs w:val="21"/>
          <w:highlight w:val="none"/>
          <w:lang w:val="en-US" w:eastAsia="zh-CN"/>
        </w:rPr>
      </w:pPr>
      <w:r>
        <w:rPr>
          <w:rFonts w:hint="eastAsia" w:ascii="宋体" w:eastAsia="宋体"/>
          <w:color w:val="auto"/>
          <w:sz w:val="21"/>
          <w:szCs w:val="21"/>
          <w:highlight w:val="none"/>
          <w:lang w:val="en-US" w:eastAsia="zh-CN"/>
        </w:rPr>
        <w:t>分标2：</w:t>
      </w:r>
      <w:r>
        <w:rPr>
          <w:rFonts w:hint="eastAsia" w:ascii="宋体" w:hAnsi="宋体" w:eastAsia="宋体" w:cs="宋体"/>
          <w:i w:val="0"/>
          <w:iCs w:val="0"/>
          <w:color w:val="auto"/>
          <w:kern w:val="0"/>
          <w:sz w:val="21"/>
          <w:szCs w:val="21"/>
          <w:highlight w:val="none"/>
          <w:u w:val="none"/>
          <w:lang w:val="en-US" w:eastAsia="zh-CN" w:bidi="ar"/>
        </w:rPr>
        <w:t>自签订合同之日起</w:t>
      </w:r>
      <w:r>
        <w:rPr>
          <w:rFonts w:hint="eastAsia" w:ascii="宋体" w:hAnsi="宋体" w:cs="宋体"/>
          <w:i w:val="0"/>
          <w:iCs w:val="0"/>
          <w:color w:val="auto"/>
          <w:kern w:val="0"/>
          <w:sz w:val="21"/>
          <w:szCs w:val="21"/>
          <w:highlight w:val="none"/>
          <w:u w:val="none"/>
          <w:lang w:val="en-US" w:eastAsia="zh-CN" w:bidi="ar"/>
        </w:rPr>
        <w:t>45</w:t>
      </w:r>
      <w:r>
        <w:rPr>
          <w:rFonts w:hint="eastAsia" w:ascii="宋体" w:hAnsi="宋体" w:eastAsia="宋体" w:cs="宋体"/>
          <w:i w:val="0"/>
          <w:iCs w:val="0"/>
          <w:color w:val="auto"/>
          <w:kern w:val="0"/>
          <w:sz w:val="21"/>
          <w:szCs w:val="21"/>
          <w:highlight w:val="none"/>
          <w:u w:val="none"/>
          <w:lang w:val="en-US" w:eastAsia="zh-CN" w:bidi="ar"/>
        </w:rPr>
        <w:t>日历日内交付使用并通过验收</w:t>
      </w:r>
      <w:r>
        <w:rPr>
          <w:rFonts w:hint="eastAsia" w:ascii="宋体" w:hAnsi="宋体" w:eastAsia="宋体" w:cs="宋体"/>
          <w:color w:val="auto"/>
          <w:sz w:val="21"/>
          <w:szCs w:val="21"/>
          <w:highlight w:val="none"/>
          <w:lang w:val="en-US" w:eastAsia="zh-CN"/>
        </w:rPr>
        <w:t>。</w:t>
      </w:r>
    </w:p>
    <w:p w14:paraId="1B241AA5">
      <w:pPr>
        <w:pStyle w:val="45"/>
        <w:spacing w:before="0" w:beforeAutospacing="0" w:after="0" w:afterAutospacing="0" w:line="276" w:lineRule="auto"/>
        <w:ind w:firstLine="648" w:firstLineChars="309"/>
        <w:jc w:val="both"/>
        <w:rPr>
          <w:rFonts w:hint="eastAsia" w:ascii="宋体" w:eastAsia="宋体"/>
          <w:color w:val="auto"/>
          <w:sz w:val="21"/>
          <w:szCs w:val="21"/>
          <w:highlight w:val="none"/>
          <w:lang w:val="en-US" w:eastAsia="zh-CN"/>
        </w:rPr>
      </w:pPr>
      <w:r>
        <w:rPr>
          <w:rFonts w:hint="eastAsia" w:ascii="宋体" w:eastAsia="宋体"/>
          <w:color w:val="auto"/>
          <w:sz w:val="21"/>
          <w:szCs w:val="21"/>
          <w:highlight w:val="none"/>
          <w:lang w:val="en-US" w:eastAsia="zh-CN"/>
        </w:rPr>
        <w:t>分标3：</w:t>
      </w:r>
      <w:r>
        <w:rPr>
          <w:rFonts w:hint="eastAsia" w:ascii="宋体" w:hAnsi="宋体" w:eastAsia="宋体" w:cs="宋体"/>
          <w:i w:val="0"/>
          <w:iCs w:val="0"/>
          <w:color w:val="auto"/>
          <w:kern w:val="0"/>
          <w:sz w:val="21"/>
          <w:szCs w:val="21"/>
          <w:highlight w:val="none"/>
          <w:u w:val="none"/>
          <w:lang w:val="en-US" w:eastAsia="zh-CN" w:bidi="ar"/>
        </w:rPr>
        <w:t>自签订合同之日起</w:t>
      </w:r>
      <w:r>
        <w:rPr>
          <w:rFonts w:hint="eastAsia" w:ascii="宋体" w:hAnsi="宋体" w:cs="宋体"/>
          <w:i w:val="0"/>
          <w:iCs w:val="0"/>
          <w:color w:val="auto"/>
          <w:kern w:val="0"/>
          <w:sz w:val="21"/>
          <w:szCs w:val="21"/>
          <w:highlight w:val="none"/>
          <w:u w:val="none"/>
          <w:lang w:val="en-US" w:eastAsia="zh-CN" w:bidi="ar"/>
        </w:rPr>
        <w:t>45</w:t>
      </w:r>
      <w:r>
        <w:rPr>
          <w:rFonts w:hint="eastAsia" w:ascii="宋体" w:hAnsi="宋体" w:eastAsia="宋体" w:cs="宋体"/>
          <w:i w:val="0"/>
          <w:iCs w:val="0"/>
          <w:color w:val="auto"/>
          <w:kern w:val="0"/>
          <w:sz w:val="21"/>
          <w:szCs w:val="21"/>
          <w:highlight w:val="none"/>
          <w:u w:val="none"/>
          <w:lang w:val="en-US" w:eastAsia="zh-CN" w:bidi="ar"/>
        </w:rPr>
        <w:t>日历日内交付使用并通过验收</w:t>
      </w:r>
      <w:r>
        <w:rPr>
          <w:rFonts w:hint="eastAsia" w:ascii="宋体" w:hAnsi="宋体" w:eastAsia="宋体" w:cs="宋体"/>
          <w:color w:val="auto"/>
          <w:sz w:val="21"/>
          <w:szCs w:val="21"/>
          <w:highlight w:val="none"/>
          <w:lang w:val="en-US" w:eastAsia="zh-CN"/>
        </w:rPr>
        <w:t>。</w:t>
      </w:r>
    </w:p>
    <w:p w14:paraId="714D1576">
      <w:pPr>
        <w:spacing w:line="360" w:lineRule="exact"/>
        <w:ind w:firstLine="602"/>
        <w:rPr>
          <w:rFonts w:ascii="宋体" w:hAnsi="宋体" w:cs="宋体"/>
          <w:b/>
          <w:bCs/>
          <w:color w:val="auto"/>
          <w:sz w:val="24"/>
          <w:highlight w:val="none"/>
        </w:rPr>
      </w:pPr>
      <w:r>
        <w:rPr>
          <w:rFonts w:hint="eastAsia" w:ascii="宋体" w:hAnsi="宋体" w:cs="宋体"/>
          <w:b/>
          <w:bCs/>
          <w:color w:val="auto"/>
          <w:sz w:val="24"/>
          <w:highlight w:val="none"/>
        </w:rPr>
        <w:t>二、申请人的资格要求：</w:t>
      </w:r>
      <w:bookmarkEnd w:id="10"/>
      <w:bookmarkEnd w:id="11"/>
      <w:bookmarkEnd w:id="12"/>
      <w:bookmarkEnd w:id="13"/>
    </w:p>
    <w:p w14:paraId="16A47209">
      <w:pPr>
        <w:spacing w:line="400" w:lineRule="exact"/>
        <w:ind w:firstLine="420" w:firstLineChars="200"/>
        <w:rPr>
          <w:rFonts w:ascii="宋体" w:hAnsi="宋体" w:cs="宋体"/>
          <w:color w:val="auto"/>
          <w:szCs w:val="21"/>
          <w:highlight w:val="none"/>
        </w:rPr>
      </w:pPr>
      <w:bookmarkStart w:id="14" w:name="_Hlk51746371"/>
      <w:r>
        <w:rPr>
          <w:rFonts w:hint="eastAsia" w:ascii="宋体" w:hAnsi="宋体" w:cs="宋体"/>
          <w:color w:val="auto"/>
          <w:szCs w:val="21"/>
          <w:highlight w:val="none"/>
        </w:rPr>
        <w:t>1.满足《中华人民共和国政府采购法》第二十二条规定；</w:t>
      </w:r>
    </w:p>
    <w:p w14:paraId="75C5A657">
      <w:pPr>
        <w:spacing w:line="400" w:lineRule="exact"/>
        <w:ind w:firstLine="420" w:firstLineChars="200"/>
        <w:rPr>
          <w:rFonts w:hint="eastAsia" w:ascii="宋体" w:hAnsi="宋体" w:eastAsia="宋体" w:cs="宋体"/>
          <w:color w:val="auto"/>
          <w:szCs w:val="21"/>
          <w:highlight w:val="none"/>
          <w:lang w:eastAsia="zh-CN"/>
        </w:rPr>
      </w:pPr>
      <w:bookmarkStart w:id="15" w:name="_Toc28359004"/>
      <w:bookmarkStart w:id="16" w:name="_Toc28359081"/>
      <w:r>
        <w:rPr>
          <w:rFonts w:hint="eastAsia" w:ascii="宋体" w:hAnsi="宋体" w:cs="宋体"/>
          <w:color w:val="auto"/>
          <w:szCs w:val="21"/>
          <w:highlight w:val="none"/>
        </w:rPr>
        <w:t>2.落实政府采购政策需满足的资格要求：本项目</w:t>
      </w:r>
      <w:r>
        <w:rPr>
          <w:rFonts w:hint="eastAsia" w:ascii="宋体" w:hAnsi="宋体" w:cs="宋体"/>
          <w:color w:val="auto"/>
          <w:szCs w:val="21"/>
          <w:highlight w:val="none"/>
          <w:lang w:val="en-US" w:eastAsia="zh-CN"/>
        </w:rPr>
        <w:t>分标1、分标2、分标3均按每个分标的采购预算</w:t>
      </w:r>
      <w:r>
        <w:rPr>
          <w:rFonts w:hint="eastAsia" w:ascii="宋体" w:hAnsi="宋体" w:cs="宋体"/>
          <w:color w:val="auto"/>
          <w:szCs w:val="21"/>
          <w:highlight w:val="none"/>
        </w:rPr>
        <w:t>预留份额</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面向中小企业采购，</w:t>
      </w:r>
      <w:r>
        <w:rPr>
          <w:rFonts w:hint="eastAsia" w:ascii="宋体" w:hAnsi="宋体" w:cs="宋体"/>
          <w:color w:val="auto"/>
          <w:szCs w:val="21"/>
          <w:highlight w:val="none"/>
          <w:lang w:eastAsia="zh-CN"/>
        </w:rPr>
        <w:t>每个分标均匀分配，</w:t>
      </w:r>
      <w:r>
        <w:rPr>
          <w:rFonts w:hint="eastAsia" w:ascii="宋体" w:hAnsi="宋体" w:cs="宋体"/>
          <w:color w:val="auto"/>
          <w:szCs w:val="21"/>
          <w:highlight w:val="none"/>
        </w:rPr>
        <w:t>供应商符合如下之一的，可参加本项目投标： ①为符合《政府采购促进中小企业发展管理办法》（财库〔2020〕46号）规定的中小企业（监狱企业、残疾人福利性单位均视同小型、微型企业）； ②本项目接受大型企业向一家或者多家中小企业分包，分包意向协议约定的由中小企业承担的合同份额应占到合同总金额的</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%以上（该</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%合同金额中，由小微企业承担为</w:t>
      </w:r>
      <w:r>
        <w:rPr>
          <w:rFonts w:hint="eastAsia" w:ascii="宋体" w:hAnsi="宋体" w:cs="宋体"/>
          <w:color w:val="auto"/>
          <w:szCs w:val="21"/>
          <w:highlight w:val="none"/>
          <w:lang w:val="en-US" w:eastAsia="zh-CN"/>
        </w:rPr>
        <w:t>60</w:t>
      </w:r>
      <w:r>
        <w:rPr>
          <w:rFonts w:hint="eastAsia" w:ascii="宋体" w:hAnsi="宋体" w:cs="宋体"/>
          <w:color w:val="auto"/>
          <w:szCs w:val="21"/>
          <w:highlight w:val="none"/>
        </w:rPr>
        <w:t>%）；③本项目接受大型企业和中小企业联合体投标，且联合体协议约定小企业承担的的合同份额应占到合同总金额的</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%以上（该</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%合同金额中，由小微企业承担为</w:t>
      </w:r>
      <w:r>
        <w:rPr>
          <w:rFonts w:hint="eastAsia" w:ascii="宋体" w:hAnsi="宋体" w:cs="宋体"/>
          <w:color w:val="auto"/>
          <w:szCs w:val="21"/>
          <w:highlight w:val="none"/>
          <w:lang w:val="en-US" w:eastAsia="zh-CN"/>
        </w:rPr>
        <w:t>60</w:t>
      </w:r>
      <w:r>
        <w:rPr>
          <w:rFonts w:hint="eastAsia" w:ascii="宋体" w:hAnsi="宋体" w:cs="宋体"/>
          <w:color w:val="auto"/>
          <w:szCs w:val="21"/>
          <w:highlight w:val="none"/>
        </w:rPr>
        <w:t>%）；也可以中小企业组成联合体投标。</w:t>
      </w:r>
      <w:r>
        <w:rPr>
          <w:rFonts w:hint="eastAsia" w:ascii="宋体" w:hAnsi="宋体" w:cs="宋体"/>
          <w:b/>
          <w:bCs/>
          <w:color w:val="auto"/>
          <w:szCs w:val="21"/>
          <w:highlight w:val="none"/>
        </w:rPr>
        <w:t>（组成联合体或者接受分包合同的中小企业与联合体内其他企业、分包企业之间不得存在直接控股、管理关系，小微企业不得将合同分包给大中型企业，中型企业不得将合同分包给大型企业）</w:t>
      </w:r>
      <w:r>
        <w:rPr>
          <w:rFonts w:hint="eastAsia" w:ascii="宋体" w:hAnsi="宋体" w:cs="宋体"/>
          <w:b/>
          <w:bCs/>
          <w:color w:val="auto"/>
          <w:szCs w:val="21"/>
          <w:highlight w:val="none"/>
          <w:lang w:eastAsia="zh-CN"/>
        </w:rPr>
        <w:t>。</w:t>
      </w:r>
    </w:p>
    <w:p w14:paraId="68F63C54">
      <w:pPr>
        <w:keepNext w:val="0"/>
        <w:keepLines w:val="0"/>
        <w:widowControl/>
        <w:suppressLineNumbers w:val="0"/>
        <w:jc w:val="left"/>
        <w:rPr>
          <w:rFonts w:ascii="宋体" w:hAnsi="宋体" w:cs="宋体"/>
          <w:color w:val="auto"/>
          <w:szCs w:val="21"/>
          <w:highlight w:val="none"/>
        </w:rPr>
      </w:pPr>
      <w:r>
        <w:rPr>
          <w:rFonts w:hint="eastAsia" w:ascii="宋体" w:hAnsi="宋体" w:cs="宋体"/>
          <w:color w:val="auto"/>
          <w:szCs w:val="21"/>
          <w:highlight w:val="none"/>
        </w:rPr>
        <w:t>3.本项目的特定资格要求：</w:t>
      </w:r>
      <w:r>
        <w:rPr>
          <w:rFonts w:hint="eastAsia" w:ascii="宋体" w:hAnsi="宋体" w:cs="宋体"/>
          <w:color w:val="auto"/>
          <w:szCs w:val="21"/>
          <w:highlight w:val="none"/>
          <w:lang w:eastAsia="zh-CN"/>
        </w:rPr>
        <w:t>分标</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无</w:t>
      </w:r>
      <w:r>
        <w:rPr>
          <w:rFonts w:hint="eastAsia" w:ascii="宋体" w:hAnsi="宋体" w:cs="宋体"/>
          <w:color w:val="auto"/>
          <w:szCs w:val="21"/>
          <w:highlight w:val="none"/>
          <w:lang w:eastAsia="zh-CN"/>
        </w:rPr>
        <w:t>，分标</w:t>
      </w:r>
      <w:r>
        <w:rPr>
          <w:rFonts w:hint="eastAsia" w:ascii="宋体" w:hAnsi="宋体" w:cs="宋体"/>
          <w:color w:val="auto"/>
          <w:szCs w:val="21"/>
          <w:highlight w:val="none"/>
          <w:lang w:val="en-US" w:eastAsia="zh-CN"/>
        </w:rPr>
        <w:t>2无，分标3：供应商须具备在有效期内的新闻出版行政部门颁发的《出版物经营许可证》</w:t>
      </w:r>
      <w:r>
        <w:rPr>
          <w:rFonts w:hint="eastAsia" w:ascii="宋体" w:hAnsi="宋体" w:cs="宋体"/>
          <w:color w:val="auto"/>
          <w:szCs w:val="21"/>
          <w:highlight w:val="none"/>
        </w:rPr>
        <w:t>。</w:t>
      </w:r>
    </w:p>
    <w:bookmarkEnd w:id="14"/>
    <w:p w14:paraId="550A613F">
      <w:pPr>
        <w:spacing w:line="360" w:lineRule="exact"/>
        <w:ind w:firstLine="602"/>
        <w:rPr>
          <w:rFonts w:ascii="宋体" w:hAnsi="宋体" w:cs="宋体"/>
          <w:b/>
          <w:bCs/>
          <w:color w:val="auto"/>
          <w:sz w:val="24"/>
          <w:highlight w:val="none"/>
        </w:rPr>
      </w:pPr>
      <w:bookmarkStart w:id="17" w:name="_Toc35393792"/>
      <w:bookmarkStart w:id="18" w:name="_Toc35393623"/>
      <w:r>
        <w:rPr>
          <w:rFonts w:hint="eastAsia" w:ascii="宋体" w:hAnsi="宋体" w:cs="宋体"/>
          <w:b/>
          <w:bCs/>
          <w:color w:val="auto"/>
          <w:sz w:val="24"/>
          <w:highlight w:val="none"/>
        </w:rPr>
        <w:t>三、获取招标文件</w:t>
      </w:r>
      <w:bookmarkEnd w:id="15"/>
      <w:bookmarkEnd w:id="16"/>
      <w:bookmarkEnd w:id="17"/>
      <w:bookmarkEnd w:id="18"/>
    </w:p>
    <w:p w14:paraId="226B47C9">
      <w:pPr>
        <w:spacing w:line="400" w:lineRule="exact"/>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时间：</w:t>
      </w:r>
      <w:r>
        <w:rPr>
          <w:rFonts w:hint="eastAsia" w:ascii="宋体" w:hAnsi="宋体" w:cs="宋体"/>
          <w:bCs/>
          <w:color w:val="auto"/>
          <w:kern w:val="0"/>
          <w:szCs w:val="21"/>
          <w:highlight w:val="none"/>
          <w:lang w:eastAsia="zh-CN"/>
        </w:rPr>
        <w:t>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lang w:eastAsia="zh-CN"/>
        </w:rPr>
        <w:t>年</w:t>
      </w:r>
      <w:r>
        <w:rPr>
          <w:rFonts w:hint="eastAsia" w:ascii="宋体" w:hAnsi="宋体" w:cs="宋体"/>
          <w:bCs/>
          <w:color w:val="auto"/>
          <w:kern w:val="0"/>
          <w:szCs w:val="21"/>
          <w:highlight w:val="none"/>
          <w:lang w:val="en-US" w:eastAsia="zh-CN"/>
        </w:rPr>
        <w:t>7</w:t>
      </w:r>
      <w:r>
        <w:rPr>
          <w:rFonts w:hint="eastAsia" w:ascii="宋体" w:hAnsi="宋体" w:cs="宋体"/>
          <w:bCs/>
          <w:color w:val="auto"/>
          <w:kern w:val="0"/>
          <w:szCs w:val="21"/>
          <w:highlight w:val="none"/>
          <w:lang w:eastAsia="zh-CN"/>
        </w:rPr>
        <w:t>月</w:t>
      </w:r>
      <w:r>
        <w:rPr>
          <w:rFonts w:hint="eastAsia" w:ascii="宋体" w:hAnsi="宋体" w:cs="宋体"/>
          <w:bCs/>
          <w:color w:val="auto"/>
          <w:kern w:val="0"/>
          <w:szCs w:val="21"/>
          <w:highlight w:val="none"/>
          <w:lang w:val="en-US" w:eastAsia="zh-CN"/>
        </w:rPr>
        <w:t xml:space="preserve"> 8</w:t>
      </w:r>
      <w:r>
        <w:rPr>
          <w:rFonts w:hint="eastAsia" w:ascii="宋体" w:hAnsi="宋体" w:cs="宋体"/>
          <w:bCs/>
          <w:color w:val="auto"/>
          <w:kern w:val="0"/>
          <w:szCs w:val="21"/>
          <w:highlight w:val="none"/>
          <w:lang w:eastAsia="zh-CN"/>
        </w:rPr>
        <w:t>日</w:t>
      </w:r>
      <w:r>
        <w:rPr>
          <w:rFonts w:hint="eastAsia" w:ascii="宋体" w:hAnsi="宋体" w:cs="宋体"/>
          <w:bCs/>
          <w:color w:val="auto"/>
          <w:kern w:val="0"/>
          <w:szCs w:val="21"/>
          <w:highlight w:val="none"/>
        </w:rPr>
        <w:t>至</w:t>
      </w:r>
      <w:r>
        <w:rPr>
          <w:rFonts w:hint="eastAsia" w:ascii="宋体" w:hAnsi="宋体" w:cs="宋体"/>
          <w:bCs/>
          <w:color w:val="auto"/>
          <w:kern w:val="0"/>
          <w:szCs w:val="21"/>
          <w:highlight w:val="none"/>
          <w:lang w:eastAsia="zh-CN"/>
        </w:rPr>
        <w:t>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lang w:eastAsia="zh-CN"/>
        </w:rPr>
        <w:t>年</w:t>
      </w:r>
      <w:r>
        <w:rPr>
          <w:rFonts w:hint="eastAsia" w:ascii="宋体" w:hAnsi="宋体" w:cs="宋体"/>
          <w:bCs/>
          <w:color w:val="auto"/>
          <w:kern w:val="0"/>
          <w:szCs w:val="21"/>
          <w:highlight w:val="none"/>
          <w:lang w:val="en-US" w:eastAsia="zh-CN"/>
        </w:rPr>
        <w:t xml:space="preserve"> 7</w:t>
      </w:r>
      <w:r>
        <w:rPr>
          <w:rFonts w:hint="eastAsia" w:ascii="宋体" w:hAnsi="宋体" w:cs="宋体"/>
          <w:bCs/>
          <w:color w:val="auto"/>
          <w:kern w:val="0"/>
          <w:szCs w:val="21"/>
          <w:highlight w:val="none"/>
          <w:lang w:eastAsia="zh-CN"/>
        </w:rPr>
        <w:t>月</w:t>
      </w:r>
      <w:r>
        <w:rPr>
          <w:rFonts w:hint="eastAsia" w:ascii="宋体" w:hAnsi="宋体" w:cs="宋体"/>
          <w:bCs/>
          <w:color w:val="auto"/>
          <w:kern w:val="0"/>
          <w:szCs w:val="21"/>
          <w:highlight w:val="none"/>
          <w:lang w:val="en-US" w:eastAsia="zh-CN"/>
        </w:rPr>
        <w:t>15</w:t>
      </w:r>
      <w:r>
        <w:rPr>
          <w:rFonts w:hint="eastAsia" w:ascii="宋体" w:hAnsi="宋体" w:cs="宋体"/>
          <w:bCs/>
          <w:color w:val="auto"/>
          <w:kern w:val="0"/>
          <w:szCs w:val="21"/>
          <w:highlight w:val="none"/>
          <w:lang w:eastAsia="zh-CN"/>
        </w:rPr>
        <w:t>日</w:t>
      </w:r>
      <w:r>
        <w:rPr>
          <w:rFonts w:hint="eastAsia" w:ascii="宋体" w:hAnsi="宋体" w:cs="宋体"/>
          <w:bCs/>
          <w:color w:val="auto"/>
          <w:kern w:val="0"/>
          <w:szCs w:val="21"/>
          <w:highlight w:val="none"/>
        </w:rPr>
        <w:t>，每天上午00:00至12:00，下午12:00至23:59（北京时间，法定节假日除外）</w:t>
      </w:r>
    </w:p>
    <w:p w14:paraId="3B926B30">
      <w:pPr>
        <w:spacing w:line="400" w:lineRule="exact"/>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地点（网址）：广西政府采购云平台线上获取</w:t>
      </w:r>
    </w:p>
    <w:p w14:paraId="2B5FED1E">
      <w:pPr>
        <w:spacing w:line="400" w:lineRule="exact"/>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方式：</w:t>
      </w:r>
      <w:r>
        <w:rPr>
          <w:rFonts w:hint="eastAsia" w:ascii="宋体" w:hAnsi="宋体" w:cs="宋体"/>
          <w:bCs/>
          <w:color w:val="auto"/>
          <w:kern w:val="0"/>
          <w:szCs w:val="21"/>
          <w:highlight w:val="none"/>
          <w:lang w:val="en-US"/>
        </w:rPr>
        <w:t>网上下载。本项目不发放纸质采购文件，供应商可自行在</w:t>
      </w:r>
      <w:r>
        <w:rPr>
          <w:rFonts w:hint="eastAsia" w:ascii="宋体" w:hAnsi="宋体" w:cs="宋体"/>
          <w:bCs/>
          <w:color w:val="auto"/>
          <w:kern w:val="0"/>
          <w:szCs w:val="21"/>
          <w:highlight w:val="none"/>
          <w:lang w:val="en-US"/>
        </w:rPr>
        <w:fldChar w:fldCharType="begin"/>
      </w:r>
      <w:r>
        <w:rPr>
          <w:rFonts w:hint="eastAsia" w:ascii="宋体" w:hAnsi="宋体" w:cs="宋体"/>
          <w:bCs/>
          <w:color w:val="auto"/>
          <w:kern w:val="0"/>
          <w:szCs w:val="21"/>
          <w:highlight w:val="none"/>
          <w:lang w:val="en-US"/>
        </w:rPr>
        <w:instrText xml:space="preserve">HYPERLINK</w:instrText>
      </w:r>
      <w:r>
        <w:rPr>
          <w:rFonts w:hint="eastAsia" w:ascii="宋体" w:hAnsi="宋体" w:cs="宋体"/>
          <w:bCs/>
          <w:color w:val="auto"/>
          <w:kern w:val="0"/>
          <w:szCs w:val="21"/>
          <w:highlight w:val="none"/>
          <w:lang w:val="en-US"/>
        </w:rPr>
        <w:fldChar w:fldCharType="separate"/>
      </w:r>
      <w:r>
        <w:rPr>
          <w:rFonts w:hint="eastAsia" w:ascii="宋体" w:hAnsi="宋体" w:cs="宋体"/>
          <w:bCs/>
          <w:color w:val="auto"/>
          <w:kern w:val="0"/>
          <w:szCs w:val="21"/>
          <w:highlight w:val="none"/>
          <w:lang w:val="en-US"/>
        </w:rPr>
        <w:fldChar w:fldCharType="end"/>
      </w:r>
      <w:r>
        <w:rPr>
          <w:rFonts w:hint="eastAsia" w:ascii="宋体" w:hAnsi="宋体" w:cs="宋体"/>
          <w:bCs/>
          <w:color w:val="auto"/>
          <w:kern w:val="0"/>
          <w:szCs w:val="21"/>
          <w:highlight w:val="none"/>
          <w:lang w:val="en-US" w:eastAsia="zh-CN"/>
        </w:rPr>
        <w:t>广西政府采购云平台（https://www.gcy.zfcg.gxzf.gov.cn/）</w:t>
      </w:r>
      <w:r>
        <w:rPr>
          <w:rFonts w:hint="eastAsia" w:ascii="宋体" w:hAnsi="宋体" w:cs="宋体"/>
          <w:bCs/>
          <w:color w:val="auto"/>
          <w:kern w:val="0"/>
          <w:szCs w:val="21"/>
          <w:highlight w:val="none"/>
          <w:lang w:val="en-US"/>
        </w:rPr>
        <w:t>下载采购文件（操作路径：登录</w:t>
      </w:r>
      <w:r>
        <w:rPr>
          <w:rFonts w:hint="eastAsia" w:ascii="宋体" w:hAnsi="宋体" w:cs="宋体"/>
          <w:bCs/>
          <w:color w:val="auto"/>
          <w:kern w:val="0"/>
          <w:szCs w:val="21"/>
          <w:highlight w:val="none"/>
          <w:lang w:val="en-US" w:eastAsia="zh-CN"/>
        </w:rPr>
        <w:t>广西政府采购云平台</w:t>
      </w:r>
      <w:r>
        <w:rPr>
          <w:rFonts w:hint="eastAsia" w:ascii="宋体" w:hAnsi="宋体" w:cs="宋体"/>
          <w:bCs/>
          <w:color w:val="auto"/>
          <w:kern w:val="0"/>
          <w:szCs w:val="21"/>
          <w:highlight w:val="none"/>
          <w:lang w:val="en-US"/>
        </w:rPr>
        <w:t>-项目采购-获取采购文件-找到本项目-点击“申请获取采购文件”），电子响应文件制作需要基于</w:t>
      </w:r>
      <w:r>
        <w:rPr>
          <w:rFonts w:hint="eastAsia" w:ascii="宋体" w:hAnsi="宋体" w:cs="宋体"/>
          <w:bCs/>
          <w:color w:val="auto"/>
          <w:kern w:val="0"/>
          <w:szCs w:val="21"/>
          <w:highlight w:val="none"/>
          <w:lang w:val="en-US" w:eastAsia="zh-CN"/>
        </w:rPr>
        <w:t>广西政府采购云平台（https://www.gcy.zfcg.gxzf.gov.cn/）</w:t>
      </w:r>
      <w:r>
        <w:rPr>
          <w:rFonts w:hint="eastAsia" w:ascii="宋体" w:hAnsi="宋体" w:cs="宋体"/>
          <w:bCs/>
          <w:color w:val="auto"/>
          <w:kern w:val="0"/>
          <w:szCs w:val="21"/>
          <w:highlight w:val="none"/>
          <w:lang w:val="en-US"/>
        </w:rPr>
        <w:t>获取的采购文件编制。</w:t>
      </w:r>
      <w:r>
        <w:rPr>
          <w:rFonts w:hint="eastAsia" w:ascii="宋体" w:hAnsi="宋体" w:cs="宋体"/>
          <w:bCs/>
          <w:color w:val="auto"/>
          <w:kern w:val="0"/>
          <w:szCs w:val="21"/>
          <w:highlight w:val="none"/>
        </w:rPr>
        <w:t xml:space="preserve">  </w:t>
      </w:r>
    </w:p>
    <w:p w14:paraId="2927041C">
      <w:pPr>
        <w:spacing w:line="400" w:lineRule="exact"/>
        <w:ind w:firstLine="420" w:firstLineChars="200"/>
        <w:rPr>
          <w:rFonts w:ascii="宋体" w:hAnsi="宋体" w:cs="宋体"/>
          <w:color w:val="auto"/>
          <w:highlight w:val="none"/>
        </w:rPr>
      </w:pPr>
      <w:r>
        <w:rPr>
          <w:rFonts w:hint="eastAsia" w:ascii="宋体" w:hAnsi="宋体" w:cs="宋体"/>
          <w:bCs/>
          <w:color w:val="auto"/>
          <w:kern w:val="0"/>
          <w:szCs w:val="21"/>
          <w:highlight w:val="none"/>
        </w:rPr>
        <w:t>售价（元）：0</w:t>
      </w:r>
    </w:p>
    <w:p w14:paraId="4FD673AA">
      <w:pPr>
        <w:spacing w:line="360" w:lineRule="exact"/>
        <w:ind w:firstLine="602"/>
        <w:rPr>
          <w:rFonts w:ascii="宋体" w:hAnsi="宋体" w:cs="宋体"/>
          <w:b/>
          <w:bCs/>
          <w:color w:val="auto"/>
          <w:sz w:val="24"/>
          <w:highlight w:val="none"/>
        </w:rPr>
      </w:pPr>
      <w:bookmarkStart w:id="19" w:name="_Toc28359082"/>
      <w:bookmarkStart w:id="20" w:name="_Toc28359005"/>
      <w:bookmarkStart w:id="21" w:name="_Toc35393624"/>
      <w:bookmarkStart w:id="22" w:name="_Toc35393793"/>
      <w:r>
        <w:rPr>
          <w:rFonts w:hint="eastAsia" w:ascii="宋体" w:hAnsi="宋体" w:cs="宋体"/>
          <w:b/>
          <w:bCs/>
          <w:color w:val="auto"/>
          <w:sz w:val="24"/>
          <w:highlight w:val="none"/>
        </w:rPr>
        <w:t>四、提交投标文件</w:t>
      </w:r>
      <w:bookmarkEnd w:id="19"/>
      <w:bookmarkEnd w:id="20"/>
      <w:r>
        <w:rPr>
          <w:rFonts w:hint="eastAsia" w:ascii="宋体" w:hAnsi="宋体" w:cs="宋体"/>
          <w:b/>
          <w:bCs/>
          <w:color w:val="auto"/>
          <w:sz w:val="24"/>
          <w:highlight w:val="none"/>
        </w:rPr>
        <w:t>截止时间、开标时间和地点</w:t>
      </w:r>
      <w:bookmarkEnd w:id="21"/>
      <w:bookmarkEnd w:id="22"/>
    </w:p>
    <w:p w14:paraId="369C4E67">
      <w:pPr>
        <w:spacing w:line="400" w:lineRule="exact"/>
        <w:ind w:firstLine="420" w:firstLineChars="200"/>
        <w:rPr>
          <w:rFonts w:ascii="宋体" w:hAnsi="宋体" w:cs="宋体"/>
          <w:bCs/>
          <w:color w:val="auto"/>
          <w:szCs w:val="21"/>
          <w:highlight w:val="none"/>
        </w:rPr>
      </w:pPr>
      <w:bookmarkStart w:id="23" w:name="_Toc35393625"/>
      <w:bookmarkStart w:id="24" w:name="_Toc35393794"/>
      <w:bookmarkStart w:id="25" w:name="_Toc28359084"/>
      <w:bookmarkStart w:id="26" w:name="_Toc28359007"/>
      <w:r>
        <w:rPr>
          <w:rFonts w:hint="eastAsia" w:ascii="宋体" w:hAnsi="宋体" w:cs="宋体"/>
          <w:bCs/>
          <w:color w:val="auto"/>
          <w:szCs w:val="21"/>
          <w:highlight w:val="none"/>
        </w:rPr>
        <w:t>提交投标文件截止时间：</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 xml:space="preserve"> 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29</w:t>
      </w:r>
      <w:r>
        <w:rPr>
          <w:rFonts w:hint="eastAsia" w:ascii="宋体" w:hAnsi="宋体" w:cs="宋体"/>
          <w:color w:val="auto"/>
          <w:szCs w:val="21"/>
          <w:highlight w:val="none"/>
          <w:lang w:eastAsia="zh-CN"/>
        </w:rPr>
        <w:t>日</w:t>
      </w:r>
      <w:r>
        <w:rPr>
          <w:rFonts w:hint="eastAsia" w:ascii="宋体" w:hAnsi="宋体" w:cs="宋体"/>
          <w:color w:val="auto"/>
          <w:szCs w:val="21"/>
          <w:highlight w:val="none"/>
        </w:rPr>
        <w:t>9时30分</w:t>
      </w:r>
      <w:r>
        <w:rPr>
          <w:rFonts w:hint="eastAsia" w:ascii="宋体" w:hAnsi="宋体" w:cs="宋体"/>
          <w:bCs/>
          <w:color w:val="auto"/>
          <w:szCs w:val="21"/>
          <w:highlight w:val="none"/>
        </w:rPr>
        <w:t>（北京时间）</w:t>
      </w:r>
    </w:p>
    <w:p w14:paraId="2D32EF36">
      <w:pPr>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 xml:space="preserve">投标地点（网址）：广西政府采购云平台（https://www.gcy.zfcg.gxzf.gov.cn/） </w:t>
      </w:r>
    </w:p>
    <w:p w14:paraId="757B380E">
      <w:pPr>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开标时间：</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29</w:t>
      </w:r>
      <w:r>
        <w:rPr>
          <w:rFonts w:hint="eastAsia" w:ascii="宋体" w:hAnsi="宋体" w:cs="宋体"/>
          <w:color w:val="auto"/>
          <w:szCs w:val="21"/>
          <w:highlight w:val="none"/>
        </w:rPr>
        <w:t>日9时30分</w:t>
      </w:r>
    </w:p>
    <w:p w14:paraId="02DA8C56">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bCs/>
          <w:color w:val="auto"/>
          <w:szCs w:val="21"/>
          <w:highlight w:val="none"/>
        </w:rPr>
        <w:t>开标地点：</w:t>
      </w:r>
      <w:r>
        <w:rPr>
          <w:rFonts w:hint="eastAsia" w:ascii="宋体" w:hAnsi="宋体" w:cs="宋体"/>
          <w:bCs/>
          <w:color w:val="auto"/>
          <w:szCs w:val="21"/>
          <w:highlight w:val="none"/>
          <w:lang w:val="en-US" w:eastAsia="zh-CN"/>
        </w:rPr>
        <w:t>广西</w:t>
      </w:r>
      <w:r>
        <w:rPr>
          <w:rFonts w:hint="eastAsia" w:ascii="宋体" w:hAnsi="宋体" w:cs="宋体"/>
          <w:bCs/>
          <w:color w:val="auto"/>
          <w:szCs w:val="21"/>
          <w:highlight w:val="none"/>
          <w:lang w:val="en-US"/>
        </w:rPr>
        <w:t>政府采购云平台远程开标大厅</w:t>
      </w:r>
      <w:r>
        <w:rPr>
          <w:rFonts w:hint="eastAsia" w:ascii="宋体" w:hAnsi="宋体" w:cs="宋体"/>
          <w:bCs/>
          <w:color w:val="auto"/>
          <w:szCs w:val="21"/>
          <w:highlight w:val="none"/>
          <w:lang w:val="en-US" w:eastAsia="zh-CN"/>
        </w:rPr>
        <w:t>（崇左市公共资源交易中心【崇左市新城区石景林路9号(崇左市政务服务中心综合楼）】</w:t>
      </w:r>
      <w:bookmarkStart w:id="145" w:name="_GoBack"/>
      <w:bookmarkEnd w:id="145"/>
      <w:r>
        <w:rPr>
          <w:rFonts w:hint="eastAsia" w:ascii="宋体" w:hAnsi="宋体" w:cs="宋体"/>
          <w:bCs/>
          <w:color w:val="auto"/>
          <w:szCs w:val="21"/>
          <w:highlight w:val="none"/>
          <w:lang w:val="en-US" w:eastAsia="zh-CN"/>
        </w:rPr>
        <w:t>）</w:t>
      </w:r>
    </w:p>
    <w:p w14:paraId="58B23D37">
      <w:pPr>
        <w:spacing w:line="360" w:lineRule="exact"/>
        <w:ind w:firstLine="602"/>
        <w:rPr>
          <w:rFonts w:ascii="宋体" w:hAnsi="宋体" w:cs="宋体"/>
          <w:b/>
          <w:bCs/>
          <w:color w:val="auto"/>
          <w:sz w:val="24"/>
          <w:highlight w:val="none"/>
        </w:rPr>
      </w:pPr>
      <w:r>
        <w:rPr>
          <w:rFonts w:hint="eastAsia" w:ascii="宋体" w:hAnsi="宋体" w:cs="宋体"/>
          <w:b/>
          <w:bCs/>
          <w:color w:val="auto"/>
          <w:sz w:val="24"/>
          <w:highlight w:val="none"/>
        </w:rPr>
        <w:t>五、公告期限</w:t>
      </w:r>
      <w:bookmarkEnd w:id="23"/>
      <w:bookmarkEnd w:id="24"/>
      <w:bookmarkEnd w:id="25"/>
      <w:bookmarkEnd w:id="26"/>
    </w:p>
    <w:p w14:paraId="764D9591">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30B8A7B6">
      <w:pPr>
        <w:spacing w:line="360" w:lineRule="exact"/>
        <w:ind w:firstLine="602"/>
        <w:rPr>
          <w:rFonts w:ascii="宋体" w:hAnsi="宋体" w:cs="宋体"/>
          <w:b/>
          <w:bCs/>
          <w:color w:val="auto"/>
          <w:sz w:val="24"/>
          <w:highlight w:val="none"/>
        </w:rPr>
      </w:pPr>
      <w:bookmarkStart w:id="27" w:name="_Toc35393795"/>
      <w:bookmarkStart w:id="28" w:name="_Toc35393626"/>
      <w:r>
        <w:rPr>
          <w:rFonts w:hint="eastAsia" w:ascii="宋体" w:hAnsi="宋体" w:cs="宋体"/>
          <w:b/>
          <w:bCs/>
          <w:color w:val="auto"/>
          <w:sz w:val="24"/>
          <w:highlight w:val="none"/>
        </w:rPr>
        <w:t>六、其他补充事宜</w:t>
      </w:r>
      <w:bookmarkEnd w:id="27"/>
      <w:bookmarkEnd w:id="28"/>
    </w:p>
    <w:p w14:paraId="3F581B5B">
      <w:pPr>
        <w:spacing w:line="400" w:lineRule="exact"/>
        <w:ind w:firstLine="420" w:firstLineChars="200"/>
        <w:rPr>
          <w:rFonts w:ascii="宋体" w:hAnsi="宋体" w:cs="宋体"/>
          <w:color w:val="auto"/>
          <w:kern w:val="0"/>
          <w:szCs w:val="21"/>
          <w:highlight w:val="none"/>
        </w:rPr>
      </w:pPr>
      <w:bookmarkStart w:id="29" w:name="_Hlk37429585"/>
      <w:bookmarkStart w:id="30" w:name="_Hlk37429595"/>
      <w:r>
        <w:rPr>
          <w:rFonts w:hint="eastAsia" w:ascii="宋体" w:hAnsi="宋体" w:cs="宋体"/>
          <w:color w:val="auto"/>
          <w:kern w:val="0"/>
          <w:szCs w:val="21"/>
          <w:highlight w:val="none"/>
        </w:rPr>
        <w:t>1.网上查询地址</w:t>
      </w:r>
    </w:p>
    <w:p w14:paraId="3F27F827">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www.ccgp.gov.cn（中国政府采购网）、zfcg.gxzf.gov.cn（广西壮族自治区政府采购网）、</w:t>
      </w:r>
      <w:bookmarkEnd w:id="29"/>
      <w:r>
        <w:rPr>
          <w:rFonts w:hint="eastAsia" w:ascii="宋体" w:hAnsi="宋体" w:cs="宋体"/>
          <w:color w:val="auto"/>
          <w:kern w:val="0"/>
          <w:szCs w:val="21"/>
          <w:highlight w:val="none"/>
        </w:rPr>
        <w:t>全国公共资源交易平台（广西·崇左）(http://ggzy.jgswj.gxzf.gov.cn/czggzy）。</w:t>
      </w:r>
    </w:p>
    <w:bookmarkEnd w:id="30"/>
    <w:p w14:paraId="220B4583">
      <w:pPr>
        <w:spacing w:line="400" w:lineRule="exact"/>
        <w:ind w:firstLine="424" w:firstLineChars="202"/>
        <w:rPr>
          <w:rFonts w:ascii="宋体" w:hAnsi="宋体" w:cs="宋体"/>
          <w:color w:val="auto"/>
          <w:kern w:val="0"/>
          <w:szCs w:val="21"/>
          <w:highlight w:val="none"/>
        </w:rPr>
      </w:pPr>
      <w:bookmarkStart w:id="31" w:name="_Hlk37429674"/>
      <w:r>
        <w:rPr>
          <w:rFonts w:hint="eastAsia" w:ascii="宋体" w:hAnsi="宋体" w:cs="宋体"/>
          <w:color w:val="auto"/>
          <w:szCs w:val="21"/>
          <w:highlight w:val="none"/>
        </w:rPr>
        <w:t>2.</w:t>
      </w:r>
      <w:r>
        <w:rPr>
          <w:rFonts w:hint="eastAsia" w:ascii="宋体" w:hAnsi="宋体" w:cs="宋体"/>
          <w:color w:val="auto"/>
          <w:kern w:val="0"/>
          <w:szCs w:val="21"/>
          <w:highlight w:val="none"/>
        </w:rPr>
        <w:t>本项目需要落实的政府采购政策</w:t>
      </w:r>
    </w:p>
    <w:p w14:paraId="39E156CB">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31EEEB47">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1326EC67">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14:paraId="65CD370D">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14:paraId="05BD88CE">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（5）政府采购支持监狱企业发展。</w:t>
      </w:r>
    </w:p>
    <w:p w14:paraId="6910F4F9">
      <w:pPr>
        <w:spacing w:line="400" w:lineRule="exact"/>
        <w:ind w:left="-134" w:firstLine="630" w:firstLineChars="300"/>
        <w:rPr>
          <w:rFonts w:ascii="宋体" w:hAnsi="宋体" w:cs="宋体"/>
          <w:color w:val="auto"/>
          <w:szCs w:val="21"/>
          <w:highlight w:val="none"/>
        </w:rPr>
      </w:pPr>
      <w:r>
        <w:rPr>
          <w:rFonts w:hint="eastAsia" w:ascii="宋体" w:hAnsi="宋体" w:cs="宋体"/>
          <w:color w:val="auto"/>
          <w:szCs w:val="21"/>
          <w:highlight w:val="none"/>
        </w:rPr>
        <w:t>3.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018744BB">
      <w:pPr>
        <w:spacing w:line="400" w:lineRule="exact"/>
        <w:ind w:left="-134" w:firstLine="630" w:firstLineChars="300"/>
        <w:rPr>
          <w:rFonts w:ascii="宋体" w:hAnsi="宋体" w:cs="宋体"/>
          <w:color w:val="auto"/>
          <w:highlight w:val="none"/>
        </w:rPr>
      </w:pPr>
      <w:r>
        <w:rPr>
          <w:rFonts w:hint="eastAsia" w:ascii="宋体" w:hAnsi="宋体" w:cs="宋体"/>
          <w:color w:val="auto"/>
          <w:szCs w:val="21"/>
          <w:highlight w:val="none"/>
        </w:rPr>
        <w:t>4.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p>
    <w:p w14:paraId="131CEF6A">
      <w:pPr>
        <w:spacing w:line="400" w:lineRule="exact"/>
        <w:ind w:firstLine="527" w:firstLineChars="250"/>
        <w:jc w:val="left"/>
        <w:rPr>
          <w:rFonts w:hint="eastAsia" w:ascii="宋体" w:hAnsi="宋体" w:cs="宋体"/>
          <w:b/>
          <w:bCs/>
          <w:color w:val="auto"/>
          <w:szCs w:val="21"/>
          <w:highlight w:val="none"/>
          <w:lang w:eastAsia="zh-CN"/>
        </w:rPr>
      </w:pPr>
      <w:r>
        <w:rPr>
          <w:rFonts w:hint="eastAsia" w:ascii="宋体" w:hAnsi="宋体" w:cs="宋体"/>
          <w:b/>
          <w:bCs/>
          <w:color w:val="auto"/>
          <w:szCs w:val="21"/>
          <w:highlight w:val="none"/>
        </w:rPr>
        <w:t>5.</w:t>
      </w:r>
      <w:bookmarkEnd w:id="31"/>
      <w:bookmarkStart w:id="32" w:name="_Toc35393627"/>
      <w:bookmarkStart w:id="33" w:name="_Toc35393796"/>
      <w:bookmarkStart w:id="34" w:name="_Toc28359008"/>
      <w:bookmarkStart w:id="35" w:name="_Toc28359085"/>
      <w:r>
        <w:rPr>
          <w:rFonts w:hint="eastAsia" w:ascii="宋体" w:hAnsi="宋体" w:cs="宋体"/>
          <w:b/>
          <w:bCs/>
          <w:color w:val="auto"/>
          <w:szCs w:val="21"/>
          <w:highlight w:val="none"/>
        </w:rPr>
        <w:t>本项目为远程异地评标，评标主场设在崇左市公共资源交易中心【</w:t>
      </w:r>
      <w:r>
        <w:rPr>
          <w:rFonts w:ascii="Arial" w:hAnsi="Arial" w:eastAsia="Arial" w:cs="Arial"/>
          <w:b/>
          <w:bCs/>
          <w:color w:val="auto"/>
          <w:szCs w:val="21"/>
          <w:highlight w:val="none"/>
          <w:shd w:val="clear" w:color="auto" w:fill="FFFFFF"/>
        </w:rPr>
        <w:t>崇左市新城区石景林路9号(崇左市政务服务中心综合楼</w:t>
      </w:r>
      <w:r>
        <w:rPr>
          <w:rFonts w:hint="eastAsia" w:ascii="Arial" w:hAnsi="Arial" w:cs="Arial"/>
          <w:b/>
          <w:bCs/>
          <w:color w:val="auto"/>
          <w:szCs w:val="21"/>
          <w:highlight w:val="none"/>
          <w:shd w:val="clear" w:color="auto" w:fill="FFFFFF"/>
        </w:rPr>
        <w:t>）</w:t>
      </w:r>
      <w:r>
        <w:rPr>
          <w:rFonts w:hint="eastAsia" w:ascii="宋体" w:hAnsi="宋体" w:cs="宋体"/>
          <w:b/>
          <w:bCs/>
          <w:color w:val="auto"/>
          <w:szCs w:val="21"/>
          <w:highlight w:val="none"/>
        </w:rPr>
        <w:t>】，分会场设在</w:t>
      </w:r>
      <w:r>
        <w:rPr>
          <w:rFonts w:hint="eastAsia" w:ascii="宋体" w:hAnsi="宋体" w:cs="宋体"/>
          <w:b/>
          <w:bCs/>
          <w:color w:val="auto"/>
          <w:szCs w:val="21"/>
          <w:highlight w:val="none"/>
          <w:u w:val="single"/>
          <w:lang w:val="en-US" w:eastAsia="zh-CN"/>
        </w:rPr>
        <w:t xml:space="preserve"> 百色市公共资源交易中心靖西分中心（靖西市幸福广场政务大楼六楼） </w:t>
      </w:r>
      <w:r>
        <w:rPr>
          <w:rFonts w:hint="eastAsia" w:ascii="宋体" w:hAnsi="宋体" w:cs="宋体"/>
          <w:b/>
          <w:bCs/>
          <w:color w:val="auto"/>
          <w:szCs w:val="21"/>
          <w:highlight w:val="none"/>
          <w:lang w:eastAsia="zh-CN"/>
        </w:rPr>
        <w:t>。</w:t>
      </w:r>
    </w:p>
    <w:p w14:paraId="3D586504">
      <w:pPr>
        <w:spacing w:line="400" w:lineRule="exact"/>
        <w:ind w:firstLine="420" w:firstLineChars="200"/>
        <w:jc w:val="left"/>
        <w:rPr>
          <w:color w:val="auto"/>
          <w:highlight w:val="none"/>
        </w:rPr>
      </w:pPr>
      <w:r>
        <w:rPr>
          <w:rFonts w:hint="eastAsia" w:ascii="宋体" w:hAnsi="宋体"/>
          <w:bCs/>
          <w:color w:val="auto"/>
          <w:szCs w:val="21"/>
          <w:highlight w:val="none"/>
          <w:lang w:val="en-US" w:eastAsia="zh-CN"/>
        </w:rPr>
        <w:t>6.</w:t>
      </w:r>
      <w:r>
        <w:rPr>
          <w:rFonts w:hint="eastAsia" w:ascii="微软雅黑" w:hAnsi="微软雅黑" w:eastAsia="微软雅黑" w:cs="Courier New"/>
          <w:b/>
          <w:bCs/>
          <w:color w:val="auto"/>
          <w:kern w:val="0"/>
          <w:szCs w:val="21"/>
          <w:highlight w:val="none"/>
          <w:lang w:val="en-US" w:eastAsia="zh-CN"/>
        </w:rPr>
        <w:t>投标人可任意选择一个或多个分标进行投标，但不得对每个分标内容进行拆分投标，投标人最多只能中1个分标，如某投标人已经获得1个分标的第一中标候选人资格，则下一分标继续参与评审，但不会被推荐为中标候选人，评审顺序按分标1→分标2→分标3进行。</w:t>
      </w:r>
    </w:p>
    <w:p w14:paraId="307E37CB">
      <w:pPr>
        <w:spacing w:line="400" w:lineRule="exact"/>
        <w:ind w:firstLine="525" w:firstLineChars="250"/>
        <w:jc w:val="left"/>
        <w:rPr>
          <w:rFonts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w:t>
      </w:r>
      <w:r>
        <w:rPr>
          <w:rFonts w:hint="eastAsia" w:ascii="宋体" w:hAnsi="宋体" w:cs="宋体"/>
          <w:color w:val="auto"/>
          <w:kern w:val="0"/>
          <w:szCs w:val="21"/>
          <w:highlight w:val="none"/>
        </w:rPr>
        <w:t>投标人</w:t>
      </w:r>
      <w:r>
        <w:rPr>
          <w:rFonts w:hint="eastAsia" w:ascii="宋体" w:hAnsi="宋体" w:cs="宋体"/>
          <w:color w:val="auto"/>
          <w:szCs w:val="21"/>
          <w:highlight w:val="none"/>
        </w:rPr>
        <w:t>投标注意事项</w:t>
      </w:r>
    </w:p>
    <w:p w14:paraId="7CA5BBB8">
      <w:pPr>
        <w:spacing w:line="400" w:lineRule="exact"/>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（1）本项目为全流程电子化采购项目，通过</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（https://www.gcy.zfcg.gxzf.gov.cn/）实行在线电子投标，投标人应先安装“</w:t>
      </w:r>
      <w:r>
        <w:rPr>
          <w:rFonts w:hint="eastAsia" w:ascii="宋体" w:hAnsi="宋体" w:cs="宋体"/>
          <w:color w:val="auto"/>
          <w:szCs w:val="21"/>
          <w:highlight w:val="none"/>
          <w:lang w:eastAsia="zh-CN"/>
        </w:rPr>
        <w:t>采购云电子投标客户端</w:t>
      </w:r>
      <w:r>
        <w:rPr>
          <w:rFonts w:hint="eastAsia" w:ascii="宋体" w:hAnsi="宋体" w:cs="宋体"/>
          <w:color w:val="auto"/>
          <w:szCs w:val="21"/>
          <w:highlight w:val="none"/>
        </w:rPr>
        <w:t>”（请自行前往</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进行下载），并按照本项目招标文件和</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的要求编制、加密后在投标截止时间前通过网络上传至</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w:t>
      </w:r>
      <w:r>
        <w:rPr>
          <w:rFonts w:hint="eastAsia" w:ascii="宋体" w:hAnsi="宋体" w:cs="宋体"/>
          <w:b/>
          <w:color w:val="auto"/>
          <w:szCs w:val="21"/>
          <w:highlight w:val="none"/>
        </w:rPr>
        <w:t>投标人在</w:t>
      </w:r>
      <w:r>
        <w:rPr>
          <w:rFonts w:hint="eastAsia" w:ascii="宋体" w:hAnsi="宋体" w:cs="宋体"/>
          <w:b/>
          <w:color w:val="auto"/>
          <w:szCs w:val="21"/>
          <w:highlight w:val="none"/>
          <w:lang w:eastAsia="zh-CN"/>
        </w:rPr>
        <w:t>广西政府采购云平台</w:t>
      </w:r>
      <w:r>
        <w:rPr>
          <w:rFonts w:hint="eastAsia" w:ascii="宋体" w:hAnsi="宋体" w:cs="宋体"/>
          <w:b/>
          <w:color w:val="auto"/>
          <w:szCs w:val="21"/>
          <w:highlight w:val="none"/>
        </w:rPr>
        <w:t>提交电子投标文件时，请填写参加远程开标活动经办人联系方式。</w:t>
      </w:r>
      <w:r>
        <w:rPr>
          <w:rFonts w:hint="eastAsia" w:ascii="宋体" w:hAnsi="宋体" w:cs="宋体"/>
          <w:color w:val="auto"/>
          <w:szCs w:val="21"/>
          <w:highlight w:val="none"/>
        </w:rPr>
        <w:t>投标人登录</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，依次进入“服务中心-项目采购-操作流程-电子招投标-</w:t>
      </w:r>
      <w:r>
        <w:rPr>
          <w:rFonts w:hint="eastAsia" w:ascii="宋体" w:hAnsi="宋体" w:cs="宋体"/>
          <w:color w:val="auto"/>
          <w:highlight w:val="none"/>
        </w:rPr>
        <w:t>政府采购项目电子交易管理操作指南-供应商</w:t>
      </w:r>
      <w:r>
        <w:rPr>
          <w:rFonts w:hint="eastAsia" w:ascii="宋体" w:hAnsi="宋体" w:cs="宋体"/>
          <w:color w:val="auto"/>
          <w:szCs w:val="21"/>
          <w:highlight w:val="none"/>
        </w:rPr>
        <w:t>”查看电子投标具体操作流程。</w:t>
      </w:r>
    </w:p>
    <w:p w14:paraId="342C3111">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陆</w:t>
      </w:r>
      <w:r>
        <w:rPr>
          <w:rFonts w:hint="eastAsia" w:ascii="宋体" w:hAnsi="宋体" w:cs="宋体"/>
          <w:color w:val="auto"/>
          <w:kern w:val="0"/>
          <w:szCs w:val="21"/>
          <w:highlight w:val="none"/>
          <w:lang w:eastAsia="zh-CN"/>
        </w:rPr>
        <w:t>广西政府采购云平台</w:t>
      </w:r>
      <w:r>
        <w:rPr>
          <w:rFonts w:hint="eastAsia" w:ascii="宋体" w:hAnsi="宋体" w:cs="宋体"/>
          <w:color w:val="auto"/>
          <w:kern w:val="0"/>
          <w:szCs w:val="21"/>
          <w:highlight w:val="none"/>
        </w:rPr>
        <w:t>，</w:t>
      </w:r>
      <w:r>
        <w:rPr>
          <w:rFonts w:hint="eastAsia" w:ascii="宋体" w:hAnsi="宋体" w:cs="宋体"/>
          <w:color w:val="auto"/>
          <w:szCs w:val="21"/>
          <w:highlight w:val="none"/>
        </w:rPr>
        <w:t>依次进入“服务中心-入驻与配置”中查看CA数字证书办理操作流程。</w:t>
      </w:r>
      <w:r>
        <w:rPr>
          <w:rFonts w:hint="eastAsia" w:ascii="宋体" w:hAnsi="宋体" w:cs="宋体"/>
          <w:bCs/>
          <w:color w:val="auto"/>
          <w:kern w:val="0"/>
          <w:szCs w:val="21"/>
          <w:highlight w:val="none"/>
        </w:rPr>
        <w:t>如在操作过程中遇到问题或者需要技术支持，请致电</w:t>
      </w:r>
      <w:r>
        <w:rPr>
          <w:rFonts w:hint="eastAsia" w:ascii="宋体" w:hAnsi="宋体" w:cs="宋体"/>
          <w:bCs/>
          <w:color w:val="auto"/>
          <w:kern w:val="0"/>
          <w:szCs w:val="21"/>
          <w:highlight w:val="none"/>
          <w:lang w:eastAsia="zh-CN"/>
        </w:rPr>
        <w:t>广西政府采购云平台</w:t>
      </w:r>
      <w:r>
        <w:rPr>
          <w:rFonts w:hint="eastAsia" w:ascii="宋体" w:hAnsi="宋体" w:cs="宋体"/>
          <w:bCs/>
          <w:color w:val="auto"/>
          <w:kern w:val="0"/>
          <w:szCs w:val="21"/>
          <w:highlight w:val="none"/>
        </w:rPr>
        <w:t>客服热线：95763</w:t>
      </w:r>
      <w:r>
        <w:rPr>
          <w:rFonts w:hint="eastAsia" w:ascii="宋体" w:hAnsi="宋体" w:cs="宋体"/>
          <w:color w:val="auto"/>
          <w:szCs w:val="21"/>
          <w:highlight w:val="none"/>
        </w:rPr>
        <w:t>）。</w:t>
      </w:r>
    </w:p>
    <w:p w14:paraId="72F1E3BE">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（3）CA证书在线解密：投标人投标时，需凭制作投标文件时用来加密的有效数字证书（CA认证）登录</w:t>
      </w:r>
      <w:r>
        <w:rPr>
          <w:rFonts w:hint="eastAsia" w:ascii="宋体" w:hAnsi="宋体" w:cs="宋体"/>
          <w:color w:val="auto"/>
          <w:kern w:val="0"/>
          <w:szCs w:val="21"/>
          <w:highlight w:val="none"/>
          <w:lang w:eastAsia="zh-CN"/>
        </w:rPr>
        <w:t>广西政府采购云平台</w:t>
      </w:r>
      <w:r>
        <w:rPr>
          <w:rFonts w:hint="eastAsia" w:ascii="宋体" w:hAnsi="宋体" w:cs="宋体"/>
          <w:color w:val="auto"/>
          <w:kern w:val="0"/>
          <w:szCs w:val="21"/>
          <w:highlight w:val="none"/>
        </w:rPr>
        <w:t>电子开标大厅现场按规定时间对加密的投标文件进行解密，否则后果自负。</w:t>
      </w:r>
    </w:p>
    <w:p w14:paraId="02B7759B">
      <w:pPr>
        <w:spacing w:line="400" w:lineRule="exact"/>
        <w:ind w:firstLine="420" w:firstLineChars="200"/>
        <w:jc w:val="left"/>
        <w:rPr>
          <w:rFonts w:ascii="宋体" w:hAnsi="宋体" w:cs="宋体"/>
          <w:bCs/>
          <w:color w:val="auto"/>
          <w:szCs w:val="21"/>
          <w:highlight w:val="none"/>
        </w:rPr>
      </w:pPr>
      <w:r>
        <w:rPr>
          <w:rFonts w:hint="eastAsia" w:ascii="宋体" w:hAnsi="宋体" w:cs="宋体"/>
          <w:color w:val="auto"/>
          <w:szCs w:val="21"/>
          <w:highlight w:val="none"/>
        </w:rPr>
        <w:t>注：1）为确保网上操作合法、有效和安全，请投标人确保在电子投标过程中能够对相关数据电文进行加密和使用电子签章，妥善保管CA数字证书并使用有效的CA数字证书参与整个招标活动。2）</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cs="宋体"/>
          <w:bCs/>
          <w:color w:val="auto"/>
          <w:szCs w:val="21"/>
          <w:highlight w:val="none"/>
          <w:lang w:eastAsia="zh-CN"/>
        </w:rPr>
        <w:t>广西政府采购云平台</w:t>
      </w:r>
      <w:r>
        <w:rPr>
          <w:rFonts w:hint="eastAsia" w:ascii="宋体" w:hAnsi="宋体" w:cs="宋体"/>
          <w:bCs/>
          <w:color w:val="auto"/>
          <w:szCs w:val="21"/>
          <w:highlight w:val="none"/>
        </w:rPr>
        <w:t>将予以拒收。</w:t>
      </w:r>
    </w:p>
    <w:p w14:paraId="0392F91B">
      <w:pPr>
        <w:spacing w:line="40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.根据《崇左市财政局关于进一步做好线上“政采贷 ”融资业务工作的通知》（崇财采〔2023〕10 号）， 供应商可凭成交通知书、政府采购合同，通过中征应收账款融资服务平台向银行在线申请“政采贷 ”融资。</w:t>
      </w:r>
    </w:p>
    <w:p w14:paraId="40400DA1">
      <w:pPr>
        <w:spacing w:line="40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（具体详见采购文件中关于“政采贷 ”相关信息）。</w:t>
      </w:r>
    </w:p>
    <w:p w14:paraId="728B8C01">
      <w:pPr>
        <w:spacing w:line="36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七、对本次招标提出询问，请按以下方式联系。</w:t>
      </w:r>
      <w:bookmarkEnd w:id="32"/>
      <w:bookmarkEnd w:id="33"/>
      <w:bookmarkEnd w:id="34"/>
      <w:bookmarkEnd w:id="35"/>
    </w:p>
    <w:p w14:paraId="537E6510">
      <w:pPr>
        <w:spacing w:line="400" w:lineRule="exact"/>
        <w:ind w:firstLine="420" w:firstLineChars="200"/>
        <w:jc w:val="left"/>
        <w:rPr>
          <w:rFonts w:ascii="宋体" w:hAnsi="宋体" w:cs="宋体"/>
          <w:color w:val="auto"/>
          <w:szCs w:val="21"/>
          <w:highlight w:val="none"/>
        </w:rPr>
      </w:pPr>
      <w:bookmarkStart w:id="36" w:name="_Toc28359086"/>
      <w:bookmarkStart w:id="37" w:name="_Toc28359009"/>
      <w:r>
        <w:rPr>
          <w:rFonts w:hint="eastAsia" w:ascii="宋体" w:hAnsi="宋体" w:cs="宋体"/>
          <w:color w:val="auto"/>
          <w:szCs w:val="21"/>
          <w:highlight w:val="none"/>
        </w:rPr>
        <w:t>1.采购人信息</w:t>
      </w:r>
    </w:p>
    <w:p w14:paraId="751437A6">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名称：大新县教育局</w:t>
      </w:r>
    </w:p>
    <w:p w14:paraId="184F07F7">
      <w:pPr>
        <w:spacing w:line="400" w:lineRule="exact"/>
        <w:ind w:firstLine="420" w:firstLineChars="200"/>
        <w:textAlignment w:val="baseline"/>
        <w:rPr>
          <w:rFonts w:ascii="宋体" w:hAnsi="宋体" w:cs="宋体"/>
          <w:color w:val="auto"/>
          <w:szCs w:val="21"/>
          <w:highlight w:val="none"/>
        </w:rPr>
      </w:pPr>
      <w:r>
        <w:rPr>
          <w:rFonts w:hint="eastAsia" w:ascii="宋体" w:hAnsi="宋体" w:cs="宋体"/>
          <w:color w:val="auto"/>
          <w:szCs w:val="21"/>
          <w:highlight w:val="none"/>
        </w:rPr>
        <w:t>联系人：谢志松；联系电话：0771-3627826</w:t>
      </w:r>
    </w:p>
    <w:p w14:paraId="2AF8FBE6">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iCs/>
          <w:color w:val="auto"/>
          <w:szCs w:val="21"/>
          <w:highlight w:val="none"/>
        </w:rPr>
        <w:t>崇左市</w:t>
      </w:r>
      <w:r>
        <w:rPr>
          <w:rFonts w:hint="eastAsia" w:ascii="宋体" w:hAnsi="宋体" w:cs="宋体"/>
          <w:color w:val="auto"/>
          <w:szCs w:val="21"/>
          <w:highlight w:val="none"/>
        </w:rPr>
        <w:t>大新县养利路141号</w:t>
      </w:r>
    </w:p>
    <w:p w14:paraId="15BE9F90">
      <w:pPr>
        <w:spacing w:line="440" w:lineRule="exact"/>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2.采购代理机构信息</w:t>
      </w:r>
    </w:p>
    <w:p w14:paraId="63E3F539">
      <w:pPr>
        <w:spacing w:line="44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名 称：广西龙建工程管理有限公司</w:t>
      </w:r>
    </w:p>
    <w:p w14:paraId="4825A2DB">
      <w:pPr>
        <w:spacing w:line="44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iCs/>
          <w:color w:val="auto"/>
          <w:szCs w:val="21"/>
          <w:highlight w:val="none"/>
        </w:rPr>
        <w:t>广西龙建工程管理有限公司崇左分公司（崇左市花山路嘉苑小区</w:t>
      </w:r>
      <w:r>
        <w:rPr>
          <w:rFonts w:hint="eastAsia" w:ascii="宋体" w:hAnsi="宋体" w:cs="宋体"/>
          <w:iCs/>
          <w:color w:val="auto"/>
          <w:szCs w:val="21"/>
          <w:highlight w:val="none"/>
          <w:lang w:val="en-US" w:eastAsia="zh-CN"/>
        </w:rPr>
        <w:t>S组团S-19号2楼</w:t>
      </w:r>
      <w:r>
        <w:rPr>
          <w:rFonts w:hint="eastAsia" w:ascii="宋体" w:hAnsi="宋体" w:cs="宋体"/>
          <w:iCs/>
          <w:color w:val="auto"/>
          <w:szCs w:val="21"/>
          <w:highlight w:val="none"/>
        </w:rPr>
        <w:t>）</w:t>
      </w:r>
    </w:p>
    <w:p w14:paraId="65B0F856">
      <w:pPr>
        <w:spacing w:line="44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联系方式：</w:t>
      </w:r>
      <w:bookmarkStart w:id="38" w:name="_Toc28359087"/>
      <w:bookmarkStart w:id="39" w:name="_Toc28359010"/>
      <w:r>
        <w:rPr>
          <w:rFonts w:hint="eastAsia" w:ascii="宋体" w:hAnsi="宋体" w:cs="宋体"/>
          <w:color w:val="auto"/>
          <w:szCs w:val="21"/>
          <w:highlight w:val="none"/>
        </w:rPr>
        <w:t>0771-7822168</w:t>
      </w:r>
    </w:p>
    <w:p w14:paraId="096B195C">
      <w:pPr>
        <w:spacing w:line="44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3.项目联系方式</w:t>
      </w:r>
      <w:bookmarkEnd w:id="38"/>
      <w:bookmarkEnd w:id="39"/>
    </w:p>
    <w:p w14:paraId="0EE7DCF5">
      <w:pPr>
        <w:pStyle w:val="27"/>
        <w:spacing w:line="440" w:lineRule="exact"/>
        <w:ind w:firstLine="424" w:firstLineChars="202"/>
        <w:rPr>
          <w:rFonts w:hAnsi="宋体" w:cs="宋体"/>
          <w:color w:val="auto"/>
          <w:sz w:val="21"/>
          <w:highlight w:val="none"/>
        </w:rPr>
      </w:pPr>
      <w:r>
        <w:rPr>
          <w:rFonts w:hint="eastAsia" w:hAnsi="宋体" w:cs="宋体"/>
          <w:color w:val="auto"/>
          <w:sz w:val="21"/>
          <w:highlight w:val="none"/>
        </w:rPr>
        <w:t>项目联系人：龙富</w:t>
      </w:r>
    </w:p>
    <w:p w14:paraId="1A0EBF08">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电　话：0771-7822168</w:t>
      </w:r>
    </w:p>
    <w:p w14:paraId="34800919">
      <w:pPr>
        <w:spacing w:line="400" w:lineRule="exact"/>
        <w:ind w:firstLine="420" w:firstLineChars="200"/>
        <w:jc w:val="left"/>
        <w:rPr>
          <w:rFonts w:ascii="宋体" w:hAnsi="宋体" w:cs="宋体"/>
          <w:color w:val="auto"/>
          <w:szCs w:val="21"/>
          <w:highlight w:val="none"/>
          <w:u w:val="single"/>
        </w:rPr>
      </w:pPr>
    </w:p>
    <w:bookmarkEnd w:id="36"/>
    <w:bookmarkEnd w:id="37"/>
    <w:p w14:paraId="5D86E88B">
      <w:pPr>
        <w:pStyle w:val="2"/>
        <w:spacing w:line="560" w:lineRule="exact"/>
        <w:ind w:firstLine="1104"/>
        <w:jc w:val="center"/>
        <w:rPr>
          <w:rFonts w:ascii="宋体" w:hAnsi="宋体" w:cs="宋体"/>
          <w:color w:val="auto"/>
          <w:highlight w:val="none"/>
        </w:rPr>
      </w:pPr>
      <w:r>
        <w:rPr>
          <w:rFonts w:hint="eastAsia" w:ascii="宋体" w:hAnsi="宋体" w:cs="宋体"/>
          <w:color w:val="auto"/>
          <w:highlight w:val="none"/>
        </w:rPr>
        <w:br w:type="page"/>
      </w:r>
      <w:bookmarkStart w:id="40" w:name="_Toc20883"/>
      <w:r>
        <w:rPr>
          <w:rFonts w:hint="eastAsia" w:ascii="宋体" w:hAnsi="宋体" w:cs="宋体"/>
          <w:color w:val="auto"/>
          <w:highlight w:val="none"/>
        </w:rPr>
        <w:t>第二章 采购需求</w:t>
      </w:r>
      <w:bookmarkEnd w:id="40"/>
    </w:p>
    <w:p w14:paraId="3C840F6F">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说明：</w:t>
      </w:r>
    </w:p>
    <w:p w14:paraId="65F665E6">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 为落实政府采购政策需满足的要求</w:t>
      </w:r>
    </w:p>
    <w:p w14:paraId="501E1E97">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（1）本招标文件所称中小企业必须符合《政府采购促进中小企业发展管理办法》（财库〔2020〕46号）的规定。</w:t>
      </w:r>
    </w:p>
    <w:p w14:paraId="501DB469">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公章），</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。如本项目包含的货物属于品目清单内非标注“★”的产品时，应优先采购，具体详见“第四章 评标方法及评标标准”。</w:t>
      </w:r>
    </w:p>
    <w:p w14:paraId="5FC748D2">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b/>
          <w:color w:val="auto"/>
          <w:szCs w:val="21"/>
          <w:highlight w:val="none"/>
        </w:rPr>
        <w:t>根据《关于信息安全产品实施政府采购的通知》（财库〔2010〕48号）的规定，本项目采购范围包含信息安全产品的（信息安全产品包括：防火墙、网络安全隔离卡与线路选择器、安全隔离与信息交换产品、安全路由器、智能卡COS、数据备份与恢复产品、安全操作系统、安全数据库系统、反垃圾邮件产品、入侵检测系统（IDS）、网络脆弱扫描产品、安全审计产品、网站恢复产品），投标人必须在投标文件中提供中国网络安全审查技术与认证中心（原中国信息安全认证中心）授予的有效的信息安全产品认证证书（加盖投标人公章），否则按无效投标处理。</w:t>
      </w:r>
    </w:p>
    <w:p w14:paraId="495D5DAF">
      <w:pPr>
        <w:spacing w:line="360" w:lineRule="auto"/>
        <w:ind w:firstLine="424" w:firstLineChars="202"/>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2.“实质性要求”是指招标文件中已经指明不满足则投标无效的条款，或者不能负偏离的条款，或者采购需求中带“</w:t>
      </w:r>
      <w:r>
        <w:rPr>
          <w:rFonts w:hint="eastAsia" w:ascii="宋体" w:hAnsi="宋体" w:cs="宋体"/>
          <w:color w:val="auto"/>
          <w:kern w:val="0"/>
          <w:sz w:val="20"/>
          <w:szCs w:val="20"/>
          <w:highlight w:val="none"/>
        </w:rPr>
        <w:t>▲</w:t>
      </w:r>
      <w:r>
        <w:rPr>
          <w:rFonts w:hint="eastAsia" w:ascii="宋体" w:hAnsi="宋体" w:cs="宋体"/>
          <w:color w:val="auto"/>
          <w:szCs w:val="21"/>
          <w:highlight w:val="none"/>
        </w:rPr>
        <w:t>”的条款</w:t>
      </w:r>
      <w:r>
        <w:rPr>
          <w:rFonts w:hint="eastAsia" w:ascii="宋体" w:hAnsi="宋体" w:cs="宋体"/>
          <w:color w:val="auto"/>
          <w:szCs w:val="21"/>
          <w:highlight w:val="none"/>
          <w:lang w:eastAsia="zh-CN"/>
        </w:rPr>
        <w:t>，</w:t>
      </w:r>
      <w:r>
        <w:rPr>
          <w:rFonts w:hint="eastAsia" w:ascii="宋体" w:hAnsi="宋体" w:cs="宋体"/>
          <w:color w:val="auto"/>
          <w:szCs w:val="21"/>
          <w:highlight w:val="none"/>
        </w:rPr>
        <w:t>不满足则投标无效</w:t>
      </w:r>
      <w:r>
        <w:rPr>
          <w:rFonts w:hint="eastAsia"/>
          <w:color w:val="auto"/>
          <w:highlight w:val="none"/>
          <w:lang w:eastAsia="zh-CN"/>
        </w:rPr>
        <w:t>，</w:t>
      </w:r>
      <w:r>
        <w:rPr>
          <w:rFonts w:hint="eastAsia" w:ascii="宋体" w:hAnsi="宋体" w:cs="宋体"/>
          <w:color w:val="auto"/>
          <w:szCs w:val="21"/>
          <w:highlight w:val="none"/>
        </w:rPr>
        <w:t>采购需求中带“★”的条款</w:t>
      </w:r>
      <w:r>
        <w:rPr>
          <w:rFonts w:hint="eastAsia" w:ascii="宋体" w:hAnsi="宋体" w:cs="宋体"/>
          <w:color w:val="auto"/>
          <w:szCs w:val="21"/>
          <w:highlight w:val="none"/>
          <w:lang w:eastAsia="zh-CN"/>
        </w:rPr>
        <w:t>作为评分项。</w:t>
      </w:r>
    </w:p>
    <w:p w14:paraId="234BFE01">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3.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6EDB842D">
      <w:pPr>
        <w:spacing w:line="360" w:lineRule="auto"/>
        <w:ind w:firstLine="424" w:firstLineChars="202"/>
        <w:jc w:val="left"/>
        <w:rPr>
          <w:rStyle w:val="60"/>
          <w:rFonts w:ascii="宋体" w:hAnsi="宋体" w:cs="宋体"/>
          <w:color w:val="auto"/>
          <w:highlight w:val="none"/>
        </w:rPr>
      </w:pPr>
      <w:r>
        <w:rPr>
          <w:rFonts w:hint="eastAsia" w:ascii="宋体" w:hAnsi="宋体" w:cs="宋体"/>
          <w:color w:val="auto"/>
          <w:szCs w:val="21"/>
          <w:highlight w:val="none"/>
        </w:rPr>
        <w:t>4.投标人应根据自身实际情况如实响应招标文件。对于重要技术条款或技术参数应当在投标文件中提供技术支持资料，技术支持资料以招标文件中规定的形式为准，</w:t>
      </w:r>
      <w:r>
        <w:rPr>
          <w:rFonts w:hint="eastAsia" w:ascii="宋体" w:hAnsi="宋体" w:cs="宋体"/>
          <w:b/>
          <w:bCs/>
          <w:color w:val="auto"/>
          <w:szCs w:val="21"/>
          <w:highlight w:val="none"/>
        </w:rPr>
        <w:t>否则将视为无效技术支持资料</w:t>
      </w:r>
      <w:r>
        <w:rPr>
          <w:rFonts w:hint="eastAsia" w:ascii="宋体" w:hAnsi="宋体" w:cs="宋体"/>
          <w:color w:val="auto"/>
          <w:szCs w:val="21"/>
          <w:highlight w:val="none"/>
        </w:rPr>
        <w:t>。</w:t>
      </w:r>
    </w:p>
    <w:p w14:paraId="36304976">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5.投标人必须自行为其投标产品侵犯他人的知识产权或者专利成果的行为承担相应法律责任。</w:t>
      </w:r>
    </w:p>
    <w:p w14:paraId="31B5AE52">
      <w:pPr>
        <w:spacing w:line="340" w:lineRule="exact"/>
        <w:ind w:firstLine="426" w:firstLineChars="202"/>
        <w:jc w:val="left"/>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6.</w:t>
      </w:r>
      <w:r>
        <w:rPr>
          <w:rFonts w:hint="eastAsia" w:ascii="宋体" w:hAnsi="宋体" w:cs="宋体"/>
          <w:color w:val="auto"/>
          <w:szCs w:val="21"/>
          <w:highlight w:val="none"/>
        </w:rPr>
        <w:t>中小企业划分标准所属行业为：</w:t>
      </w:r>
      <w:r>
        <w:rPr>
          <w:rFonts w:hint="eastAsia" w:ascii="宋体" w:hAnsi="宋体" w:cs="宋体"/>
          <w:b/>
          <w:bCs/>
          <w:color w:val="auto"/>
          <w:szCs w:val="21"/>
          <w:highlight w:val="none"/>
          <w:lang w:val="en-US" w:eastAsia="zh-CN"/>
        </w:rPr>
        <w:t>分标1工业</w:t>
      </w:r>
      <w:r>
        <w:rPr>
          <w:rFonts w:hint="eastAsia" w:ascii="宋体" w:hAnsi="宋体" w:cs="宋体"/>
          <w:color w:val="auto"/>
          <w:szCs w:val="21"/>
          <w:highlight w:val="none"/>
          <w:lang w:eastAsia="zh-CN"/>
        </w:rPr>
        <w:t>；</w:t>
      </w:r>
      <w:r>
        <w:rPr>
          <w:rFonts w:hint="eastAsia" w:ascii="宋体" w:hAnsi="宋体" w:cs="宋体"/>
          <w:b/>
          <w:bCs/>
          <w:color w:val="auto"/>
          <w:szCs w:val="21"/>
          <w:highlight w:val="none"/>
          <w:lang w:val="en-US" w:eastAsia="zh-CN"/>
        </w:rPr>
        <w:t>分标2工业；分标3工业；</w:t>
      </w:r>
      <w:r>
        <w:rPr>
          <w:rFonts w:hint="eastAsia" w:ascii="宋体" w:hAnsi="宋体" w:cs="宋体"/>
          <w:color w:val="auto"/>
          <w:szCs w:val="21"/>
          <w:highlight w:val="none"/>
        </w:rPr>
        <w:t>（行业名称及划分见本章附件</w:t>
      </w:r>
      <w:r>
        <w:rPr>
          <w:rFonts w:hint="eastAsia" w:ascii="宋体" w:hAnsi="宋体" w:cs="宋体"/>
          <w:b/>
          <w:bCs/>
          <w:color w:val="auto"/>
          <w:szCs w:val="21"/>
          <w:highlight w:val="none"/>
        </w:rPr>
        <w:t>）</w:t>
      </w:r>
    </w:p>
    <w:p w14:paraId="7BC66CA4">
      <w:pPr>
        <w:pStyle w:val="41"/>
        <w:rPr>
          <w:color w:val="auto"/>
          <w:highlight w:val="none"/>
        </w:rPr>
      </w:pPr>
    </w:p>
    <w:p w14:paraId="2567E8D0">
      <w:pPr>
        <w:pStyle w:val="41"/>
        <w:ind w:left="840" w:hanging="420"/>
        <w:rPr>
          <w:color w:val="auto"/>
          <w:highlight w:val="none"/>
        </w:rPr>
      </w:pPr>
    </w:p>
    <w:p w14:paraId="76A0BA2E">
      <w:pPr>
        <w:jc w:val="center"/>
        <w:rPr>
          <w:rFonts w:hint="eastAsia" w:eastAsia="宋体"/>
          <w:color w:val="auto"/>
          <w:sz w:val="32"/>
          <w:szCs w:val="32"/>
          <w:highlight w:val="none"/>
          <w:lang w:eastAsia="zh-CN"/>
        </w:rPr>
      </w:pPr>
      <w:r>
        <w:rPr>
          <w:rFonts w:hint="eastAsia" w:ascii="宋体" w:hAnsi="宋体" w:cs="宋体"/>
          <w:color w:val="auto"/>
          <w:sz w:val="32"/>
          <w:szCs w:val="32"/>
          <w:highlight w:val="none"/>
        </w:rPr>
        <w:t>采购需求</w:t>
      </w:r>
      <w:r>
        <w:rPr>
          <w:rFonts w:hint="eastAsia" w:ascii="宋体" w:hAnsi="宋体" w:cs="宋体"/>
          <w:color w:val="auto"/>
          <w:sz w:val="32"/>
          <w:szCs w:val="32"/>
          <w:highlight w:val="none"/>
          <w:lang w:eastAsia="zh-CN"/>
        </w:rPr>
        <w:t>表</w:t>
      </w:r>
    </w:p>
    <w:p w14:paraId="3C27BD3A">
      <w:pPr>
        <w:pStyle w:val="19"/>
        <w:ind w:firstLine="600"/>
        <w:rPr>
          <w:rFonts w:ascii="宋体" w:hAnsi="宋体" w:cs="宋体"/>
          <w:color w:val="auto"/>
          <w:highlight w:val="none"/>
          <w:lang w:val="en-US"/>
        </w:rPr>
      </w:pPr>
    </w:p>
    <w:p w14:paraId="74AFF3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b/>
          <w:bCs/>
          <w:color w:val="auto"/>
          <w:sz w:val="24"/>
          <w:szCs w:val="24"/>
          <w:highlight w:val="none"/>
          <w:lang w:val="en-US" w:eastAsia="zh-CN"/>
        </w:rPr>
      </w:pPr>
      <w:r>
        <w:rPr>
          <w:rFonts w:hint="eastAsia"/>
          <w:b/>
          <w:bCs/>
          <w:color w:val="auto"/>
          <w:sz w:val="24"/>
          <w:szCs w:val="24"/>
          <w:highlight w:val="none"/>
          <w:lang w:eastAsia="zh-CN"/>
        </w:rPr>
        <w:t>分标</w:t>
      </w:r>
      <w:r>
        <w:rPr>
          <w:rFonts w:hint="eastAsia"/>
          <w:b/>
          <w:bCs/>
          <w:color w:val="auto"/>
          <w:sz w:val="24"/>
          <w:szCs w:val="24"/>
          <w:highlight w:val="none"/>
          <w:lang w:val="en-US" w:eastAsia="zh-CN"/>
        </w:rPr>
        <w:t>1：高中理化生实验室成套设备采购项目</w:t>
      </w:r>
    </w:p>
    <w:p w14:paraId="7EA3D5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b/>
          <w:bCs/>
          <w:color w:val="auto"/>
          <w:sz w:val="24"/>
          <w:szCs w:val="24"/>
          <w:highlight w:val="none"/>
          <w:lang w:val="en-US" w:eastAsia="zh-CN"/>
        </w:rPr>
      </w:pPr>
      <w:r>
        <w:rPr>
          <w:rFonts w:hint="default"/>
          <w:b/>
          <w:bCs/>
          <w:color w:val="auto"/>
          <w:sz w:val="24"/>
          <w:szCs w:val="24"/>
          <w:highlight w:val="none"/>
          <w:lang w:val="en-US" w:eastAsia="zh-CN"/>
        </w:rPr>
        <w:t>预算</w:t>
      </w:r>
      <w:r>
        <w:rPr>
          <w:rFonts w:hint="eastAsia"/>
          <w:b/>
          <w:bCs/>
          <w:color w:val="auto"/>
          <w:sz w:val="24"/>
          <w:szCs w:val="24"/>
          <w:highlight w:val="none"/>
          <w:lang w:val="en-US" w:eastAsia="zh-CN"/>
        </w:rPr>
        <w:t>金额</w:t>
      </w:r>
      <w:r>
        <w:rPr>
          <w:rFonts w:hint="default"/>
          <w:b/>
          <w:bCs/>
          <w:color w:val="auto"/>
          <w:sz w:val="24"/>
          <w:szCs w:val="24"/>
          <w:highlight w:val="none"/>
          <w:lang w:val="en-US" w:eastAsia="zh-CN"/>
        </w:rPr>
        <w:t>：人民币（大写）：壹佰伍拾万元整（小写¥1500000.00元）</w:t>
      </w:r>
    </w:p>
    <w:tbl>
      <w:tblPr>
        <w:tblStyle w:val="51"/>
        <w:tblW w:w="951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5"/>
        <w:gridCol w:w="997"/>
        <w:gridCol w:w="5772"/>
        <w:gridCol w:w="693"/>
        <w:gridCol w:w="711"/>
        <w:gridCol w:w="694"/>
      </w:tblGrid>
      <w:tr w14:paraId="47181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2298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FD26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名称</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7C8E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技术参数</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B125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数量</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0842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AB6E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备注</w:t>
            </w:r>
          </w:p>
        </w:tc>
      </w:tr>
      <w:tr w14:paraId="267DF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9512" w:type="dxa"/>
            <w:gridSpan w:val="6"/>
            <w:tcBorders>
              <w:top w:val="single" w:color="000000" w:sz="4" w:space="0"/>
              <w:left w:val="single" w:color="000000" w:sz="4" w:space="0"/>
              <w:bottom w:val="single" w:color="000000" w:sz="4" w:space="0"/>
              <w:right w:val="single" w:color="auto" w:sz="4" w:space="0"/>
            </w:tcBorders>
            <w:shd w:val="clear" w:color="auto" w:fill="auto"/>
            <w:vAlign w:val="center"/>
          </w:tcPr>
          <w:p w14:paraId="557EEDF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一、化学万向通风实验室（60座）</w:t>
            </w:r>
          </w:p>
        </w:tc>
      </w:tr>
      <w:tr w14:paraId="1A1D0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9512" w:type="dxa"/>
            <w:gridSpan w:val="6"/>
            <w:tcBorders>
              <w:top w:val="single" w:color="000000" w:sz="4" w:space="0"/>
              <w:left w:val="single" w:color="000000" w:sz="4" w:space="0"/>
              <w:bottom w:val="single" w:color="000000" w:sz="4" w:space="0"/>
              <w:right w:val="single" w:color="auto" w:sz="4" w:space="0"/>
            </w:tcBorders>
            <w:shd w:val="clear" w:color="auto" w:fill="auto"/>
            <w:noWrap/>
            <w:vAlign w:val="center"/>
          </w:tcPr>
          <w:p w14:paraId="3A2ABAC2">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教师控制演示区</w:t>
            </w:r>
          </w:p>
        </w:tc>
      </w:tr>
      <w:tr w14:paraId="317A6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B800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4F62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实验桌（教师演示台）</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A2C06">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1、规格：≥2400×700×850mm</w:t>
            </w:r>
          </w:p>
          <w:p w14:paraId="6E835115">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▲2、台面：采用25mm厚金属树脂高能理化板，且符合如下参数要求：</w:t>
            </w:r>
          </w:p>
          <w:p w14:paraId="04AA86F7">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▲2-1、化学性能检测：台面依据GB/T 17657-2022 《人造板及饰面人造板理化性能试验方法》标准，耐污染性能不少于130项试验污染物的检测，且包含：65%硝酸、98%硫酸、85%磷酸、柠檬酸、红药水、亚铁氰化钾、酱油、对二甲苯、乙酸甲酯等试剂，覆盖玻璃盖板和未覆盖玻璃盖板检验结果均为5级：无明显变化。</w:t>
            </w:r>
          </w:p>
          <w:p w14:paraId="0019BBF0">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▲2-2、物理性能检测：台面依据GB/T 17657-2022 《人造板及饰面人造板理化性能试验方法》标准，满足：弹性模量≥9700MPa； 含水率：≤0.9%；尺寸稳定性：横向≤0.11%、纵向≤0.08%；表面耐磨性能：≥1200r,未出现磨损点;表面耐湿热性能：五级：无明显变化；浸渍剥离性能：贴面层与基材之间的胶层无剥离和分层现象；耐光色牢度性能:&gt;4级;漆膜附着力：六级：切割边缘完全平滑，网格内无脱落等不低于16项检测。</w:t>
            </w:r>
          </w:p>
          <w:p w14:paraId="09C9837A">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▲2-3、环保性能检测：参照GB 18584-2024《家具中有害物质限量》标准，可迁移有害元素:铅(Pb)、镉（Cd）、铬（Cr）、汞（Hg）均未检出。</w:t>
            </w:r>
          </w:p>
          <w:p w14:paraId="6ED78502">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-4、抗菌性能检测：台面依据JC/T2039-2010标准，满足：大肠杆菌、金黄色葡萄球菌、肺炎克雷伯氏菌、鼠伤寒沙门氏菌、表皮葡萄球菌、铜绿假单胞菌、宋氏志贺氏菌、白色葡萄球菌、粪肠球菌；耐甲氧西林金黄色葡萄球菌、单核细胞增生李斯特氏菌、变异库克菌、溶血性链球菌等不少于 13 种的菌种检测，且抗菌率≥95%。</w:t>
            </w:r>
          </w:p>
          <w:p w14:paraId="58204C7A">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▲2-5、防霉性能检测：台面依据JC/T2039-2010标准，满足：黑曲霉、土曲霉、球毛壳霉、宛氏拟青霉、绳状青霉、出芽短梗霉等不少于10种的霉菌检测，且防霉等级为0级。</w:t>
            </w:r>
          </w:p>
          <w:p w14:paraId="5EFA910C">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▲2-6、燃烧性能检测：台面依据GB/T 2408-2021《塑料 燃烧性能的测定 水平法和垂直法》标准，满足：水平燃烧符合HB级；垂直燃烧符合V-0级；台面参照GB8624-2012《建筑材料及制品燃烧性能分级》标准，满足：燃烧性能等级B1级；产烟特性等级S1级；燃烧滴落物/微粒等级d0级。</w:t>
            </w:r>
          </w:p>
          <w:p w14:paraId="03D03991">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▲2-7、抗老化性检测：台面依据GB/T24508-2020标准：48小时无开裂、无鼓泡、无粉化。</w:t>
            </w:r>
          </w:p>
          <w:p w14:paraId="50CE5DDF">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color w:val="auto"/>
                <w:highlight w:val="none"/>
                <w:lang w:eastAsia="zh-CN"/>
              </w:rPr>
              <w:t>（</w:t>
            </w:r>
            <w:r>
              <w:rPr>
                <w:rFonts w:hint="default" w:eastAsia="宋体" w:cs="宋体"/>
                <w:b w:val="0"/>
                <w:bCs/>
                <w:color w:val="auto"/>
                <w:kern w:val="0"/>
                <w:sz w:val="21"/>
                <w:szCs w:val="21"/>
                <w:highlight w:val="none"/>
                <w:lang w:val="en-US" w:eastAsia="zh-CN"/>
              </w:rPr>
              <w:t>投标时须提供国家认可的第三方检测机构出具的检测报告复印件</w:t>
            </w:r>
            <w:r>
              <w:rPr>
                <w:rFonts w:hint="eastAsia"/>
                <w:color w:val="auto"/>
                <w:highlight w:val="none"/>
                <w:lang w:eastAsia="zh-CN"/>
              </w:rPr>
              <w:t>）</w:t>
            </w:r>
          </w:p>
          <w:p w14:paraId="76FD56F5">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3、结构：全钢独立柜体结构，无需安装；演示台设有储物柜，中间为演示台，设置电源主控系统、多媒体设备（主机、显示器、中控、功放、交换机）的位置预留。</w:t>
            </w:r>
          </w:p>
          <w:p w14:paraId="792EE10A">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4、柜身主体背板、吊板及所有板材均采用采用1.0优质一级冷轧钢板（SPCCT）经CNC机压成型，满焊无缝焊接工艺，表面经磷化、环氧树脂静电粉末涂装处理。</w:t>
            </w:r>
          </w:p>
          <w:p w14:paraId="01ED2361">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5、柜门：双包结构，柜门内部填充蜂窝隔音棉。</w:t>
            </w:r>
          </w:p>
          <w:p w14:paraId="17045EA5">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6、门铰：采用锌合金铰链。自闭式，与柜体面水平角度&lt;15度时，柜门即可自行关闭，使用过程中无噪音，可开关十万次。</w:t>
            </w:r>
          </w:p>
          <w:p w14:paraId="2824C39B">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7、滑轨：三节静音滑轨滑轨，承重性强、滑动性能良好、无噪音开合十万次不变形。</w:t>
            </w:r>
          </w:p>
          <w:p w14:paraId="251ACB04">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8、拉手：一字内隐藏拉手，与门板抽屉连为一体，造型独特美观。</w:t>
            </w:r>
          </w:p>
          <w:p w14:paraId="019CC0BC">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9、脚垫：ABS注塑专用垫，具有高度可调、耐磨、防潮、耐腐蚀等特点。</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E05A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DB6E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9701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545C6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F596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1673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教师椅</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24784">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1、规格：≥550×500×1070mm；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2、采用PU皮面，海绵坐垫；</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3、黑色PP加玻纤内外塑框；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4、一体成型PP固定扶手；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5、中靠背46-49cm，人体工程学设计；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6、≥1.0mm厚气杆；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7、PP加纤五星塑脚；</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8、φ50mm（偏差±5%）黑边尼龙万向轮。</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F80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D2D7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592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56AC3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2C2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42E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教师电源</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E3AB7">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规格：≥310mm×350mm；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1、功能设置：包含电源总开关、220V插座电源、分组电源开关；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2、电源总开关：能够一键开启与关闭整个电源，具有漏电保护功能；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3、插座电源：内含不少于4路220V电源插座输出，额定电流≥5A，具有过流短路保护功能；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4、分组开关：支持对学生端220V插座电源进行分组控制，同时应设有电源输出指示灯。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1B10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A0DC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8A54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35808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81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1A535">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学生实验学习区</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D086E">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kern w:val="0"/>
                <w:sz w:val="21"/>
                <w:szCs w:val="21"/>
                <w:highlight w:val="none"/>
                <w:u w:val="none"/>
                <w:lang w:val="en-US" w:eastAsia="zh-CN" w:bidi="ar"/>
              </w:rPr>
            </w:pPr>
          </w:p>
        </w:tc>
      </w:tr>
      <w:tr w14:paraId="59C2B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606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ABFA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实验桌</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（学生）</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1EF09">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1、规格：≥1200*600*780mm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▲2、台面：采用12.7mm厚双面膜实芯理化板，且符合如下参数要求：</w:t>
            </w:r>
          </w:p>
          <w:p w14:paraId="12FF26AC">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▲2-1、化学性能检测：台面依据GB/T 17657-2022 《人造板及饰面人造板理化性能试验方法》标准，耐污染性能不少于130项试验污染物的检测，且包含：65%硝酸、98%硫酸、85%磷酸、柠檬酸、红药水、亚铁氰化钾、酱油、对二甲苯、乙酸甲酯等试剂，覆盖玻璃盖板和未覆盖玻璃盖板检验结果均为5级：无明显变化。</w:t>
            </w:r>
          </w:p>
          <w:p w14:paraId="5711C6B6">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▲2-2、物理性能检测：台面依据GB/T 17657-2022 《人造板及饰面人造板理化性能试验方法》标准，满足： 含水率：≤0.9%；吸水厚度膨胀率≤0.1%；尺寸稳定性：横向≤0.07%、纵向≤0.04%；板面握螺钉力≥3490N；表面耐冷热循环性能：表面无裂纹及鼓泡；浸渍剥离性能：贴面层与基材之间的胶层无剥离和分层现象；表面耐划痕性能：4.5N作用下试件表面无大于90%的连续划痕，表面装饰花纹无破坏现象；耐沸水性能：质量增加百分率≤0.01%、厚度增加百分率≤0.08%，表面质量等级：5级：无变化，边缘质量等级：5级：无明显变化；耐开裂性能：5级：无细微裂纹；表面耐磨性能：≥1100r,未出现磨损点等不低于27项检测。</w:t>
            </w:r>
          </w:p>
          <w:p w14:paraId="630B5156">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▲2-3、环保性能检测：参照GB 18584-2024《家具中有害物质限量》标准，可迁移有害元素:铅(Pb)、镉（Cd）、铬（Cr）、汞（Hg）均未检出。</w:t>
            </w:r>
          </w:p>
          <w:p w14:paraId="5EE16A7E">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-4、抗菌性能检测：台面依据JC/T2039-2010标准，满足：大肠杆菌、金黄色葡萄球菌、肺炎克雷伯氏菌、鼠伤寒沙门氏菌、表皮葡萄球菌、铜绿假单胞菌、宋氏志贺氏菌、白色葡萄球菌、粪肠球菌；耐甲氧西林金黄色葡萄球菌、单核细胞增生李斯特氏菌、变异库克菌、溶血性链球菌等不少于 13 种的菌种检测，且抗菌率≥95%。</w:t>
            </w:r>
          </w:p>
          <w:p w14:paraId="1CB11434">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▲2-5、防霉性能检测：台面依据JC/T2039-2010标准，满足：黑曲霉、土曲霉、球毛壳霉、宛氏拟青霉、绳状青霉、出芽短梗霉等不少于10种的霉菌检测，且防霉等级为0级。</w:t>
            </w:r>
          </w:p>
          <w:p w14:paraId="3518FBE2">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▲2-6、燃烧性能检测：台面依据GB/T 2408-2021《塑料 燃烧性能的测定 水平法和垂直法》标准，满足：水平燃烧符合HB级；垂直燃烧符合V-0级；台面参照GB8624-2012《建筑材料及制品燃烧性能分级》标准，满足：燃烧性能等级B1级；产烟特性等级S1级；燃烧滴落物/微粒等级d0级。</w:t>
            </w:r>
          </w:p>
          <w:p w14:paraId="55C883F7">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▲2-7、烟气毒性检测：台面依据GB 8624-2012《建筑材料及制品燃烧性能分级》标准，烟气毒性等级 t1 级：ZA3（达到准安全三级ZA3）。</w:t>
            </w:r>
          </w:p>
          <w:p w14:paraId="509FF0DC">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▲2-8、抗老化性检测：台面依据GB/T24508-2020标准：48小时无开裂、无鼓泡、无粉化。</w:t>
            </w:r>
          </w:p>
          <w:p w14:paraId="725757E7">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color w:val="auto"/>
                <w:highlight w:val="none"/>
                <w:lang w:eastAsia="zh-CN"/>
              </w:rPr>
              <w:t>（</w:t>
            </w:r>
            <w:r>
              <w:rPr>
                <w:rFonts w:hint="default" w:eastAsia="宋体" w:cs="宋体"/>
                <w:b w:val="0"/>
                <w:bCs/>
                <w:color w:val="auto"/>
                <w:kern w:val="0"/>
                <w:sz w:val="21"/>
                <w:szCs w:val="21"/>
                <w:highlight w:val="none"/>
                <w:lang w:val="en-US" w:eastAsia="zh-CN"/>
              </w:rPr>
              <w:t>投标时须提供国家认可的第三方检测机构出具的检测报告复印件</w:t>
            </w:r>
            <w:r>
              <w:rPr>
                <w:rFonts w:hint="eastAsia"/>
                <w:color w:val="auto"/>
                <w:highlight w:val="none"/>
                <w:lang w:eastAsia="zh-CN"/>
              </w:rPr>
              <w:t>）</w:t>
            </w:r>
          </w:p>
          <w:p w14:paraId="78CCF2F6">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3、台身结构：新型塑铝结构，学生位镂空式，符合人体工程学设计，美观大方。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4、桌身：由桌腿、立柱、支撑柱、前横梁、中横梁、后横梁组成。</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5、桌腿：采用工字型压铸铝一次成型，三段链接。上腿（分左右脚）规格：≥长560*宽55*高105mm，壁厚≥2.5mm，内侧设有凹槽。下腿（分左右脚）规格：≥长520*宽65*高90mm，壁厚≥2.5mm，内侧设有凹槽。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立柱：采用≥40×110mm，壁厚≥1.3mm。立柱每端内部有2个铸铝成型的螺丝链接位；内侧设有凹槽。上腿两侧可选装插座方便学生使用。前横梁：≥30×30mm，壁厚≥1.2mm。中横梁：≥30×30mm，壁厚≥1.2mm。后横梁：≥30×30mm,壁厚≥1.2mm；下横梁固定拉杆:≥15*95mm，壁厚≥1.2mm；材料采用优质铝镁合金材料，材料表面经高压静电喷涂环氧树脂防护层，耐酸碱，耐腐蚀处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7、书包斗:尺寸：≥430×270×160mm，采用环保型ABS工程塑料一次性注塑成型；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8、两个书包斗中间设有学生电源盒，尺寸：≥260×185×140mm，方便学生使用。</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AFD9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B06B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61EB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58316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A6D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F57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电源功能柱</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3489C">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1、规格：宽≥345mm深≥200mm高≥750mm；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2、材质：采用环保型ABS工程塑料注塑成型；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3、功能：电缆线、通风管等管线均布置于箱体内部，避免管线外露，确保使用的安全。</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8A35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E90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5C6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26D3E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A7D3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3CB9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学生凳</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B5103">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1、规格:≥300*455-510mm；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2、凳脚材质:4个凳脚采用≥20*40*1.3mm；椭圆形无缝钢管模具一次成型，全圆满焊完成，结构牢固,经高温粉体烤漆处理,长时间使用也不会产生表面烤漆剥落现象；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3、凳脚弧度:上部凳脚弧度66°,下部凳脚弧度24°,整体美观大方；方形托盘厚度3mm边长≥160*160mm；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4、凳面:凳面直径≥315mm，采用环保型PP改性塑料注塑成型；表面细纹咬花，防滑不发光；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5、脚垫:采用PP加耐磨纤维质塑料，实心倒勾式一体射出成型；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6、凳子可螺旋升降，升降到一定高度后要有固定不旋转装置并且升到最高时凳面不可脱落。</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EF77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60E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2CD5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26803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0CB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E396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学生电源</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31228">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1、ABS翻转式电源盒，置于书包盒中间；</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2、学生交流2V到24V输出，电流2A，自动过载保护，自动恢复。电压2V每档，由教师集中供电控制；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3、学生直流2V到24V输出，电流2A，自动过载保护，自动恢复。由教师集中供电控制；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4、配置1组220V国标5孔插座，保险丝保护，工作指示。具有火线关断开关；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5、电源具有工作，过载状态指示，能清楚的判断；</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6、电源采用耐磨、耐腐蚀、耐高温（≤140℃）的面板，标识清楚；</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7、电源的性能应符合JY--0330教学仪器相关标。</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11B6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90</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F03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E836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7CCD8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81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35121">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给排水设备</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1A466">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kern w:val="0"/>
                <w:sz w:val="21"/>
                <w:szCs w:val="21"/>
                <w:highlight w:val="none"/>
                <w:u w:val="none"/>
                <w:lang w:val="en-US" w:eastAsia="zh-CN" w:bidi="ar"/>
              </w:rPr>
            </w:pPr>
          </w:p>
        </w:tc>
      </w:tr>
      <w:tr w14:paraId="21049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D23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BF7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双口洗眼器</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921B4">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1、主体：加厚铜质；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2、表面处理：高亮度电镀层，耐腐蚀、耐热，附着力强；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3、防尘盖：PP材质，双喷头均配置防尘盖，通水时自动冲开；</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4、开关手柄：杠杆式结构，铜质按压阀芯配塑料操作手柄，启闭快速、响应灵敏；</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5、供水软管：配置长度≥1.4米柔性软管，采用不锈钢编织增强层，耐磨、防扭结、防老化；</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6、耐压性能：最大承受水压 0.6MPa（6bar）；</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7、洗眼喷头：一体注塑成型，软性橡胶材质，内置缓冲滤网，出水柔和均匀，有效过滤杂质，避免冲击伤害眼睛；双口总流量≥3.0L/min，持续供水≥15 分钟；</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8、控水阀：配置止回阀，具备自动复位、自动关闭功能。</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8C06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9187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31B7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7F300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7CA0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7385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化验水槽（配出水装置）</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BB36A">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1、材质：PP材质；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2、水槽外部规格：≥440mm×330mm×200mm；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3、密封方式：水封式，可防止废水回流和堵塞；</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4、槽体上部配备出水装置：单联出水口，管体部份为黄铜合金制，陶瓷阀芯，表面经环氧树脂静电喷涂处理，耐酸碱腐蚀。出水口为铜质瓷芯尖嘴型，可拆卸清洗阻塞。</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DB89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63FC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42F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1F273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CF07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F9F3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独立水槽台（配出水装置）</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0C494">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1、水槽柜整体规格：≥长595mmx≥宽495mx≥高820mm；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2、分别由滴水架、柜体、水槽、底座组成；</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3、滴水架正面配备10条滴水针斜插在滴水架上，滴水架整体高度不低于245mm底部宽度不小于125mm；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4、水槽部分尺寸：≥595*495*160mm；水槽内规格：≥400×310×250mm；水槽内部设有溢水口与下水口，水封式水塞可防止废水回流和堵塞；</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5、水槽采用PP塑料一次模具成型，四周带有围边挡水高度不低于20mm；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6、柜体结构稳固；柜体前后设有检修门、检修门带锁、前后门内部镶嵌冷轧钢板尺寸不小于520*310mm，增加柜门使用耐久度，冷轧钢板采用酸洗工艺处理，通过高温静电喷涂工艺涂层致密耐磨。</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98DB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45</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4C12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AE48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334E0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81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79E3C">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通风设备</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A4094">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kern w:val="0"/>
                <w:sz w:val="21"/>
                <w:szCs w:val="21"/>
                <w:highlight w:val="none"/>
                <w:u w:val="none"/>
                <w:lang w:val="en-US" w:eastAsia="zh-CN" w:bidi="ar"/>
              </w:rPr>
            </w:pPr>
          </w:p>
        </w:tc>
      </w:tr>
      <w:tr w14:paraId="677AA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0B0F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1975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万向吸风罩</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9C6F2">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1、关节：可360度旋转调节方向，易拆卸、重组及清洗；</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2、关节密封圈：不易老化之高密度橡胶；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3、关节弹簧装置：防下垂、下滑、松动；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4、关节松紧旋钮：高密度PP材质，内嵌不锈钢轴承，与关节连接杆锁合；</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5、气流调节阀：手动调节外部阀门旋钮，控制进入之气流量；</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6、拱型/杯型集气罩：高密度PP/PC材质；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7、固定底座：非粘接而成，模具注塑一体成型，牢度强，不脱底。</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E0A1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27D4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3EF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14996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3F72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B0F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离心风机</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BBCB8">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1、6#离心风机、5.5KW，转速1450r/min，流量10602-21204M3/h，全压1150-748Pa；</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2、噪声符合国家标准,风机外壳和叶轮均采用模具一次成型；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3、配橡胶减震器用于消除专用通风机引起的震动，配防雨帽，PP材质，主要用于对专用通风机的防护。</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6BF9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155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5BA5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3ACD7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BF38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992D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风机变频控制器</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AB6D5">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1、适配多种电机功率；</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2、面板频率:无极编码器；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3、输出:AC 0-380V 13A；</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4、模拟输出:2路(A01.A02)0-10V/0-20MA；</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5、模拟输入:1路(AI2)0-10V/0-20MA，1路(AI3)0-10V；</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6、控制方式:V/F控制；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7、过载能力:150%额定电流60s;180%额定电流3s；</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8、控制电源+24V:最大输出电流200mA；</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9、运行方式:键盘、端子、RS485通讯；</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10、可实现紧急停机，转速跟踪；</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11、输入端子:8路数字量输入端子；</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12、继电器输出:两路可编程继电器输出；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13、可显示运行信息、故障信息。具备过流、过压、模块故障保护、欠压、过热、过载、外部故障保护、EEPROM故障保护、接地保护、缺相等变频器保护及报警功能；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14、能适应-10℃~40℃的使用环境温度和-20℃~65℃储存温度,最大 90%RH不结露的环境湿度。要求能适应高度1000m以下，振动5.8m/秒²(=0.6g)以下使用环境；</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15、冷却方式采用强制风冷。</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D176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B75E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94EE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1DCDA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74E9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62AE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风机调速控制器</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50FB6">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1、规格：≥310mm×350mm；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2、集成风机供电船型开关与风机变频控制按键面板，能够实现风机控制的启停以及风量调节。</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C467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9244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1007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38420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C600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A1E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室内风管及配件</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4937D">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室内风管及配件: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1、主通风管规格：φ160mm/200mm，PVC成品管道；</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2、支管道规格：φ110mm/160mm，PVC成品管道；</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3、管道配件：管道三通、弯头、变径、直接。</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（实际管径视现场情况需可适当调整）</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BA5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D7E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DCB8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66EE5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309A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EBC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室外风管及配件</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CAF2E">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室外风管及配件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1、主通风管规格：φ400mm/φ315mm，优质PVC成品管道；因现场环境因素，主通风管也可以用两趟φ200mm风管代替；</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2、管道配件：管道三通、弯头、变径、直接；</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3、安装附件：固定铁卡。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116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16DB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763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77EE9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81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75F9C">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安装附件部分</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5AE58">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kern w:val="0"/>
                <w:sz w:val="21"/>
                <w:szCs w:val="21"/>
                <w:highlight w:val="none"/>
                <w:u w:val="none"/>
                <w:lang w:val="en-US" w:eastAsia="zh-CN" w:bidi="ar"/>
              </w:rPr>
            </w:pPr>
          </w:p>
        </w:tc>
      </w:tr>
      <w:tr w14:paraId="6D718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99B2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2AD5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电源布线耗材</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B5C2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1、地面耗材：每桌采用软铜质电线与主线对接取电；选用合适规格的线管包裹取电连接线；</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2、地下耗材：电源主线采用4.0mm²BVR铜软线铺设；选用Ф20或Ф25PVC阻燃线管。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D1A4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92AA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室</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7552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7C7BC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D90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C234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风机布线耗材</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9697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风机专用线电源主线需采用4mm²RVV塑铜线铺设经教师电源控制台至风机。</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84A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F633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室</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2C0D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6798B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F994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0340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给/排水全套装置</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0275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1、PPR材质水管，上水管和进水管为Ф25；UPVC材质排水管为Ф50；</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2、开关阀门，外丝连接件、PVC胶水等。</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2834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AADE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016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099A7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101B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52E8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实验室环境改造</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CA4C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1、水电改造阻燃电线，PVC 线管，灯、插座 等，PVC 水管及配件，人工及材料及辅材；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2、吊顶：铝扣板 0.7mm 厚，约 600×600mm 铝扣板、龙骨、边条、人工安装；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3、地面：开挖铺设管线后，恢复地面；</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4、墙面天面腻子乳胶漆 ：腻子粉，刮墙 2~3 遍抹灰，灯光打磨，布带封缝工艺；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5、教室原有风扇等设备位置调整；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6、材料运输及搬运，垃圾清理。</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5E4A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711" w:type="dxa"/>
            <w:tcBorders>
              <w:top w:val="single" w:color="000000" w:sz="4" w:space="0"/>
              <w:left w:val="single" w:color="000000" w:sz="4" w:space="0"/>
              <w:bottom w:val="single" w:color="000000" w:sz="4" w:space="0"/>
              <w:right w:val="single" w:color="auto" w:sz="4" w:space="0"/>
            </w:tcBorders>
            <w:shd w:val="clear" w:color="auto" w:fill="auto"/>
            <w:vAlign w:val="center"/>
          </w:tcPr>
          <w:p w14:paraId="7C9658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室</w:t>
            </w:r>
          </w:p>
        </w:tc>
        <w:tc>
          <w:tcPr>
            <w:tcW w:w="694" w:type="dxa"/>
            <w:tcBorders>
              <w:top w:val="single" w:color="000000" w:sz="4" w:space="0"/>
              <w:left w:val="single" w:color="000000" w:sz="4" w:space="0"/>
              <w:bottom w:val="single" w:color="000000" w:sz="4" w:space="0"/>
              <w:right w:val="single" w:color="auto" w:sz="4" w:space="0"/>
            </w:tcBorders>
            <w:shd w:val="clear" w:color="auto" w:fill="auto"/>
            <w:vAlign w:val="center"/>
          </w:tcPr>
          <w:p w14:paraId="072871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57B95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818" w:type="dxa"/>
            <w:gridSpan w:val="5"/>
            <w:tcBorders>
              <w:top w:val="single" w:color="000000" w:sz="4" w:space="0"/>
              <w:left w:val="single" w:color="000000" w:sz="4" w:space="0"/>
              <w:bottom w:val="single" w:color="000000" w:sz="4" w:space="0"/>
              <w:right w:val="single" w:color="auto" w:sz="4" w:space="0"/>
            </w:tcBorders>
            <w:shd w:val="clear" w:color="auto" w:fill="auto"/>
            <w:vAlign w:val="center"/>
          </w:tcPr>
          <w:p w14:paraId="5EA3569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bCs/>
                <w:i w:val="0"/>
                <w:iCs w:val="0"/>
                <w:color w:val="auto"/>
                <w:sz w:val="21"/>
                <w:szCs w:val="21"/>
                <w:highlight w:val="none"/>
                <w:u w:val="none"/>
                <w:lang w:eastAsia="zh-CN"/>
              </w:rPr>
            </w:pPr>
            <w:r>
              <w:rPr>
                <w:rFonts w:hint="eastAsia" w:ascii="宋体" w:hAnsi="宋体" w:eastAsia="宋体" w:cs="宋体"/>
                <w:b/>
                <w:bCs/>
                <w:i w:val="0"/>
                <w:iCs w:val="0"/>
                <w:color w:val="auto"/>
                <w:sz w:val="21"/>
                <w:szCs w:val="21"/>
                <w:highlight w:val="none"/>
                <w:u w:val="none"/>
                <w:lang w:eastAsia="zh-CN"/>
              </w:rPr>
              <w:t>二、</w:t>
            </w:r>
            <w:r>
              <w:rPr>
                <w:rFonts w:hint="eastAsia" w:ascii="宋体" w:hAnsi="宋体" w:eastAsia="宋体" w:cs="宋体"/>
                <w:b/>
                <w:bCs/>
                <w:i w:val="0"/>
                <w:iCs w:val="0"/>
                <w:color w:val="auto"/>
                <w:sz w:val="21"/>
                <w:szCs w:val="21"/>
                <w:highlight w:val="none"/>
                <w:u w:val="none"/>
              </w:rPr>
              <w:t>物理电学实验室</w:t>
            </w:r>
          </w:p>
        </w:tc>
        <w:tc>
          <w:tcPr>
            <w:tcW w:w="694" w:type="dxa"/>
            <w:tcBorders>
              <w:top w:val="single" w:color="000000" w:sz="4" w:space="0"/>
              <w:left w:val="single" w:color="000000" w:sz="4" w:space="0"/>
              <w:bottom w:val="single" w:color="000000" w:sz="4" w:space="0"/>
              <w:right w:val="single" w:color="auto" w:sz="4" w:space="0"/>
            </w:tcBorders>
            <w:shd w:val="clear" w:color="auto" w:fill="auto"/>
            <w:vAlign w:val="center"/>
          </w:tcPr>
          <w:p w14:paraId="06DDF3F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bCs/>
                <w:i w:val="0"/>
                <w:iCs w:val="0"/>
                <w:color w:val="auto"/>
                <w:sz w:val="21"/>
                <w:szCs w:val="21"/>
                <w:highlight w:val="none"/>
                <w:u w:val="none"/>
                <w:lang w:eastAsia="zh-CN"/>
              </w:rPr>
            </w:pPr>
          </w:p>
        </w:tc>
      </w:tr>
      <w:tr w14:paraId="25F58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818" w:type="dxa"/>
            <w:gridSpan w:val="5"/>
            <w:tcBorders>
              <w:top w:val="single" w:color="000000" w:sz="4" w:space="0"/>
              <w:left w:val="single" w:color="000000" w:sz="4" w:space="0"/>
              <w:bottom w:val="single" w:color="000000" w:sz="4" w:space="0"/>
              <w:right w:val="single" w:color="auto" w:sz="4" w:space="0"/>
            </w:tcBorders>
            <w:shd w:val="clear" w:color="auto" w:fill="auto"/>
            <w:noWrap/>
            <w:vAlign w:val="center"/>
          </w:tcPr>
          <w:p w14:paraId="47D6FE3A">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教师控制演示区</w:t>
            </w:r>
          </w:p>
        </w:tc>
        <w:tc>
          <w:tcPr>
            <w:tcW w:w="694"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96187E1">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kern w:val="0"/>
                <w:sz w:val="21"/>
                <w:szCs w:val="21"/>
                <w:highlight w:val="none"/>
                <w:u w:val="none"/>
                <w:lang w:val="en-US" w:eastAsia="zh-CN" w:bidi="ar"/>
              </w:rPr>
            </w:pPr>
          </w:p>
        </w:tc>
      </w:tr>
      <w:tr w14:paraId="50CA8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2CC0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CCE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实验桌（教师演示台）</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A72D0">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1、规格：≥2400×700×850mm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▲2、台面：采用25mm厚金属树脂高能理化板，且符合如下参数要求：</w:t>
            </w:r>
          </w:p>
          <w:p w14:paraId="68B82FCA">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▲2-1、化学性能检测：台面依据GB/T 17657-2022 《人造板及饰面人造板理化性能试验方法》标准，耐污染性能不少于130项试验污染物的检测，且包含：65%硝酸、98%硫酸、85%磷酸、柠檬酸、红药水、亚铁氰化钾、酱油、对二甲苯、乙酸甲酯等试剂，覆盖玻璃盖板和未覆盖玻璃盖板检验结果均为5级：无明显变化。</w:t>
            </w:r>
          </w:p>
          <w:p w14:paraId="3CE6DADB">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▲2-2、物理性能检测：台面依据GB/T 17657-2022 《人造板及饰面人造板理化性能试验方法》标准，满足：弹性模量≥9700MPa； 含水率：≤0.9%；尺寸稳定性：横向≤0.11%、纵向≤0.08%；表面耐磨性能：≥1200r,未出现磨损点;表面耐湿热性能：五级：无明显变化；浸渍剥离性能：贴面层与基材之间的胶层无剥离和分层现象；耐光色牢度性能:&gt;4级;漆膜附着力：六级：切割边缘完全平滑，网格内无脱落等不低于16项检测。</w:t>
            </w:r>
          </w:p>
          <w:p w14:paraId="333271F0">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▲2-3、环保性能检测：参照GB 18584-2024《家具中有害物质限量》标准，可迁移有害元素:铅(Pb)、镉（Cd）、铬（Cr）、汞（Hg）均未检出。</w:t>
            </w:r>
          </w:p>
          <w:p w14:paraId="1BB925B5">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-4、抗菌性能检测：台面依据JC/T2039-2010标准，满足：大肠杆菌、金黄色葡萄球菌、肺炎克雷伯氏菌、鼠伤寒沙门氏菌、表皮葡萄球菌、铜绿假单胞菌、宋氏志贺氏菌、白色葡萄球菌、粪肠球菌；耐甲氧西林金黄色葡萄球菌、单核细胞增生李斯特氏菌、变异库克菌、溶血性链球菌等不少于 13 种的菌种检测，且抗菌率≥95%。</w:t>
            </w:r>
          </w:p>
          <w:p w14:paraId="65912160">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▲2-5、防霉性能检测：台面依据JC/T2039-2010标准，满足：黑曲霉、土曲霉、球毛壳霉、宛氏拟青霉、绳状青霉、出芽短梗霉等不少于10种的霉菌检测，且防霉等级为0级。</w:t>
            </w:r>
          </w:p>
          <w:p w14:paraId="71EBD343">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▲2-6、燃烧性能检测：台面依据GB/T 2408-2021《塑料 燃烧性能的测定 水平法和垂直法》标准，满足：水平燃烧符合HB级；垂直燃烧符合V-0级；台面参照GB8624-2012《建筑材料及制品燃烧性能分级》标准，满足：燃烧性能等级B1级；产烟特性等级S1级；燃烧滴落物/微粒等级d0级。</w:t>
            </w:r>
          </w:p>
          <w:p w14:paraId="07C3E849">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▲2-7、抗老化性检测：台面依据GB/T24508-2020标准：48小时无开裂、无鼓泡、无粉化。</w:t>
            </w:r>
          </w:p>
          <w:p w14:paraId="1BBE7534">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color w:val="auto"/>
                <w:highlight w:val="none"/>
                <w:lang w:eastAsia="zh-CN"/>
              </w:rPr>
              <w:t>（</w:t>
            </w:r>
            <w:r>
              <w:rPr>
                <w:rFonts w:hint="default" w:eastAsia="宋体" w:cs="宋体"/>
                <w:b w:val="0"/>
                <w:bCs/>
                <w:color w:val="auto"/>
                <w:kern w:val="0"/>
                <w:sz w:val="21"/>
                <w:szCs w:val="21"/>
                <w:highlight w:val="none"/>
                <w:lang w:val="en-US" w:eastAsia="zh-CN"/>
              </w:rPr>
              <w:t>投标时须提供国家认可的第三方检测机构出具的检测报告复印件</w:t>
            </w:r>
            <w:r>
              <w:rPr>
                <w:rFonts w:hint="eastAsia"/>
                <w:color w:val="auto"/>
                <w:highlight w:val="none"/>
                <w:lang w:eastAsia="zh-CN"/>
              </w:rPr>
              <w:t>）</w:t>
            </w:r>
          </w:p>
          <w:p w14:paraId="6B65AA9B">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3、结构：全钢独立柜体结构，无需安装；演示台设有储物柜，中间为演示台，设置电源主控系统、多媒体设备（主机、显示器、中控、功放、交换机）的位置预留。</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4、柜身主体背板、吊板及所有板材均采用采用1.0优质一级冷轧钢板（SPCCT）经CNC机压成型，满焊无缝焊接工艺，表面经磷化、环氧树脂静电粉末涂装处理。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5、柜门：双包结构，柜门内部填充蜂窝隔音棉。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6、门铰：采用锌合金铰链。自闭式，与柜体面水平角度&lt;15度时，柜门即可自行关闭，使用过程中无噪音，可开关十万次。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7、滑轨：三节静音滑轨滑轨，承重性强、滑动性能良好、无噪音开合十万次不变形。</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8、拉手：一字内隐藏拉手，与门板抽屉连为一体，造型独特美观。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9、脚垫：ABS注塑专用垫，具有高度可调、耐磨、防潮、耐腐蚀等特点。</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CB5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F028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FA8E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51294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6CD0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43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教师椅</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7CFB0">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1、规格：≥550×500×1070mm；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2、采用PU皮面，海绵坐垫；</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3、黑色PP加玻纤内外塑框；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4、一体成型PP固定扶手；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5、中靠背46-49cm，人体工程学设计；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6、≥1.0mm厚气杆；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7、PP加纤五星塑脚；</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8、φ50mm（偏差±5%）黑边尼龙万向轮。</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770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C7EE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DF3E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07C06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8B93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848F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教师电源</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D0A92">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1、功能:交流输出:O-24V，每档2V，输出电流≤8A，过载保护；</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2、稳压输出:0-24V，连续可调，输出电流≤8A，过载保护，直流9V输出:启动一次，输出10±2S，手动复位；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3、直流高压:240V输出，电流100mA，过载保护，低压输出:0-24V，叠加式选择电压，总开关控制:220V输入，输出分四组单独控制；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4、统一控制功能:叠加式选择电压、控制学生低压O-24V输出，220v输出分共四组由老师控制所有高压、低压。</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D0B4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11" w:type="dxa"/>
            <w:tcBorders>
              <w:top w:val="single" w:color="000000" w:sz="4" w:space="0"/>
              <w:left w:val="single" w:color="000000" w:sz="4" w:space="0"/>
              <w:bottom w:val="single" w:color="000000" w:sz="4" w:space="0"/>
              <w:right w:val="single" w:color="auto" w:sz="4" w:space="0"/>
            </w:tcBorders>
            <w:shd w:val="clear" w:color="auto" w:fill="auto"/>
            <w:vAlign w:val="center"/>
          </w:tcPr>
          <w:p w14:paraId="48D230A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694" w:type="dxa"/>
            <w:tcBorders>
              <w:top w:val="single" w:color="000000" w:sz="4" w:space="0"/>
              <w:left w:val="single" w:color="000000" w:sz="4" w:space="0"/>
              <w:bottom w:val="single" w:color="000000" w:sz="4" w:space="0"/>
              <w:right w:val="single" w:color="auto" w:sz="4" w:space="0"/>
            </w:tcBorders>
            <w:shd w:val="clear" w:color="auto" w:fill="auto"/>
            <w:vAlign w:val="center"/>
          </w:tcPr>
          <w:p w14:paraId="3B12FD5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21FD2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818" w:type="dxa"/>
            <w:gridSpan w:val="5"/>
            <w:tcBorders>
              <w:top w:val="single" w:color="000000" w:sz="4" w:space="0"/>
              <w:left w:val="single" w:color="000000" w:sz="4" w:space="0"/>
              <w:bottom w:val="single" w:color="000000" w:sz="4" w:space="0"/>
              <w:right w:val="single" w:color="auto" w:sz="4" w:space="0"/>
            </w:tcBorders>
            <w:shd w:val="clear" w:color="auto" w:fill="auto"/>
            <w:noWrap/>
            <w:vAlign w:val="center"/>
          </w:tcPr>
          <w:p w14:paraId="05F0659B">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学生实验学习区</w:t>
            </w:r>
          </w:p>
        </w:tc>
        <w:tc>
          <w:tcPr>
            <w:tcW w:w="694"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5F01234">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kern w:val="0"/>
                <w:sz w:val="21"/>
                <w:szCs w:val="21"/>
                <w:highlight w:val="none"/>
                <w:u w:val="none"/>
                <w:lang w:val="en-US" w:eastAsia="zh-CN" w:bidi="ar"/>
              </w:rPr>
            </w:pPr>
          </w:p>
        </w:tc>
      </w:tr>
      <w:tr w14:paraId="4D064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3F54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8F2D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实验桌</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（学生）</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C707A">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1、规格：≥1200*600*780mm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▲2、台面：采用12.7mm厚双面膜实芯理化板，且符合如下参数要求：</w:t>
            </w:r>
          </w:p>
          <w:p w14:paraId="3BE3BB78">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▲2-1、化学性能检测：台面依据GB/T 17657-2022 《人造板及饰面人造板理化性能试验方法》标准，耐污染性能不少于130项试验污染物的检测，且包含：65%硝酸、98%硫酸、85%磷酸、柠檬酸、红药水、亚铁氰化钾、酱油、对二甲苯、乙酸甲酯等试剂，覆盖玻璃盖板和未覆盖玻璃盖板检验结果均为5级：无明显变化。</w:t>
            </w:r>
          </w:p>
          <w:p w14:paraId="2A1C5F3E">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▲2-2、物理性能检测：台面依据GB/T 17657-2022 《人造板及饰面人造板理化性能试验方法》标准，满足： 含水率：≤0.9%；吸水厚度膨胀率≤0.1%；尺寸稳定性：横向≤0.07%、纵向≤0.04%；板面握螺钉力≥3490N；表面耐冷热循环性能：表面无裂纹及鼓泡；浸渍剥离性能：贴面层与基材之间的胶层无剥离和分层现象；表面耐划痕性能：4.5N作用下试件表面无大于90%的连续划痕，表面装饰花纹无破坏现象；耐沸水性能：质量增加百分率≤0.01%、厚度增加百分率≤0.08%，表面质量等级：5级：无变化，边缘质量等级：5级：无明显变化；耐开裂性能：5级：无细微裂纹；表面耐磨性能：≥1100r,未出现磨损点等不低于27项检测。</w:t>
            </w:r>
          </w:p>
          <w:p w14:paraId="5532F628">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▲2-3、环保性能检测：参照GB 18584-2024《家具中有害物质限量》标准，可迁移有害元素:铅(Pb)、镉（Cd）、铬（Cr）、汞（Hg）均未检出。</w:t>
            </w:r>
          </w:p>
          <w:p w14:paraId="46A31D79">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-4、抗菌性能检测：台面依据JC/T2039-2010标准，满足：大肠杆菌、金黄色葡萄球菌、肺炎克雷伯氏菌、鼠伤寒沙门氏菌、表皮葡萄球菌、铜绿假单胞菌、宋氏志贺氏菌、白色葡萄球菌、粪肠球菌；耐甲氧西林金黄色葡萄球菌、单核细胞增生李斯特氏菌、变异库克菌、溶血性链球菌等不少于 13 种的菌种检测，且抗菌率≥95%。</w:t>
            </w:r>
          </w:p>
          <w:p w14:paraId="5E5DF5A1">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▲2-5、防霉性能检测：台面依据JC/T2039-2010标准，满足：黑曲霉、土曲霉、球毛壳霉、宛氏拟青霉、绳状青霉、出芽短梗霉等不少于10种的霉菌检测，且防霉等级为0级。</w:t>
            </w:r>
          </w:p>
          <w:p w14:paraId="54145E54">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▲2-6、燃烧性能检测：台面依据GB/T 2408-2021《塑料 燃烧性能的测定 水平法和垂直法》标准，满足：水平燃烧符合HB级；垂直燃烧符合V-0级；台面参照GB8624-2012《建筑材料及制品燃烧性能分级》标准，满足：燃烧性能等级B1级；产烟特性等级S1级；燃烧滴落物/微粒等级d0级。</w:t>
            </w:r>
          </w:p>
          <w:p w14:paraId="0431D8E7">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▲2-7、烟气毒性检测：台面依据GB 8624-2012《建筑材料及制品燃烧性能分级》标准，烟气毒性等级 t1 级：ZA3（达到准安全三级ZA3）。</w:t>
            </w:r>
          </w:p>
          <w:p w14:paraId="615A6F1A">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▲2-8、抗老化性检测：台面依据GB/T24508-2020标准：48小时无开裂、无鼓泡、无粉化。</w:t>
            </w:r>
          </w:p>
          <w:p w14:paraId="65B73F07">
            <w:pPr>
              <w:keepNext w:val="0"/>
              <w:keepLines w:val="0"/>
              <w:widowControl/>
              <w:suppressLineNumbers w:val="0"/>
              <w:jc w:val="left"/>
              <w:textAlignment w:val="center"/>
              <w:rPr>
                <w:rFonts w:hint="eastAsia"/>
                <w:color w:val="auto"/>
                <w:highlight w:val="none"/>
                <w:lang w:eastAsia="zh-CN"/>
              </w:rPr>
            </w:pPr>
            <w:r>
              <w:rPr>
                <w:rFonts w:hint="eastAsia"/>
                <w:color w:val="auto"/>
                <w:highlight w:val="none"/>
                <w:lang w:eastAsia="zh-CN"/>
              </w:rPr>
              <w:t>（</w:t>
            </w:r>
            <w:r>
              <w:rPr>
                <w:rFonts w:hint="default" w:eastAsia="宋体" w:cs="宋体"/>
                <w:b w:val="0"/>
                <w:bCs/>
                <w:color w:val="auto"/>
                <w:kern w:val="0"/>
                <w:sz w:val="21"/>
                <w:szCs w:val="21"/>
                <w:highlight w:val="none"/>
                <w:lang w:val="en-US" w:eastAsia="zh-CN"/>
              </w:rPr>
              <w:t>投标时须提供国家认可的第三方检测机构出具的检测报告复印件</w:t>
            </w:r>
            <w:r>
              <w:rPr>
                <w:rFonts w:hint="eastAsia"/>
                <w:color w:val="auto"/>
                <w:highlight w:val="none"/>
                <w:lang w:eastAsia="zh-CN"/>
              </w:rPr>
              <w:t>）</w:t>
            </w:r>
          </w:p>
          <w:p w14:paraId="3E7F9E52">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3、台身结构：新型塑铝结构，学生位镂空式，符合人体工程学设计，美观大方。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4、桌身：由桌腿、立柱、支撑柱、前横梁、中横梁、后横梁组成。</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5、桌腿：采用工字型压铸铝一次成型，三段链接。上腿（分左右脚）规格：≥长560*宽55*高105mm，壁厚≥2.5mm，内侧设有凹槽。下腿（分左右脚）规格：≥长520*宽65*高90mm，壁厚≥2.5mm，内侧设有凹槽。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立柱：采用≥40×110mm，壁厚≥1.3mm。立柱每端内部有2个铸铝成型的螺丝链接位；内侧设有凹槽。上腿两侧可选装插座方便学生使用。前横梁：≥30×30mm，壁厚≥1.2mm。中横梁：≥30×30mm，壁厚≥1.2mm。后横梁：≥30×30mm,壁厚≥1.2mm；下横梁固定拉杆:≥15*95mm，壁厚≥1.2mm；材料采用优质铝镁合金材料，材料表面经高压静电喷涂环氧树脂防护层，耐酸碱，耐腐蚀处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7、书包斗:尺寸：≥430×270×160mm，采用环保型ABS工程塑料一次性注塑成型；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8、两个书包斗中间设有学生电源盒，尺寸：≥260×185×140mm，方便学生使用。</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5557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FCE2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623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60AFE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A848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355C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电源功能柱</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1D3FC">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1、规格：宽≥345mm深≥200mm高≥750mm；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2、材质：采用环保型ABS工程塑料注塑成型；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3、功能：电缆线、通风管等管线均布置于箱体内部，避免管线外露，确保使用的安全。</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25D5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EF5C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6DD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7CC46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C5B5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10D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学生凳</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C4416">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1、规格:≥300*455-510mm；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2、凳脚材质:4个凳脚采用≥20*40*1.3mm；椭圆形无缝钢管模具一次成型，全圆满焊完成，结构牢固,经高温粉体烤漆处理,长时间使用也不会产生表面烤漆剥落现象；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3、凳脚弧度:上部凳脚弧度66°,下部凳脚弧度24°,整体美观大方；方形托盘厚度3mm边长≥160*160mm；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4、凳面:凳面直径≥315mm，采用环保型PP改性塑料注塑成型；表面细纹咬花，防滑不发光；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5、脚垫:采用PP加耐磨纤维质塑料，实心倒勾式一体射出成型；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6、凳子可螺旋升降，升降到一定高度后要有固定不旋转装置并且升到最高时凳面不可脱落。</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0780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6DF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5F24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3C989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4D0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68E8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学生电源</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A8432">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1、实验台外壳采用美观大方高档的铅镁合金（氧化处理）结构；</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2、功能:交流输出:1.5-24V、2A连续可调，直流稳压:1.25-24V、2A无线调压，直流稳压:6V-0.5A输出，采用防脱式接线柱；</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3、手动或自动过载保护，独立的学生电源，有电压、电流表和测试用表指示，具有220V漏电开关保护和多功能六孔插座〔带安全门，可插任何插头)。</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9A6D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6F6F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625F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1A936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818" w:type="dxa"/>
            <w:gridSpan w:val="5"/>
            <w:tcBorders>
              <w:top w:val="single" w:color="000000" w:sz="4" w:space="0"/>
              <w:left w:val="single" w:color="000000" w:sz="4" w:space="0"/>
              <w:bottom w:val="single" w:color="000000" w:sz="4" w:space="0"/>
              <w:right w:val="single" w:color="auto" w:sz="4" w:space="0"/>
            </w:tcBorders>
            <w:shd w:val="clear" w:color="auto" w:fill="auto"/>
            <w:noWrap/>
            <w:vAlign w:val="center"/>
          </w:tcPr>
          <w:p w14:paraId="7B0F8E7F">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安装附件部分</w:t>
            </w:r>
          </w:p>
        </w:tc>
        <w:tc>
          <w:tcPr>
            <w:tcW w:w="694"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BB20B64">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kern w:val="0"/>
                <w:sz w:val="21"/>
                <w:szCs w:val="21"/>
                <w:highlight w:val="none"/>
                <w:u w:val="none"/>
                <w:lang w:val="en-US" w:eastAsia="zh-CN" w:bidi="ar"/>
              </w:rPr>
            </w:pPr>
          </w:p>
        </w:tc>
      </w:tr>
      <w:tr w14:paraId="611F6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A12F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C317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电源布线耗材</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1585C">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 xml:space="preserve">1、地面耗材：每桌采用软铜质电线与主线对接取电；选用合适规格的线管包裹取电连接线；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2、地下耗材：电源主线采用4.0mm²BVR铜软线铺设；选用Ф20或Ф25PVC阻燃线管。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6DC7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11" w:type="dxa"/>
            <w:tcBorders>
              <w:top w:val="single" w:color="000000" w:sz="4" w:space="0"/>
              <w:left w:val="single" w:color="000000" w:sz="4" w:space="0"/>
              <w:bottom w:val="single" w:color="000000" w:sz="4" w:space="0"/>
              <w:right w:val="single" w:color="auto" w:sz="4" w:space="0"/>
            </w:tcBorders>
            <w:shd w:val="clear" w:color="auto" w:fill="auto"/>
            <w:vAlign w:val="center"/>
          </w:tcPr>
          <w:p w14:paraId="07E3A8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室</w:t>
            </w:r>
          </w:p>
        </w:tc>
        <w:tc>
          <w:tcPr>
            <w:tcW w:w="694" w:type="dxa"/>
            <w:tcBorders>
              <w:top w:val="single" w:color="000000" w:sz="4" w:space="0"/>
              <w:left w:val="single" w:color="000000" w:sz="4" w:space="0"/>
              <w:bottom w:val="single" w:color="000000" w:sz="4" w:space="0"/>
              <w:right w:val="single" w:color="auto" w:sz="4" w:space="0"/>
            </w:tcBorders>
            <w:shd w:val="clear" w:color="auto" w:fill="auto"/>
            <w:vAlign w:val="center"/>
          </w:tcPr>
          <w:p w14:paraId="355DC0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636C7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449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22D8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实验室环境改造</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B284D">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 xml:space="preserve">1、水电改造阻燃电线，PVC 线管，灯、插座 等，PVC 水管及配件，人工及材料及辅材；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2、吊顶：铝扣板 0.7mm 厚，约 600×600mm 铝扣 板、龙骨、边条、人工安装；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3、地面：开挖铺设管线后，恢复地面；</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4、墙面天面腻子乳胶漆 ：腻子粉，刮 墙 2~3 遍抹灰，灯光打磨，布带封缝工艺；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5、教室原有风扇等设备位置调整；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6、材料运输及搬运，垃圾清理。</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6D27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AED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室</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6DF2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770B8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818" w:type="dxa"/>
            <w:gridSpan w:val="5"/>
            <w:tcBorders>
              <w:top w:val="single" w:color="000000" w:sz="4" w:space="0"/>
              <w:left w:val="single" w:color="000000" w:sz="4" w:space="0"/>
              <w:bottom w:val="single" w:color="000000" w:sz="4" w:space="0"/>
              <w:right w:val="single" w:color="auto" w:sz="4" w:space="0"/>
            </w:tcBorders>
            <w:shd w:val="clear" w:color="auto" w:fill="auto"/>
            <w:vAlign w:val="center"/>
          </w:tcPr>
          <w:p w14:paraId="77CB31F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sz w:val="21"/>
                <w:szCs w:val="21"/>
                <w:highlight w:val="none"/>
                <w:u w:val="none"/>
              </w:rPr>
              <w:t>三、化学万向通风实验室（56座）</w:t>
            </w:r>
          </w:p>
        </w:tc>
        <w:tc>
          <w:tcPr>
            <w:tcW w:w="694" w:type="dxa"/>
            <w:tcBorders>
              <w:top w:val="single" w:color="000000" w:sz="4" w:space="0"/>
              <w:left w:val="single" w:color="000000" w:sz="4" w:space="0"/>
              <w:bottom w:val="single" w:color="000000" w:sz="4" w:space="0"/>
              <w:right w:val="single" w:color="auto" w:sz="4" w:space="0"/>
            </w:tcBorders>
            <w:shd w:val="clear" w:color="auto" w:fill="auto"/>
            <w:vAlign w:val="center"/>
          </w:tcPr>
          <w:p w14:paraId="78D2C3C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bCs/>
                <w:i w:val="0"/>
                <w:iCs w:val="0"/>
                <w:color w:val="auto"/>
                <w:sz w:val="21"/>
                <w:szCs w:val="21"/>
                <w:highlight w:val="none"/>
                <w:u w:val="none"/>
              </w:rPr>
            </w:pPr>
          </w:p>
        </w:tc>
      </w:tr>
      <w:tr w14:paraId="40E11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818" w:type="dxa"/>
            <w:gridSpan w:val="5"/>
            <w:tcBorders>
              <w:top w:val="single" w:color="000000" w:sz="4" w:space="0"/>
              <w:left w:val="single" w:color="000000" w:sz="4" w:space="0"/>
              <w:bottom w:val="single" w:color="000000" w:sz="4" w:space="0"/>
              <w:right w:val="single" w:color="auto" w:sz="4" w:space="0"/>
            </w:tcBorders>
            <w:shd w:val="clear" w:color="auto" w:fill="auto"/>
            <w:noWrap/>
            <w:vAlign w:val="center"/>
          </w:tcPr>
          <w:p w14:paraId="528AF3C4">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教师控制演示区</w:t>
            </w:r>
          </w:p>
        </w:tc>
        <w:tc>
          <w:tcPr>
            <w:tcW w:w="694"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8E2A7F2">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kern w:val="0"/>
                <w:sz w:val="21"/>
                <w:szCs w:val="21"/>
                <w:highlight w:val="none"/>
                <w:u w:val="none"/>
                <w:lang w:val="en-US" w:eastAsia="zh-CN" w:bidi="ar"/>
              </w:rPr>
            </w:pPr>
          </w:p>
        </w:tc>
      </w:tr>
      <w:tr w14:paraId="01A93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EF2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A69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实验桌（教师演示台）</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340FD">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1、规格：≥2800×700×850mm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▲2、台面：采用25mm厚金属树脂高能理化板，且符合如下参数要求：</w:t>
            </w:r>
          </w:p>
          <w:p w14:paraId="5C4772E0">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▲2-1、化学性能检测：台面依据GB/T 17657-2022 《人造板及饰面人造板理化性能试验方法》标准，耐污染性能不少于130项试验污染物的检测，且包含：65%硝酸、98%硫酸、85%磷酸、柠檬酸、红药水、亚铁氰化钾、酱油、对二甲苯、乙酸甲酯等试剂，覆盖玻璃盖板和未覆盖玻璃盖板检验结果均为5级：无明显变化。</w:t>
            </w:r>
          </w:p>
          <w:p w14:paraId="4DB85C07">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▲2-2、物理性能检测：台面依据GB/T 17657-2022 《人造板及饰面人造板理化性能试验方法》标准，满足：弹性模量≥9700MPa； 含水率：≤0.9%；尺寸稳定性：横向≤0.11%、纵向≤0.08%；表面耐磨性能：≥1200r,未出现磨损点;表面耐湿热性能：五级：无明显变化；浸渍剥离性能：贴面层与基材之间的胶层无剥离和分层现象；耐光色牢度性能:&gt;4级;漆膜附着力：六级：切割边缘完全平滑，网格内无脱落等不低于16项检测。</w:t>
            </w:r>
          </w:p>
          <w:p w14:paraId="77B55311">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▲2-3、环保性能检测：参照GB 18584-2024《家具中有害物质限量》标准，可迁移有害元素:铅(Pb)、镉（Cd）、铬（Cr）、汞（Hg）均未检出。</w:t>
            </w:r>
          </w:p>
          <w:p w14:paraId="5A75D989">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-4、抗菌性能检测：台面依据JC/T2039-2010标准，满足：大肠杆菌、金黄色葡萄球菌、肺炎克雷伯氏菌、鼠伤寒沙门氏菌、表皮葡萄球菌、铜绿假单胞菌、宋氏志贺氏菌、白色葡萄球菌、粪肠球菌；耐甲氧西林金黄色葡萄球菌、单核细胞增生李斯特氏菌、变异库克菌、溶血性链球菌等不少于 13 种的菌种检测，且抗菌率≥95%。</w:t>
            </w:r>
          </w:p>
          <w:p w14:paraId="50D933AD">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▲2-5、防霉性能检测：台面依据JC/T2039-2010标准，满足：黑曲霉、土曲霉、球毛壳霉、宛氏拟青霉、绳状青霉、出芽短梗霉等不少于10种的霉菌检测，且防霉等级为0级。</w:t>
            </w:r>
          </w:p>
          <w:p w14:paraId="6F993AE0">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▲2-6、燃烧性能检测：台面依据GB/T 2408-2021《塑料 燃烧性能的测定 水平法和垂直法》标准，满足：水平燃烧符合HB级；垂直燃烧符合V-0级；台面参照GB8624-2012《建筑材料及制品燃烧性能分级》标准，满足：燃烧性能等级B1级；产烟特性等级S1级；燃烧滴落物/微粒等级d0级。</w:t>
            </w:r>
          </w:p>
          <w:p w14:paraId="78D66B14">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▲2-7、抗老化性检测：台面依据GB/T24508-2020标准：48小时无开裂、无鼓泡、无粉化。</w:t>
            </w:r>
          </w:p>
          <w:p w14:paraId="639D5409">
            <w:pPr>
              <w:keepNext w:val="0"/>
              <w:keepLines w:val="0"/>
              <w:widowControl/>
              <w:suppressLineNumbers w:val="0"/>
              <w:jc w:val="left"/>
              <w:textAlignment w:val="center"/>
              <w:rPr>
                <w:rFonts w:hint="eastAsia"/>
                <w:color w:val="auto"/>
                <w:highlight w:val="none"/>
                <w:lang w:val="en-US" w:eastAsia="zh-CN"/>
              </w:rPr>
            </w:pPr>
            <w:r>
              <w:rPr>
                <w:rFonts w:hint="eastAsia"/>
                <w:color w:val="auto"/>
                <w:highlight w:val="none"/>
                <w:lang w:eastAsia="zh-CN"/>
              </w:rPr>
              <w:t>（</w:t>
            </w:r>
            <w:r>
              <w:rPr>
                <w:rFonts w:hint="default" w:eastAsia="宋体" w:cs="宋体"/>
                <w:b w:val="0"/>
                <w:bCs/>
                <w:color w:val="auto"/>
                <w:kern w:val="0"/>
                <w:sz w:val="21"/>
                <w:szCs w:val="21"/>
                <w:highlight w:val="none"/>
                <w:lang w:val="en-US" w:eastAsia="zh-CN"/>
              </w:rPr>
              <w:t>投标时须提供国家认可的第三方检测机构出具的检测报告复印件</w:t>
            </w:r>
            <w:r>
              <w:rPr>
                <w:rFonts w:hint="eastAsia"/>
                <w:color w:val="auto"/>
                <w:highlight w:val="none"/>
                <w:lang w:eastAsia="zh-CN"/>
              </w:rPr>
              <w:t>）</w:t>
            </w:r>
          </w:p>
          <w:p w14:paraId="78BC3029">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3、结构：全钢独立柜体结构，无需安装；演示台设有储物柜，中间为演示台，设置电源主控系统、多媒体设备（主机、显示器、中控、功放、交换机）的位置预留。</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4、柜身主体背板、吊板及所有板材均采用采用1.0优质一级冷轧钢板（SPCCT）经CNC机压成型，满焊无缝焊接工艺，表面经磷化、环氧树脂静电粉末涂装处理。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5、柜门：双包结构，柜门内部填充蜂窝隔音棉。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6、门铰：采用锌合金铰链。自闭式，与柜体面水平角度&lt;15度时，柜门即可自行关闭，使用过程中无噪音，可开关十万次。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7、滑轨：三节静音滑轨滑轨，承重性强、滑动性能良好、无噪音开合十万次不变形。</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8、拉手：一字内隐藏拉手，与门板抽屉连为一体，造型独特美观。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9、脚垫：ABS注塑专用垫，具有高度可调、耐磨、防潮、耐腐蚀等特点。</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BD3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284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30E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0FC1B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BAA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3FD9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教师椅</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17064">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1、规格：≥550×500×1070mm；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2、采用PU皮面，海绵坐垫；</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3、黑色PP加玻纤内外塑框；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4、一体成型PP固定扶手；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5、中靠背46-49cm，人体工程学设计；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6、≥1.0mm厚气杆；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7、PP加纤五星塑脚；</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8、φ50mm（偏差±5%）黑边尼龙万向轮。</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B7E5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7ED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3E3F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39F73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013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02B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教师电源</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DC96B">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规格：≥310mm×350mm；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1、功能设置：包含电源总开关、220V插座电源、分组电源开关；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2、电源总开关：能够一键开启与关闭整个电源，具有漏电保护功能；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3、插座电源：内含不少于4路220V电源插座输出，额定电流≥5A，具有过流短路保护功能；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4、分组开关：支持对学生端220V插座电源进行分组控制，同时应设有电源输出指示灯。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EB4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D60D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AA6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57D43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8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34660C">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学生实验学习区</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D1EF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5CC90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F64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33</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568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实验桌</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（学生）</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8D4B8">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1、规格：≥1200*600*780mm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▲2、台面：采用12.7mm厚双面膜实芯理化板，且符合如下参数要求：</w:t>
            </w:r>
          </w:p>
          <w:p w14:paraId="20304B68">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▲2-1、化学性能检测：台面依据GB/T 17657-2022 《人造板及饰面人造板理化性能试验方法》标准，耐污染性能不少于130项试验污染物的检测，且包含：65%硝酸、98%硫酸、85%磷酸、柠檬酸、红药水、亚铁氰化钾、酱油、对二甲苯、乙酸甲酯等试剂，覆盖玻璃盖板和未覆盖玻璃盖板检验结果均为5级：无明显变化。</w:t>
            </w:r>
          </w:p>
          <w:p w14:paraId="5EA4307B">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▲2-2、物理性能检测：台面依据GB/T 17657-2022 《人造板及饰面人造板理化性能试验方法》标准，满足： 含水率：≤0.9%；吸水厚度膨胀率≤0.1%；尺寸稳定性：横向≤0.07%、纵向≤0.04%；板面握螺钉力≥3490N；表面耐冷热循环性能：表面无裂纹及鼓泡；浸渍剥离性能：贴面层与基材之间的胶层无剥离和分层现象；表面耐划痕性能：4.5N作用下试件表面无大于90%的连续划痕，表面装饰花纹无破坏现象；耐沸水性能：质量增加百分率≤0.01%、厚度增加百分率≤0.08%，表面质量等级：5级：无变化，边缘质量等级：5级：无明显变化；耐开裂性能：5级：无细微裂纹；表面耐磨性能：≥1100r,未出现磨损点等不低于27项检测。</w:t>
            </w:r>
          </w:p>
          <w:p w14:paraId="4FF83BA8">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▲2-3、环保性能检测：参照GB 18584-2024《家具中有害物质限量》标准，可迁移有害元素:铅(Pb)、镉（Cd）、铬（Cr）、汞（Hg）均未检出。</w:t>
            </w:r>
          </w:p>
          <w:p w14:paraId="783214E6">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-4、抗菌性能检测：台面依据JC/T2039-2010标准，满足：大肠杆菌、金黄色葡萄球菌、肺炎克雷伯氏菌、鼠伤寒沙门氏菌、表皮葡萄球菌、铜绿假单胞菌、宋氏志贺氏菌、白色葡萄球菌、粪肠球菌；耐甲氧西林金黄色葡萄球菌、单核细胞增生李斯特氏菌、变异库克菌、溶血性链球菌等不少于 13 种的菌种检测，且抗菌率≥95%。</w:t>
            </w:r>
          </w:p>
          <w:p w14:paraId="3EC564CC">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▲2-5、防霉性能检测：台面依据JC/T2039-2010标准，满足：黑曲霉、土曲霉、球毛壳霉、宛氏拟青霉、绳状青霉、出芽短梗霉等不少于10种的霉菌检测，且防霉等级为0级。</w:t>
            </w:r>
          </w:p>
          <w:p w14:paraId="36270BD2">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▲2-6、燃烧性能检测：台面依据GB/T 2408-2021《塑料 燃烧性能的测定 水平法和垂直法》标准，满足：水平燃烧符合HB级；垂直燃烧符合V-0级；台面参照GB8624-2012《建筑材料及制品燃烧性能分级》标准，满足：燃烧性能等级B1级；产烟特性等级S1级；燃烧滴落物/微粒等级d0级。</w:t>
            </w:r>
          </w:p>
          <w:p w14:paraId="7BA1BFA1">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▲2-7、烟气毒性检测：台面依据GB 8624-2012《建筑材料及制品燃烧性能分级》标准，烟气毒性等级 t1 级：ZA3（达到准安全三级ZA3）。</w:t>
            </w:r>
          </w:p>
          <w:p w14:paraId="1C3D83FE">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▲2-8、抗老化性检测：台面依据GB/T24508-2020标准：48小时无开裂、无鼓泡、无粉化。</w:t>
            </w:r>
          </w:p>
          <w:p w14:paraId="53FFCFA1">
            <w:pPr>
              <w:keepNext w:val="0"/>
              <w:keepLines w:val="0"/>
              <w:widowControl/>
              <w:suppressLineNumbers w:val="0"/>
              <w:jc w:val="left"/>
              <w:textAlignment w:val="center"/>
              <w:rPr>
                <w:rFonts w:hint="eastAsia"/>
                <w:color w:val="auto"/>
                <w:highlight w:val="none"/>
                <w:lang w:eastAsia="zh-CN"/>
              </w:rPr>
            </w:pPr>
            <w:r>
              <w:rPr>
                <w:rFonts w:hint="eastAsia"/>
                <w:color w:val="auto"/>
                <w:highlight w:val="none"/>
                <w:lang w:eastAsia="zh-CN"/>
              </w:rPr>
              <w:t>（</w:t>
            </w:r>
            <w:r>
              <w:rPr>
                <w:rFonts w:hint="default" w:eastAsia="宋体" w:cs="宋体"/>
                <w:b w:val="0"/>
                <w:bCs/>
                <w:color w:val="auto"/>
                <w:kern w:val="0"/>
                <w:sz w:val="21"/>
                <w:szCs w:val="21"/>
                <w:highlight w:val="none"/>
                <w:lang w:val="en-US" w:eastAsia="zh-CN"/>
              </w:rPr>
              <w:t>投标时须提供国家认可的第三方检测机构出具的检测报告复印件</w:t>
            </w:r>
            <w:r>
              <w:rPr>
                <w:rFonts w:hint="eastAsia"/>
                <w:color w:val="auto"/>
                <w:highlight w:val="none"/>
                <w:lang w:eastAsia="zh-CN"/>
              </w:rPr>
              <w:t>）</w:t>
            </w:r>
          </w:p>
          <w:p w14:paraId="6DB8E736">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3、台身结构：新型塑铝结构，学生位镂空式，符合人体工程学设计，美观大方。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4、桌身：由桌腿、立柱、支撑柱、前横梁、中横梁、后横梁组成。</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5、桌腿：采用工字型压铸铝一次成型，三段链接。上腿（分左右脚）规格：≥长560*宽55*高105mm，壁厚≥2.5mm，内侧设有凹槽。下腿（分左右脚）规格：≥长520*宽65*高90mm，壁厚≥2.5mm，内侧设有凹槽。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立柱：采用≥40×110mm，壁厚≥1.3mm。立柱每端内部有2个铸铝成型的螺丝链接位；内侧设有凹槽。上腿两侧可选装插座方便学生使用。前横梁：≥30×30mm，壁厚≥1.2mm。中横梁：≥30×30mm，壁厚≥1.2mm。后横梁：≥30×30mm,壁厚≥1.2mm；下横梁固定拉杆:≥15*95mm，壁厚≥1.2mm；材料采用优质铝镁合金材料，材料表面经高压静电喷涂环氧树脂防护层，耐酸碱，耐腐蚀处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7、书包斗:尺寸：≥430×270×160mm，采用环保型ABS工程塑料一次性注塑成型；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8、两个书包斗中间设有学生电源盒，尺寸：≥260×185×140mm，方便学生使用。</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4B85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5320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E251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7EC4A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A20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6C7B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电源功能柱</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95FF5">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1、规格：宽≥345mm深≥200mm高≥750mm；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2、材质：采用环保型ABS工程塑料注塑成型；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3、功能：电缆线、通风管等管线均布置于箱体内部，避免管线外露，确保使用的安全。</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0BA6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F39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EF6E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2DBFB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A2F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35</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5B6D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学生凳</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BA397">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1、规格:≥300*455-510mm；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2、凳脚材质:4个凳脚采用≥20*40*1.3mm；椭圆形无缝钢管模具一次成型，全圆满焊完成，结构牢固,经高温粉体烤漆处理,长时间使用也不会产生表面烤漆剥落现象；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3、凳脚弧度:上部凳脚弧度66°,下部凳脚弧度24°,整体美观大方；方形托盘厚度3mm边长≥160*160mm；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4、凳面:凳面直径≥315mm，采用环保型PP改性塑料注塑成型；表面细纹咬花，防滑不发光；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5、脚垫:采用PP加耐磨纤维质塑料，实心倒勾式一体射出成型；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6、凳子可螺旋升降，升降到一定高度后要有固定不旋转装置并且升到最高时凳面不可脱落。</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2654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08B7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4F4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76FF0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D88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34B7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学生电源</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6D034">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1、ABS翻转式电源盒，置于书包盒中间；</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2、学生交流2V到24V输出，电流2A，自动过载保护，自动恢复。电压2V每档，由教师集中供电控制；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3、学生直流2V到24V输出，电流2A，自动过载保护，自动恢复。由教师集中供电控制；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4、配置1组220V国标5孔插座，保险丝保护，工作指示。具有火线关断开关；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5、电源具有工作，过载状态指示，能清楚的判断；</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6、电源采用耐磨、耐腐蚀、耐高温（≤140℃）的面板，标识清楚；</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7、电源的性能应符合JY--0330教学仪器相关标。</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87C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711" w:type="dxa"/>
            <w:tcBorders>
              <w:top w:val="single" w:color="000000" w:sz="4" w:space="0"/>
              <w:left w:val="single" w:color="000000" w:sz="4" w:space="0"/>
              <w:bottom w:val="single" w:color="000000" w:sz="4" w:space="0"/>
              <w:right w:val="single" w:color="auto" w:sz="4" w:space="0"/>
            </w:tcBorders>
            <w:shd w:val="clear" w:color="auto" w:fill="auto"/>
            <w:vAlign w:val="center"/>
          </w:tcPr>
          <w:p w14:paraId="5062638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694" w:type="dxa"/>
            <w:tcBorders>
              <w:top w:val="single" w:color="000000" w:sz="4" w:space="0"/>
              <w:left w:val="single" w:color="000000" w:sz="4" w:space="0"/>
              <w:bottom w:val="single" w:color="000000" w:sz="4" w:space="0"/>
              <w:right w:val="single" w:color="auto" w:sz="4" w:space="0"/>
            </w:tcBorders>
            <w:shd w:val="clear" w:color="auto" w:fill="auto"/>
            <w:vAlign w:val="center"/>
          </w:tcPr>
          <w:p w14:paraId="761370B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4ABDA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818" w:type="dxa"/>
            <w:gridSpan w:val="5"/>
            <w:tcBorders>
              <w:top w:val="single" w:color="000000" w:sz="4" w:space="0"/>
              <w:left w:val="single" w:color="000000" w:sz="4" w:space="0"/>
              <w:bottom w:val="single" w:color="000000" w:sz="4" w:space="0"/>
              <w:right w:val="single" w:color="auto" w:sz="4" w:space="0"/>
            </w:tcBorders>
            <w:shd w:val="clear" w:color="auto" w:fill="auto"/>
            <w:noWrap/>
            <w:vAlign w:val="center"/>
          </w:tcPr>
          <w:p w14:paraId="0A90CF8C">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给排水设备</w:t>
            </w:r>
          </w:p>
        </w:tc>
        <w:tc>
          <w:tcPr>
            <w:tcW w:w="694"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A72CC66">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kern w:val="0"/>
                <w:sz w:val="21"/>
                <w:szCs w:val="21"/>
                <w:highlight w:val="none"/>
                <w:u w:val="none"/>
                <w:lang w:val="en-US" w:eastAsia="zh-CN" w:bidi="ar"/>
              </w:rPr>
            </w:pPr>
          </w:p>
        </w:tc>
      </w:tr>
      <w:tr w14:paraId="3932B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CD0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A89A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双口洗眼器</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5B411">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1、主体：加厚铜质；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2、表面处理：高亮度电镀层，耐腐蚀、耐热，附着力强；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3、防尘盖：PP材质，双喷头均配置防尘盖，通水时自动冲开；</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4、开关手柄：杠杆式结构，铜质按压阀芯配塑料操作手柄，启闭快速、响应灵敏；</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5、供水软管：配置长度≥1.4米柔性软管，采用不锈钢编织增强层，耐磨、防扭结、防老化；</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6、耐压性能：最大承受水压 0.6MPa（6bar）；</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7、洗眼喷头：一体注塑成型，软性橡胶材质，内置缓冲滤网，出水柔和均匀，有效过滤杂质，避免冲击伤害眼睛；双口总流量≥3.0L/min，持续供水≥15 分钟；</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8、控水阀：配置止回阀，具备自动复位、自动关闭功能。</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6F5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565F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A68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471BD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BBE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38</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2A7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化验水槽（配出水装置）</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8C04A">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1、材质：PP材质；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2、水槽外部规格：≥440mm×330mm×200mm；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3、密封方式：水封式，可防止废水回流和堵塞；</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4、槽体上部配备出水装置：单联出水口，管体部份为黄铜合金制，陶瓷阀芯，表面经环氧树脂静电喷涂处理，耐酸碱腐蚀。出水口为铜质瓷芯尖嘴型，可拆卸清洗阻塞。</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6EDC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9A28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6007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1978F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AA6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39</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2EE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独立水槽台（配出水装置）</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A267B">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1、水槽柜整体规格：长≥595mmx宽≥495mx高≥820mm；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2、分别由滴水架、柜体、水槽、底座组成；</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3、滴水架正面配备10条滴水针斜插在滴水架上，滴水架整体高度不低于245mm底部宽度不小于125mm；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4、水槽部分尺寸：≥595*495*160mm；水槽内规格：≥400×310×250mm；水槽内部设有溢水口与下水口，水封式水塞可防止废水回流和堵塞；</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5、水槽采用PP塑料一次模具成型，四周带有围边挡水高度不低于20mm；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6、柜体结构稳固；柜体前后设有检修门、检修门带锁、前后门内部镶嵌冷轧钢板尺寸不小于520*310mm，增加柜门使用耐久度，冷轧钢板采用酸洗工艺处理，通过高温静电喷涂工艺涂层致密耐磨。</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B2A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749C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D4A3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18AF3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818" w:type="dxa"/>
            <w:gridSpan w:val="5"/>
            <w:tcBorders>
              <w:top w:val="single" w:color="000000" w:sz="4" w:space="0"/>
              <w:left w:val="single" w:color="000000" w:sz="4" w:space="0"/>
              <w:bottom w:val="single" w:color="000000" w:sz="4" w:space="0"/>
              <w:right w:val="single" w:color="auto" w:sz="4" w:space="0"/>
            </w:tcBorders>
            <w:shd w:val="clear" w:color="auto" w:fill="auto"/>
            <w:noWrap/>
            <w:vAlign w:val="center"/>
          </w:tcPr>
          <w:p w14:paraId="11C4CD9A">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通风设备</w:t>
            </w:r>
          </w:p>
        </w:tc>
        <w:tc>
          <w:tcPr>
            <w:tcW w:w="694"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6137416">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kern w:val="0"/>
                <w:sz w:val="21"/>
                <w:szCs w:val="21"/>
                <w:highlight w:val="none"/>
                <w:u w:val="none"/>
                <w:lang w:val="en-US" w:eastAsia="zh-CN" w:bidi="ar"/>
              </w:rPr>
            </w:pPr>
          </w:p>
        </w:tc>
      </w:tr>
      <w:tr w14:paraId="5613C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8F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7DB7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万向吸风罩</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001A0">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1、关节：可360度旋转调节方向，易拆卸、重组及清洗；</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2、关节密封圈：不易老化之高密度橡胶；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3、关节弹簧装置：防下垂、下滑、松动；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4、关节松紧旋钮：高密度PP材质，内嵌不锈钢轴承，与关节连接杆锁合；</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5、气流调节阀：手动调节外部阀门旋钮，控制进入之气流量；</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6、拱型/杯型集气罩：高密度PP/PC材质；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7、固定底座：非粘接而成，模具注塑一体成型，牢度强，不脱底。</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BE2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6278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F594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79720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A76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41</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098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离心风机</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DC4F8">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1、6#离心风机、5.5KW，转速1450r/min，流量10602-21204M3/h，全压1150-748Pa；</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2、噪声符合国家标准,风机外壳和叶轮均采用模具一次成型；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3、配橡胶减震器用于消除专用通风机引起的震动，配防雨帽，PP材质，主要用于对专用通风机的防护。</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3D7A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3ABE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6CC0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6C60D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D36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42</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459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风机变频控制器</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A5A49">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1、适配多种电机功率；</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2、面板频率:无极编码器；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3、输出:AC 0-380V 13A；</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4、模拟输出:2路(A01.A02)0-10V/0-20MA；</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5、模拟输入:1路(AI2)0-10V/0-20MA，1路(AI3)0-10V；</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6、控制方式:V/F控制；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7、过载能力:150%额定电流60s;180%额定电流3s；</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8、控制电源+24V:最大输出电流200mA；</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9、运行方式:键盘、端子、RS485通讯；</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10、可实现紧急停机，转速跟踪；</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11、输入端子:8路数字量输入端子；</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12、继电器输出:两路可编程继电器输出；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13、可显示运行信息、故障信息。具备过流、过压、模块故障保护、欠压、过热、过载、外部故障保护、EEPROM故障保护、接地保护、缺相等变频器保护及报警功能；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14、能适应-10℃~40℃的使用环境温度和-20℃~65℃储存温度,最大 90%RH不结露的环境湿度。要求能适应高度1000m以下，振动5.8m/秒²(=0.6g)以下使用环境；</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15、冷却方式采用强制风冷。</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C260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FC38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28CA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25FBF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6A1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43</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8520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风机调速控制器</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B3C78">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1、规格：≥310mm×350mm；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2、集成风机供电船型开关与风机变频控制按键面板，能够实现风机控制的启停以及风量调节。</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E64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30F8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E364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16D6B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480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AE97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室内风管及配件</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4ED3F">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室内风管及配件: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1、主通风管规格：φ160mm/200mm，PVC成品管道；</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2、支管道规格：φ110mm/160mm，PVC成品管道；</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3、管道配件：管道三通、弯头、变径、直接。</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（实际管径视现场情况需可适当调整）</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70B1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4B7E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E0A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163EC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BDB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45</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C8F2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室外风管及配件</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C79DE">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室外风管及配件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1、主通风管规格：φ400mm/φ315mm，优质PVC成品管道；因现场环境因素，主通风管也可以用两趟φ200mm风管代替；</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2、管道配件：管道三通、弯头、变径、直接；</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3、安装附件：固定铁卡。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9807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9409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8C1A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78FD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81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97E1C">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安装附件部分</w:t>
            </w:r>
          </w:p>
        </w:tc>
        <w:tc>
          <w:tcPr>
            <w:tcW w:w="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832AD">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kern w:val="0"/>
                <w:sz w:val="21"/>
                <w:szCs w:val="21"/>
                <w:highlight w:val="none"/>
                <w:u w:val="none"/>
                <w:lang w:val="en-US" w:eastAsia="zh-CN" w:bidi="ar"/>
              </w:rPr>
            </w:pPr>
          </w:p>
        </w:tc>
      </w:tr>
      <w:tr w14:paraId="6600B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E12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46</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58CA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电源布线耗材</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3EA3C">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1、地面耗材：每桌采用软铜质电线与主线对接取电；选用合适规格的线管包裹取电连接线；</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2、地下耗材：电源主线采用4.0mm²BVR铜软线铺设；选用Ф20或Ф25PVC阻燃线管。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5338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AAB2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室</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D89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07839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6DB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47</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ADB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风机布线耗材</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B665A">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风机专用线电源主线需采用4mm²RVV塑铜线铺设经教师电源控制台至风机。</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AA95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3E5E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室</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E606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1B287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054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48</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280C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给/排水全套装置</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6662B">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1、PPR材质水管，上水管和进水管为Ф25；UPVC材质排水管为Ф50；</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2、开关阀门，外丝连接件、PVC胶水等。</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6F76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C396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03D8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2BEF4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E02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49</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5EC6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实验室环境改造</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72B03">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 xml:space="preserve">1、水电改造阻燃电线，PVC 线管，灯、插座 等，PVC 水管及配件，人工及材料及辅材；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2、吊顶：铝扣板 0.7mm 厚，约 600×600mm 铝扣板、龙骨、边条、人工安装；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3、地面：开挖铺设管线后，恢复地面；</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4、墙面天面腻子乳胶漆 ：腻子粉，刮墙 2~3 遍抹灰，灯光打磨，布带封缝工艺；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5、教室原有风扇等设备位置调整；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6、材料运输及搬运，垃圾清理。</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AE06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11" w:type="dxa"/>
            <w:tcBorders>
              <w:top w:val="single" w:color="000000" w:sz="4" w:space="0"/>
              <w:left w:val="single" w:color="000000" w:sz="4" w:space="0"/>
              <w:bottom w:val="single" w:color="000000" w:sz="4" w:space="0"/>
              <w:right w:val="single" w:color="auto" w:sz="4" w:space="0"/>
            </w:tcBorders>
            <w:shd w:val="clear" w:color="auto" w:fill="auto"/>
            <w:vAlign w:val="center"/>
          </w:tcPr>
          <w:p w14:paraId="4735A92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室</w:t>
            </w:r>
          </w:p>
        </w:tc>
        <w:tc>
          <w:tcPr>
            <w:tcW w:w="694" w:type="dxa"/>
            <w:tcBorders>
              <w:top w:val="single" w:color="000000" w:sz="4" w:space="0"/>
              <w:left w:val="single" w:color="000000" w:sz="4" w:space="0"/>
              <w:bottom w:val="single" w:color="000000" w:sz="4" w:space="0"/>
              <w:right w:val="single" w:color="auto" w:sz="4" w:space="0"/>
            </w:tcBorders>
            <w:shd w:val="clear" w:color="auto" w:fill="auto"/>
            <w:vAlign w:val="center"/>
          </w:tcPr>
          <w:p w14:paraId="2BDA63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4C6CE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818" w:type="dxa"/>
            <w:gridSpan w:val="5"/>
            <w:tcBorders>
              <w:top w:val="single" w:color="000000" w:sz="4" w:space="0"/>
              <w:left w:val="single" w:color="000000" w:sz="4" w:space="0"/>
              <w:bottom w:val="single" w:color="000000" w:sz="4" w:space="0"/>
              <w:right w:val="single" w:color="auto" w:sz="4" w:space="0"/>
            </w:tcBorders>
            <w:shd w:val="clear" w:color="auto" w:fill="auto"/>
            <w:vAlign w:val="center"/>
          </w:tcPr>
          <w:p w14:paraId="6A986FF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sz w:val="21"/>
                <w:szCs w:val="21"/>
                <w:highlight w:val="none"/>
                <w:u w:val="none"/>
              </w:rPr>
              <w:t>四、生物观察实验室</w:t>
            </w:r>
          </w:p>
        </w:tc>
        <w:tc>
          <w:tcPr>
            <w:tcW w:w="694" w:type="dxa"/>
            <w:tcBorders>
              <w:top w:val="single" w:color="000000" w:sz="4" w:space="0"/>
              <w:left w:val="single" w:color="000000" w:sz="4" w:space="0"/>
              <w:bottom w:val="single" w:color="000000" w:sz="4" w:space="0"/>
              <w:right w:val="single" w:color="auto" w:sz="4" w:space="0"/>
            </w:tcBorders>
            <w:shd w:val="clear" w:color="auto" w:fill="auto"/>
            <w:vAlign w:val="center"/>
          </w:tcPr>
          <w:p w14:paraId="0D3F1CF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bCs/>
                <w:i w:val="0"/>
                <w:iCs w:val="0"/>
                <w:color w:val="auto"/>
                <w:sz w:val="21"/>
                <w:szCs w:val="21"/>
                <w:highlight w:val="none"/>
                <w:u w:val="none"/>
              </w:rPr>
            </w:pPr>
          </w:p>
        </w:tc>
      </w:tr>
      <w:tr w14:paraId="118D7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818" w:type="dxa"/>
            <w:gridSpan w:val="5"/>
            <w:tcBorders>
              <w:top w:val="single" w:color="000000" w:sz="4" w:space="0"/>
              <w:left w:val="single" w:color="000000" w:sz="4" w:space="0"/>
              <w:bottom w:val="single" w:color="000000" w:sz="4" w:space="0"/>
              <w:right w:val="single" w:color="auto" w:sz="4" w:space="0"/>
            </w:tcBorders>
            <w:shd w:val="clear" w:color="auto" w:fill="auto"/>
            <w:noWrap/>
            <w:vAlign w:val="center"/>
          </w:tcPr>
          <w:p w14:paraId="30D82BC7">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教师控制演示区</w:t>
            </w:r>
          </w:p>
        </w:tc>
        <w:tc>
          <w:tcPr>
            <w:tcW w:w="694"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0681636">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kern w:val="0"/>
                <w:sz w:val="21"/>
                <w:szCs w:val="21"/>
                <w:highlight w:val="none"/>
                <w:u w:val="none"/>
                <w:lang w:val="en-US" w:eastAsia="zh-CN" w:bidi="ar"/>
              </w:rPr>
            </w:pPr>
          </w:p>
        </w:tc>
      </w:tr>
      <w:tr w14:paraId="0833F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678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118C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实验桌（教师演示台）</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2CC58">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1、规格：≥2800×700×850mm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▲2、台面：采用25mm厚金属树脂高能理化板，且符合如下参数要求：</w:t>
            </w:r>
          </w:p>
          <w:p w14:paraId="2D30B0AA">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▲2-1、化学性能检测：台面依据GB/T 17657-2022 《人造板及饰面人造板理化性能试验方法》标准，耐污染性能不少于130项试验污染物的检测，且包含：65%硝酸、98%硫酸、85%磷酸、柠檬酸、红药水、亚铁氰化钾、酱油、对二甲苯、乙酸甲酯等试剂，覆盖玻璃盖板和未覆盖玻璃盖板检验结果均为5级：无明显变化。</w:t>
            </w:r>
          </w:p>
          <w:p w14:paraId="104E1C5C">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▲2-2、物理性能检测：台面依据GB/T 17657-2022 《人造板及饰面人造板理化性能试验方法》标准，满足：弹性模量≥9700MPa； 含水率：≤0.9%；尺寸稳定性：横向≤0.11%、纵向≤0.08%；表面耐磨性能：≥1200r,未出现磨损点;表面耐湿热性能：五级：无明显变化；浸渍剥离性能：贴面层与基材之间的胶层无剥离和分层现象；耐光色牢度性能:&gt;4级;漆膜附着力：六级：切割边缘完全平滑，网格内无脱落等不低于16项检测。</w:t>
            </w:r>
          </w:p>
          <w:p w14:paraId="1EAB05D3">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▲2-3、环保性能检测：参照GB 18584-2024《家具中有害物质限量》标准，可迁移有害元素:铅(Pb)、镉（Cd）、铬（Cr）、汞（Hg）均未检出。</w:t>
            </w:r>
          </w:p>
          <w:p w14:paraId="7CC29C39">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-4、抗菌性能检测：台面依据JC/T2039-2010标准，满足：大肠杆菌、金黄色葡萄球菌、肺炎克雷伯氏菌、鼠伤寒沙门氏菌、表皮葡萄球菌、铜绿假单胞菌、宋氏志贺氏菌、白色葡萄球菌、粪肠球菌；耐甲氧西林金黄色葡萄球菌、单核细胞增生李斯特氏菌、变异库克菌、溶血性链球菌等不少于 13 种的菌种检测，且抗菌率≥95%。</w:t>
            </w:r>
          </w:p>
          <w:p w14:paraId="3A1925CF">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▲2-5、防霉性能检测：台面依据JC/T2039-2010标准，满足：黑曲霉、土曲霉、球毛壳霉、宛氏拟青霉、绳状青霉、出芽短梗霉等不少于10种的霉菌检测，且防霉等级为0级。</w:t>
            </w:r>
          </w:p>
          <w:p w14:paraId="303CE7D4">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▲2-6、燃烧性能检测：台面依据GB/T 2408-2021《塑料 燃烧性能的测定 水平法和垂直法》标准，满足：水平燃烧符合HB级；垂直燃烧符合V-0级；台面参照GB8624-2012《建筑材料及制品燃烧性能分级》标准，满足：燃烧性能等级B1级；产烟特性等级S1级；燃烧滴落物/微粒等级d0级。</w:t>
            </w:r>
          </w:p>
          <w:p w14:paraId="566A0B0B">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▲2-7、抗老化性检测：台面依据GB/T24508-2020标准：48小时无开裂、无鼓泡、无粉化。</w:t>
            </w:r>
          </w:p>
          <w:p w14:paraId="72ED6C0B">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color w:val="auto"/>
                <w:highlight w:val="none"/>
                <w:lang w:eastAsia="zh-CN"/>
              </w:rPr>
              <w:t>（</w:t>
            </w:r>
            <w:r>
              <w:rPr>
                <w:rFonts w:hint="default" w:eastAsia="宋体" w:cs="宋体"/>
                <w:b w:val="0"/>
                <w:bCs/>
                <w:color w:val="auto"/>
                <w:kern w:val="0"/>
                <w:sz w:val="21"/>
                <w:szCs w:val="21"/>
                <w:highlight w:val="none"/>
                <w:lang w:val="en-US" w:eastAsia="zh-CN"/>
              </w:rPr>
              <w:t>投标时须提供国家认可的第三方检测机构出具的检测报告复印件</w:t>
            </w:r>
            <w:r>
              <w:rPr>
                <w:rFonts w:hint="eastAsia"/>
                <w:color w:val="auto"/>
                <w:highlight w:val="none"/>
                <w:lang w:eastAsia="zh-CN"/>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3、结构：全钢独立柜体结构，无需安装；演示台设有储物柜，中间为演示台，设置电源主控系统、多媒体设备（主机、显示器、中控、功放、交换机）的位置预留。</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4、柜身主体背板、吊板及所有板材均采用采用1.0优质一级冷轧钢板（SPCCT）经CNC机压成型，满焊无缝焊接工艺，表面经磷化、环氧树脂静电粉末涂装处理。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5、柜门：双包结构，柜门内部填充蜂窝隔音棉。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6、门铰：采用锌合金铰链。自闭式，与柜体面水平角度&lt;15度时，柜门即可自行关闭，使用过程中无噪音，可开关十万次。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7、滑轨：三节静音滑轨滑轨，承重性强、滑动性能良好、无噪音开合十万次不变形。</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8、拉手：一字内隐藏拉手，与门板抽屉连为一体，造型独特美观。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9、脚垫：ABS注塑专用垫，具有高度可调、耐磨、防潮、耐腐蚀等特点。</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8B1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1E7B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9389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4D227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235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51</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6532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教师椅</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E4E9">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1、规格：≥550×500×1070mm；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2、采用PU皮面，海绵坐垫；</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3、黑色PP加玻纤内外塑框；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4、一体成型PP固定扶手；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5、中靠背46-49cm，人体工程学设计；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6、≥1.0mm厚气杆；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7、PP加纤五星塑脚；</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8、φ50mm（偏差±5%）黑边尼龙万向轮。</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9E34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EEA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A8DD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03636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50C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52</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CC8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教师电源</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09F4C">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规格：≥310mm×350mm；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1、功能设置：包含电源总开关、220V插座电源、分组电源开关；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2、电源总开关：能够一键开启与关闭整个电源，具有漏电保护功能；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3、插座电源：内含不少于4路220V电源插座输出，额定电流≥5A，具有过流短路保护功能；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4、分组开关：支持对学生端220V插座电源进行分组控制，同时应设有电源输出指示灯。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8EB4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B04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EF9E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463E9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818" w:type="dxa"/>
            <w:gridSpan w:val="5"/>
            <w:tcBorders>
              <w:top w:val="single" w:color="000000" w:sz="4" w:space="0"/>
              <w:left w:val="single" w:color="000000" w:sz="4" w:space="0"/>
              <w:bottom w:val="single" w:color="000000" w:sz="4" w:space="0"/>
              <w:right w:val="single" w:color="auto" w:sz="4" w:space="0"/>
            </w:tcBorders>
            <w:shd w:val="clear" w:color="auto" w:fill="auto"/>
            <w:noWrap/>
            <w:vAlign w:val="center"/>
          </w:tcPr>
          <w:p w14:paraId="1106B45A">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学生实验学习区</w:t>
            </w:r>
          </w:p>
        </w:tc>
        <w:tc>
          <w:tcPr>
            <w:tcW w:w="694"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032D9B4">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kern w:val="0"/>
                <w:sz w:val="21"/>
                <w:szCs w:val="21"/>
                <w:highlight w:val="none"/>
                <w:u w:val="none"/>
                <w:lang w:val="en-US" w:eastAsia="zh-CN" w:bidi="ar"/>
              </w:rPr>
            </w:pPr>
          </w:p>
        </w:tc>
      </w:tr>
      <w:tr w14:paraId="770F6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861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53</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302B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实验桌</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（学生）</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F0366">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1、规格：≥1200*600*780mm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▲2、台面：采用12.7mm厚双面膜实芯理化板，且符合如下参数要求：</w:t>
            </w:r>
          </w:p>
          <w:p w14:paraId="1B8316E8">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▲2-1、化学性能检测：台面依据GB/T 17657-2022 《人造板及饰面人造板理化性能试验方法》标准，耐污染性能不少于130项试验污染物的检测，且包含：65%硝酸、98%硫酸、85%磷酸、柠檬酸、红药水、亚铁氰化钾、酱油、对二甲苯、乙酸甲酯等试剂，覆盖玻璃盖板和未覆盖玻璃盖板检验结果均为5级：无明显变化。</w:t>
            </w:r>
          </w:p>
          <w:p w14:paraId="2EC949F8">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▲2-2、物理性能检测：台面依据GB/T 17657-2022 《人造板及饰面人造板理化性能试验方法》标准，满足： 含水率：≤0.9%；吸水厚度膨胀率≤0.1%；尺寸稳定性：横向≤0.07%、纵向≤0.04%；板面握螺钉力≥3490N；表面耐冷热循环性能：表面无裂纹及鼓泡；浸渍剥离性能：贴面层与基材之间的胶层无剥离和分层现象；表面耐划痕性能：4.5N作用下试件表面无大于90%的连续划痕，表面装饰花纹无破坏现象；耐沸水性能：质量增加百分率≤0.01%、厚度增加百分率≤0.08%，表面质量等级：5级：无变化，边缘质量等级：5级：无明显变化；耐开裂性能：5级：无细微裂纹；表面耐磨性能：≥1100r,未出现磨损点等不低于27项检测。</w:t>
            </w:r>
          </w:p>
          <w:p w14:paraId="1E6A46F4">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▲2-3、环保性能检测：参照GB 18584-2024《家具中有害物质限量》标准，可迁移有害元素:铅(Pb)、镉（Cd）、铬（Cr）、汞（Hg）均未检出。</w:t>
            </w:r>
          </w:p>
          <w:p w14:paraId="1BF62E44">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-4、抗菌性能检测：台面依据JC/T2039-2010标准，满足：大肠杆菌、金黄色葡萄球菌、肺炎克雷伯氏菌、鼠伤寒沙门氏菌、表皮葡萄球菌、铜绿假单胞菌、宋氏志贺氏菌、白色葡萄球菌、粪肠球菌；耐甲氧西林金黄色葡萄球菌、单核细胞增生李斯特氏菌、变异库克菌、溶血性链球菌等不少于 13 种的菌种检测，且抗菌率≥95%。</w:t>
            </w:r>
          </w:p>
          <w:p w14:paraId="31E4CBD7">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▲2-5、防霉性能检测：台面依据JC/T2039-2010标准，满足：黑曲霉、土曲霉、球毛壳霉、宛氏拟青霉、绳状青霉、出芽短梗霉等不少于10种的霉菌检测，且防霉等级为0级。</w:t>
            </w:r>
          </w:p>
          <w:p w14:paraId="29E34002">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▲2-6、燃烧性能检测：台面依据GB/T 2408-2021《塑料 燃烧性能的测定 水平法和垂直法》标准，满足：水平燃烧符合HB级；垂直燃烧符合V-0级；台面参照GB8624-2012《建筑材料及制品燃烧性能分级》标准，满足：燃烧性能等级B1级；产烟特性等级S1级；燃烧滴落物/微粒等级d0级。</w:t>
            </w:r>
          </w:p>
          <w:p w14:paraId="3837AA68">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▲2-7、烟气毒性检测：台面依据GB 8624-2012《建筑材料及制品燃烧性能分级》标准，烟气毒性等级 t1 级：ZA3（达到准安全三级ZA3）。</w:t>
            </w:r>
          </w:p>
          <w:p w14:paraId="5965CCD0">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▲2-8、抗老化性检测：台面依据GB/T24508-2020标准：48小时无开裂、无鼓泡、无粉化。</w:t>
            </w:r>
          </w:p>
          <w:p w14:paraId="50D8885E">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color w:val="auto"/>
                <w:highlight w:val="none"/>
                <w:lang w:eastAsia="zh-CN"/>
              </w:rPr>
              <w:t>（</w:t>
            </w:r>
            <w:r>
              <w:rPr>
                <w:rFonts w:hint="default" w:eastAsia="宋体" w:cs="宋体"/>
                <w:b w:val="0"/>
                <w:bCs/>
                <w:color w:val="auto"/>
                <w:kern w:val="0"/>
                <w:sz w:val="21"/>
                <w:szCs w:val="21"/>
                <w:highlight w:val="none"/>
                <w:lang w:val="en-US" w:eastAsia="zh-CN"/>
              </w:rPr>
              <w:t>投标时须提供国家认可的第三方检测机构出具的检测报告复印件</w:t>
            </w:r>
            <w:r>
              <w:rPr>
                <w:rFonts w:hint="eastAsia"/>
                <w:color w:val="auto"/>
                <w:highlight w:val="none"/>
                <w:lang w:eastAsia="zh-CN"/>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3、台身结构：新型塑铝结构，学生位镂空式，符合人体工程学设计，美观大方。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4、桌身：由桌腿、立柱、支撑柱、前横梁、中横梁、后横梁组成。</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5、桌腿：采用工字型压铸铝一次成型，三段链接。上腿（分左右脚）规格：≥长560*宽55*高105mm，壁厚≥2.5mm，内侧设有凹槽。下腿（分左右脚）规格：≥长520*宽65*高90mm，壁厚≥2.5mm，内侧设有凹槽。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立柱：采用≥40×110mm，壁厚≥1.3mm。立柱每端内部有2个铸铝成型的螺丝链接位；内侧设有凹槽。上腿两侧可选装插座方便学生使用。前横梁：≥30×30mm，壁厚≥1.2mm。中横梁：≥30×30mm，壁厚≥1.2mm。后横梁：≥30×30mm,壁厚≥1.2mm；下横梁固定拉杆:≥15*95mm，壁厚≥1.2mm；材料采用优质铝镁合金材料，材料表面经高压静电喷涂环氧树脂防护层，耐酸碱，耐腐蚀处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7、书包斗:尺寸：≥430×270×160mm，采用环保型ABS工程塑料一次性注塑成型；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8、两个书包斗中间设有学生电源盒，尺寸：≥260×185×140mm，方便学生使用。</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815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A11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D443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55C40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CA9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F5CC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电源功能柱</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9AECE">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1、规格：宽≥345mm深≥200mm高≥750mm；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2、材质：采用环保型ABS工程塑料注塑成型；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3、功能：电缆线、通风管等管线均布置于箱体内部，避免管线外露，确保使用的安全。</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2329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D5F2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3ED0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618A2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28E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55</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F21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学生凳</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E06B3">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1、规格:≥300*455-510mm；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2、凳脚材质:4个凳脚采用≥20*40*1.3mm；椭圆形无缝钢管模具一次成型，全圆满焊完成，结构牢固,经高温粉体烤漆处理,长时间使用也不会产生表面烤漆剥落现象；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3、凳脚弧度:上部凳脚弧度66°,下部凳脚弧度24°,整体美观大方；方形托盘厚度3mm边长≥160*160mm；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4、凳面:凳面直径≥315mm，采用环保型PP改性塑料注塑成型；表面细纹咬花，防滑不发光；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5、脚垫:采用PP加耐磨纤维质塑料，实心倒勾式一体射出成型；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6、凳子可螺旋升降，升降到一定高度后要有固定不旋转装置并且升到最高时凳面不可脱落。</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9DB0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60D7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3220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68E73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AFF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56</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ECA8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学生电源</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F2DD2">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1、ABS翻转式电源盒，置于书包盒中间；</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2、学生交流2V到24V输出，电流2A，自动过载保护，自动恢复。电压2V每档，由教师集中供电控制；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3、学生直流2V到24V输出，电流2A，自动过载保护，自动恢复。由教师集中供电控制；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4、配置1组220V国标5孔插座，保险丝保护，工作指示。具有火线关断开关；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5、电源具有工作，过载状态指示，能清楚的判断；</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6、电源采用耐磨、耐腐蚀、耐高温（≤140℃）的面板，标识清楚；</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7、电源的性能应符合JY--0330教学仪器相关标。</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1FF5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1D82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766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5D089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AAC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57</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556A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学生光源</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9A426">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1、采用塑料材质的灯座支架；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2、7w的LED光源，亮度高，光照角度可调。</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E03D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C215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8F9B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417A2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818" w:type="dxa"/>
            <w:gridSpan w:val="5"/>
            <w:tcBorders>
              <w:top w:val="single" w:color="000000" w:sz="4" w:space="0"/>
              <w:left w:val="single" w:color="000000" w:sz="4" w:space="0"/>
              <w:bottom w:val="single" w:color="000000" w:sz="4" w:space="0"/>
              <w:right w:val="single" w:color="auto" w:sz="4" w:space="0"/>
            </w:tcBorders>
            <w:shd w:val="clear" w:color="auto" w:fill="auto"/>
            <w:noWrap/>
            <w:vAlign w:val="center"/>
          </w:tcPr>
          <w:p w14:paraId="11F84420">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给排水设备</w:t>
            </w:r>
          </w:p>
        </w:tc>
        <w:tc>
          <w:tcPr>
            <w:tcW w:w="694"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DB855D4">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kern w:val="0"/>
                <w:sz w:val="21"/>
                <w:szCs w:val="21"/>
                <w:highlight w:val="none"/>
                <w:u w:val="none"/>
                <w:lang w:val="en-US" w:eastAsia="zh-CN" w:bidi="ar"/>
              </w:rPr>
            </w:pPr>
          </w:p>
        </w:tc>
      </w:tr>
      <w:tr w14:paraId="4C857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965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58</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3D67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双口洗眼器</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99894">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1、主体：加厚铜质；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2、表面处理：高亮度电镀层，耐腐蚀、耐热，附着力强；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3、防尘盖：PP材质，双喷头均配置防尘盖，通水时自动冲开；</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4、开关手柄：杠杆式结构，铜质按压阀芯配塑料操作手柄，启闭快速、响应灵敏；</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5、供水软管：配置长度≥1.4米柔性软管，采用不锈钢编织增强层，耐磨、防扭结、防老化；</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6、耐压性能：最大承受水压 0.6MPa（6bar）；</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7、洗眼喷头：一体注塑成型，软性橡胶材质，内置缓冲滤网，出水柔和均匀，有效过滤杂质，避免冲击伤害眼睛；双口总流量≥3.0L/min，持续供水≥15 分钟；</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8、控水阀：配置止回阀，具备自动复位、自动关闭功能。</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3A43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11" w:type="dxa"/>
            <w:tcBorders>
              <w:top w:val="single" w:color="000000" w:sz="4" w:space="0"/>
              <w:left w:val="single" w:color="000000" w:sz="4" w:space="0"/>
              <w:bottom w:val="single" w:color="000000" w:sz="4" w:space="0"/>
              <w:right w:val="single" w:color="auto" w:sz="4" w:space="0"/>
            </w:tcBorders>
            <w:shd w:val="clear" w:color="auto" w:fill="auto"/>
            <w:vAlign w:val="center"/>
          </w:tcPr>
          <w:p w14:paraId="7B14CF9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94" w:type="dxa"/>
            <w:tcBorders>
              <w:top w:val="single" w:color="000000" w:sz="4" w:space="0"/>
              <w:left w:val="single" w:color="000000" w:sz="4" w:space="0"/>
              <w:bottom w:val="single" w:color="000000" w:sz="4" w:space="0"/>
              <w:right w:val="single" w:color="auto" w:sz="4" w:space="0"/>
            </w:tcBorders>
            <w:shd w:val="clear" w:color="auto" w:fill="auto"/>
            <w:vAlign w:val="center"/>
          </w:tcPr>
          <w:p w14:paraId="7A1B70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2B9F6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843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59</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3EFB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化验水槽（配出水装置）</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FB8F9">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1、材质：PP材质；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2、水槽外部规格：≥440mm×330mm×200mm；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3、密封方式：水封式，可防止废水回流和堵塞；</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4、槽体上部配备出水装置：单联出水口，管体部份为黄铜合金制，陶瓷阀芯，表面经环氧树脂静电喷涂处理，耐酸碱腐蚀。出水口为铜质瓷芯尖嘴型，可拆卸清洗阻塞。</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5D9E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9D88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7173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028F0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9D84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60</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2A3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独立水槽台（配出水装置）</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2CD1F">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1、水槽柜整体规格：长≥595mmx宽≥495mx高≥820mm；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2、分别由滴水架、柜体、水槽、底座组成；</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3、滴水架正面配备10条滴水针斜插在滴水架上，滴水架整体高度不低于245mm底部宽度不小于125mm；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4、水槽部分尺寸：≥595*495*160mm；水槽内规格：≥400×310×250mm；水槽内部设有溢水口与下水口，水封式水塞可防止废水回流和堵塞；</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5、水槽采用PP塑料一次模具成型，四周带有围边挡水高度不低于20mm；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6、柜体结构稳固；柜体前后设有检修门、检修门带锁、前后门内部镶嵌冷轧钢板尺寸不小于520*310mm，增加柜门使用耐久度，冷轧钢板采用酸洗工艺处理，通过高温静电喷涂工艺涂层致密耐磨。</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BFA7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711"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8645A2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94"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9AC64B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72D9D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818" w:type="dxa"/>
            <w:gridSpan w:val="5"/>
            <w:tcBorders>
              <w:top w:val="single" w:color="000000" w:sz="4" w:space="0"/>
              <w:left w:val="single" w:color="000000" w:sz="4" w:space="0"/>
              <w:bottom w:val="single" w:color="000000" w:sz="4" w:space="0"/>
              <w:right w:val="single" w:color="auto" w:sz="4" w:space="0"/>
            </w:tcBorders>
            <w:shd w:val="clear" w:color="auto" w:fill="auto"/>
            <w:noWrap/>
            <w:vAlign w:val="center"/>
          </w:tcPr>
          <w:p w14:paraId="62E4889A">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安装附件部分</w:t>
            </w:r>
          </w:p>
        </w:tc>
        <w:tc>
          <w:tcPr>
            <w:tcW w:w="694"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414098B">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auto"/>
                <w:kern w:val="0"/>
                <w:sz w:val="21"/>
                <w:szCs w:val="21"/>
                <w:highlight w:val="none"/>
                <w:u w:val="none"/>
                <w:lang w:val="en-US" w:eastAsia="zh-CN" w:bidi="ar"/>
              </w:rPr>
            </w:pPr>
          </w:p>
        </w:tc>
      </w:tr>
      <w:tr w14:paraId="35E1F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1EB9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61</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2D70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电源布线耗材</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8672C">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1、地面耗材：每桌采用软铜质电线与主线对接取电；选用合适规格的线管包裹取电连接线；</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2、地下耗材：电源主线采用4.0mm²BVR铜软线铺设；选用Ф20或Ф25PVC阻燃线管。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8D9B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B717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室</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295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667A6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CCB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62</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1DF5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给/排水全套装置</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BA8E9">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1、PPR材质水管，上水管和进水管为Ф25；UPVC材质排水管为Ф50；</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2、开关阀门，外丝连接件、PVC胶水等。</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1C45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3624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03D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16CDD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C22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63</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E05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实验室环境改造</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03FDD">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 xml:space="preserve">1、水电改造阻燃电线，PVC 线管，灯、插座 等，PVC 水管及配件，人工及材料及辅材；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2、吊顶：铝扣板 0.7mm 厚，约 600×600mm 铝扣 板、龙骨、边条、人工安装；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3、地面：开挖铺设管线后，恢复地面；</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4、墙面天面腻子乳胶漆 ：腻子粉，刮 墙 2~3 遍抹灰，灯光打磨，布带封缝工艺；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5、教室原有风扇等设备位置调整；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6、材料运输及搬运，垃圾清理。</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4C24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11" w:type="dxa"/>
            <w:tcBorders>
              <w:top w:val="single" w:color="000000" w:sz="4" w:space="0"/>
              <w:left w:val="single" w:color="000000" w:sz="4" w:space="0"/>
              <w:bottom w:val="single" w:color="000000" w:sz="4" w:space="0"/>
              <w:right w:val="single" w:color="auto" w:sz="4" w:space="0"/>
            </w:tcBorders>
            <w:shd w:val="clear" w:color="auto" w:fill="auto"/>
            <w:vAlign w:val="center"/>
          </w:tcPr>
          <w:p w14:paraId="083C61B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室</w:t>
            </w:r>
          </w:p>
        </w:tc>
        <w:tc>
          <w:tcPr>
            <w:tcW w:w="694" w:type="dxa"/>
            <w:tcBorders>
              <w:top w:val="single" w:color="000000" w:sz="4" w:space="0"/>
              <w:left w:val="single" w:color="000000" w:sz="4" w:space="0"/>
              <w:bottom w:val="single" w:color="000000" w:sz="4" w:space="0"/>
              <w:right w:val="single" w:color="auto" w:sz="4" w:space="0"/>
            </w:tcBorders>
            <w:shd w:val="clear" w:color="auto" w:fill="auto"/>
            <w:vAlign w:val="center"/>
          </w:tcPr>
          <w:p w14:paraId="33EE2F7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423B3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818" w:type="dxa"/>
            <w:gridSpan w:val="5"/>
            <w:tcBorders>
              <w:top w:val="single" w:color="000000" w:sz="4" w:space="0"/>
              <w:left w:val="single" w:color="000000" w:sz="4" w:space="0"/>
              <w:bottom w:val="single" w:color="000000" w:sz="4" w:space="0"/>
              <w:right w:val="single" w:color="auto" w:sz="4" w:space="0"/>
            </w:tcBorders>
            <w:shd w:val="clear" w:color="auto" w:fill="auto"/>
            <w:vAlign w:val="center"/>
          </w:tcPr>
          <w:p w14:paraId="45E0E7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bCs/>
                <w:i w:val="0"/>
                <w:iCs w:val="0"/>
                <w:color w:val="auto"/>
                <w:sz w:val="21"/>
                <w:szCs w:val="21"/>
                <w:highlight w:val="none"/>
                <w:u w:val="none"/>
                <w:lang w:eastAsia="zh-CN"/>
              </w:rPr>
            </w:pPr>
            <w:r>
              <w:rPr>
                <w:rFonts w:hint="eastAsia" w:ascii="宋体" w:hAnsi="宋体" w:eastAsia="宋体" w:cs="宋体"/>
                <w:b/>
                <w:bCs/>
                <w:i w:val="0"/>
                <w:iCs w:val="0"/>
                <w:color w:val="auto"/>
                <w:sz w:val="21"/>
                <w:szCs w:val="21"/>
                <w:highlight w:val="none"/>
                <w:u w:val="none"/>
                <w:lang w:eastAsia="zh-CN"/>
              </w:rPr>
              <w:t>五、</w:t>
            </w:r>
            <w:r>
              <w:rPr>
                <w:rFonts w:hint="eastAsia" w:ascii="宋体" w:hAnsi="宋体" w:eastAsia="宋体" w:cs="宋体"/>
                <w:b/>
                <w:bCs/>
                <w:i w:val="0"/>
                <w:iCs w:val="0"/>
                <w:color w:val="auto"/>
                <w:sz w:val="21"/>
                <w:szCs w:val="21"/>
                <w:highlight w:val="none"/>
                <w:u w:val="none"/>
              </w:rPr>
              <w:t>PP仪器柜</w:t>
            </w:r>
          </w:p>
        </w:tc>
        <w:tc>
          <w:tcPr>
            <w:tcW w:w="694" w:type="dxa"/>
            <w:tcBorders>
              <w:top w:val="single" w:color="000000" w:sz="4" w:space="0"/>
              <w:left w:val="single" w:color="000000" w:sz="4" w:space="0"/>
              <w:bottom w:val="single" w:color="000000" w:sz="4" w:space="0"/>
              <w:right w:val="single" w:color="auto" w:sz="4" w:space="0"/>
            </w:tcBorders>
            <w:shd w:val="clear" w:color="auto" w:fill="auto"/>
            <w:vAlign w:val="center"/>
          </w:tcPr>
          <w:p w14:paraId="304E64E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bCs/>
                <w:i w:val="0"/>
                <w:iCs w:val="0"/>
                <w:color w:val="auto"/>
                <w:sz w:val="21"/>
                <w:szCs w:val="21"/>
                <w:highlight w:val="none"/>
                <w:u w:val="none"/>
                <w:lang w:eastAsia="zh-CN"/>
              </w:rPr>
            </w:pPr>
          </w:p>
        </w:tc>
      </w:tr>
      <w:tr w14:paraId="1DF4D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D6DDD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64</w:t>
            </w:r>
          </w:p>
        </w:tc>
        <w:tc>
          <w:tcPr>
            <w:tcW w:w="997" w:type="dxa"/>
            <w:tcBorders>
              <w:top w:val="single" w:color="000000" w:sz="4" w:space="0"/>
              <w:left w:val="single" w:color="000000" w:sz="4" w:space="0"/>
              <w:bottom w:val="single" w:color="auto" w:sz="4" w:space="0"/>
              <w:right w:val="single" w:color="000000" w:sz="4" w:space="0"/>
            </w:tcBorders>
            <w:shd w:val="clear" w:color="auto" w:fill="auto"/>
            <w:vAlign w:val="center"/>
          </w:tcPr>
          <w:p w14:paraId="5252074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仪器柜（带层板）</w:t>
            </w:r>
          </w:p>
        </w:tc>
        <w:tc>
          <w:tcPr>
            <w:tcW w:w="5772" w:type="dxa"/>
            <w:tcBorders>
              <w:top w:val="single" w:color="000000" w:sz="4" w:space="0"/>
              <w:left w:val="single" w:color="000000" w:sz="4" w:space="0"/>
              <w:bottom w:val="single" w:color="auto" w:sz="4" w:space="0"/>
              <w:right w:val="single" w:color="000000" w:sz="4" w:space="0"/>
            </w:tcBorders>
            <w:shd w:val="clear" w:color="auto" w:fill="auto"/>
            <w:vAlign w:val="center"/>
          </w:tcPr>
          <w:p w14:paraId="358A8FB5">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1、规格：≥1000×500×2000mm；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2、柜体：侧板、顶底板采用改性PP材料模具一次成型，表面沙面和光面相结合处理，保证柜体之坚固及密封性，耐腐蚀性强，顶板、底板预留模具成型排风孔，底部镶嵌≥15mm*30*1.2mm钢制横梁，承重力强；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3、下柜柜门：内框采用改性PP材质模具一次成型，外嵌5mm厚钢化烤漆玻璃，上下拉手及三角对称五点固定，防止玻璃的松动或开合；伸缩式PP旋转门轴，四角圆弧倒角，内侧弧形圆边，配锁；</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4、上柜柜门：内框采用改性PP材质模具一次成型，外嵌5mm厚钢化烤漆玻璃，中间烤漆镂空制作，上下拉手及三角对称五点固定，防止玻璃的松动或开合，伸缩式PP旋转门轴，四角圆弧倒角，内侧弧形圆边，配锁；</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层板：上柜配置两块活动层板，下柜配置一块活动层板，层板全部采用改性PP材料模具一次成型，表面沙面和光面相结合处理，四周有阻水边，底部镶嵌两根≥15mm*30*1.2mm钢制横梁，承重力强，整体设计为活动式，可随意抽取放在合适的隔层，自由组合各层空间；</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6、拉手：采用改性PP材料模具一次成型，直角梯形四周倒圆与柜门平行，开启方便；</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7、门铰链：采用改性PP材料模具一次成型，伸缩式PP旋转门轴，永不生锈，耐腐蚀性好；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8、螺丝：不锈钢304材质。 </w:t>
            </w:r>
          </w:p>
        </w:tc>
        <w:tc>
          <w:tcPr>
            <w:tcW w:w="693" w:type="dxa"/>
            <w:tcBorders>
              <w:top w:val="single" w:color="000000" w:sz="4" w:space="0"/>
              <w:left w:val="single" w:color="000000" w:sz="4" w:space="0"/>
              <w:bottom w:val="single" w:color="auto" w:sz="4" w:space="0"/>
              <w:right w:val="single" w:color="000000" w:sz="4" w:space="0"/>
            </w:tcBorders>
            <w:shd w:val="clear" w:color="auto" w:fill="auto"/>
            <w:vAlign w:val="center"/>
          </w:tcPr>
          <w:p w14:paraId="0D5C58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24</w:t>
            </w:r>
          </w:p>
        </w:tc>
        <w:tc>
          <w:tcPr>
            <w:tcW w:w="711" w:type="dxa"/>
            <w:tcBorders>
              <w:top w:val="single" w:color="000000" w:sz="4" w:space="0"/>
              <w:left w:val="single" w:color="000000" w:sz="4" w:space="0"/>
              <w:bottom w:val="single" w:color="auto" w:sz="4" w:space="0"/>
              <w:right w:val="single" w:color="auto" w:sz="4" w:space="0"/>
            </w:tcBorders>
            <w:shd w:val="clear" w:color="auto" w:fill="auto"/>
            <w:vAlign w:val="center"/>
          </w:tcPr>
          <w:p w14:paraId="4648D2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94" w:type="dxa"/>
            <w:tcBorders>
              <w:top w:val="single" w:color="000000" w:sz="4" w:space="0"/>
              <w:left w:val="single" w:color="000000" w:sz="4" w:space="0"/>
              <w:bottom w:val="single" w:color="auto" w:sz="4" w:space="0"/>
              <w:right w:val="single" w:color="auto" w:sz="4" w:space="0"/>
            </w:tcBorders>
            <w:shd w:val="clear" w:color="auto" w:fill="auto"/>
            <w:vAlign w:val="center"/>
          </w:tcPr>
          <w:p w14:paraId="42B9CB8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5E7B7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818" w:type="dxa"/>
            <w:gridSpan w:val="5"/>
            <w:tcBorders>
              <w:top w:val="single" w:color="auto" w:sz="4" w:space="0"/>
              <w:left w:val="single" w:color="000000" w:sz="4" w:space="0"/>
              <w:bottom w:val="single" w:color="000000" w:sz="4" w:space="0"/>
              <w:right w:val="single" w:color="auto" w:sz="4" w:space="0"/>
            </w:tcBorders>
            <w:shd w:val="clear" w:color="auto" w:fill="auto"/>
            <w:vAlign w:val="center"/>
          </w:tcPr>
          <w:p w14:paraId="34257E2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bCs/>
                <w:i w:val="0"/>
                <w:iCs w:val="0"/>
                <w:color w:val="auto"/>
                <w:sz w:val="21"/>
                <w:szCs w:val="21"/>
                <w:highlight w:val="none"/>
                <w:u w:val="none"/>
                <w:lang w:val="en-US" w:eastAsia="zh-CN"/>
              </w:rPr>
            </w:pPr>
            <w:r>
              <w:rPr>
                <w:rFonts w:hint="eastAsia" w:ascii="宋体" w:hAnsi="宋体" w:eastAsia="宋体" w:cs="宋体"/>
                <w:b/>
                <w:bCs/>
                <w:i w:val="0"/>
                <w:iCs w:val="0"/>
                <w:color w:val="auto"/>
                <w:sz w:val="21"/>
                <w:szCs w:val="21"/>
                <w:highlight w:val="none"/>
                <w:u w:val="none"/>
              </w:rPr>
              <w:t>六、仪器柜</w:t>
            </w:r>
            <w:r>
              <w:rPr>
                <w:rFonts w:hint="eastAsia" w:ascii="宋体" w:hAnsi="宋体" w:cs="宋体"/>
                <w:b/>
                <w:bCs/>
                <w:i w:val="0"/>
                <w:iCs w:val="0"/>
                <w:color w:val="auto"/>
                <w:sz w:val="21"/>
                <w:szCs w:val="21"/>
                <w:highlight w:val="none"/>
                <w:u w:val="none"/>
                <w:lang w:val="en-US" w:eastAsia="zh-CN"/>
              </w:rPr>
              <w:t>及</w:t>
            </w:r>
            <w:r>
              <w:rPr>
                <w:rFonts w:hint="eastAsia" w:ascii="宋体" w:hAnsi="宋体" w:eastAsia="宋体" w:cs="宋体"/>
                <w:b/>
                <w:bCs/>
                <w:i w:val="0"/>
                <w:iCs w:val="0"/>
                <w:color w:val="auto"/>
                <w:kern w:val="0"/>
                <w:sz w:val="22"/>
                <w:szCs w:val="22"/>
                <w:highlight w:val="none"/>
                <w:u w:val="none"/>
                <w:lang w:val="en-US" w:eastAsia="zh-CN" w:bidi="ar"/>
              </w:rPr>
              <w:t>物理实验设备</w:t>
            </w:r>
          </w:p>
        </w:tc>
        <w:tc>
          <w:tcPr>
            <w:tcW w:w="694" w:type="dxa"/>
            <w:tcBorders>
              <w:top w:val="single" w:color="auto" w:sz="4" w:space="0"/>
              <w:left w:val="single" w:color="000000" w:sz="4" w:space="0"/>
              <w:bottom w:val="single" w:color="000000" w:sz="4" w:space="0"/>
              <w:right w:val="single" w:color="auto" w:sz="4" w:space="0"/>
            </w:tcBorders>
            <w:shd w:val="clear" w:color="auto" w:fill="auto"/>
            <w:vAlign w:val="center"/>
          </w:tcPr>
          <w:p w14:paraId="5F2348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i w:val="0"/>
                <w:iCs w:val="0"/>
                <w:color w:val="auto"/>
                <w:sz w:val="21"/>
                <w:szCs w:val="21"/>
                <w:highlight w:val="none"/>
                <w:u w:val="none"/>
              </w:rPr>
            </w:pPr>
          </w:p>
        </w:tc>
      </w:tr>
      <w:tr w14:paraId="20A9E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9030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65</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FDA6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仪器柜</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2F84E">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1、规格：≥1000mm×500mm×2000mm；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2、柜体衬板：用厚度为16mm±0.3mm，灰白色双面三聚氰胺板（即双饰面板）作为台体衬板，其内芯的基材为聚木屑纤维板，外漏截面采用≥1.5mm厚塑制优质封边条机械封边；甲醛释放限量指标应符合GB18580的要求；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柜体框架：采用模具成型的专用铝合金方管制作，通过ABS专用连接件组装而成，保证连接牢固。前立柱、前横梁外径不小于25mm×30mm（误差≤±1mm），后立柱、后横梁外径为30mm×30mm（误差≤±1mm），铝合金管材的壁厚≥1.1mm（误差≤±0.15mm）。铝合金型材带凹槽，凹槽的宽度应与柜体衬板相匹配，凹槽的深度应足够，保证柜体衬板与铝型材之间接缝严密，无晃动现象，不发生脱落。铝合金型材表面需经静电粉沫喷涂处理，整体耐腐蚀、防火、防潮、稳固耐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4、柜门：上部为专用木框对开玻璃门，下部为对开木门，不锈钢拉手。柜门采用优质不锈钢定位铰链，铰链的壁厚不小于1.0mm，安全、牢固、防腐、耐用；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隔板：上柜设置2块活动隔板，下柜设置1块固定隔板。隔板所用的板材与柜体板材相同，厚度不小于16mm。隔板采用“［”型槽板包边（槽板材料为冷轧钢板，其尺寸为20mm×20mm，壁厚1.0mm，槽宽与隔板厚度匹配，表面需进行喷塑处理），槽板与隔板用万能胶固定；</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6、高度升降条：上部柜体内侧均应安装高度升降条（1.0mm冷轧钢板制作），每侧2根，至少带12个活动支撑座（位置可调）。高度升降条和支撑座表面应采用纯环氧树脂静电喷涂高温固化，具有较高耐蚀性能；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7、支脚：采用直径不小于10mm的金属螺杆与ABS工程塑料一次注塑成型的脚垫，高度可调节，并可锁紧。</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C5B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42</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AE73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14FD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69C86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A93F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66</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36EA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用油膜法估测油酸分子的大小</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33A2B">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一、主要仪器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浅盘（方形 / 圆形浅水槽）：盛水，形成水面油膜</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量筒：配制油酸酒精溶液、量取溶液体积</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胶头滴管：滴加油酸酒精溶液</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坐标纸（方格纸）：测算油膜面积</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玻璃板：覆盖在浅盘上方，描摹油膜轮廓</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刻度尺：测量方格、辅助计算面积</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二、实验药品 / 辅助器材</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非纯油酸（实验溶质）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无水酒精（稀释油酸，配成油酸酒精溶液）</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清水（浅盘内的介质）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痱子粉 / 石膏粉：均匀撒在水面，清晰显示油膜边界</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水彩笔 / 记号笔：在玻璃板上描出油膜形状</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3C27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AD15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25</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1724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5FC4D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5F0C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67</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1EC5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探究等温情况下一定质量气体压强与体积的关系</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B2F6A">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封闭气体装置：带刻度的注射器（大容积，50mL/100mL） 或 玻璃管（一端封闭、带刻度尺），用来封闭一定质量的空气（研究对象）。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游标卡尺：测量气体柱长度、容器刻度，换算气体体积。</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温度计：测量气体温度，保证等温 / 控温，单位℃。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橡胶塞、凡士林：密封接口，防止气体泄漏（保证气体质量不变，实验核心条件）。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铁架台：固定玻璃管、注射器、温度计等器材。</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烧杯、温水 / 冷水 / 热水：水浴控温，实现恒温、升温、降温，减小温度波动。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气压计（大气压强计）：测量环境大气压，计算气体实际压强。</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521A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D381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25</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097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0A3DB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DD94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68</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E9DD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用双缝干涉实验测量光的波长</w:t>
            </w:r>
          </w:p>
        </w:tc>
        <w:tc>
          <w:tcPr>
            <w:tcW w:w="5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874D4">
            <w:pPr>
              <w:keepNext w:val="0"/>
              <w:keepLines w:val="0"/>
              <w:widowControl/>
              <w:suppressLineNumbers w:val="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产品由灯泡、照明透镜、遮光板、滤色片及片座、单狭缝及缝座、单缝管、拨杆、遮光管、接长管、测量头、游标尺、滑块、手轮、目镜、半圆形支架环组成。</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F086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B38B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25</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9F58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47F42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 w:hRule="atLeast"/>
          <w:jc w:val="center"/>
        </w:trPr>
        <w:tc>
          <w:tcPr>
            <w:tcW w:w="951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F65B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商务要求</w:t>
            </w:r>
          </w:p>
        </w:tc>
      </w:tr>
      <w:tr w14:paraId="756E6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88B27">
            <w:pPr>
              <w:keepNext w:val="0"/>
              <w:keepLines w:val="0"/>
              <w:widowControl/>
              <w:suppressLineNumbers w:val="0"/>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lang w:val="en-US" w:eastAsia="zh-CN" w:bidi="ar"/>
              </w:rPr>
              <w:t>交货时间和地点</w:t>
            </w:r>
          </w:p>
        </w:tc>
        <w:tc>
          <w:tcPr>
            <w:tcW w:w="78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D89E6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交付时间：自签订合同之日起</w:t>
            </w:r>
            <w:r>
              <w:rPr>
                <w:rFonts w:hint="eastAsia" w:ascii="宋体" w:hAnsi="宋体" w:cs="宋体"/>
                <w:i w:val="0"/>
                <w:iCs w:val="0"/>
                <w:color w:val="auto"/>
                <w:kern w:val="0"/>
                <w:sz w:val="21"/>
                <w:szCs w:val="21"/>
                <w:highlight w:val="none"/>
                <w:u w:val="none"/>
                <w:lang w:val="en-US" w:eastAsia="zh-CN" w:bidi="ar"/>
              </w:rPr>
              <w:t>45</w:t>
            </w:r>
            <w:r>
              <w:rPr>
                <w:rFonts w:hint="eastAsia" w:ascii="宋体" w:hAnsi="宋体" w:eastAsia="宋体" w:cs="宋体"/>
                <w:i w:val="0"/>
                <w:iCs w:val="0"/>
                <w:color w:val="auto"/>
                <w:kern w:val="0"/>
                <w:sz w:val="21"/>
                <w:szCs w:val="21"/>
                <w:highlight w:val="none"/>
                <w:u w:val="none"/>
                <w:lang w:val="en-US" w:eastAsia="zh-CN" w:bidi="ar"/>
              </w:rPr>
              <w:t>日历日内交付使用并通过验收。</w:t>
            </w:r>
          </w:p>
          <w:p w14:paraId="1AC6975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地点：采购人指定地点。</w:t>
            </w:r>
          </w:p>
        </w:tc>
      </w:tr>
      <w:tr w14:paraId="6960D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4AAC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合同签订时间</w:t>
            </w:r>
          </w:p>
        </w:tc>
        <w:tc>
          <w:tcPr>
            <w:tcW w:w="78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3953C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自中标通知书发出之日起25日内签订完毕。</w:t>
            </w:r>
          </w:p>
        </w:tc>
      </w:tr>
      <w:tr w14:paraId="4849E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635C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付款条件</w:t>
            </w:r>
          </w:p>
        </w:tc>
        <w:tc>
          <w:tcPr>
            <w:tcW w:w="78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880A5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自签订合同之日起十个工作日内采购人向成交供应商支付合同款的 30%作为预付款，货物安装调试完毕并经采购人验收合格后，成交供应商开具发票后，十个工作日内采购人向成交供应商支付剩余合同款。</w:t>
            </w:r>
          </w:p>
        </w:tc>
      </w:tr>
      <w:tr w14:paraId="7FA23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FE6F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售后服务</w:t>
            </w:r>
          </w:p>
        </w:tc>
        <w:tc>
          <w:tcPr>
            <w:tcW w:w="78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573F7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1、供应商提供的货物应该是全新整套的，符合国家各项有关质量标准制造的产品。 </w:t>
            </w:r>
          </w:p>
          <w:p w14:paraId="2A95671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2、货物质量保证期不少于 1 年，自货物验收合格之日起算，质量保修期内负责上门修复、更换配件。所有非故意性损坏以及正常使用范围内造成的损坏均要修复，如无法修复的，应当更换整套产品。因人为因素出现的故障不在保修范围内，但成交供应商应负责协助采购人修复，并提供优惠价格的配件和服务。质量保修期满后，提供维修服务，只收取零配件费，配件以厂家最优惠价格</w:t>
            </w:r>
            <w:r>
              <w:rPr>
                <w:rFonts w:hint="eastAsia" w:ascii="宋体" w:hAnsi="宋体" w:cs="宋体"/>
                <w:i w:val="0"/>
                <w:iCs w:val="0"/>
                <w:color w:val="auto"/>
                <w:kern w:val="0"/>
                <w:sz w:val="21"/>
                <w:szCs w:val="21"/>
                <w:highlight w:val="none"/>
                <w:u w:val="none"/>
                <w:lang w:val="en-US" w:eastAsia="zh-CN" w:bidi="ar"/>
              </w:rPr>
              <w:t>按</w:t>
            </w:r>
            <w:r>
              <w:rPr>
                <w:rFonts w:hint="eastAsia" w:ascii="宋体" w:hAnsi="宋体" w:eastAsia="宋体" w:cs="宋体"/>
                <w:i w:val="0"/>
                <w:iCs w:val="0"/>
                <w:color w:val="auto"/>
                <w:kern w:val="0"/>
                <w:sz w:val="21"/>
                <w:szCs w:val="21"/>
                <w:highlight w:val="none"/>
                <w:u w:val="none"/>
                <w:lang w:val="en-US" w:eastAsia="zh-CN" w:bidi="ar"/>
              </w:rPr>
              <w:t>75</w:t>
            </w:r>
            <w:r>
              <w:rPr>
                <w:rFonts w:hint="eastAsia" w:ascii="宋体" w:hAnsi="宋体" w:cs="宋体"/>
                <w:i w:val="0"/>
                <w:iCs w:val="0"/>
                <w:color w:val="auto"/>
                <w:kern w:val="0"/>
                <w:sz w:val="21"/>
                <w:szCs w:val="21"/>
                <w:highlight w:val="none"/>
                <w:u w:val="none"/>
                <w:lang w:val="en-US" w:eastAsia="zh-CN" w:bidi="ar"/>
              </w:rPr>
              <w:t>%折扣提</w:t>
            </w:r>
            <w:r>
              <w:rPr>
                <w:rFonts w:hint="eastAsia" w:ascii="宋体" w:hAnsi="宋体" w:eastAsia="宋体" w:cs="宋体"/>
                <w:i w:val="0"/>
                <w:iCs w:val="0"/>
                <w:color w:val="auto"/>
                <w:kern w:val="0"/>
                <w:sz w:val="21"/>
                <w:szCs w:val="21"/>
                <w:highlight w:val="none"/>
                <w:u w:val="none"/>
                <w:lang w:val="en-US" w:eastAsia="zh-CN" w:bidi="ar"/>
              </w:rPr>
              <w:t xml:space="preserve">供。 </w:t>
            </w:r>
          </w:p>
          <w:p w14:paraId="1592AE1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3、质量保修期内，因产品质量（产品设计、制造工艺、材料缺陷）引发的费用，均由成交供应商承担。 </w:t>
            </w:r>
          </w:p>
          <w:p w14:paraId="293ED25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4、成交供应商负责送货上门及安装调试。送达采购人指定地点的货物不得存在质量问题。 </w:t>
            </w:r>
          </w:p>
          <w:p w14:paraId="2161F3B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5、如货物损坏，在接到采购人维修电话后 4 小时内到达现场修理解决，对有缺陷的货物或零部件进行免费更换，一般故障处理时限不超过 2 小时，重大质量问题处理时限不超过 4 小时。 </w:t>
            </w:r>
          </w:p>
          <w:p w14:paraId="1836299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6、质量保修期内定期回访并维护，每年不少于 2 次。 </w:t>
            </w:r>
          </w:p>
          <w:p w14:paraId="261CA94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7、如在“技术要求”中有要求的按“技术要求”执行，其余内容按本售后服务要求及厂家承诺。</w:t>
            </w:r>
          </w:p>
        </w:tc>
      </w:tr>
      <w:tr w14:paraId="18548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817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报价要求</w:t>
            </w:r>
          </w:p>
        </w:tc>
        <w:tc>
          <w:tcPr>
            <w:tcW w:w="78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E2398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1.报价必须含以下部分，包括：</w:t>
            </w:r>
          </w:p>
          <w:p w14:paraId="6967103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（1）货物的价格；</w:t>
            </w:r>
          </w:p>
          <w:p w14:paraId="5C0445E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（2）必要的保险费用和各项税金；</w:t>
            </w:r>
          </w:p>
          <w:p w14:paraId="76AC5D2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（3）其他：运输、装卸、安装、调试、培训、技术支持、售后货物、更新升级、到现场验收等费用</w:t>
            </w:r>
          </w:p>
        </w:tc>
      </w:tr>
      <w:tr w14:paraId="35501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77A0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验收标准</w:t>
            </w:r>
          </w:p>
        </w:tc>
        <w:tc>
          <w:tcPr>
            <w:tcW w:w="78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7D9B0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1.检查供货范围或服务范围</w:t>
            </w:r>
          </w:p>
          <w:p w14:paraId="6DD2E18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货物类：产品到达现场后，成交人应在采购人单位人员在场情况下当面开箱，共同清点、检查外观，作出开箱记录，双方签字确认。成交人应保证货物到达采购人所在地完好无损，如有缺漏、损坏，由成交人负责调换、补齐或赔偿。</w:t>
            </w:r>
          </w:p>
          <w:p w14:paraId="7939184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2.成交人应提供完备的技术或服务资料、装箱单和合格证等，并派遣专业人员进行现场安装调试。</w:t>
            </w:r>
          </w:p>
          <w:p w14:paraId="52F3580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3.产品或服务在安装调试并试运行符合要求后，才进行最终验收。</w:t>
            </w:r>
          </w:p>
          <w:p w14:paraId="141C435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4.成交人提供的货物或服务未达到招标文件规定要求，且对采购人造成损失的，由成交人承担一切责任，并赔偿所造成的损失。</w:t>
            </w:r>
          </w:p>
          <w:p w14:paraId="6AAB914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5.采购人需要制造商对成交人交付的产品或服务（包括质量、参数等）进行确认的，制造商应予以配合并出具书面意见，相关配合事项由成交人与制造商协调。</w:t>
            </w:r>
          </w:p>
          <w:p w14:paraId="1988A8A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6.产品包装材料归采购人所有。</w:t>
            </w:r>
          </w:p>
          <w:p w14:paraId="7795974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其他验收要求按《合同主要条款》格式执行，未尽事宜按照《关于印发广西壮族自治区政府采购项目履约验收管理办法的通知》[桂财采〔2015〕22号]以及《财政部关于进一步加强政府采购需求和履约验收管理的指导意见》[财库〔2016〕205号]规定执行。</w:t>
            </w:r>
          </w:p>
        </w:tc>
      </w:tr>
      <w:tr w14:paraId="41233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5635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其他要求</w:t>
            </w:r>
          </w:p>
        </w:tc>
        <w:tc>
          <w:tcPr>
            <w:tcW w:w="78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5635D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1.成交人保证向采购人提供的货物是全新、完整、未使用过的。</w:t>
            </w:r>
          </w:p>
          <w:p w14:paraId="52BB533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2.本标项货物不接受进口产品（即通过中国海关报关验放进入中国境内且产自关境外的产品）参与竞标。</w:t>
            </w:r>
          </w:p>
          <w:p w14:paraId="4E654F5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3.知识产权：采购人在中华人民共和国境内使用供应商提供的产品及服务时，免受第三方提出的侵犯其专利权或其他知识产权的起诉。如果第三方提出侵权指控，成交人应承担由此而引起的一切法律责任和费用。</w:t>
            </w:r>
          </w:p>
          <w:p w14:paraId="77AF874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本项目采购的竞标产品如有属于政府采购强制节能产品的，应根据《市场监管总局关于发布参与实施政府采购节能产品、环境标志产品认证机构名录的公告》2019年第16号、财库〔2019〕9号以及财库〔2019〕19号规定，竞标人的竞标产品，竞标时须提供国家确定的认证机构出具的、处于有效期之内的节能产品认证证书复印件并加盖竞标人公章。</w:t>
            </w:r>
          </w:p>
          <w:p w14:paraId="32A8BC8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4、本分标的核心产品为：</w:t>
            </w:r>
            <w:r>
              <w:rPr>
                <w:rFonts w:hint="eastAsia" w:ascii="宋体" w:hAnsi="宋体" w:cs="宋体"/>
                <w:i w:val="0"/>
                <w:iCs w:val="0"/>
                <w:color w:val="auto"/>
                <w:kern w:val="0"/>
                <w:sz w:val="21"/>
                <w:szCs w:val="21"/>
                <w:highlight w:val="none"/>
                <w:u w:val="none"/>
                <w:lang w:val="en-US" w:eastAsia="zh-CN" w:bidi="ar"/>
              </w:rPr>
              <w:t>第4、24、33、53项</w:t>
            </w:r>
            <w:r>
              <w:rPr>
                <w:rFonts w:hint="eastAsia" w:ascii="宋体" w:hAnsi="宋体" w:eastAsia="宋体" w:cs="宋体"/>
                <w:i w:val="0"/>
                <w:iCs w:val="0"/>
                <w:color w:val="auto"/>
                <w:kern w:val="0"/>
                <w:sz w:val="21"/>
                <w:szCs w:val="21"/>
                <w:highlight w:val="none"/>
                <w:u w:val="none"/>
                <w:lang w:val="en-US" w:eastAsia="zh-CN" w:bidi="ar"/>
              </w:rPr>
              <w:t>实验桌（学生）</w:t>
            </w:r>
          </w:p>
        </w:tc>
      </w:tr>
    </w:tbl>
    <w:p w14:paraId="61277513">
      <w:pPr>
        <w:rPr>
          <w:rFonts w:hint="eastAsia"/>
          <w:color w:val="auto"/>
          <w:highlight w:val="none"/>
          <w:lang w:eastAsia="zh-CN"/>
        </w:rPr>
      </w:pPr>
    </w:p>
    <w:p w14:paraId="05E577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b/>
          <w:bCs/>
          <w:color w:val="auto"/>
          <w:sz w:val="24"/>
          <w:szCs w:val="24"/>
          <w:highlight w:val="none"/>
          <w:lang w:val="en-US" w:eastAsia="zh-CN"/>
        </w:rPr>
      </w:pPr>
      <w:r>
        <w:rPr>
          <w:rFonts w:hint="eastAsia"/>
          <w:b/>
          <w:bCs/>
          <w:color w:val="auto"/>
          <w:sz w:val="24"/>
          <w:szCs w:val="24"/>
          <w:highlight w:val="none"/>
          <w:lang w:val="en-US" w:eastAsia="zh-CN"/>
        </w:rPr>
        <w:t>分标2：大新县中小学校设备更新计算机教室及录播教室设备采购</w:t>
      </w:r>
    </w:p>
    <w:p w14:paraId="5A4154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b/>
          <w:bCs/>
          <w:color w:val="auto"/>
          <w:sz w:val="24"/>
          <w:szCs w:val="24"/>
          <w:highlight w:val="none"/>
          <w:lang w:val="en-US" w:eastAsia="zh-CN"/>
        </w:rPr>
      </w:pPr>
      <w:r>
        <w:rPr>
          <w:rFonts w:hint="default"/>
          <w:b/>
          <w:bCs/>
          <w:color w:val="auto"/>
          <w:sz w:val="24"/>
          <w:szCs w:val="24"/>
          <w:highlight w:val="none"/>
          <w:lang w:val="en-US" w:eastAsia="zh-CN"/>
        </w:rPr>
        <w:t>预算</w:t>
      </w:r>
      <w:r>
        <w:rPr>
          <w:rFonts w:hint="eastAsia"/>
          <w:b/>
          <w:bCs/>
          <w:color w:val="auto"/>
          <w:sz w:val="24"/>
          <w:szCs w:val="24"/>
          <w:highlight w:val="none"/>
          <w:lang w:val="en-US" w:eastAsia="zh-CN"/>
        </w:rPr>
        <w:t>金额</w:t>
      </w:r>
      <w:r>
        <w:rPr>
          <w:rFonts w:hint="default"/>
          <w:b/>
          <w:bCs/>
          <w:color w:val="auto"/>
          <w:sz w:val="24"/>
          <w:szCs w:val="24"/>
          <w:highlight w:val="none"/>
          <w:lang w:val="en-US" w:eastAsia="zh-CN"/>
        </w:rPr>
        <w:t>：人民币（大写）：</w:t>
      </w:r>
      <w:r>
        <w:rPr>
          <w:rFonts w:hint="eastAsia"/>
          <w:b/>
          <w:bCs/>
          <w:color w:val="auto"/>
          <w:sz w:val="24"/>
          <w:szCs w:val="24"/>
          <w:highlight w:val="none"/>
          <w:lang w:val="en-US" w:eastAsia="zh-CN"/>
        </w:rPr>
        <w:t>贰佰伍拾柒万伍仟伍佰元整</w:t>
      </w:r>
      <w:r>
        <w:rPr>
          <w:rFonts w:hint="default"/>
          <w:b/>
          <w:bCs/>
          <w:color w:val="auto"/>
          <w:sz w:val="24"/>
          <w:szCs w:val="24"/>
          <w:highlight w:val="none"/>
          <w:lang w:val="en-US" w:eastAsia="zh-CN"/>
        </w:rPr>
        <w:t>（小写¥</w:t>
      </w:r>
      <w:r>
        <w:rPr>
          <w:rFonts w:hint="eastAsia"/>
          <w:b/>
          <w:bCs/>
          <w:color w:val="auto"/>
          <w:sz w:val="24"/>
          <w:szCs w:val="24"/>
          <w:highlight w:val="none"/>
          <w:lang w:val="en-US" w:eastAsia="zh-CN"/>
        </w:rPr>
        <w:t>2575500</w:t>
      </w:r>
      <w:r>
        <w:rPr>
          <w:rFonts w:hint="default"/>
          <w:b/>
          <w:bCs/>
          <w:color w:val="auto"/>
          <w:sz w:val="24"/>
          <w:szCs w:val="24"/>
          <w:highlight w:val="none"/>
          <w:lang w:val="en-US" w:eastAsia="zh-CN"/>
        </w:rPr>
        <w:t>.00元）</w:t>
      </w:r>
    </w:p>
    <w:tbl>
      <w:tblPr>
        <w:tblStyle w:val="51"/>
        <w:tblW w:w="94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3"/>
        <w:gridCol w:w="1413"/>
        <w:gridCol w:w="5324"/>
        <w:gridCol w:w="772"/>
        <w:gridCol w:w="818"/>
        <w:gridCol w:w="608"/>
      </w:tblGrid>
      <w:tr w14:paraId="13284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184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7C44F">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货物名称</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08C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货物需求及性能配置</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1E3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单位</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56A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数量</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154C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备注</w:t>
            </w:r>
          </w:p>
        </w:tc>
      </w:tr>
      <w:tr w14:paraId="16A83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8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4CA967">
            <w:pPr>
              <w:jc w:val="left"/>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一、学生计算机教室</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E3CD1">
            <w:pPr>
              <w:jc w:val="left"/>
              <w:rPr>
                <w:rFonts w:hint="eastAsia" w:ascii="宋体" w:hAnsi="宋体" w:eastAsia="宋体" w:cs="宋体"/>
                <w:b/>
                <w:bCs/>
                <w:i w:val="0"/>
                <w:iCs w:val="0"/>
                <w:color w:val="auto"/>
                <w:kern w:val="0"/>
                <w:sz w:val="21"/>
                <w:szCs w:val="21"/>
                <w:highlight w:val="none"/>
                <w:u w:val="none"/>
                <w:lang w:val="en-US" w:eastAsia="zh-CN" w:bidi="ar"/>
              </w:rPr>
            </w:pPr>
          </w:p>
        </w:tc>
      </w:tr>
      <w:tr w14:paraId="582F2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98DB0">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1</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DF3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学生机</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EDC1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一、硬件基础参数：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color w:val="auto"/>
                <w:kern w:val="0"/>
                <w:sz w:val="20"/>
                <w:szCs w:val="20"/>
                <w:highlight w:val="none"/>
              </w:rPr>
              <w:t>▲</w:t>
            </w:r>
            <w:r>
              <w:rPr>
                <w:rFonts w:hint="eastAsia" w:ascii="宋体" w:hAnsi="宋体" w:eastAsia="宋体" w:cs="宋体"/>
                <w:i w:val="0"/>
                <w:iCs w:val="0"/>
                <w:color w:val="auto"/>
                <w:kern w:val="0"/>
                <w:sz w:val="21"/>
                <w:szCs w:val="21"/>
                <w:highlight w:val="none"/>
                <w:u w:val="none"/>
                <w:lang w:val="en-US" w:eastAsia="zh-CN" w:bidi="ar"/>
              </w:rPr>
              <w:t>基本要求：机箱≥15L，免工具拆卸机箱、带顶置提手，便于维护（不接受组装）；</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2.处理器： 处理器采用国产C86架构处理器，八核，主频≥2.</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GHz，所投CPU符合安全可靠测评结果公告（2023年第1号）要求、符合《台式计算机政府采购需求标准（2023年版）》要求；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3.内存：配置8GB DDR4 UDIMM内存，配置≥2个内存插槽；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4.显卡：配置集成显卡，支持VGA+HDMI接口，支持4K视频输出；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color w:val="auto"/>
                <w:kern w:val="0"/>
                <w:sz w:val="20"/>
                <w:szCs w:val="20"/>
                <w:highlight w:val="none"/>
              </w:rPr>
              <w:t>▲</w:t>
            </w:r>
            <w:r>
              <w:rPr>
                <w:rFonts w:hint="eastAsia" w:ascii="宋体" w:hAnsi="宋体" w:eastAsia="宋体" w:cs="宋体"/>
                <w:i w:val="0"/>
                <w:iCs w:val="0"/>
                <w:color w:val="auto"/>
                <w:kern w:val="0"/>
                <w:sz w:val="21"/>
                <w:szCs w:val="21"/>
                <w:highlight w:val="none"/>
                <w:u w:val="none"/>
                <w:lang w:val="en-US" w:eastAsia="zh-CN" w:bidi="ar"/>
              </w:rPr>
              <w:t>硬盘：配置≥256GB SSD固态硬盘，最高可支持1TB SSD，最大支持2块3.5英寸机械硬盘扩展，单块容量最大2T；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w:t>
            </w:r>
            <w:r>
              <w:rPr>
                <w:rFonts w:hint="eastAsia" w:ascii="宋体" w:hAnsi="宋体" w:cs="宋体"/>
                <w:color w:val="auto"/>
                <w:kern w:val="0"/>
                <w:sz w:val="20"/>
                <w:szCs w:val="20"/>
                <w:highlight w:val="none"/>
              </w:rPr>
              <w:t>▲</w:t>
            </w:r>
            <w:r>
              <w:rPr>
                <w:rFonts w:hint="eastAsia" w:ascii="宋体" w:hAnsi="宋体" w:eastAsia="宋体" w:cs="宋体"/>
                <w:i w:val="0"/>
                <w:iCs w:val="0"/>
                <w:color w:val="auto"/>
                <w:kern w:val="0"/>
                <w:sz w:val="21"/>
                <w:szCs w:val="21"/>
                <w:highlight w:val="none"/>
                <w:u w:val="none"/>
                <w:lang w:val="en-US" w:eastAsia="zh-CN" w:bidi="ar"/>
              </w:rPr>
              <w:t>电源：电源功率≥200W；</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7.网络：1个RJ45 10/100/1000自适应以太网口；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w:t>
            </w:r>
            <w:r>
              <w:rPr>
                <w:rFonts w:hint="eastAsia" w:ascii="宋体" w:hAnsi="宋体" w:cs="宋体"/>
                <w:color w:val="auto"/>
                <w:kern w:val="0"/>
                <w:sz w:val="20"/>
                <w:szCs w:val="20"/>
                <w:highlight w:val="none"/>
                <w:lang w:val="en-US" w:eastAsia="zh-CN"/>
              </w:rPr>
              <w:t>接口扩展 ：≥1个PCIe x16，2个PCIe x1扩展槽；USB接口≥8个（其中</w:t>
            </w:r>
            <w:r>
              <w:rPr>
                <w:rFonts w:hint="eastAsia" w:ascii="宋体" w:hAnsi="宋体" w:cs="宋体"/>
                <w:color w:val="auto"/>
                <w:kern w:val="0"/>
                <w:sz w:val="20"/>
                <w:szCs w:val="20"/>
                <w:highlight w:val="none"/>
              </w:rPr>
              <w:t>前置USB3.0数量≥4个</w:t>
            </w:r>
            <w:r>
              <w:rPr>
                <w:rFonts w:hint="eastAsia" w:ascii="宋体" w:hAnsi="宋体" w:cs="宋体"/>
                <w:color w:val="auto"/>
                <w:kern w:val="0"/>
                <w:sz w:val="20"/>
                <w:szCs w:val="20"/>
                <w:highlight w:val="none"/>
                <w:lang w:val="en-US" w:eastAsia="zh-CN"/>
              </w:rPr>
              <w:t>，后置USB3.0数量≥2个，USB2.0数量≥2个），音频接口：麦克风1个，耳机1个；后端3个Audio音频接口；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9.操作系统：预装已通过安全可靠测评的桌面操作系统（供货时提供软件正版授权），支持麒麟系统、统信系统、方德系统等信创操作系统环境；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(1)架构支持：支持海光、兆芯、飞腾、龙芯、申威等国产主流芯片处理器；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(2)产品标准符合：产品通过安全可靠测评；</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(3)用户界面：提供类似Windows桌面操作系统的图形化人机操作UI界面，具有良好的用户操作体验，支持2K及以上高分屏应用，支持个性化主题、特效模式、任务栏窗口预览、工作区模式、屏保模式；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kern w:val="0"/>
                <w:sz w:val="20"/>
                <w:szCs w:val="20"/>
                <w:highlight w:val="none"/>
              </w:rPr>
              <w:t>▲</w:t>
            </w:r>
            <w:r>
              <w:rPr>
                <w:rFonts w:hint="eastAsia" w:ascii="宋体" w:hAnsi="宋体" w:eastAsia="宋体" w:cs="宋体"/>
                <w:i w:val="0"/>
                <w:iCs w:val="0"/>
                <w:color w:val="auto"/>
                <w:kern w:val="0"/>
                <w:sz w:val="21"/>
                <w:szCs w:val="21"/>
                <w:highlight w:val="none"/>
                <w:u w:val="none"/>
                <w:lang w:val="en-US" w:eastAsia="zh-CN" w:bidi="ar"/>
              </w:rPr>
              <w:t>(4)软件生态：支持金山WPS、永中office、福昕OFD办公套件、数科OFD版式软件等热门办公软件；支持以非虚拟机、非应用虚拟化方式直接运行ACDsee、foxmail、格式工厂、剪映、photoshop Cs2等办公常用的Windows软件；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★(5)支持工业设计软件兼容能力支撑，如浩辰CAD,新迪3D设计软件，Adobe Premiere、Dreamweaver、Adobe Illustrator以及,MS-Office等；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(6)硬件生态：支持国内外主流打印机、扫描仪、复合机、高拍仪、投影仪、摄像头等硬件设备；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(7)生物识别：系统提供图形化生物特征管理器，默认支持指静脉、指纹、虹膜、声纹等多种生物特征识别；</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浏览器软件内置浏览器：提供与操作系统同品牌的、符合《密码模块安全技术要求》第二级要求的浏览器。360安全浏览器、火狐浏览器、谷歌浏览器等；支持浏览器配套插件的额外加入；支持浏览器在线视频硬解码，支持用户数据云同步，网页智能预加载，视频独立窗口播放功能；支持浏览器兼容IE网页,可提供双核浏览器，支持自定义浏览器皮肤；支持生成网址二维码，支持网页存为pdf格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(9)系统安全：提供安全中心和防火墙软件，提供系统体检、外设管控、程序管控、垃圾清理、数据粉碎、外联控制、进程防杀死、模块防卸载、文件防篡改等功能；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(10)系统工具：系统提供磁盘管理、字体管理器、系统监视器、设备管理器、备份还原工具；</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10.键鼠：原厂键盘、鼠标；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11.显示器：配置≥23.8寸LED显示器，与主机同品牌，分辨率≥1920*1080，刷新频率≥100Hz，对比度≥1000:1，视频接口VGA+HDMI；</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二、操作软件平台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1.无需导入平台，可直接在PPT中通过备课插件添加课堂互动游戏、思维导图、网站链接、网络画板等。课件编辑完成可一键同步至云端；如教师不想保存在云平台可直接以PPT格式保存在本地，不允许系统自动在云平台中更新教师的资源；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2.试题能够根据课本章节、题型、难易程度进行筛选，并提供知识点试题，可按知识点筛选，支持收藏、查看试题答案、解析、关联知识点，支持对试题进行二次编辑，支持将试题一键加入备课；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★3.通过对纸质试题拍照，可将图片上传，将纸质文字变为电子版文字，便于老师优质试题的收集使用；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4.虚拟实验需提供无需额外付费不少于450项可交互式虚拟实验，支持将实验插入PPT课件，支持按学段、版本、分册、章节筛选实验，也可按名称快速搜索实验；</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物理虚拟实验需提供人教版、苏科版、北师版、沪粤版、沪教版、沪科版、鲁科版、教科版等版本不少于230个精品物理实验，要求电与磁实验能够支持烧坏提示，电场线、磁感线等抽象概念能够实现可视化，光学实验能够实现动态光路可视化，热学实验能够放大显示实验细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化学虚拟实验需提供不少于200项精品实验资源。为精确把握实验药品用量，要求取用固体药品时可设置具体数值，取用液体药品时可选择倾倒体积；为更好的讲解抽象概念，需提供原子、分子、晶体模型，能够清晰展示原子的电子排布式，分子成键情况和晶体的状态、配位数、原子坐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7.支持在线组卷，可从试题库和班级错题集选择试题进行在线组卷；</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8.作业讲评：支持授课时一键调取学生线上作业进行讲评，支持查看班级全体、学生个体客观题和主观题的答题情况，可同时展示不少于4个学生的答题对比讲评；</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错题本支持学生线上做错的习题系统自动收录；并支持纸质试卷批阅后，通过扫描仪形成扫描件，系统自动识别错题并汇总到班级错题本和学生个人错题本，错题可按科目、时间、题型进行筛选，支持设置错误率范围快速筛选或按错误率排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10.支持人脸识别功能，可实现快速人数统计，人数统计支持对获取的图像内的所有学生识别，并快速统计出人数；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支持人脸识别随机抽选功能，支持全班抽选和区域抽选两种方式，支持对获取的图像内的学生识别并随机抽选，便于老师进行课堂互动，抽选人数可根据教学需要进行调整，最多可支持9人，区域抽选支持选择区域并调整抽选学生的人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12.支持将U盘通过关联绑定的方式，制作成为软件快速登录钥匙。</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学生自主学习：支持学生进行闯关模式下难度递进的自主学习。闯关练习应按学段、科目、版本、册别筛选，答题完成可以査看答题是否正确以及答题解析，满足不同学生的个性化练习需求；三、质量及服务保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color w:val="auto"/>
                <w:kern w:val="0"/>
                <w:sz w:val="20"/>
                <w:szCs w:val="20"/>
                <w:highlight w:val="none"/>
              </w:rPr>
              <w:t>▲</w:t>
            </w:r>
            <w:r>
              <w:rPr>
                <w:rFonts w:hint="eastAsia" w:ascii="宋体" w:hAnsi="宋体" w:eastAsia="宋体" w:cs="宋体"/>
                <w:i w:val="0"/>
                <w:iCs w:val="0"/>
                <w:color w:val="auto"/>
                <w:kern w:val="0"/>
                <w:sz w:val="21"/>
                <w:szCs w:val="21"/>
                <w:highlight w:val="none"/>
                <w:u w:val="none"/>
                <w:lang w:val="en-US" w:eastAsia="zh-CN" w:bidi="ar"/>
              </w:rPr>
              <w:t>原厂三年有限保修及上门服务（节假日不休），产品厂商具有计算机专属服务团队，全面支持客户使用过程中遇到的各类问题，并且建立有专属400大客户服务专线电话支持，服务时间 7x24，提供现场支持以及故障部件更换服务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color w:val="auto"/>
                <w:kern w:val="0"/>
                <w:sz w:val="20"/>
                <w:szCs w:val="20"/>
                <w:highlight w:val="none"/>
              </w:rPr>
              <w:t>▲</w:t>
            </w:r>
            <w:r>
              <w:rPr>
                <w:rFonts w:hint="eastAsia" w:ascii="宋体" w:hAnsi="宋体" w:eastAsia="宋体" w:cs="宋体"/>
                <w:i w:val="0"/>
                <w:iCs w:val="0"/>
                <w:color w:val="auto"/>
                <w:kern w:val="0"/>
                <w:sz w:val="21"/>
                <w:szCs w:val="21"/>
                <w:highlight w:val="none"/>
                <w:u w:val="none"/>
                <w:lang w:val="en-US" w:eastAsia="zh-CN" w:bidi="ar"/>
              </w:rPr>
              <w:t>为确保货物质量及原厂品质，中标人在合同签订后正式供货时必须提供本项目核心产品生产厂家的售后服务保证原件、技术参数确认函原件，否则采购人将有权不予验收通过。如技术参数确认函中所确认的参数与实际供货产品的参数不符，中标人与生产厂家须承担相关法律责任</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7A6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B33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8F20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70DA5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0"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9BC6B">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2</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94F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教师机</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309D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一、硬件基础参数：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kern w:val="0"/>
                <w:sz w:val="20"/>
                <w:szCs w:val="20"/>
                <w:highlight w:val="none"/>
              </w:rPr>
              <w:t>▲</w:t>
            </w:r>
            <w:r>
              <w:rPr>
                <w:rFonts w:hint="eastAsia" w:ascii="宋体" w:hAnsi="宋体" w:eastAsia="宋体" w:cs="宋体"/>
                <w:i w:val="0"/>
                <w:iCs w:val="0"/>
                <w:color w:val="auto"/>
                <w:kern w:val="0"/>
                <w:sz w:val="21"/>
                <w:szCs w:val="21"/>
                <w:highlight w:val="none"/>
                <w:u w:val="none"/>
                <w:lang w:val="en-US" w:eastAsia="zh-CN" w:bidi="ar"/>
              </w:rPr>
              <w:t>1、基本要求：国产自主品牌商用台式机，机箱≥15L，支持侧板挂环锁、Kensington锁和主板报警蜂鸣器，免工具拆卸机箱、带顶置提手，便于维护（不接受组装）；</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kern w:val="0"/>
                <w:sz w:val="20"/>
                <w:szCs w:val="20"/>
                <w:highlight w:val="none"/>
              </w:rPr>
              <w:t>▲</w:t>
            </w:r>
            <w:r>
              <w:rPr>
                <w:rFonts w:hint="eastAsia" w:ascii="宋体" w:hAnsi="宋体" w:eastAsia="宋体" w:cs="宋体"/>
                <w:i w:val="0"/>
                <w:iCs w:val="0"/>
                <w:color w:val="auto"/>
                <w:kern w:val="0"/>
                <w:sz w:val="21"/>
                <w:szCs w:val="21"/>
                <w:highlight w:val="none"/>
                <w:u w:val="none"/>
                <w:lang w:val="en-US" w:eastAsia="zh-CN" w:bidi="ar"/>
              </w:rPr>
              <w:t>2、处理器：处理器采用国产C86架构处理器，八核，主频≥2.</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GHz，所投处理器符合安全可靠测评结果公告（2023年第1号）要求、符合《台式计算机政府采购需求标准（2023年版）》要求，（供货时出具原厂符合性证书）；</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3、内存：配置16GB DDR4 UDIMM内存，配置≥2个内存插槽；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4、显卡：配置2G独立显卡，支持VGA+HDMI接口，支持4K视频输出；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kern w:val="0"/>
                <w:sz w:val="20"/>
                <w:szCs w:val="20"/>
                <w:highlight w:val="none"/>
              </w:rPr>
              <w:t>▲</w:t>
            </w:r>
            <w:r>
              <w:rPr>
                <w:rFonts w:hint="eastAsia" w:ascii="宋体" w:hAnsi="宋体" w:eastAsia="宋体" w:cs="宋体"/>
                <w:i w:val="0"/>
                <w:iCs w:val="0"/>
                <w:color w:val="auto"/>
                <w:kern w:val="0"/>
                <w:sz w:val="21"/>
                <w:szCs w:val="21"/>
                <w:highlight w:val="none"/>
                <w:u w:val="none"/>
                <w:lang w:val="en-US" w:eastAsia="zh-CN" w:bidi="ar"/>
              </w:rPr>
              <w:t>5、硬盘：配置≥512GB SSD固态硬盘，最高可支持1TB SSD，最大支持2块3.5英寸机械硬盘扩展，单块容量最大2T；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kern w:val="0"/>
                <w:sz w:val="20"/>
                <w:szCs w:val="20"/>
                <w:highlight w:val="none"/>
              </w:rPr>
              <w:t>▲</w:t>
            </w:r>
            <w:r>
              <w:rPr>
                <w:rFonts w:hint="eastAsia" w:ascii="宋体" w:hAnsi="宋体" w:eastAsia="宋体" w:cs="宋体"/>
                <w:i w:val="0"/>
                <w:iCs w:val="0"/>
                <w:color w:val="auto"/>
                <w:kern w:val="0"/>
                <w:sz w:val="21"/>
                <w:szCs w:val="21"/>
                <w:highlight w:val="none"/>
                <w:u w:val="none"/>
                <w:lang w:val="en-US" w:eastAsia="zh-CN" w:bidi="ar"/>
              </w:rPr>
              <w:t>6、电源：电源功率≥200W；电源通过80PLUS认证；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7、网络：1个RJ45 10/100/1000自适应以太网口；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8、接口扩展 ：≥1个PCIe x16，2个PCIe x1扩展槽；USB接口≥8个（其中前置USB3.0数量≥4个，后置USB3.0数量≥2个，USB2.0数量≥2个），音频接口：麦克风1个，耳机1个；后端3个Audio音频接口；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9、数据安全：支持基于BIOS级的一键备份和恢复的功能（非操作系统自带功能）；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10、BIOS级USB屏蔽及智能USB数据保护：USB支持BIOS下全部接口一键开关，前后分组开关；针对存储设备支持全部USB接口一键切换禁止访问模式/只读模式。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11、操作系统：操作系统：预装已通过安全可靠测评的桌面操作系统（供货时提供软件正版授权），支持麒麟操作系统、统信操作系统、方德操作系统等信创操作系统环境；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12、办公软件：搭配正版办公软件（正版激活含三年授权服务，供货时提供软件正版授权）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 投标产品提供运行在linux操作系统上运行的office办公软件产品，包含文字处理、表格计算、幻灯片演示三个组件。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 文件格式要求：所投办公软件能生成.doc/.docx/.dot/.wps/.xls/.xlxs/.xlt/.et/.ppt/.pptx/.pps/.dps等文件格式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 表格模块支持在表格中一键插入求和、计数、平均值等常用公式。支持多列数据合并操作。支持单元格数据的循环引用。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 表格模块支持表格的快速合并选择，支持教师用户一键选择合并居中、合并单元格、合并相同单元格、合并内容、取消合并单元格、拆分并填充内容。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 演示模块，可支持手机移动OFFICE客户端进行控制PC端OFFICE放映的演示文档，实现把手机变成遥控器，便于演讲人能随时切换演示文档。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 教师云文档空间具备10GB/人的存储容量，还可以根据教师使用情况进行分配。</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 支持提供公网云存储，可通过账号登录；支持外链分享、支持文档漫游，支持历史版本、全文检索等功能；支持文档实时跟踪与备份恢复；支持提供后台管理功能，文档统一把控。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 支持实时通讯能力，支持编辑在线智能文档格式时基于文档开启组织内成员的会话聊天，支持传统IM工具界面的一对一单聊会话和创建群聊会话；会话支持设置消息免打扰、聊天列表置顶等功能。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9)支持会议功能，可基于文档发起会议功能，并邀请其他成员参与；支持单独创建会议，通过会议ID或者链接可进行在线会议，可提供云文档共享、屏幕共享多种内容共享方式。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13、键鼠：原厂键盘、鼠标；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14、显示器：配置≥23.8寸LED显示器，与主机同品牌，分辨率≥1920*1080，刷新频率≥75Hz，对比度≥3000:1，视频接口VGA+HDMI，具有低蓝光功能认证证书，有效保护用眼安全；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二、班级管理软件平台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为方便教学，需匹配主机同品牌班级管理平台：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1、后台采用 B/S 架构设计，能够支持不同角色在 Windows、web 上进行操作，支持微信和账号登录、支持学校自定义角色、教师角色切换。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2、支持上传多个备课文档、支持一屏稿件对比，支持查看该次集体备课数据统计及访问记录。集体备课终稿存到我的成果库。并支持查看集体备课数据报告；</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★3、需支持集体备课功能：可自主设置集体备课文件类别如课件、学案、试卷、微课、素材、音频等。支持针对本地上传的文件格式：word、PPT 一个文档多人同时在线协同编辑和批注。支持省、市、县教育局、集团校实时查询集体备课数据。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4、需具备听课评课功能：支持管理评课表维度，支持按学科创建评课表。支持评分制和评级制；支持每个维度按优、良中、差进行评级。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5、需支持查看评课报告。支持查看该课程课堂记录报告，课堂记录支持按课堂环节、显示环节时长、教学环节描述、评价内容等。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需支持教研日历，老师可以清晰通过教研日历，查看每周和他相关的所有教研活动默认显示当前周，支持但不限于集体备课、听课评课、一师一优课、主题讨论等，并可以通过日历迅速进入相应的教研活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★7、需支持自动生成教师个人综合素质评价报告，报告需包含职业能力、职业成长、职业工作在内的 3 项个人积分数据统计图，并支持将全部教师积分数据形成校园统计分析报表，并可针对教师积分进行排名，激励教师职业能力提升。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8、老师无需下载app，直接通过小程序可查看教研任务、教研笔记、集体备课和听评课操作。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9、支持评课表管理：支持自定义设置区域、学校专属评课表，系统预置“一师一优课”模板。支持发布多张评课表，方便同时开展多学科、多个评课活动。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★10、支持区域、学校管理者发起在线收集资料的任务，老师按照在线任务要求上传资料，支持管理者将收集上来的资料分类归档管理。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三、教学功能：Ai素养学习平台系统：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★1、大模型接入功能：能接入DEEPSEEK R1 / QWEN3 / MOONSHOT等主流大模型API并运行</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★2、大模型部署功能：能在私有云部署开源模型/自有大模型/微调大模型(GGUF格式)并满足随时调用的功能</w:t>
            </w:r>
            <w:r>
              <w:rPr>
                <w:rFonts w:hint="eastAsia"/>
                <w:color w:val="auto"/>
                <w:highlight w:val="none"/>
                <w:lang w:eastAsia="zh-CN"/>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★3、大模型语音输入功能：能够直接使用内置的语音大模型实现语言到文字的识别和输出</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4、大模型竞技场模式：能够同时调用多个大模型就行竞赛，比较大模型的输出结果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5、大模型定制功能：能够使用系统提示词/知识库对基座模型进行调整和优化，实现智能体的定制和输出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6、大模型图形功能：能够在大模型对话过程中随时调用文生图功能\图生图\风格转绘\图像转3D盲盒功能，在同个框架内实现无缝衔接，支持调用大模型对提示词进行实时润色，功能支持自定义文生图大模型(CHECK POINT)，自定义文生图风格微调模型和模型强度（LORA），支持任意长宽比例的图像生成和像素比例的调整；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7、支持用户管理和内容管理:能够批量导入用户数据,监控用户生成数据,分享用户生成内容；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8、支持使用大模型定制智能体:支持文生图\文生文\故事创作\人物设计\场景设计\教师备课功能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9、支持文生音乐（中文歌曲/背景音乐）/文生视频/图生视频/图像放大/扩图/风格转绘/视频风格转绘/线稿上色/单角色参考生图/多角色参考生图/角色背景融合/AI视频音效等主流AIGC功能；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10、支持COMFY UI / RUNNING HUB / LIBLIB API 模式的AI APP，可供系统级调用；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★11、支持数字人功能,实现照片到数字人, 视频到数字人的加工视频输出</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★12、支持真人声音克隆,支持视频AI配音</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★13、支持多人并发的可扩展算力系统,可根据用户数量进行弹性调整</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14、支持工作流托管模式，将大型工作流托管到主流AIGC平台；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15、支持作品展示，支持人数字画廊；</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四、质量及服务保障：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1．原厂三年有限保修及上门服务（节假日不休），产品厂商具有专业服务团队，全面支持客户使用过程中遇到的各类问题，并且建立有服务热线电话支持，服务时间 7x24小时，提供技术支持以及故障部件维修或更换服务。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为确保货物质量及原厂品质，中标人在合同签订后正式供货时必须提供本项目核心产品原厂售后服务保证原件、技术参数确认函原件，否则采购人将有权不予验收通过。如技术参数确认函中所确认的参数与实际供货产品的参数不符，中标人与生产厂家须承担相关法律责任。</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A3A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7F5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2012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6A698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FA1C3">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3</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B50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云教室管理中心平台</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4C16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一、管理服务平台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1、软件采用B/S架构，基于WEB的全中文图形化管理界面。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2、服务端软硬一体化设计，出厂预装服务端软件及软件永久授权，支持软件免安装、自动授权；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★3、支持异构管理，一台服务器可以同时支持多种架构的终端（C86、ARM、LongArch）、多个主流国产操作系统（UOS、Kylin、方德）以及windows系统的混合应用和管理；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4、支持镜像集中管理，包括终端所需的系统及软件环境，集中存储在镜像仓库；</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5、支持在同类型架构但硬件配置有差异的终端上使用同一镜像，减轻系统维护难度；</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同一个国产系统镜像可自动适配不同磁盘大小，无需根据硬盘大小制作多个镜像。例如一个5G大小的Kylin系统镜像可创建一个100G分区大小的镜像模版，也可以创建200G分区大小的模版，且进入操作系统后分别为100G和200G的系统分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7、支持镜像的导入和导出功能；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8、支持同时在多个样机上对镜像进行上传和更新的维护管理；通过全图形化界面上传镜像，无需连接互联网或使用命令行，降低操作难度；</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9、可支持多个教室同时管理，分组数量无上限，每个教室可管理终端无限制；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10、支持多个终端同时使用一个桌面模板，且多个分组也可以同时使用一个桌面模板；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11、为便于用户管理，可对一个教室进行批量使用桌面模板；也可以在同一个分组下独立对某个终端进行单独的模板关联，例如，在一个分组教室中，教师机使用教师桌面系统，学生使用学生系统。</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★12、支持每个分组的策略化管理，且每个桌面支持单独设置对应的管理策略，如保护还原、引导密码、系统是否隐藏等参数；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13、软件支持对分组中的所有终端统一设置还原策略，也可以单独对某台终端进行还原策略的设置；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14、用户可通过浏览器，在任意客户端通过账号和密码访问服务器，对机房的镜像、磁盘、分组进行远程管理和维护，不必现场操作；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15、支持分级管理，多个管理员进行多任务管理操作，管理员可根据需求设置不同的权限；</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16、为方便用户自管理，支持终端创建本地快照，终端本地可以自建本地快照。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17、支持一次性将多个不同的系统同时部署在同一个终端上，且每个系统可独立操作，互不影响，也可任意添加和删除某个系统，满足各种不同的教学环境；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18、终端部署系统时，任一终端可随时进行系统部署，无需依赖其它终端的部署状态；部署多系统时，无需逐个进入对应的系统进行部署，使得系统交付更方便、灵活，真正实现无人值守、智能交付；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19、支持跨网络部署和管理，不依赖PXE，包括支持局域网、校园网、互联网等网络架构上使用；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★20、默认以硬盘引导即可部署、更新、管理终端系统，无需进入BIOS设置网络启动或者快捷键选择网络启动；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21、软件支持P2P部署，有效分解服务器的负载以及加快部署效率；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22、支持断点续传功能，未部署完成的终端，重新开机会主动发现并自动部署终端的剩余数据或桌面需要更新数据；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23、终端IP获取方式至少支持服务器指定、DHCP自动获取、终端自定义三种及以上形式。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★24、支持预占位功能，为故障终端预留机器名、IP地址等信息，不会由于单点的故障，而影响整体的计算机名和IP排序管理；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25、为保证用户个性化需求，提供数据盘划分及管理功能，支持用户按1GB为单位自定义数据盘大小，由服务端统一分配数据盘空间，管理员可对批量、单独对终端的数据盘进行数据清除;</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26、为直观显示服务器当前资源状态，首页展现包括不限于CPU、内存、硬盘使用率；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27、为方便用户管理，提供日志查看与导出功能；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★28、为方便用户运维管理，支持用户预设计划任务，按照次、每天、每周、每月等频率执行开机关机重启以及排程功能。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29、为方便管理员远程运维，服务器支持远程管理，可在管理平台对服务器进行关机重启以及修改IP等操作，降低用户运维复杂程度。</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30、服务端预置固件级一键恢复增强版软件，支持出厂镜像备份不受格式化破坏，支持在镜像上传后进行全盘备份，支持系统出问题时快速恢复。</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31、具备镜像压缩技术，上传的镜像不大于样机系统实际使用空间；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32、管理中心具备网络自诊断功能，每次登录管理页面时可检查并报告网络配置异常；</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kern w:val="0"/>
                <w:sz w:val="20"/>
                <w:szCs w:val="20"/>
                <w:highlight w:val="none"/>
              </w:rPr>
              <w:t>▲</w:t>
            </w:r>
            <w:r>
              <w:rPr>
                <w:rFonts w:hint="eastAsia" w:ascii="宋体" w:hAnsi="宋体" w:eastAsia="宋体" w:cs="宋体"/>
                <w:i w:val="0"/>
                <w:iCs w:val="0"/>
                <w:color w:val="auto"/>
                <w:kern w:val="0"/>
                <w:sz w:val="21"/>
                <w:szCs w:val="21"/>
                <w:highlight w:val="none"/>
                <w:u w:val="none"/>
                <w:lang w:val="en-US" w:eastAsia="zh-CN" w:bidi="ar"/>
              </w:rPr>
              <w:t>33、支持AI助手功能，基于人工智能的智能助手系统，用于提供智能化服务，能够在海量数据中，依据用户输入的问题，快速且精准地定位相关信息源，理解用户提问的上下文语境，在多轮对话中保持连贯，具备实时监测和更新知识的能力；</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34、为方便用户快速部署使用，系统提供新手向导功能，包含系统状态、镜像上传、创建分组、创建模版、关联模版，用户首次使用时，按照向导引导即可完成云教室系统的初始化使用，解决用户初次使用的困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35、支持课程表功能，提供自动切换桌面系统，实现自动化运维；支持切换课程时选择是否自动重启学生机；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36、支持终端切换服务器，变更服务器IP地址段无需重新部署。</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二、终端管理模块</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1、终端出厂预装云教室维护系统和OS镜像备份，支持用户选择需要恢复的操作系统；选择维护系统，即等待部署；选择恢复操作系统后即可进行镜像制作；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终端开机后会自动发现服务端IP地址并部署所有的镜像到本地，部署完成后，服务器意外出现宕机、断网等情况时，终端可脱离服务器使用，避免引起的教学事故，且每个系统保持离线前的还原或者不还原的还原策略；</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3、支持终端离线运行无次数限制；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4、增量更新不影响终端的正常使用，终端重启后自动获取增量镜像快照；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5、软件支持对每个系统单独进行安全设置，只有输入正确的密码才能启动指定的系统；</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6、当使用多个系统时，支持显示和隐藏某个系统、默认进入系统以及等待时长等，满足教学的特殊需求；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7、当使用多个系统时，支持系统选择界面自主选择任意系统进入，也可指定其中一个系统为默认系统，终端开机后可自动进入指定的默认系统；</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9、终端支持WIFI无线部署使用，终端可通过无线网卡获取服务器镜像部署使用；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10、针对出厂预装激活的国产系统（统信、麒麟、中科方德等），支持在离线下发桌面系统后保持激活不丢失。</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★11、支持国产系统及非国产系统镜像的合并上传，并且允许变更合并后的镜像分区容量大小；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12、客户端页面提供服务器状态、网关、DNS、本机IP配置、网络速率、网络类型等信息，帮助排查系统问题；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三、电子教室教学平台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1、可以将教师机屏幕的实时操作画面传输到学生端电脑桌面，广播无延时、画面清晰流畅，支持全屏、窗口两种广播方式。满足学生跟随老师学习与操作的需求。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2、可将所选的学生客户端操作画面实时广播到其它接收演示的学生客户端屏幕上，实现优秀学生在线演示功能。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电子白板：支持网络白板功能，老师可以实时开启与关闭电子画板，提供铅笔、直线、圆形、矩形、橡皮、文字输入工具；老师授课过程中误操作，可以随时撤销之前操作；支持打开文档、图片、当前桌面作为电子画板的底图。</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4、语音广播：可以将教师机的声音采集后实时传输到学生端并进行播放，支持采集教师机的麦克风和扬声器声音。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5、影片广播：支持将教师端播放视频文件同时分享到学生电脑。</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kern w:val="0"/>
                <w:sz w:val="20"/>
                <w:szCs w:val="20"/>
                <w:highlight w:val="none"/>
              </w:rPr>
              <w:t>▲</w:t>
            </w:r>
            <w:r>
              <w:rPr>
                <w:rFonts w:hint="eastAsia" w:ascii="宋体" w:hAnsi="宋体" w:eastAsia="宋体" w:cs="宋体"/>
                <w:i w:val="0"/>
                <w:iCs w:val="0"/>
                <w:color w:val="auto"/>
                <w:kern w:val="0"/>
                <w:sz w:val="21"/>
                <w:szCs w:val="21"/>
                <w:highlight w:val="none"/>
                <w:u w:val="none"/>
                <w:lang w:val="en-US" w:eastAsia="zh-CN" w:bidi="ar"/>
              </w:rPr>
              <w:t>6、摄像头广播：支持采集老师端USB摄像头画面并直播到学生电脑。</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7、可实时监看学生端电脑桌面，支持设定绑定的网络，支持设置同时浏览的学生端数量，支持切换显示的时间间隔，包括手动、自动切换，自动切换支持秒数设置。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8、随堂测验：可以组织小型的课堂练习测试，支持教师端出选择题/判断题后学生端答题，支持上传图片，答题结束后教师端可以看到所有学生端的答题结果，同时会实时统计学生答题数据。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9、学生端可主动提交文件传输给教师机，可传送文件与文件夹，文件及文件夹的大小没有限制。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10、支持从教师机传送文件到学生机，可传送文件与文件夹，文件及文件夹的大小没有限制。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11、电子点名支持学生端输入姓名和学号，电子点名列表中将会显示点名结果，点名结果可以将学生信息以表格形式保存到本地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12、支持教师机设置批量执行命令，如打开画板、计算器，学生机器会自动开启这些工具；管理员也可以新建与删除命令。</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13、锁屏、解锁，执行锁屏后客户端在锁屏状态下将无法操作电脑桌面。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14、支持批量远程控制学生电脑关机、开机、重启。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15、支持教师端按分组设置定时关机/定时重启/定时唤醒/定时黑屏/定时解除黑屏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16、图标管理客户区中客户端图标进行排序显示,支持对图标位置进行锁定和解锁。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17、支持教师端远程限制学生上网，设置黑白名单并且可以查看学生端上网的访问网页记录。</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18、支持三种试图切换：监控视图、详细视图、功能视图，详细视图：用列表的形式展现学生端的电脑名、IP、登录名、登录状态、版本号等信息；功能视图：执行对应功能时会切换到功能视图；监控视图：默认显示学生端的桌面缩略图，</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19、正式版注册支持在线联网激活和离线激活任一种方式，并且支持追加学生用户数。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20、支持教师端远程限制学生使用软件程序，并且可以限制使用U盘。</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D6B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AFA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316B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5E721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0"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5CB22">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4</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565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教师教学桌椅</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FA18F">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桌子规格：约W1200</w:t>
            </w:r>
            <w:r>
              <w:rPr>
                <w:rFonts w:hint="eastAsia" w:ascii="宋体" w:hAnsi="宋体" w:cs="宋体"/>
                <w:i w:val="0"/>
                <w:iCs w:val="0"/>
                <w:color w:val="auto"/>
                <w:kern w:val="0"/>
                <w:sz w:val="21"/>
                <w:szCs w:val="21"/>
                <w:highlight w:val="none"/>
                <w:u w:val="none"/>
                <w:lang w:val="en-US" w:eastAsia="zh-CN" w:bidi="ar"/>
              </w:rPr>
              <w:t>mm</w:t>
            </w:r>
            <w:r>
              <w:rPr>
                <w:rFonts w:hint="eastAsia" w:ascii="宋体" w:hAnsi="宋体" w:eastAsia="宋体" w:cs="宋体"/>
                <w:i w:val="0"/>
                <w:iCs w:val="0"/>
                <w:color w:val="auto"/>
                <w:kern w:val="0"/>
                <w:sz w:val="21"/>
                <w:szCs w:val="21"/>
                <w:highlight w:val="none"/>
                <w:u w:val="none"/>
                <w:lang w:val="en-US" w:eastAsia="zh-CN" w:bidi="ar"/>
              </w:rPr>
              <w:t>×D600</w:t>
            </w:r>
            <w:r>
              <w:rPr>
                <w:rFonts w:hint="eastAsia" w:ascii="宋体" w:hAnsi="宋体" w:cs="宋体"/>
                <w:i w:val="0"/>
                <w:iCs w:val="0"/>
                <w:color w:val="auto"/>
                <w:kern w:val="0"/>
                <w:sz w:val="21"/>
                <w:szCs w:val="21"/>
                <w:highlight w:val="none"/>
                <w:u w:val="none"/>
                <w:lang w:val="en-US" w:eastAsia="zh-CN" w:bidi="ar"/>
              </w:rPr>
              <w:t>mm</w:t>
            </w:r>
            <w:r>
              <w:rPr>
                <w:rFonts w:hint="eastAsia" w:ascii="宋体" w:hAnsi="宋体" w:eastAsia="宋体" w:cs="宋体"/>
                <w:i w:val="0"/>
                <w:iCs w:val="0"/>
                <w:color w:val="auto"/>
                <w:kern w:val="0"/>
                <w:sz w:val="21"/>
                <w:szCs w:val="21"/>
                <w:highlight w:val="none"/>
                <w:u w:val="none"/>
                <w:lang w:val="en-US" w:eastAsia="zh-CN" w:bidi="ar"/>
              </w:rPr>
              <w:t>×H750</w:t>
            </w:r>
            <w:r>
              <w:rPr>
                <w:rFonts w:hint="eastAsia" w:ascii="宋体" w:hAnsi="宋体" w:cs="宋体"/>
                <w:i w:val="0"/>
                <w:iCs w:val="0"/>
                <w:color w:val="auto"/>
                <w:kern w:val="0"/>
                <w:sz w:val="21"/>
                <w:szCs w:val="21"/>
                <w:highlight w:val="none"/>
                <w:u w:val="none"/>
                <w:lang w:val="en-US" w:eastAsia="zh-CN" w:bidi="ar"/>
              </w:rPr>
              <w:t>mm</w:t>
            </w:r>
            <w:r>
              <w:rPr>
                <w:rFonts w:hint="eastAsia" w:ascii="宋体" w:hAnsi="宋体" w:eastAsia="宋体" w:cs="宋体"/>
                <w:i w:val="0"/>
                <w:iCs w:val="0"/>
                <w:color w:val="auto"/>
                <w:kern w:val="0"/>
                <w:sz w:val="21"/>
                <w:szCs w:val="21"/>
                <w:highlight w:val="none"/>
                <w:u w:val="none"/>
                <w:lang w:val="en-US" w:eastAsia="zh-CN" w:bidi="ar"/>
              </w:rPr>
              <w:t>（±2mm）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1、基材：面</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25mm厚，其余</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15mm厚采用优质环保型E1级密度板，经过防潮、防虫、防腐处理，强度高、刚性好。静曲强度、2h吸水厚度膨胀率、内结合强度、表面耐香烟灼烧、表面耐香烟灼烧等浸渍胶膜纸饰面刨花板理化性能符合国家标准。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2、饰面：全部采用优质三聚氰胺贴面板，具有耐磨、耐刮、防火、抗污染等性能，符合国家标准。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3、封边：全部采用</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1.0mm厚3:1配料PVC经模具生产封边,桌面板前边采用进口斜面自动封边机做部分斜面成形设计，倾斜角度45度；封边工艺要求:斜面封边机直接对封边条折弯处切0.5mm浅槽，防止折弯时鼓起不平整，保证封边粘贴效果。其余三边贴直边。所有封边经高温全自动机器封边，不允许手工封边、修边，封边后无脱胶、漏胶、鼓泡或开裂现象。  (严禁手工封边，防止人工压力不够导致封边粘胶不牢固)。                                                                                                                                   4、桌子整体结构采用连接板固定，要求桌子配有三个抽屉及主机放的位置，主机前方安装有柜门，桌子后方安装有背板，桌面前方安装有键盘，要求桌子大方、得体。</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5、五金件：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连接件采用优质三合一连接件，其中三合一连接件的金属件表面应无锈蚀、毛刺刃口、露底，应光滑平整，应无起泡、泛黄、花斑、烧焦、裂纹、划痕、磕碰等缺陷；塑料部位表面光洁平滑，无裂纹、划伤、沙粒、疙瘩、麻点等缺陷，色泽应一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（2）导轨结构坚固耐用，抽拉顺畅，承载35KG，抽拉达到4万次耐久性。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（3）铰链采用高强度钢材，承托力好，不会断裂，开合次数达到4万次，表面光亮美观，防撞花，防腐蚀，二段力设计，力度柔和，开关声响小，线条均匀，转角过渡自然，间隙细小，尺寸符合配套标准。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（4）锁具采用优质加厚材质，防锈防潮防腐，结实牢固耐用。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（5）优质拉手，外观无划痕，色泽均匀。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椅子：</w:t>
            </w:r>
          </w:p>
          <w:p w14:paraId="632EBF9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1、内部框架定型板：采用高频压机将多层单板施胶层叠且热压成型；</w:t>
            </w:r>
          </w:p>
          <w:p w14:paraId="7AD129F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2、面料：采用优质麻绒面料，外观色泽均匀，自然，手感柔软；</w:t>
            </w:r>
          </w:p>
          <w:p w14:paraId="480D9EC9">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3、海绵：采用优质海绵，密度高，回弹力好；</w:t>
            </w:r>
          </w:p>
          <w:p w14:paraId="63212A2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4、椅身跟椅架均采用优质电镀五金，圆管</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1.5</w:t>
            </w:r>
            <w:r>
              <w:rPr>
                <w:rFonts w:hint="eastAsia" w:ascii="宋体" w:hAnsi="宋体" w:cs="宋体"/>
                <w:i w:val="0"/>
                <w:iCs w:val="0"/>
                <w:color w:val="auto"/>
                <w:kern w:val="0"/>
                <w:sz w:val="21"/>
                <w:szCs w:val="21"/>
                <w:highlight w:val="none"/>
                <w:u w:val="none"/>
                <w:lang w:val="en-US" w:eastAsia="zh-CN" w:bidi="ar"/>
              </w:rPr>
              <w:t>mm</w:t>
            </w:r>
            <w:r>
              <w:rPr>
                <w:rFonts w:hint="eastAsia" w:ascii="宋体" w:hAnsi="宋体" w:eastAsia="宋体" w:cs="宋体"/>
                <w:i w:val="0"/>
                <w:iCs w:val="0"/>
                <w:color w:val="auto"/>
                <w:kern w:val="0"/>
                <w:sz w:val="21"/>
                <w:szCs w:val="21"/>
                <w:highlight w:val="none"/>
                <w:u w:val="none"/>
                <w:lang w:val="en-US" w:eastAsia="zh-CN" w:bidi="ar"/>
              </w:rPr>
              <w:t>厚度。</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E64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273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9DB4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51F9B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0"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F484B">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5</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F4F9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学生桌椅</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B728B">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1、双人桌规格约1200*600*750mm；</w:t>
            </w:r>
          </w:p>
          <w:p w14:paraId="2E11F99A">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2、全部板材采用</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15mm厚优质密度板双面三聚氰胺饰面，桌面四方加厚至</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25mm</w:t>
            </w:r>
            <w:r>
              <w:rPr>
                <w:rFonts w:hint="eastAsia" w:ascii="宋体" w:hAnsi="宋体" w:cs="宋体"/>
                <w:i w:val="0"/>
                <w:iCs w:val="0"/>
                <w:color w:val="auto"/>
                <w:kern w:val="0"/>
                <w:sz w:val="21"/>
                <w:szCs w:val="21"/>
                <w:highlight w:val="none"/>
                <w:u w:val="none"/>
                <w:lang w:val="en-US" w:eastAsia="zh-CN" w:bidi="ar"/>
              </w:rPr>
              <w:t>；</w:t>
            </w:r>
          </w:p>
          <w:p w14:paraId="5F143E52">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3、饰面：全部采用优质三聚氰胺贴面板，具有耐磨、耐刮、防火、抗污染等性能，符合国家标准。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4、封边：全部采用</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1.0mm厚3:1配料PVC经模具生产封边,封边工艺要求:有封边经高温全自动机器封边，不允许手工封边、修边，封边后无脱胶、漏胶、鼓泡或开裂现象。  (严禁手工封边，防止人工压力不够导致封边粘胶不牢固)。                                                                                                                                   5、桌子整体结构采用连接板固定，要求桌子配有双主机放的位置，桌子后方安装线槽，方便布线，桌面前方安装有键盘，要求桌子大方、得体。</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6、五金件：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连接件采用优质三合一连接件，其中三合一连接件的金属件表面应无锈蚀、毛刺刃口、露底，应光滑平整，应无起泡、泛黄、花斑、烧焦、裂纹、划痕、磕碰等缺陷；塑料部位表面光洁平滑，无裂纹、划伤、沙粒、疙瘩、麻点等缺陷，色泽应一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（2）导轨结构坚固耐用，抽拉顺畅，承载35KG，抽拉达到4万次耐久性。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椅子：</w:t>
            </w:r>
          </w:p>
          <w:p w14:paraId="4C156C57">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1、规格：长340×宽240×高430mm（±20mm偏差）。</w:t>
            </w:r>
          </w:p>
          <w:p w14:paraId="41638F05">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2、钢架采用不小于25mm×25mm方管，管壁厚不低于1.0mm，钢管表面喷涂前经酸洗、磷化、除油、脱水、热固化喷塑。</w:t>
            </w:r>
          </w:p>
          <w:p w14:paraId="083D874D">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3、凳子的脚套与桌脚和椅脚应结合紧密，牢靠，不脱落。</w:t>
            </w:r>
          </w:p>
          <w:p w14:paraId="0264A21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4、面板采用材料采用优质密度板，双贴面三聚氰胺板，板材厚度不小于25mm。</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1C0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133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A617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3882B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9C380">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6</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020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网络交换机</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1698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24个10/100/1000BASE-T以太网端口,交流供电；交换容量48Gbps，包转发率35.71Mpps，机架式，静音款，8K MAC。</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115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D1E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F4E7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53044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77618">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7</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E6B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路由设备</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9AB2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1*GE Combo+4*GE</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带机量200台PC，转发性能1Mpps，塑壳，免费可管理最多16个AP（仅Wi-Fi 5）</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4E0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7C9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387D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3B620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F656D">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8</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350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立式空调</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AABB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1.功能规格变频/定频：变频。</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2.能效比：≥4.45。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3.能效等级：≥一级。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4.冷暖类型：冷暖。</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5.匹数：3匹。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6.适用面积(m2)：32-50。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7.额定制冷量(W)：≥7330。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8.额定制热量(W)：≥10400。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9.额定制冷功率(W)：≤2070。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10.额定制热功率(W)：≤3050。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11.电辅热(KW)：≥2500。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12.内机质量(kg)：29。</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13.外机质量(kg)：40。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14.内机噪音dB(A)(低档-高档)：≤21-47。</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15.外机噪音dB(A)(低档-高档)：≤48-56。</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16.循环风量(m3/h)：≥1420。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18.电源规格(PH-V-Hz)：1-220-50。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19.内机尺寸(宽×高×深)(mm)：416×1738×416。</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20.外机尺寸(宽×高×深)(mm)：927×699×380。</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E5F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1F3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8887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303DA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F4FB2">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9</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47B4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系统集成</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AB3D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计算机教室桌凳安装服务器部署安装；每台计算机（终端）及网络布设安装；过道耐压弧形走线槽等工程所需配件的安装调试；网络交换机、机柜、电源空开、网线、电源电缆、线槽、电源插排等布设安装；系统软件资源等安装调试。2.含网线、优质六类三件套千兆水晶头:金属接触点镀金、空气开关、电源插座、纯铜电源线：铜线的正常额定负载是所带负载峰值功率的2倍以上（峰值功率小于1000w，按照1000w计算）、抗踩踏铁皮线槽、钉子、胶布等一批满足本项目需求。</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80B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F95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50F0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61BF6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8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0962CC">
            <w:pPr>
              <w:jc w:val="left"/>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二、精品录播教室</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7AE59">
            <w:pPr>
              <w:jc w:val="left"/>
              <w:rPr>
                <w:rFonts w:hint="eastAsia" w:ascii="宋体" w:hAnsi="宋体" w:eastAsia="宋体" w:cs="宋体"/>
                <w:b/>
                <w:bCs/>
                <w:i w:val="0"/>
                <w:iCs w:val="0"/>
                <w:color w:val="auto"/>
                <w:kern w:val="0"/>
                <w:sz w:val="21"/>
                <w:szCs w:val="21"/>
                <w:highlight w:val="none"/>
                <w:u w:val="none"/>
                <w:lang w:val="en-US" w:eastAsia="zh-CN" w:bidi="ar"/>
              </w:rPr>
            </w:pPr>
          </w:p>
        </w:tc>
      </w:tr>
      <w:tr w14:paraId="25441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88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2506D1">
            <w:pPr>
              <w:jc w:val="left"/>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1、精品终端-教室设备</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ECEB2">
            <w:pPr>
              <w:jc w:val="left"/>
              <w:rPr>
                <w:rFonts w:hint="eastAsia" w:ascii="宋体" w:hAnsi="宋体" w:eastAsia="宋体" w:cs="宋体"/>
                <w:b/>
                <w:bCs/>
                <w:i w:val="0"/>
                <w:iCs w:val="0"/>
                <w:color w:val="auto"/>
                <w:kern w:val="0"/>
                <w:sz w:val="21"/>
                <w:szCs w:val="21"/>
                <w:highlight w:val="none"/>
                <w:u w:val="none"/>
                <w:lang w:val="en-US" w:eastAsia="zh-CN" w:bidi="ar"/>
              </w:rPr>
            </w:pPr>
          </w:p>
        </w:tc>
      </w:tr>
      <w:tr w14:paraId="1725F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B94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1EE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互动终端主机</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BB0D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★1.为保证系统整体编解码性能及使用稳定性，主机需采用≥3颗ARM架构处理器，主处理器采用4核架构，2颗协处理均采用4核架构。</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2.支持用户在录播主机上随时查看已录制视频总容量，并采用百分比的形式展示。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3.为保证不影响授课，主机无风扇设计，主机噪声小于20dB（A）。</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4.主机存储容量不低于1TB。</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5.内置蓝牙无线物联模块，主机无需线缆就可以实现对同品牌音箱的音量控制，也可通过同品牌讲台实现对主机开关机控制。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6.支持标准USB音视频信号输出，通过主机TypeC接口可以实现图像和声音同步输出，最大支持4K（即3840*2160）图像输出。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7.标配壁装支架，可通过转轴实现翻转，便于接插线和维护。</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8.主机采用高度集成化设计，能够独立完成视频采集、音频采集、音频编码、视频编码、音频处理、视频处理表、直播、录制、互动、专业导播、远程运维参数设置功能。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★9.内置音频接收模块。无需外接无线音频接收模块，即可完成无线音频采集，支持同时≥2个无线麦克风接入，且同时支持≥2种对频模式。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10.支持断电扩声，在主机完全断电的情况下，从主机线性音频通道上输入的音频可以从主机输出通道输出，且≥1个音频输入通道可以支持该功能，满足全场景的教学使用需求。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支持≥2个HDMI高清采集接口，支持分辨率包含：3840×2160p@30Hz、1920×1080p@60Hz、1920×1080p@30Hz、1680×1050p@30Hz、1600×900p@30Hz、1400×1050p@30fps、1280×1024p@30Hz、1280×1024p@60Hz、1280×960p@30Hz、1280×800p@30Hz、1280×720p@60Hz、1280×720p@30Hz、720×480p@60Hz、640×480p@30Hz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12.支持≥1路HDMI输入通道具备音频同步采集能力，可通过系统设置音频采集打开或者关闭。</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13.支持≥4路高清视频输出，且输出最大分辨率均可达到4K（即3840*2160），其中HDMI信号输出≥2路且UVC视频输出≥1路。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14.支持≥4个RJ45接口，其中≥3个支持POE。</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15.支持≥2个线路信号立体声输入，且输入接口采用不同的运放倍数设计，可满足不同类型的音频信号接入。</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16.支持≥2个线性立体声音频输出，可独立设置任意一个输出接口的混音模式。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17.支持≥1个阵列麦克风输入接口，可在不接入音频处理器的情况下，通过网线就可以完成≥8个阵列麦克风接入主机，通过网线可以实现≥8麦克风的供电、音频信号传输、音频参数设置，支持无损数字音频传输。</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18.支持≥4个USB类型接口，其中USB-A接口≥3个，Type-C接口≥2个。</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19.主机采用多功能电源按键，通过一个按键可以实现开机、关机、节能待机。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20.支持双HDMI画面采集，采集画面可在主机上完成拼接，输出比例32:9画面。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21.支持AAC音频编码协议。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22.支持硬件复位功能，可通过Reset复位键实现整机复位。</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23.支持接入标准USB声卡，实现USB双向音频通信。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24.支持双网卡设计，摄像机可在独立网段单独工作，不影响原有网络。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25.支持检测摄像机接入状态，可根据摄像机在线离线状态自动实现状态更新。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26.支持开机后自动实现与无线音频设备链接，支持自动对频，可通过主机屏幕查看对频是否成功，对频成功支持音频提醒，可通过提示音反馈对频状态。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27.支持HDMI通道通道检测，可通过主机屏幕显示HDMI信号接入状态。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28.支持≥1路自定义机位绑定设置，可将HDMI in绑定至任意景位。</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29.支持录制倒计时，自定义设置≥4种倒计时时间。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30.支持通过主机屏幕实现画面预监，可同时预监≥7路画面。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31.支持 H.264(BP/MP/HP)视频编码与解码，可扩展支持H.265 编码/解码。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32.支持≥31 路 1080p@30fps 编/解码。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33.支持分辨率、码率、帧率设定。</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34.支持录制清晰度设定，支持可选择4K、1080p、720p、VGA、QVGA；支持录制帧率设定，可选择 25fps/30fps/60fps；支持录制画质选择，可选择≥5种等级；录制编码码率≥16Mbps。</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35.支持多通道同时录制，支持生成标准 MP4 格式视频文件，支持≥ 8 路 MP4 文件同时录制。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36.支持通过主机一体化触控屏实现开始、暂停、停止录制、发布直播。</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37.支持≥2种录制视频自动分段模式：支持按照文件大小分段，可选择500MB，1GB，2GB进行分段录制；支持按照录制时长分段，可选择30分钟、60分钟。</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38.支持网络监测功能，无需安装第三方软件，在触控屏幕上显示教室网络状态，包括：服务联通性、网络稳定性、上下行速度、网络追踪性、网卡信息。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39.支持对直播视频 GOP 进行设置，可根据网络情况选择1~6秒。</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40.支持主机一体化触控屏实现开启/关闭直播，可选择开启录制时是否同步开启直播。</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41.主机网口支持10/100/1000Mbps自适应，支持 IPV4，IPV6。</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42.主机无需配置单独公网 IP 即可实现互动。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43.支持智能组网，摄像机插入主机后能够自动实现机位绑定并出现画面。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44.支持录制时长设定，录制时长到达后可自动停止录制，支持设定时长包括 40 分钟、1 小时、2 小时、6小时、12 小时，用户可根据需要提前结束录制；录制过程中，用户可通过互动录播电脑主机一体化触控屏查看已录制时长。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45.支持单个文件、文件夹删除；多个文件、多个文件夹批量删除；支持清空视频功能，可一键清除主机视频。</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★46.支持推流路数≥2路，支持rtmp直播推流，推送的直播流可选择不同视频源，推流单路可达 1080p@60fps，可选画面≥7个，推送的直播流可选择是否带有声音。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47.录制视频文件支持自动归档，支持按照年月日时分秒自动归类，存储到对应的文件夹下，同时支持用户账号自动关联，用户使用账号登录主机后，录制文件会自动归档到该用户账号。</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48.主机内置扬声器，支持音频检测，通过主机内置扬声器可以播放测试音频，通过主机一体化屏幕进行视频预览时能够同步播放音频，且可控制播放音频音量大小。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49.直播视频清晰度可设置，支持 1080p@60fps，可选择1080p、720p、VGA、QVGA；支持帧率设定，可选择 25fps/30fps/60fps；支持多种画质选择，可选择极佳、好、一般、流畅四个不同等级。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50.支持单个文件、文件夹拷贝；多个文件、多个文件夹批量拷贝；支持动态显示拷贝进度，完成时自动提醒；当有多个 U 盘插入时，可在互动录播电脑主机一体化触控屏进行 U 盘选择。</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51.支持 FTP 远程自动上传录像，录制停止后自动上传视频文件到 FTP 服务器，支持断点续传。</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52.支持通过主机一体化触控屏幕，选择自动/手动导播模式。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53.支持串口通信，可通过中控协议实现中控控制，控制开关机、开始/暂停/停止录制。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★54.支持通过互联网，查看当前的主机总数、日活个数、当前在线数量，支持通过平台查看设备在线和离线状态，支持通过平台查看设备 ID 地址、IP 地址、激活时间信息。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★55.支持通过互联网，实现对设备的远程配置，支持关机、参数配置操作。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★56.支持通过互联网，按照版本号进行查询。可查看该版本的主机数量，支持通过 IOT 物联平台实现主机的远程升级，可查看不同版本的占比，可按照行政区域进行分区升级。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57.支持上电自启动，设备通电后系统可自动启动，可设置开启或关闭上电自启动功能，支持自动开关机，可设置定时开关机时间。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58.支持点击、双击、滑动 3 种类型的触控操控。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59.支持自动息屏功能，同时支持用户自设置息屏时间，可支持 1min、3min、5min、10min 多种时间选择。</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60.设备支持本地升级、可通过 U 盘实现设备升级，同时支持 OTA 远程在线升级，升级过程支持版本号校验，支持在线下载升级包自动完成升级。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61.支持使用 FAT32，NTFS格式的U盘进行文件拷贝，拷贝进度可动态显示。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62.支持通过主机一体化屏幕，调用系统内置输入法，对录制文件的名称进行重命名。</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63.音频编码码率支持320Kbps并向下兼容，音频信号处理延时≤20ms，频率相应20~20kHz、采样率最大支持48KHz。</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★64.主机采用≥15英寸触控电容屏，屏幕色域≥72% NTSC，表面硬度≥7H，屏幕分辨率≥1920*1080。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65.音画不同步时间差≤167ms。</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66.主机供电采用安全电压，整机供电电压≤24V。</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ECE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C6C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A1B6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0FCD7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0D2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EF6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课堂智能反馈系统</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E5EE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 系统支持对教室环境的3D还原重建，形成桌椅、讲台、一体机的真实环境建模，采集到的师生互动行为自动对应到具体课桌位置；支持正前方、左前方、右前方、左后方、右后方5种视角转换。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 在3D课堂孪生界面中，通过课桌的颜色深浅表示学生参与互动的活跃程度，基于学生上台次数、举手次数、问答次数计算学生活跃程度，颜色变化代表活跃度变化。</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 在3D课堂孪生界面中，支持点击课堂活跃热力图中的学生头像，查看该学生的师生互动视频片段，统计该学生在本节课的上台互动、举手次数、问答次数。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 在3D课堂孪生界面中，支持在地面上显示教师的巡堂轨迹，颜色不同代表停留时间不同。</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 系统支持通过教学大语言模型，生成教学建议，教学大模型具备至少70亿参数量，2200亿训练语料，支持至少16Ktoken输入；教学大模型已通过网信办备案。</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 系统通过教学大语言模型，根据教学内容自动生成师生问答、课堂互动、新课标落实三个维度的课堂反馈建议，可查看全部提问、符合知识性目标的提问、不合适的提问、提问优化建议、课堂互动建议、基于新课标的亮点和改进建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 系统支持统计课程时长、课堂中教师讲授时长、教师讲授字数、教师授课平均语速。</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 系统自动统计教师授课、师生互动、小组讨论、课堂练习的时间分布情况，支持图形可视化展示不同课堂行为的整体时间占比。</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 系统自动统计教师授课、师生互动、小组讨论、课堂练习的时间分布情况，支持按照时序图样式展示，展示不同课堂行为发生的顺序、时长。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 系统通过语音识别技术、自然语言处理，将课堂中老师和学生的声音转写为文字，按照前后文逻辑关系自动切割为不同的片段；片段支持展开查看详细文字，支持跳转到文字段落对应的视频片段。</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 系统支持对语音转写中的师生问答进行自动识别，将提问内容自动高亮显示，支持将识别出的问答实录一键导出为云文档。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 系统支持对识别出的文字进行手动校准，支持对识别出的问答片段标注是否有效，被标注有效的问答片段，在播放器时间轴对应的时间点上会高亮显示。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 系统支持自动识别问答模式分类，按简单型、追问型、思考再答型、自问自答、无响应进行分类统计，通过柱状图表呈现。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 系统支持点击问答模式柱状图对该类型的提问进行筛选，问答实录中显示对应文字明细，支持按师生角色区分，并自动进行分段分句，支持跳转到文字段落对应的视频片段。</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 系统支持通过弗兰德斯编码规则对课堂数据进行每秒1次的打点，自动计算出启发/指导比（I/D）、学生稳态比（PSSR）、教学内容比（CCR）、学生发言比（PIR）、教师提问比（TQR）、教学/调控比（TRR）的指标数值，通过雷达图呈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 系统支持将本堂课的弗兰德斯编码数值和标准数值进行对比，通过上下箭头呈现高于或低于标准数值；可查看弗兰德斯矩阵编码打点信息，点击打点信息可播放对应视频片段。</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17. 系统支持教师画面、学生画面双窗口显示，小窗口可自由拖动位置和自由切换；支持根据课件翻页将教学视频进行虚拟切片，点击互动课件缩略图，可跳转至对应视频片段。</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18. 系统使用基于计算机视觉算法、语音识别技术、自然语言处理的多模态算法整体判断课堂行为，并通过有限状态机进行校正；根据课堂行为对教学视频进行打点，片段打点信息包含提问、回答、举手、起立、上台、齐读、讨论的教学事件，播放进度条支持显示事件类型、快速定位播放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19. 系统支持关键片段、问答模式、完整模式三种播放模式，可任意切换。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20. 系统支持将报告下载至本地，报告中包含基础数据、教学时间分配、讲学环节时间轴、弗兰德斯编码图、S-T/Rt-Ch教学分析图、高频词语分析、提问数据统计、提问详情列表。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21. 系统支持通过对S-T编码序列的深度分析，计算本节课的教师行为占有率Rt、师生行为转换率Ch，基于本节课的Rt值、Ch值得出本节课的教学模式，教学模式包含：混合型、练习型、讲授型、对话型。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22. 系统支持以海报、二维码、链接的方式分享给他人。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23. 系统支持在移动端查看报告。</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D2B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E1EE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63AD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242C5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5510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126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高清云台摄像机</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D3E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1.传感器尺寸≥CMOS 1/2.8英寸。</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2.传感器有效像素≥800万。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3.支持≥40倍变焦。</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4.扫描方式：逐行。</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5.支持畸变矫正功能，畸变≤±0.5%。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6.亮度灵敏度≤0.2Lx @ (F1.8, AGC ON)。</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7.镜头： F1.82 ~ F2.78。</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8.快门： 1/30s ~ 1/10000s。</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9.支持自动白平衡功能。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10.支持背光补偿功能。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11.支持图像冻结功能。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12.支持POE供电。</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13.支持2D&amp;3D数字降噪，信噪比58 dB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14.支持预置位个数≥255个，预置位精度≤0.1°。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15.支持水平翻转、垂直翻转，水平转动范围：±170°，垂直转动范围：-30°~+90°。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16.支持视场角≥75°。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17.支持水平转动速度≥100°/s，垂直转动速度≥69°/s。</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41F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D93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1607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28E21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AFA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55C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定位</w:t>
            </w:r>
            <w:r>
              <w:rPr>
                <w:rFonts w:hint="eastAsia" w:ascii="宋体" w:hAnsi="宋体" w:eastAsia="宋体" w:cs="宋体"/>
                <w:i w:val="0"/>
                <w:iCs w:val="0"/>
                <w:color w:val="auto"/>
                <w:kern w:val="0"/>
                <w:sz w:val="21"/>
                <w:szCs w:val="21"/>
                <w:highlight w:val="none"/>
                <w:u w:val="none"/>
                <w:lang w:val="en-US" w:eastAsia="zh-CN" w:bidi="ar"/>
              </w:rPr>
              <w:t>摄像机</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80AF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1.镜头水平视场角≥90°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2.一体化集成设计，支持4K超高清，最大可提供4K图像编码输出，同时向下兼容1080p，720p等分辨率。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3.网络流传输协议：TCP, HTTP, UDP，RTSP, RTMP, ONVIF。</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4.全景画面支持畸变矫正功能。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5.全景画面与特写画面必须采用相同图像传感器和图像处理器，确保两者图像输出亮度、颜色、风格等保持一致。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6.整机接口:≥1路RJ45。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7.支持POE有线网络供电，只需要1路网线，即可实现供电及信号传输，支持同时输出特写和全景等多路画面。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8.传感器尺寸：≥CMOS 1/2.8英寸。</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9.传感器有效像素≥840万。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10.扫描方式：逐行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11.最低照度：0.5 Lux @（F1.8, AGC ON）。</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12.电子快门：1/30s ~ 1/10000s。</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13.支持自动白平衡。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14.支持2D&amp;3D数字降噪，信噪比≥55dB。</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15.支持H.264、H.265视频编码格式。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16.主码流分辨率：3840x2160, 1920x1080, 1920x1080, 1280x720, 1024x576, 720x576(50Hz), 720x480(60Hz), 720x408, 640x360, 480x270, 320x240, 320x180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17.辅码流分辨率：1920x1080, 1280x720, 1024x576, 960x540, 640x480, 640x360, 320x240, 320x180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18.视频码率：32Kbps ~ 16384Kbps。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19.帧率：1~25fps。 </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DFE1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8A1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EDAB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4433F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C17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A35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阵列麦克风</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A22A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 麦克风采用≥4核的国产音频芯片。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 麦克风频率响应范围不低于50Hz~16KHz。</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 麦克风拾音半径≥8m。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 麦克风信噪比≥68dB。</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 麦克风声压级≥130dBSPL，10%THD@1 KHz。</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 麦克风无需额外适配器供电，能够通过网线实现麦克风供电、音频信号传输、参数调整。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 麦克风具备≥1个状态指示灯，可显示麦克风工作状态。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 麦克风采用标准1/4吋螺口，适配各种类型标准吊杆。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 麦克风支持≥2个数字音频接口，每个接口都具备输入接口和输出接口能力，支持盲插。</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 麦克风支持≥1个Type-C接口。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 麦克风内置≥8个硅麦传感器单元。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 麦克风支持在线OTA，可在线对麦克风进行升级，无需人员现场维护。</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 麦克风支持降噪、回声抵消、混响抑制、自动增益控制、多麦融合多种音频算法。</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 麦克风支持无损数字音频传输，避免模拟信号传输导致的电流干扰。</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095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26E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BAE2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0AD6F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C3A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77A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无线麦克风</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18D8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 麦克风支持≥1个3.5mm音频接口，可输入头戴麦音频信号，输出幅值≥2V（RMS）。整机3.5mm音频接口≥2个。</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 麦克风整机≥1个USB Type-C接口。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 麦克风支持≥1个Pogo pin接口，支持通过Pogo pin接口进行充电。整机Pogo pin接口≥2个。</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 麦克风支持≥1个三合一按键，可控制麦克风的开关机、静音和配对。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 麦克风支持≥2个音量控制按钮，可通过音量“+”“—”按钮控制麦克风输出音量。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 麦克风单体重量≤30g。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 麦克风标配充电仓，方便快速充电及收纳。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 麦克风充电仓支持电量指示，通过灯珠亮灭数量充电仓剩余电量及充电状态。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 麦克风支持≥4种佩戴方式。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 麦克风领夹角度支持自由调节，调节角度≥±90°，以适配不同的使用者衣物；调节至0°位置时会有“卡扣感”,方便回归标准位置。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 整机标配两个无线麦克风，且两个麦克风支持同时工作。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 麦克风支持≥2种开机方式，可通过短按按键开机、打开充电仓并取出麦克风自动开机。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 麦克风支持≥3种关机方式，可通过长按按键关机、长时间无配对或配对后无使用自动关机、麦克风放回充电仓自动关机。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 麦克风支持≥2种配对方式，可通过麦克风从充电仓拿出自动开始配对、短按按键开始配对，配对完成时间≤5s。</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 麦克风支持≥2种断开连接方式，可通过麦克风放入充电仓自动断开连接、关机自动断开连接。</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 麦克风支持一键开启静音模式。</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0E2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34F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AB07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68C62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7A0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F1C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专业功放</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4158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1.支持线性输入接口≥1个。</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2.支持线性输出接口≥1个。</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3.支持麦克风输入接口≥1个。</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4.支持音箱输出接口≥4对。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5.输出功率200W*2。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6.MIC输入灵敏度50mV，音乐输入灵敏度0.775V。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7.频率响应20～20KHz。</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8.信噪比≥80dBA。</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9.支持直流保护、过载保护</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A18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6D2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0718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6D9FD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844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527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专业音箱</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7E20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 采用4"低音×2，20芯高音×2，音质通透亮丽，人声表现力突出，中频浑厚，穿透力强，外观豪华，安装灵活。</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 采用高密度中纤板木质箱体。</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 配置原厂安装支架，可调整音箱水平和垂直角度方向。</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 额定功率：60W。</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 阻抗：8Ω。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 最大声压级：108dB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 灵敏度：91dB(±2dB)。</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 频率响应：80-20kHz。</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 尺寸：180x158x580mm（L/W/H）。</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 适用于各类多媒体教室、电教室、阶梯教室、普通教室等。</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E70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对</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AE1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AF4F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558E4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C4A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603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互动电视</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63F5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1.屏幕物理尺寸≥55英吋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2.屏幕分辨率≥3840*2160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3.屏幕刷新率≥60Hz</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4.屏幕可视角度≥±176度</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5.整机功耗≤120W</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6.待机功耗≤0.5W</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7.内置喇叭个数≥2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8.喇叭总功率≥16W</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9.USB通道支持不少于12种音视频文件格式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10.USB接口数量≥2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11.HDMI输入通道数量≥3</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12.模拟RF接口≥1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13.AV接口≥1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14.标配遥控器和配套电池</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15.支持HDMI接入检测开机，HDMI有输入信号后，可自动开机，至少有3个HDMI接口支持该功能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16.支持HDMI接入检测关机，HDMI输入信号消失后2分钟，可自动进入关机状态，至少有3个HDMI接口支持该功能</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41D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7C1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842F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745D2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0F4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7F4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资源管理平台（校级）</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DA4C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1.基础管理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1)系统采用模块化的架构设计B/S架构，用户可通过浏览器实现专递课堂、名校网络课堂、直播活动、用户管理等功能。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2)角色自定义：支持管理员根据不同教师的工作需求创建角色，自定义该角色的名称和可使用的功能权限；并可查看各角色的人数，方便管理。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3)教师可以通过自主账号登录平台，根据教师个人学习需求对全校的视频课程进行筛选、点播观看、在线学习。</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4)视频管理：终端主机录制的视频自动上传至平台，支持本校教师或管理员对视频进行名称编辑、学科学段编辑、下载、删除、发布课程等操作。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5)上传附件：平台支持支持用户在发布课程时上传相关资料；所上传资料可支持不少于5种文件格式；课程发布后，观众观看课程时下载相关资料，进行深入学习。</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6)课程发布：课程发布时，可选择对应的学段、学科、发布模块、示范课分类等，方便用户按不同维度查找课程。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7)课程审核：支持学校管理员对本校教师申请发布的课程进行审核，监控公开课程资源的质量；拒绝课程发布时，需填写拒绝原因；若课程未通过时，系统将在消息中心自动通知该课程归属的教师。</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课程评论：支持用户对已发布视频进行视频打点并插入课堂评价，所评论内容需关联视频对应时间点。平台支持用户在线对课堂视频进行评论，所评论内容支持以新消息提示方式自动提醒授课教师。支持管理员对用户评论进行信息管理，可选择性删除评论内容，管控评论秩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9)账号管理：支持用户修改昵称、密码及头像设置等，并可重新绑定用户手机号，同时关联绑定/解绑个人微信号。</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10)平台支持本地视频上传：可对上传视频进行标题描述、课程介绍等设置，可选择默认的视频缩略图封面，也可选择本地图片上传成为封面。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11)消息中心：新增课程计划、课程审核通过/被拒绝、成功加入教研组等消息可在主页面实时提醒。</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12)设备管理：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①.显示管理员下辖的教室总数、在线教室总数、活跃教室数，实时呈现整体情况；</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②.管理员可实时查看教室信息和状态，包括：教室名称、设备IP、状态、信号源及教室详情，方便远程运维。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③.支持学校管理员进行远程关机、重启、密码设置等等操作。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13)公网直播：学校管理员可设置终端设备的直播模式为公网直播，自由发起公网直播活动，方便举办公开课、校园培训等活动。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①．全局调度系统：实时收集节点负载、网络质量，并根据终端用户的 IP，将用户请求引导至最优的节点，以降低时延，提升流畅率。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②．冗余带宽：云服务器具备T级的带宽储备和百万级并发承载能力，可应对突发增量的用户访问。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14)直播活动：支持用户创建直播，提前设置预约直播信息，并获取直播地址及二维码海报，方便提前发布直播信息。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15)直播状态：根据直播开始时间和结束时间，分类显示所有直播的当前状态，包括未开始、进行中、已结束；用户可通过状态筛选不同的直播进行编辑管理。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16)直播搜索：支持输入与直播名称相关的关键字，搜索直播活动。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17)直播管理：在直播结束前，支持教师修改直播的结束时间、名称、封面、课件、直播简介、聊天互动权限等设置，并保持原分享链接和二维码不变，活动调整不会导致原分享链接和二维码失效。</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18)直播工作台：创建直播时支持添加直播助教；助教进入工作台可进行直播间秩序维护，具体功能包括：</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①．删除留言：支持对观众聊天互动的发言记录进行单个/批量删除，保障教师间互动交流的友好秩序；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②．禁言观众：支持对观众进行单个/批量的禁言，禁言后观众将不能在直播互动中发表言论，避免不法人员在公众场合捣乱。</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③．发起签到：支持对当前直播多次发起签到，并在签到结束后导出签到名单；发起签到后观众会在直播界面收到实时的签到提醒，帮助教师及时收集观众在线情况。</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④．管理公告：支持对当前直播活动发布公告内容。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19)直播分享：用户可一键生成链接并进行分享，其他用户通过打开链接的方式，可登录观看直播视频。</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20)复制海报：生成海报后，用户可直接在网页中一键复制图片，并粘贴至微信中发送，无需下载图片保存本地，提高分享效率。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21)活动预告：支持PC端、移动端通过分享链接地址，查看直播活动的相关信息，包括封面、活动名称、学校名称、活动开始时间、简介、预览课件等；在预览课件时，用户可在课件上进行书写、擦除、移动图片素材等操作，且操作不影响原课件内容，方便评课老师在直播开始前，预览主讲老师的课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★22)活动课件：教师可选择云课件与直播关联，无需耗时上传本地文件；课件与直播关联后，支持用户在活动开始时间前查看云课件；活动开始后，用户可在观看直播视频的同时，在线查看已关联的课件。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23)直播互动：直播过程中，支持用户在直播课程中发布评论、点赞、分享观看链接或二维码，同时可查看直播简介、活动课件和累计观看人次。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24)直播暖场素材：平台支持用户自主选择上传图片或视频，作为暖场素材在直播间隙循环播放。</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25)签到设置：支持在直播活动开始前，设置签到规则；可选择限时签到或不限时签到，适应不同的直播场景。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26)签到信息：支持设置观众签到的输入信息，可选择仅输入“姓名”或“姓名、班级/学校/单位”。</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27)导出签到数据：支持教师以Excel格式导出签到结果，签到结果包括每次签到用户的姓名、账号等信息。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28)直播数据：直播开始后，支持查看直播的人气峰值、观看人次、累计点赞、观众发言次数、签到人数等数据，随时掌握直播情况。</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29)直播回放：支持开启直播回放功能；开启后用户可在原有直播的分享链接中查看已结束的直播内容，回顾直播精彩环节。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30)管理直播回放：教师可选择直播中各时段生成的回放视频，删除不必要的回放片段，或选择发布至专递示范课/名校网络课堂/名师示范课，方便其他师生观看。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31)分组管理：教师可将多场已创建的直播、互动课堂、互动教研、课例评课等活动，添加至同一直播分组；每个分组自动生成分享二维码和链接，方便观众在一个分组链接中选择不同活动进行观看。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32)分组命名：支持教师对直播分组自定义名称，让直播分组更具辨识度。</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33)删除直播：支持教师删除过期或无效的直播，删除后原有的直播分享链接将自动失效。</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34)支持直播集群技术，以支持系统的横向拓展，随系统应用规模的拓展逐渐增加转发服务器以支持更大规模直播。平台支持不少于200点以上高清直播功能。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35)课程搜索：支持用户通过课程、教师、学校名称等关键词快速搜索已发布的课程资源，支持用户查看最近搜索关键词记录，方便用户再次快速查找相关课程。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36)用户可在教师空间中，查看该教师上传的全部课程、个人简介、所属学校以及个人成就，个人成就包含上传课程的总数、课程播放总次数等。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37)教研评课：支持教师创建教研活动，并通过链接或海报分享给其他用户看课评课；支持教师在教研活动中查看活动简介、查看资料、发表点评、评课表打分。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★38)教研数据：自动统计教研的点评次数、评课表平均分、观看人数等数据，支持查看文字点评的详情记录、评课表题目的客观题评分、主观题回答情况、教师评课记录。</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39)评课表管理：支持管理员创建多张评课表，并自定义评课表的标题、引导语、评分标准、题目分数、主观评价。至少提供一份评课表模板，方便用户快捷创建评课表。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40)自定义导航栏：支持超级管理员编辑平台一级和二级导航栏的标题内容；支持拖拽调整一级导航栏的排序，方便管理者设置个性化的平台。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2.专递课堂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1)专递示范课：自动统计老师发布到“专递示范课”的课程总数，并按学科统计发布课程的老师人数与课程数。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2)支持用户在平台中预约专递课程，采用课表形式实时显示课程计划。</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3)课表支持逐级汇总，教师个人课程计划、学校全体课程计划均支持在一张课表中展示，利于用户便捷查看。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4)在课程计划中，支持登录用户进行个人课程的快速定位查看。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3.名师课堂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1)用户可在名师示范课页面中，点播本校名师上传的优质示范课程。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2)平台根据课程播放数量提供最热门课程推荐，便于用户快速查看学习。</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3)平台提供课程播放总数最高的名师展示，支持用户点击名师头像进入教师空间，查看该名师上传的全部课程。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4)支持通过学段、学科、课程分类快速筛选课程视频；课程至少支持微课、培训讲座、课堂实录等分类，方便用户快速定位，查看所需课程。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4.名校网络课堂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1)具备名校网络课堂页面，展示详细学校情况，包括学校简介、活跃教师、学校上传的全部课程、课程观看总人次等数据。在活跃教师排行榜中，可看到各位名师发起的课程总数及总观看人次。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用户访问平台网页观看线上课程时，可直接在平台网页中参与知识配对、选词填空、趣味分类等在线互动答题，加深对知识点的理解；完成后，可直接查看答题用时与答题排行榜，并可选择继续观看视频或再玩一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3)名校管理员可进行学校校徽、学校简介等信息的设置管理。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5.移动端观看课程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1)在专递示范课/名师示范课/名校网络课堂的课程页面中，支持一键生成分享海报，也可一键复制观看链接，方便分享给其他观众，通过移动端打开观看。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2)分享海报中包括课程名称、主讲人、学校名称及二维码等信息。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★6.视频在线剪辑</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1)支持用户对本地上传或终端机录制的视频，通过浏览器完成在线剪辑，将视频的无效内容删除，保留课堂中的重难点和精彩部分。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2)效果预览：进行剪辑操作后，支持用户通过在线预览窗口，实时查看剪辑后的内容，确保视频效果。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插入课堂活动：支持用户在平台上查看已上传的云课件，并选择课件中的课堂活动插入视频中，设置为课程的互动答题环节；课程发布后，用户观看到所对应的课程时间点时，系统将自动弹出课堂活动，需要完成互动答题才可进入下一阶段的知识点学习。</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4)视频截取：支持用户通过拖拽视频起点与终点，快速去除头部或尾部的无效内容，截取保留视频中的重点部分。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5)视频分割与删除：支持基于时间刻度，将视频分割成若干个片段，并把无效片段删除。</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4E0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130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166D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156DE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3F6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F16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附件及线材</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DA00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HDMI高清音视频信号线、电源插座、超五类网络传输线、电视机挂架/吊架、POE交换机等网络综合布线等。</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8D4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批</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DD4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6DC1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7F4FC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88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1ECD2C">
            <w:pPr>
              <w:jc w:val="left"/>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2、精品录播-多媒体设备</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18616">
            <w:pPr>
              <w:jc w:val="left"/>
              <w:rPr>
                <w:rFonts w:hint="eastAsia" w:ascii="宋体" w:hAnsi="宋体" w:eastAsia="宋体" w:cs="宋体"/>
                <w:b/>
                <w:bCs/>
                <w:i w:val="0"/>
                <w:iCs w:val="0"/>
                <w:color w:val="auto"/>
                <w:kern w:val="0"/>
                <w:sz w:val="21"/>
                <w:szCs w:val="21"/>
                <w:highlight w:val="none"/>
                <w:u w:val="none"/>
                <w:lang w:val="en-US" w:eastAsia="zh-CN" w:bidi="ar"/>
              </w:rPr>
            </w:pPr>
          </w:p>
        </w:tc>
      </w:tr>
      <w:tr w14:paraId="72C2C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C49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5BC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一体机（含光能黑板）</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4E66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一、内置OPS电脑系统</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▲1、CPU：搭载Intel  酷睿系列≥ i5 CPU。</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▲2、内存：8 GB DDR4笔记本内存或以上配置。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▲3、硬盘：256 GB或以上SSD固态硬盘。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4、采用按压式卡扣，无需工具即可快速拆卸电脑模块。</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5、PC 模块可抽拉式插入整机，可实现无单独接线的拔插。</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6、具有独立非外拓展的视频输出接口：≥1 路 HDMI。</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7、具有独立非外拓展的电脑 USB 接口：至少具备 4个USB3.0 接口。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8、具有标准 PC 防盗锁孔，确保电脑模块安全防盗。</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9、和整机的连接采用万兆级接口，传输速率≥10Gbps。</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10、和整机的连接接口针脚数≤40pin。</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二、屏幕显示效果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1、整机屏幕采用≥86英寸液晶显示器。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2、整机采用超高清LED液晶显示屏，显示比例16:9，分辨率3840×2160。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3、整机色域覆盖率（NTSC）≥72%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4、整机背光系统支持DC调光方式，多级亮度调节，支持白颜色背景下最暗亮度≤100nit，用于提升显示对比度。</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5、灰阶等级≥256级。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6、整机屏幕蓝光占比（有害蓝光415～455nm能量综合）/（整体蓝光400～500能量综合）＜50%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7、支持标准、多媒体和节能三种图像模式调节。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8、支持自定义图像设置，可对对比度、屏幕色温、图像亮度、亮度范围、色彩空间调节设置。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整机系统支持手势上滑调出人工智能画质调节模式（AI-PQ），在安卓通道下可根据屏幕内容自动调节画质参数，当屏幕出现人物、建筑、夜景等元素时，自动调整对比度、饱和度、锐利度、色调色相值、高光/阴影。</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10、整机视网膜蓝光危害（蓝光加权辐射亮度LB）满足IEC TR 62778:2014蓝光危害RG0级别</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11、整机全通道支持纸质护眼模式，可实现画面纹理的实时调整；支持纸质纹理：牛皮纸、素描纸、宣纸、水彩纸、水纹纸；支持透明度调节；支持色温调节。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纸质护眼模式下，显示画面各像素点灰度不规则，减少背景干扰。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★13、整机左、右、下三边框皆具备磁吸功能，边框任意位置可吸附具备磁吸功能的书写笔。</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三、整机接口设计与安全设计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1、侧置输入接口具备2路HDMI、1路RS232、1路USB接口。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2、侧置输出接口具备1路音频输出、1路触控USB输出。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3、前置输入接口3路USB接口（包含1路Type-C、2路USB）。</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color w:val="auto"/>
                <w:highlight w:val="none"/>
              </w:rPr>
              <w:t>▲</w:t>
            </w:r>
            <w:r>
              <w:rPr>
                <w:rFonts w:hint="eastAsia" w:ascii="宋体" w:hAnsi="宋体" w:eastAsia="宋体" w:cs="宋体"/>
                <w:i w:val="0"/>
                <w:iCs w:val="0"/>
                <w:color w:val="auto"/>
                <w:kern w:val="0"/>
                <w:sz w:val="21"/>
                <w:szCs w:val="21"/>
                <w:highlight w:val="none"/>
                <w:u w:val="none"/>
                <w:lang w:val="en-US" w:eastAsia="zh-CN" w:bidi="ar"/>
              </w:rPr>
              <w:t>4、支持通过Type-C接口U盘进行文件传输，兼容Type-C接口手机充电。</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5、整机采用一体设计，外部无任何可见内部功能模块连接线。边角采用弧形设计，表面无尖锐边缘或凸起。</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6、整机采用全金属外壳设计，边框为金属一体成型。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7、整机屏幕边缘采用金属圆角包边防护，整机背板采用金属材质，有效屏蔽内部电路器件辐射；防潮耐盐雾蚀锈，适应多种教学环境。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四、整体无线与网络功能设计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1、整机无需外接无线网卡，在Windows系统下可实现Wi-Fi无线上网连接、AP无线热点发射和BT蓝牙连接功能。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2、Wi-Fi和AP热点工作距离≥12m。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3、整机支持蓝牙Bluetooth 5.4标准，固件版本号HCI13.0/LMP13.0。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4、整机PC端支持主动发现蓝牙外设从而连接（无需整机进入发现模式），支持连接外部蓝牙音箱播放音频。</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★5、整机支持发出频率为18kHz-22kHz超声波信号，智能手机和笔记本电脑接收超声波信号后可以自动识别附近投屏设备，点击对应设备即可完成投屏操作。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在进行传屏；投屏时可以选择过滤特定应用窗口，如邮件应用窗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7、整机内置双WiFi6无线网卡（不接受外接），在Android和Windows系统下，可实现Wi-Fi无线上网连接、AP无线热点发射。</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▲8、整机内置双WiFi6无线网卡（不接受外接），在Android下支持无线设备同时连接数量≥32个，在Windows系统下支持无线设备同时连接≥8个；</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9、整机无需外接无线网卡，在Windows系统下接入无线网络，切换到嵌入式Android系统下可直接实现无线上网功能，不需手动重复设置。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10、Wi-Fi及AP热点支持频段2.4GHz/5GHz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▲11、Wi-Fi制式支持IEEE 802.11 a/b/g/n/ac/ax；支持版本Wi-Fi6。</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五、侧边栏教学设计要求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1、整机全通道侧边栏快捷菜单包含如下小工具：批注、降半屏、截屏、放大镜、倒计时、日历、聚光灯、秒表、冻屏、倒数日、答题、节拍器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2、整机全通道侧边栏快捷菜单小工具支持自定义，支持设置对应小工具的显示/隐藏。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3、整机全通道侧边栏支持使用批注小工具进行批注讲解，可切换书写笔颜色、截屏保存批注内容、清屏，可根据手与屏幕的接触面积自动调整板擦工具的大小。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▲4、整机全通道侧边栏支持将设备屏幕降低为半屏幕状态，点击上半屏幕可以返回全屏状态。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5、整机全通道侧边栏支持自行选择所需截取屏幕范围，点击截屏即可成功截取屏幕，并自动保存。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6、整机全通道侧边栏支持放大选中区域内容，并可支持对未选中区域关灯处理，实现聚光灯效果。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7、整机支持在无任何外部设备的情况下，实时录制用户朗读内容，识别用户声纹并进行统一身份登录，登录后自动获取个人云端教学课件列表，打开教学白板软件时可跳过软件自带登录步骤。</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8、整机全通道侧边栏支持打开日历，查看日期。</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9、整机全通道侧边栏支持聚光灯，支持聚光灯高亮区域大小调节、区域移动。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10、整机全通道侧边栏支持冻屏，将屏幕画面进行缩放。</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11、整机安卓和外接通道下侧边栏支持设置倒数日。</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12、整机安卓和外接通道 下侧边栏支持通过扫描二维码加入班级，老师设置题型，学生回答后提交，教师查看正确率比例及详细讲解；支持随机抽选、实时弹幕；支持管理当前班级成员；支持导出学生报告。全通道下可支持通过自定义按键调出该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13、整机侧边栏内置智能语音转文字工具，将整机内置麦克风拾取的语音进行文字转译，以悬浮字幕形式将转译文字显示在屏幕上。</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14、整机支持在设备上通过摄像头获取教室内图像并自动识别图像内所有人员，并随机抽选1人。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▲15、整机支持在设备上通过摄像头获取教室内图像并自动识别图像内所有人员，并自动进行人数统计。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16、整机支持在设备上，通过侧边栏实现调用windows系统运行、打开文件夹、打开任务管理。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17、整机Windows通道支持在通过侧边栏调取软键盘。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18、整机Windows通道支持对当前运行中的应用进行窗口最大化、窗口最小化、应用强制关闭。</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19、整机处于非内置PC通道下，支持通过侧边栏进入PC通道。</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20、整机全通道侧边栏快捷菜单支持快捷调节音量、亮度，支持自动亮度模式，支持点击静音按钮静音。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21、整机全通道侧边栏快捷菜单中应用软件可以进行切换，无需在已经开启的应用软件全屏模式下退出当前应用再选择更换。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22、整机全通道侧边栏支持自定义快捷菜单，支持windows应用固定，可将应用固定后，在侧边栏进行快捷打开。</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23、整机全通道侧边栏快捷菜单中可实时查看物联设备的连接情况，点击设备图标即可调出中控菜单进行管控。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24、整机全通道侧边栏快捷菜单支持简洁模式和常规模式切换。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▲25、整机全通道侧边栏快捷菜单简洁模式，可进行打开批注、降半屏、主页的基础操作。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六、整机系统设计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（一）触摸系统</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▲1、支持Windows 7、Windows 8、Windows 10、Windows11、Linux、Mac Os、UOS和麒麟系统外置电脑操作系统接入时，无需安装触摸驱动。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2、触摸分辨率32768×32768。</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3、书写触控延迟≤25ms</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4、整机触控书写功能集成预测算法，在书写速度≥50cm/s，支持笔迹距离笔的距离小于20mm。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5、触摸响应≤4ms。</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6、触摸最小识别物≤3mm。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7、整机屏幕触摸有效识别高度不超过3mm，即触摸物体距离玻璃外表面高度不超过3mm时，触摸屏识别为点击操作。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8、整机支持提笔书写，在Windows系统下可实现无需点击任意功能入口，当检测到红外笔笔尖接触屏幕时，自动进入书写模式。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9、整机支持手笔分离，通过提笔即写唤醒批注功能后，可进行手笔分离功能，使用笔正常书写，使用手指可以操作应用，进行点击操作。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10、整机触摸支持动态压力感应，支持无任何电子功能的普通书写笔在整机上书写或点压时，整机能感应压力变化，书写或点压过程笔迹呈现不同粗细。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★11、支持智能书写功能，书写文字自动识别为标准印刷体，支持图形识别功能，可将多种手绘图形转化为矩形、三角形、圆形标准图形。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★12、整机白板软件支持智能图表绘制，可将手绘表格转化为智能表格，形成表格对象后表格中书写区域可根据书写内容自适应调整大小，支持将表格外书写内容一键拖动到表格中。</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交互式白板软件支持手写笔迹的智能编辑，支持通过手绘置换符快速置换前后文字语序，支持手动涂抹笔迹对象进行快速删除，支持圈选笔迹对象进行手写笔迹缩放，支持文字间手绘竖线进行文字间距的快速调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整机内置交互式白板软件支持课件多人在线协同编辑，支持以链接的形式进行课件分享、邀请协作，支持查看当前在线用户，针对邀请协同的用户可设置可编辑、可阅读权限，支持将PPT课件转化为交互式课件进行协同编辑。</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（二）安卓系统</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1、整机嵌入式系统版本≥Android 15，主频≥1.6GHz。</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2、嵌入式Android操作系统下，白板支持对已经书写的笔迹和形状和颜色进行更换。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3、在嵌入式系统下使用白板软件时，整机可自行调节屏幕亮度。</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★4、支持通过悬浮球调起元素周期表，支持对不同类别元素进行颜色区分，可通过点击对不同元素进行分类展示，展示样式支持按原子数/原子结构/相对原子质量/电子构型配置元素方式进行调整。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★5、整机内置交互式白板软件支持汉字语音测评功能，通过整机拾音麦进行用户声音采集分析，判断用户发音是否标准。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6、无PC状态下，嵌入式系统内置互动白板支持全局漫游，并能在工具栏中对全局内容进行预览和移动。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7、无PC状态下，嵌入式Android 操作系统下可使用白板书写、WPS 软件和网页浏览</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8、在嵌入式Android操作系统下，能对TV多媒体USB所读取到的文件进行自动归类，可分类查找文档、板书、图片、音视频，检索后可直接在界面中打开。</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七、教学功能应用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1、整机内置学生日历功能，支持全屏查看日历、显示法定节日；用户可以添加日历事件，设定特定时间并关联本机安卓应用，事件到期后，可以通过事件提醒打开关联的应用，如欢迎词、白板应用。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★2、整机内置AR授课工具，支持对视频展台所采集的画面中叠加动态的3D 模型。3D模型包括：动物、微生物、人体骨骼、乐器、星球、地形。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★3、整机内置 AI 授课工具，支持对整机页面显示的题目或视频展台所采集的题目内容进行识别，支持手动框选题目范围，能够对题目进行详细的讲解，讲解内容包括解题步骤和注意事项。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4、整机内置AI授课工具，可根据题目所涉及的知识点和难度级别，可推荐相似题目，推荐题目数量可根据用户需求进行设置。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整机内置AI作文批改工具，支持对视频展台所采集的内容进行识别，识别到英文作文类型后，支持作文内容进行批改。可根据作文的整体表现给出一个综合评分，并提供详细的评分依据。（投标时须提供国家认可的第三方检测机构出具的关于该功能检测报告复印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6、整机内置AI作文批改工具，能够从作文的词汇词组、语法句子、内容连贯性多个维度进行分析和评价。对于存在的语法错误和错别字，能够指出并提供修改建议。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整机内置AI智能体（非第三方应用），根据教学和学习需求可快速创建，支持个性化设定角色信息包括角色性格、技能与头像信息，支持语音和文字两种方式与智能体进行对话交互，创建的智能体可上传到本校资源进行共享使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整机内置AI智能体（非第三方应用），支持用户通过当前设备与历史学家智能体进行对话交流。智能体包涵历史文物、文化遗址、博物馆展览文博知识。用户可通过语音方式向智能体提问，智能体能够根据用户的问题提供准确、详细的回答，支持多轮对话，可根据用户的兴趣偏好，推荐相关的文博展览、文物故事内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★9、整机自带AI书写美化能力，智能识别批注的书写轨迹，进行笔锋智能美化，模拟纸上书写的起笔、行笔和收笔效果。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10、整机内置微课制作工具，支持对全屏/区域的屏幕内容、整机声音、麦克风声音、摄像头内容进行录制，支持切换录制分辨率，支持录制过程中进行画笔标注与擦除；支持中途暂停录制和继续录制。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★11、整机内置文字快剪功能，支持微课录制结束后提取视频中的文字，按照提取出的文字，对视频进行快速视频剪辑。</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八、整机硬件设计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三合一电源按键，同一电源物理按键完成Android系统和Windows系统的开机、节能熄屏、关机操作；关机状态下按按键开机；开机状态下按按键实现节能熄屏/唤醒，长按按键实现关机。（投标时须提供国家认可的第三方检测机构出具的关于该功能检测报告复印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★2、整机为适配教学场景的便捷使用，设备按键采用简洁化设计，前置接口与按键在设备同一侧。前置物理按键，可实现开关机、音量＋－、护眼、录屏、设置功能。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3、支持经典护眼模式，可通过前置面板物理功能按键一键启用经典护眼模式。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4、设备支持通过前置面板物理按键一键启动录屏功能，可将屏幕中显示的课件、音频内容与人声同时录制。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5、整机前置 USB 接口具备防撞挡板设计，防撞挡板采用转轴式翻转，可拆卸更换不同宽度的挡板对设备进行防撞防护。</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整机前置按键支持自定义设置，可通过自定义设置实现前置面板功能按键一键启用任一全局小工具（批注、截屏、计时、降半屏、放大镜、倒数日、日历）、快捷开关（节能模式、纸质护眼模式、经典护眼模式、自动亮度模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★7、整机设备内置2.2声道扬声器，前朝向发声，12W高音扬声器2个，上朝向30W中低音扬声器2个，最大功率≥84W。</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▲8、整机可选择高级音效设置，支持在左右声道平衡显示范围中进行更改；中低频段显示调节范围125Hz～1KHz，高频段显示调节范围 2KHz～16KHz，分贝显示-12dB～12dB 调节范围。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9、整机内置非独立外扩展的4阵列麦克风，可用于对教室环境音频进行采集，麦克风拾音距离≥12米。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10、整机内置扬声器采用缝隙发声技术，喇叭采用槽式开口设计，不大于5.8mm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11、整机扬声器在100%音量下，可做到1米处声压级≥88db，10米处声压级≥79dB</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12、内置摄像头、麦克风无需外接线材连接，无任何可见外接线材及模块化拼接痕迹，未占用整机设备端口。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13、支持标准、听力、观影和AI空间感知音效模式，AI空间感知音效模式可通过内置麦克风采集教室物理环境声音，自动生成符合当前教室物理环境的频段、音量、音效。</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14、整机内置摄像头（非外扩），PC通道下支持通过视频展台软件调用摄像头进行二维码扫码识别。</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15、具备摄像头工作指示灯，摄像头运行时，有指示灯提示。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▲16、整机上边框内置非独立摄像头，采用一体化集成设计，⽀持输出4:3、16:9⽐例的图⽚和视频，支持拍摄≥1600 万像素数的照片和视频，支持输出 4k 分辨率的视频。</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17、整机摄像头对角线视场角≥120度</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18、整机内置非独立的高清摄像头，可用于远程巡课。</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19、整机摄像头支持人脸识别、清点人数、随机抽人；识别所有学生，显示标记，然后随机抽选，同时显示标记不少于60人。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20、整机具备班级视力检测功能，学⽣站在距离屏幕前5m处，可通过⼿势识别方式来标识方向进行视力测试，测试完成后可直接⽣成视⼒检测结果，并建⽴学⽣视⼒档案，对学⽣视⼒情况进⾏管理。（投标时须提供国家认可的第三方检测机构出具的关于该功能检测报告复印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九、教学备授课软件设计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（一）白板教学PC端应用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▲1、教学系统为全校教师提供可扩展，易于学校管理，安全可靠的云存储空间，根据每名教师使用时长与教学资料制作频率提供可扩展升级至不小于200G的个人云空间。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教学系统须为使用方全体教师配备个人账号，形成一体的信息化教学账号体系；根据教师账号信息将教师云空间匹配至对应学校、学科校本资源库。支持通过数字账号、微信二维码、硬件密钥方式登录教师个人账号。</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3、互动教学课件支持定向精准分享：分享者可将互动课件、课件组精准推送至指定接收方账号云空间，接收方可在云空间接收并打开分享课件。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上传下载一体化云存储：备课时支持将云空间中存储图片、音频、视频等素材插入课件，同时支持将课件中的图片、音频、视频等素材右键上传至云空间。互动教学课件支持开放式云分享：分享者可将互动课件、课件组以公开或加密的 web 链接和二维码形式进行分享，分享链接可设置访问有效期。</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5、语文工具：具备汉字生字卡，直观展示汉字部首、笔画数量，笔画书写支持分步展示和连续展示，教师可一次性生成多个汉字生字卡，同步生成数量不少于 5 个。可以调出可直接书写的田字格、四线三格，书写笔画笔顺指导功能。支持授课助手：同步教学写字的视频、朗读泛读音频、支持手机扫学生作品能够投影大屏幕、手机现场录音支持上传视听、支持连接绘本教学资源及字理教学视频播放、支持笔顺笔画的视频教学播放。</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6、支持软件联网自动静默升级，无需用户手动更新。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7、课件背景：提供不少于8种以上背景模板供老师选择，持自定义背景。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互动分类游戏：支持创建互动分类游戏，可自定义不同类别及相对应的对象，实现将不同对象拖拽到对应的类别容器中可自动辨识分类，分类正确或错误均有相应提示。类别和对象的样式、数量均可以自定义设置。系统需提供不少于9种游戏模板，直接选择并输入相应内容即可轻松生成互动分类游戏，提升课堂趣味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9、智能选词填空：支持创建智能选词填空游戏，教师可随意编辑填空题题干以及相应的答案选项，将选项拖到对应题干空白处，系统将自动判别答案是否正确。系统需提供不少于 8 种游戏模板供老师选择，且模板样式支持自定义修改。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▲10、智能配对游戏：支持创建配对游戏，教师可随意将知识点进行配对。当开始配对游戏时，拖动知识点进行配对，系统将自动判断是否正确。系统至少提供7种游戏模版，且模版样式支持自定义修改。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11、分组竞争游戏：支持创建分组竞争游戏，教师可设置正确项／干扰项，让两组学生开展竞争游戏。系统提供不少于 3 种难度、10种游戏模版选择，且模版样式支持自定义修改。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、数学公式编辑器：支持复杂数学公式输入，提供不少于 20 个数学符号及模板，输出的公式内容支持不同颜色标记及二次编辑。</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13、数学画板功能：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a)能在白板中插入在线画板，授课时可以一键打开,方便老师配合课件内容进行讲解。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b)提供不少于 500 个数学画板资源，覆盖小学、初中、高中学段数学学科主要知识点，并按照知识点分类，便于老师查找。</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c)画板资源互动性强，利于老师讲解抽象知识点，如小学阶段的四边形互相转换资源，可支持点击，动态切换四边形形态；中学阶段的平方差公式资源，可支持图形展示平方差公式计算原理，并可改变数值，重复演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d)老师创建个人画板，除了点、线、面等基础元素以外，画板还可提供线段中点、椭圆焦点、极坐标方程等数十种数学常用工具，保证老师日常备授课所需。创建完成后，老师可一键将画板插入白板，与课件无缝连接。</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思维导图：提供思维导图、鱼骨图及组织结构图编辑功能，可轻松增删或拖拽编辑内容节点，并支持在节点上插入图片、音频、视频、网页链接、课件页面链接。支持思维导图逐级、逐个节点展开，并可任意缩放，满足不同演示需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15、表格：</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a)具有表格插入功能，并提供5种以上表格样式供老师选择。</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b)表格能自适应，可一键将表格的行、列调整到最合适的大小。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c)具有表格遮罩功能，可对表格中任意一格添加遮罩，在授课模式下通过点击可消除遮罩，方便老师设置互动活动。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d)在授课模式下，支持表格克隆功能，可克隆出多个相同表格，</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方便老师请多位同学进行答题互动。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16、图表：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a)具有图表插入功能，并提供柱状图、扇形图、折线图 3 种图表形式，且每种形式提供不少于5种样式供选择。</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b)具有图表二维及三维展示形式任意切换，且三维图表支持旋转，方便多角度展示数据变化。</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c)具有图表添加超链接，可连接至课件其他页面、网页、软件自带小工具等地方。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d)在授课模式下，支持图表克隆功能，可克隆出多个相同图表，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方便老师进行对比观察。</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▲17、古诗词资源：</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a)提供覆盖多学段的古诗词、古文资源，包含原文、翻译、背景介绍、作者介绍、朗诵音频等。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b)支持用户根据年级、朝代、诗人等进行分类查找，也可直接搜索诗词、古文名称或作者名查找。</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c)提供不少于9种古诗词专用背景模板，老师可贴合古诗词意境选择合适背景进行教学。</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d)每篇古诗词、古文均提供原文及翻译、背景介绍、作者介绍等，同时支持一键跳转打开网页，展示对应的背景或作者介绍。</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e)支持老师备课时对原文进行注释、标重点等操作，方便老师讲解重点字词。</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f)提供原文朗读功能，全部诗词、古文均配备专业朗读配音，且支持老师在备课时对朗读音频进行打点操作，上课时可播放提前选择好的片段。</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18、3D星球模型：提供3D立体星球模型，包括地球、太阳、火星、水星等太阳系行星，支持360°自由旋转、缩放展示；并支持在地球教学工具中，清晰展现地球表面的六大板块、降水分布、气温分布、气候分布、人口分布、表层洋流、陆地自然带、海平面等压线等内容；且支持三维、二维切换展示，方便地理学科教学。</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▲19、美术画板：具有美术画板工具，提供铅笔、毛笔、油画笔，可实现模拟调色盘功能，老师可自由选择不同颜色进行混合调色，搭配出任意色彩。</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20、美术工具：具备图形自由创作工具，教师可自由绘制复杂的任意多边图形及曲边图形；教师自主创作的图形可存储至个人云空间便于后续使用。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（二）白板软件移动端应用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1、课件预览保留课件对象拖拽移动、克隆复制、置顶、删除等互动功能，并可通过移动端进行思维导图、课堂互动游戏的触控交互操作，并支持显示课件备注内容。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2、可在移动平台选择是否接收获取的分享课件，接收后课件储存至个人云空间，可在移动平台的互动课件列表预览。</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3、移动平台可对云空间互动课件和课件组移动、删除和重命名，课件及课件组支持批量移动、删除。</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4、移动平台可将课件通过微信、朋友圈、云空间帐号、二维码、公开链接、加密链接等方式进行分享，分享有效期支持自定义。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▲5、移动平台可查看教师个人云空间里所有互动课件列表，并可打开互动课件进行预览，预览时支持上下翻页、页面缩略图预览、页面跳转。</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6、移动平台可以上传手机相册中的照片和视频到资料夹，且能调用系统相机拍摄照片并直接上传。教师可以在备课端选择资源插入课件。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十、教学PPT小工具</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1、不借助其他软件情况下，播放PPT时即可实现书写、擦除功能；可支持课件所有页面的预览、可随意进行页面跳转和实现上下翻页。</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2、不借助其他软件情况下，播放PPT时即可支持板中板功能，直接调用板中板辅助教学，可实现批注及加页，不影响课件整体内容。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在无需打开除PPT以外的其他软件时，可实现新建PPT并课件及板书内容直接生成二维码分享，且扫码后支持在手持终端生成二维码进行再次分享，支持点赞。支持发送课件链接至邮箱，方便教师下载保存课件板书内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4、不借助其他软件情况下，播放PPT时即可调用放大镜、聚光灯小工具辅助教学。</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十一、书写副屏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（一）硬件要求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触控一体机两侧各放置一块光能黑板副板，每套由两块光能黑板组成。单块光能黑板≥1290（长）*1150（高）mm。下边框具有可调节托板，可根据触控一体机高度进行调整至与触控一体机高度平齐，兼具置物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2、光能黑板四角应为圆角，且径向半径不小于4mm，法向半径不小于0.3mm。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3、边框采用铝合金材质，坚固耐用，具有较好的耐腐蚀特性。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4、黑板侧面应采用侧封板，用于遮挡光能黑板与墙面间的缝隙，侧封板在非拆除形式下，能够调整侧封板与墙面的闭合距离，便于安装及后期调节。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5、无需专用耗材，采用多种笔杆均可在板面进行书写，消除了粉笔粉尘对师生构成的健康隐患。书写压力为2N~3N，笔迹流畅、均匀、清晰可见、无断线，笔迹显示无延迟。可擦次数不低于10万次。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6、板面应无频闪、无背光，上膜不应产生眩光。板书笔迹可视距离40米，可视角度≥150°，对比度≥150:1。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7、光能黑板的光泽度不高于30光泽单位。</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8、为减少老师书写的疲劳感，板面粗糙度Sa≤0.3um。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9、书写板上膜应经过抗紫外线工艺处理，波长小于380nm的紫外线阻隔率不低于99.5%。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10、一键擦除时间不大于1.5秒，擦除应无断点、无死角等，擦除后应无明显残留痕迹。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★11、为方便使用，可使用板擦和手势对板书进行局部擦除，局部擦除时间不大于0.4秒，擦除应无断点、无死角等，擦除后应无明显残留痕迹，且非擦除区域不受影响。</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12、黑板内设有电压调整机制，支持自动感应调整，也支持通过手势按压书写板板面的特定位置，调节局部擦除的灵敏度，适应不同用户的使用需求。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13、最大工作电流（瞬间电流）不得超过1000mA。</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14、黑板表面具有暗格，用以提供给师生在书写板书时的直线参照，可避免板书歪斜。黑板表面可吸附磁贴、磁扣等教学工具，便于老师教学使用。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15、黑板的功能接口应在产品后侧，安装后正面观察无明显外露，防止乱接；为方便老师使用，应在下方预留接口，用于外接设备。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16、为让老师能够快速调取交互软件，方便使用功能，光能黑板的左侧或右侧应具有触摸快捷键。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（二）软件要求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1、左、右光能黑板可与触控一体机进行互动，将光能黑板的内容与触控一体机无缝连接，教师在光能黑板上的书写内容可同步显示在触控一体机上。</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2、为便于老师记忆和操作，板书界面与电脑桌面/PPT课件之间，可以来回切换，方便快捷。</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3、光能黑板具有两种书写记录模式，支持单板书写时，单页面显示（此时只有一块黑板界面），也可以支持多板同时书写时，多页面同时显示；可以通过触摸快捷键，快速切换。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4、当不需要板书传输到软件显示界面时，可以使用分屏功能，断开黑板与大屏的传输，使其成为互不影响的多块黑板。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5、设置不同的软件端笔迹颜色，可实现老师对于教学重点的标识及批注；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保存后的板书可以上下翻页，也可以通过触摸快捷键，快速预览所有已经存储的板书内容。当点击光能黑板上的上下翻页时，仅对当前光能黑板的同传内容进行上下翻页，而不影响另一块光能黑板的同传界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7、对板书的电子文档进行分享，可以存储在本地PC端，同时生成二维码，便于师生扫码获取。</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8、可以对课堂的板书和讲解进行录制，生成视频文档，利于学生课后复习回放。</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9、支持导入PPT课件，可以在同传软件上同时显示出PPT课件和板书的记录文本。</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10、具备打印功能，可连接打印机将保存的板书文档传输至打印机打印，方便灵活。</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十二、其他要求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1、为确保货物质量及原厂品质，中标供应商在正式供货时必须提供生产厂家针对此项目的售后服务保证原件、供货证明原件，否则采购方将不予验收通过。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打“▲”号条款为重要技术参数，投标人必须满足否则中标无效。中标公示期内若有其他投标人质疑情况下，中标单位必须提供与标书技术要求及功能符合的全部样品一套至用户处进行整体性能与标书文件核对，协助质疑答复。如出现所提供样品不符招标要求或无法提供所有样品，均视为虚假应标处理并根据招标法及标书要求追究法律责任。</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9DE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3A4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3C06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5FA69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1F2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6F5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视频展台</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39E1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（一）硬件部分：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1.整机采用圆弧式设计，无锐角；同时托板采用磁吸吸附式机构，防止托板打落，方便打开及固定，避免机械式锁具故障率高的问题。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2.采用≥800万像素摄像头；采用 USB五伏电源直接供电，无需额外配置电源适配器，环保无辐射；箱内USB连线采用隐藏式设计，箱内无可见连线且USB口下出，有效防止积尘，且方便布线和返修。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3.A4大小拍摄幅面，1080P动态视频预览达到30帧/秒；托板及挂墙部分采用金属加强，托板可承重3kg，整机壁挂式安装。</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4.支持展台成像画面实时批注，预设多种笔划粗细及颜色供选择，且支持对展台成像画面联同批注内容进行同步缩放、移动。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5.展示托板正上方具备LED补光灯，保证展示区域的亮度及展示效果，补光灯开关采用触摸按键设计，同时可通过交互智能平板中的软件直接控制开关。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6.带自动对焦摄像头；外壳在摄像头部分带保护镜片密封，防止灰尘沾染摄像头，防护等级达到IP4X级别。</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7.具有故障自动检测功能：在调用展台却无法出现镜头采集画面信号时，可自动出现检测链接，并给出导致性原因（如硬件连接、摄像头占用、配套软件版本等问题）。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（二）软件部分：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1.支持对展台实时画面进行放大、缩小、旋转、自适应、冻结画面等操作。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2.支持展台画面实时批注，预设多种笔划粗细及颜色供选择，且支持对展台画面联同批注内容进行同步缩放、移动。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3.支持展台画面拍照截图并进行多图预览，可对任一图片进行全屏显示。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4.老师可在一体机或电脑上选择延时拍照功能，支持5秒或10秒延时模式，预留充足时间以便调整拍摄内容。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5.可选择图像、文本或动态三种情景模式，适应不同展示内容。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6.具备图像增强功能，可自动裁剪背景并增强文字显示，使文档画面更清晰。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7.支持故障自动检测，在软件无法出现展台拍摄画面时，自动出现检测链接，帮助用户检测“无画面”的原因，并给出引导性解决方案。可判断硬件连接、显卡驱动、摄像头占用、软件版本等问题。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8.支持二维码扫码功能：打开扫一扫功能后，将书本上的二维码放入扫描框内即可自动扫描，并进入系统浏览器获取二维码的链接内容，帮助老师快速获取电子教学资源。</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617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DC1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3F85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0AC90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6F6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035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智能笔</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8742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1.采用笔型设计，具有三个遥控按键（上下翻页和功能键），既可用于触摸书写，也可用于远程操控。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2.采用2.4G无线连接技术，无线接收距离最大可达15米。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3.无线接收器采用微型nano设计，并能收纳在笔上，整洁美观。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4.使用单节7号电池驱动，并带自动休眠节电设计。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5.单接收器设计，android、windows双系统同时响应。只需安装一个接收器，双系统都能响应智能笔的操作指令。</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6.支持白板课件、PPT、PDF等多种格式的课件进行远程无线翻页。</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7.功能按键可通过长按/短按实现两种快捷功能，方便教师操作。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8.支持自定义按键功能，可选功能包括：一键启动任意通道批注、一键启动/退出PPT播放、一键启动PPT批注、一键启动任意通道冻结与放大屏幕内容。</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510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1F4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54CD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47B3D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AC9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F26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智能讲台</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0C72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1)智能讲台结构：木结构部分均采用E0级木质板材结构，甲醛释放量≤0.05mg/m³，桌面防静电。</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2)智能讲台尺寸及外观：（长×宽×高）≥ 1100mm× 550mm× 900mm，讲台三面环抱式设计，根据人体力学设计，讲台桌面高度合适老师放置教学用品，讲台产品外观桌面平整，悬浮式设计，边缘光滑，无棱角处理，保护师生安全。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3)智能讲台包含至少21.5英寸电容触摸屏幕，支持10点同时触摸。</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4)智能讲台屏幕采用防眩光全钢化防爆玻璃面板，厚度≥3mm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5)智能讲台触控屏幕稳定固定在讲台中，无突出边角，屏幕无法在没有工具的情况下拆除。</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6)智能讲台支持通过触控屏幕对一体机的画面进行控制，同时支持同步显示一体机画面，老师讲课无需转身背对学生，提高授课效率。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7)智能讲台设置物理实体快捷按键，两侧按键共≥5个。</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8)智能讲台具备独立的快捷按键，用户可通过快捷按键对一体机进行进行一键熄屏、音量加控制、音量减控制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9)智能讲台支持对自身智能讲台触控屏幕的一键息屏、一键开/关机的快捷控制。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10)智能讲台至少具备1个可自定义功能按键，可通过软件设置选择按键功能，包括一键启动白板、一键启动视频展台，一键关闭当前应用程序选项功能。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11)智能讲台设置至少四个USB充电口，对接入设备进行充电，方便学校对教学用品的管理及维护。</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12)智能讲台设置的USB口，可供老师接入键盘、鼠标、U盘等设备，可被一体机识别通讯。13)智能讲台台面有效置物面积≥6张A4纸平铺等效面积，设置有收纳抽屉和隔板 ,提供更充裕的常用教具、资料收纳空间。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14)智能讲台支持蓝牙BLE功能，可以无线控制支持蓝牙功能的一体机产品开机，减少额外连线或二次装修部署。</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F9B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7DF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7E0E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41826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88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C39F87">
            <w:pPr>
              <w:jc w:val="left"/>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3、精品终端-观摩室设备</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82238">
            <w:pPr>
              <w:jc w:val="left"/>
              <w:rPr>
                <w:rFonts w:hint="eastAsia" w:ascii="宋体" w:hAnsi="宋体" w:eastAsia="宋体" w:cs="宋体"/>
                <w:b/>
                <w:bCs/>
                <w:i w:val="0"/>
                <w:iCs w:val="0"/>
                <w:color w:val="auto"/>
                <w:kern w:val="0"/>
                <w:sz w:val="21"/>
                <w:szCs w:val="21"/>
                <w:highlight w:val="none"/>
                <w:u w:val="none"/>
                <w:lang w:val="en-US" w:eastAsia="zh-CN" w:bidi="ar"/>
              </w:rPr>
            </w:pPr>
          </w:p>
        </w:tc>
      </w:tr>
      <w:tr w14:paraId="275CB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4BE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6B6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有源音箱</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E5D4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1.采用功放与有源音箱一体化设计，内置麦克风无线接收模块，帮助教师实现多媒体扩音以及本地扩声功能。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2.双音箱有线连接，机箱采用塑胶材质，保护设备免受环境影响。</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3.输出额定功率: 2*15W，喇叭单元尺寸≥5寸。</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4.端口：220V电源接口*1、Line in*1、USB*1。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5.麦克风和功放音箱之间采用数字U段传输技术，有效避免环境中2.4G信号干扰，例如蓝牙及WIFI设备。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6.配置独立音频数字信号处理芯片，支持啸叫抑制功能。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7.支持教师扩声和输入音源叠加输出，可对接终端系统实现教师扩声音频的纯净采集，避免环境杂音干扰采集效果。</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03F4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对</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E4C4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5086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00668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D62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1DC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观摩电视机</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55E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1.屏幕物理尺寸≥55英吋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2.屏幕分辨率≥3840*2160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3.屏幕刷新率≥60Hz</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4.屏幕可视角度≥±176度</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5.整机功耗≤120W</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6.待机功耗≤0.5W</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7.内置喇叭个数≥2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8.喇叭总功率≥16W</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9.USB通道支持不少于12种音视频文件格式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10.USB接口数量≥2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11.HDMI输入通道数量≥3</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12.模拟RF接口≥1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13.AV接口≥1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14.标配遥控器和配套电池</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15.支持HDMI接入检测开机，HDMI有输入信号后，可自动开机，至少有3个HDMI接口支持该功能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16.支持HDMI接入检测关机，HDMI输入信号消失后2分钟，可自动进入关机状态，至少有3个HDMI接口支持该功能</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123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1D0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7634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50B65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73B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941A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显示器</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BC90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1)尺寸≥23英寸，液晶面板为IPS屏。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2)亮度值≥250cd/㎡。</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3)对比度≥1000:1，屏幕刷新率≥75Hz，响应时间≤7ms，可视角度≥178°</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4)支持高色域显示，色域值≥DCI-P3 90%；</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B2C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A41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51DC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19422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047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6DB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专业导播台</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C571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1.整机采用纯金属材质，全铝机身，CNC工艺，坚固耐用，质感十足，底部配备≥4个硅胶垫，桌面使用更加稳固；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采用彩色背光按键，按键数量≥29个，背光颜色≥3种，可通过不同颜色表征不同的工作状态，简化老师理解，支持背光亮度调节，可以根据教室光线环境和用户喜好自行调节背光亮度，满足不同场景和用户使用需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3.整机配备云台操纵杆，通过整机摇杆操作，支持不少于8个方向的云台控制，可通过操纵杆的倾斜程度实现对云台摄像机的转动速度控制，同时可通过操纵杆实现ZOOM拉进拉远控制，满足精准的拍摄取景；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4.支持一键复位功能，可通过云台操纵杆，快速将摄像机复位到开机预置位画面；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整机支持不少于5个预置位，支持云台预置位设定，预置位设定无需打开其他设置软件，可直接通过键盘完成预置位设定，设定后预置位即刻生效，用户设定预置位过程有灯光提示，减少用户误操作的概率，预置位调用过程中导播键盘提供灯光颜色变化提示+蜂鸣器提示，给用户最准确的操控反馈，用户可直接通过预置位调用控制录制画面切换当前选中的某个预置位，实现对拍摄角度的精准控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6.支持云台摄像机控制选择，用户可以通过整机按键操作，支持≥5个摄像机通道选择，通道选择完成后，键盘操控命令仅对选中摄像机生效，不会产生串码；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为满足用户在导播过程中对声音控制的诉求，整机支持≥3个音量控制旋钮，可实现对终端主机的实时音量、教师麦克风音量、学生麦克风音量的控制，控制旋钮采用无极编码器，转动顺滑无限位，旋钮表面采用条纹设计，操控触感一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8.整机支持≥2种通信方式，可使用USB或RS422进行通信，为保证控制实时性，不接受使用TCP/UDP通信方式；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9.整机通信接口≥2个，支持至少一个USB2.0接口，至少一个RS422接口；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整机与终端主机操作同步，用户通过导播键盘，可以实现开始、暂停、停止、三种录制状态控制，控制实时性良好，能够做到即点即录，无需等待，控制过程导播键盘提供灯光颜色变化提示+蜂鸣器提示，给用户最准确的操控反馈；</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11.支持导播模式控制，用户可根据使用场景需要，设置当前的导播模式，整机可设置终端主机为自动导播模式和手动导播模式，满足不同场景需求；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12.支持≥6种画面布局，包含单画面、双画面、画中画、三画面、四画面、自定义布局；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13.支持导播控制，用户可通过整机按键操作实现导播画面选择，选中通道能够高亮显示，支持≥6个导播通道控制；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整机内置蜂鸣器，用户在进行导播控制时，可通过蜂鸣器实现操控状态提醒，结合软件内部设计的检验机制，可以确保用户操控通过蜂鸣器得到精准反馈，用户也按照自身喜好和场景要求通过快捷键设定蜂鸣器打开和关闭，无需借助外部设备；</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193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964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B1AE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4AD79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88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363B76">
            <w:pPr>
              <w:jc w:val="left"/>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4、精品录播-装饰部分</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993D7">
            <w:pPr>
              <w:jc w:val="left"/>
              <w:rPr>
                <w:rFonts w:hint="eastAsia" w:ascii="宋体" w:hAnsi="宋体" w:eastAsia="宋体" w:cs="宋体"/>
                <w:b/>
                <w:bCs/>
                <w:i w:val="0"/>
                <w:iCs w:val="0"/>
                <w:color w:val="auto"/>
                <w:kern w:val="0"/>
                <w:sz w:val="21"/>
                <w:szCs w:val="21"/>
                <w:highlight w:val="none"/>
                <w:u w:val="none"/>
                <w:lang w:val="en-US" w:eastAsia="zh-CN" w:bidi="ar"/>
              </w:rPr>
            </w:pPr>
          </w:p>
        </w:tc>
      </w:tr>
      <w:tr w14:paraId="6D35C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08C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146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声学吊顶(含观摩室）</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B70B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采用优质轻钢龙骨架，三防环保矿棉吸音板。具备防潮性能，无放射性。使用安装超静音吸顶空气调节系统，设备噪音要求低于30分贝。</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BCC97">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55B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330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C45A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28C08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CEA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782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墙面吸音板（含观摩室）</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A5A1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固定龙骨框架-填充吸音棉-竹木纤维板饰面</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3E5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sz w:val="21"/>
                <w:szCs w:val="21"/>
                <w:highlight w:val="none"/>
                <w:u w:val="none"/>
                <w:lang w:val="en-US" w:eastAsia="zh-CN"/>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6B8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A6BA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5D552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AAF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929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教室及观摩室窗帘</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DEEA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吸音防火窗帘，遮光好</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10809">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m</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24E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1D6A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4ED31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59E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051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录播、观摩室木地板（含观摩室）</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0E22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复合木地板：尺寸：1220x200mm、环保等级E1、拼接方式工字拼、每片宽度(mm)200mm、耐磨转数6000转、基材高密度纤维板、每片长度(mm)1220mm、厚度12mm</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75E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sz w:val="21"/>
                <w:szCs w:val="21"/>
                <w:highlight w:val="none"/>
                <w:u w:val="none"/>
                <w:lang w:val="en-US" w:eastAsia="zh-CN"/>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76A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330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DFDE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7380B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993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9FF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观摩间隔墙</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BF7C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开窗尺寸5m*1.2m，龙骨：C75轻钢龙骨基础 ，刷防火涂料二遍，基层材料种类、规格：石膏板 刷防火涂料二遍</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0DC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sz w:val="21"/>
                <w:szCs w:val="21"/>
                <w:highlight w:val="none"/>
                <w:u w:val="none"/>
                <w:lang w:val="en-US" w:eastAsia="zh-CN"/>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32A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53E5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3441C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D30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A2F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观摩单透窗</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B225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5000*1200mm，钢化单向透视防爆玻璃，军工玻璃级别，厚度12MM</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6FD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sz w:val="21"/>
                <w:szCs w:val="21"/>
                <w:highlight w:val="none"/>
                <w:u w:val="none"/>
                <w:lang w:val="en-US" w:eastAsia="zh-CN"/>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D99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3DB5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3E3D1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7D8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36A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观摩窗包边</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1C3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5000*1200mm，双面包边，304不锈钢折弯成型，板材厚度1.2mm，厚 度：冷扎2B板（1.2mm）；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热轧工业板 中厚板，化工板、高温板；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宽 度：5mm---850mm钢带；2000mm卷板板材</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表 面：2B光面、No.1工业面、BA（6k)镜面、8K镜面、9K镜面、拉丝面、磨砂面。</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F64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米</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55F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D003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37913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06C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9F7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踢脚线装饰条</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6A0F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踢脚线高度：100mm 304不锈钢折弯成型</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3ED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米</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EA8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FDDB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600CE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52E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D07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阶梯焊制</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186A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台阶（镀锌方管、阻燃夹板基层）</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BEA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平方</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71E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41.8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A22B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67913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52A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767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录播灯光</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D4CD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LED平板灯600*600  6000K  白光</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259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AAE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75</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9727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396DD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9FF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8FE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教室门</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7304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规格尺寸860*2100 材质木质隔音</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780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樘</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1C5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D14A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0D7BC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249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98BA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电气线路改造材料及设备</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2BD1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空开线管、电源线、控制线、弯头、开关插座，设备接头、辅材及配件等</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A25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平方</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FE8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330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DF29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054DA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259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44B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设备系统集成服务</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B604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包含、上楼、安装、调试、控制线材、及安装过程所需耗材工具等、</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CA3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C3F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3E64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6477B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207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97A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专业隔音门</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5AF5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专业隔音门现场定制</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C57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樘</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296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7C1D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7DF9F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C63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B2A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教室柜式空调</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56BA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1.功能规格变频/定频：变频。</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2.能效比：≥4.45。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3.能效等级：≥一级。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4.冷暖类型：冷暖。</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5.匹数：3匹。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6.适用面积(m2)：32-50。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7.额定制冷量(W)：≥7330。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8.额定制热量(W)：≥10400。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9.额定制冷功率(W)：≤2070。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10.额定制热功率(W)：≤3050。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11.电辅热(KW)：≥2500。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12.内机质量(kg)：29。</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13.外机质量(kg)：40。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14.内机噪音dB(A)(低档-高档)：≤21-47。</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15.外机噪音dB(A)(低档-高档)：≤48-56。</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16.循环风量(m3/h)：≥1420。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18.电源规格(PH-V-Hz)：1-220-50。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19.内机尺寸(宽×高×深)(mm)：416×1738×416。</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20.外机尺寸(宽×高×深)(mm)：927×699×380。</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B27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2DA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B505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0351D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0"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D45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F0C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录播室桌椅</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71CB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1.椅面：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①椅面塑料件：采用全新环保PE原料，经高温熔解后，一次中空吹塑成形，产品结构合理，样式美观，造型表面光洁，强度高，抗冲击、耐磨、精制而成。</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②椅座规格：尺寸：385mm×370mm，四周圆弧边，安全性高.座面板上个设计有37个小圆孔，可以久坐散热作用，缓解久坐的疲劳感。</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③椅背规格：尺寸：405mm×245mm；椅背凹形人体曲线设计，向后挨满足后背脊椎靠感，缓解久坐的疲劳,椅背设计把手孔，便于学生搬动椅子,把手孔尺寸100mm*30mm(±2mm)。椅背符合人体工学弧度设计。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④椅 架：材质：采用1.2厚优质冷轧钢管圆管，结构牢固，长时间使用不得产生摇晃松散的现象，托板采用钢板冲压而成，与椅架焊接成型，焊接部位牢固，无脱焊，虚焊，焊穿，焊缝均匀，无毛刺，锐棱，飞溅，裂纹等缺陷。尺寸：立柱外管1.2mm(±0.1mm)厚的50mm×20mm(±2mm)的管，内管1.2mm(±0.1mm)厚的40mm×25mm(±2mm)的管，横梁1.0mm(±0.1mm)厚40mm×20mm(±2mm)管.功能：高度可调节，范围380mm～440mm(±5mm)，20mm一个档位。工艺：表面经酸洗，脱脂，磷化处理，耐腐蚀，防锈。表面采用一级颗粒粉末，经高温粉体烤漆，附着力特强，不脱漆。涂层无漏喷，锈蚀，涂层光滑均匀，色泽一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2.桌面：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①桌面板：材质：采用优质E1级环保高密度中纤板蕊，外压三聚氰胺防火板。产品结构合理，样式美观，造型表面光洁，强度高，抗冲击、耐磨、精制而成；尺寸：600mm×400mm×20mm（±2mm）面板最前方端设计有小笔槽，便于学生使用，可防止笔、纸滑落，外观：四周圆弧注塑包边，永不脱落，人性化的设计避免了孩子磕碰，安全，美观。面板四周及底部完全不得有毛边，光滑 安全，整体呈现平滑流水线造型，美观大方，面板四个边角为圆角，安全性高。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②书箱：材质：采用0.8优质冷轧钢板一次拉伸成型。尺寸：400mm×300mm×150mm（±2mm）工艺：表面经酸洗，脱脂，磷化处理，耐腐蚀，防锈,附着力特强，不脱漆。涂层无漏喷，锈蚀，涂层光滑均匀，色泽一致。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③桌架：材质：采用1.2厚冷轧圆管钢管，结构牢固，长时间使用不得产生摇晃松散的现象，焊接完成钢管架，焊接部位牢固，无脱焊，虚焊，焊穿，焊缝均匀，无毛刺，锐棱，飞溅，裂纹等缺陷。桌架两侧焊接2个钢铁挂钩，承重力强，不易变形，方便学生挂置书包、文件袋等物品。尺寸：立柱外管1.2mm(±0.1mm)厚的50mm×25mm(±2mm)的管，内管1.2mm(±0.1mm)厚的40mm×20mm(±2mm)的管。功能：高度可调节，范围660mm～750mm(±5mm)，30mm一个档位。工艺：表面经酸洗，脱脂，磷化处理，耐腐蚀，防锈。表面采用一级颗粒粉末，经高温粉体烤漆，附着力特强，不脱漆。涂层无漏喷，锈蚀，涂层光滑均匀，色泽一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3.配置：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①脚套、升价套：材质：采用全新PP塑料一体射出成型，不可采用回收料生产。脚套与钢管固定方式为卡口与自攻螺丝相结合。</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EA0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9A8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3A9C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57CD0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0"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E4C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044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观摩椅</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087E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1.椅背：</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①背外壳：为聚炳烯原生胶粒一次注塑成形，承托力强，耐冲击，抗变形防老化.背外壳尺寸：长750mm,背胶顶端宽400mm，下围端宽450mm，厚度不低于3mm.整体外形大气美观。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② 背内板：采用优质夹板经模具压注成型，厚度≥6mm，外型成弧型，美观大方，具有曲线美。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③ 背海绵：采用高密度冷发泡定型海绵，曲线符合人体工程学原理，密度≥50kg/m3，使座椅在长时间使用下不变形，舒适度好，回弹性好，永不变形。背海绵尺格寸规格：背海绵长度为720mm，宽度为440mm，最厚处110mm。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2.椅座：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①座外壳：为聚炳烯原生胶粒一次注塑成形，承托力强，耐冲击，抗变形防老化.尺寸：长500mm,前端宽390mm，后端430mm，厚度不低于3mm.座胶外形表面设计附有吸音气孔与排气孔，有效降低室内噪音与保证座椅的良好透气性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②座海绵：采用高密度冷发泡定型海绵。座海绵尺寸规格：长度为455mm，宽度为440mm，最厚处海绵厚度为100mm，海绵密度≥50kg/m3，使座椅在长时间使用下不变形，舒适度好，回弹性好，永不变形。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③座包框架结构：座包内板后安装两块座铁片，中心铁加弹簧回复，两边钻孔安装插销防止座包移动，增强座椅牢固度，延迟其使用寿命。座包内板平行于两孔分别安装两个白色专用PP注塑防固胶垫。胶垫呈梯形，上宽尺寸3.8*1.5cm，下宽尺寸4.9*1.9cm，高为1.7CM,老款座椅承重聚集在两边胶桶上，此胶垫能有效分散座胶壳的承重能力，将承重分散在四个点上，大大提高座椅座胶壳的使用寿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3.站脚：</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①五金站脚：采用2.0mm优质钢板与型钢模压并焊制成形，所有金属表面经磷化处理后静电喷塑饰面并经打磨、除锈、磷化、静电喷粉、高温锔炉等工序处理，具有较好抗腐蚀性和表面光洁度；脚掌板前后掌面各冲压一条加强筋，大大加强座椅的承重能力和使用寿命。脚管采用80X40XT1.2优质方管经二氧化碳焊接成型，表面采用防锈静电喷亚光黑处理。扶手上框：上架折边处采用优质铁板冲压向内折弯包边2mm加固，宽度为80mm,长度405mm,面条冲压成直角型加强筋，从而加固站脚承重金属表面经磷化处理后静电喷塑饰面。上框安装侧板内侧焊接8个长方形铁片长40mm*宽22mm*厚2.0mm焊接在脚架内侧固定侧板。扶手写字板支撑架为压铸铝头+圆铁加强钢实心条，更加牢固耐用。该支撑架摒弃了市场上常用的铝合金支架条易断不受力的现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脚掌孔采用M8膨胀螺丝+M12膨胀胶固定到地面，表面卡扣式PP圆胶盖嵌入，起到防尘美观作用。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②扶手面：采用优质橡木扶手，经六次以上喷油、打磨，高度聚脂环保漆精细饰面，圆润、大气，扶手面宽80mm，扶手面长415mm，扶手面厚25mm.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③写字板：采用圆铁实心加强钢压铸支撑结构，圆铁实心支架承重力不低于50KG，结实耐用.板面采用高密度中纤板，外冷压防火面板，四周Pvc封边，长度为235mm，宽为265mm，厚度为15mm.内藏折叠式写字板结构，写字板底部设计有小圆形把手孔，把手孔套有特定pp塑料胶圈，方便提拉打开写字板，把手孔圈径直径为：37mm，可收藏于扶手脚内需要时可取出，使用极为方便，合理利用空间。不用时可翻起来收藏在扶手盖里面，省空间，完全满足书写时的承重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④布料：采用优质进口高级专用麻绒仿毛布料，软硬适中、手感舒适、粘接牢固，使用长时间无皱褶，无断裂、不起球、不褪色、防静电处理、耐磨、吸声、抗污。面料颜色可选。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⑤侧板：采用优质密度板厚度不低于2mm，表面以包布复棉形式，胶粒紧扣站脚内稳固耐用，且耐磨、防污、不退色触感柔和舒适，使侧板经久耐用，无法拔落。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⑥回位功能：采用弹簧回复机构，中心铁左右两边设置插销固定，防止座包左右移动，增强座椅的耐用性。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⑦地面固定：采用防爆胶与自攻内六角螺丝结合安装，使座椅与地面固定。</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390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DD0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3421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52089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B27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94A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Ai课堂分析系统</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6F2E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 系统支持对教室环境的3D还原重建，形成桌椅、讲台、一体机的真实环境建模，采集到的师生互动行为自动对应到具体课桌位置；支持正前方、左前方、右前方、左后方、右后方5种视角转换。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 在3D课堂孪生界面中，通过课桌的颜色深浅表示学生参与互动的活跃程度，基于学生上台次数、举手次数、问答次数计算学生活跃程度，颜色变化代表活跃度变化。</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 在3D课堂孪生界面中，支持点击课堂活跃热力图中的学生头像，查看该学生的师生互动视频片段，统计该学生在本节课的上台互动、举手次数、问答次数。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 在3D课堂孪生界面中，支持在地面上显示教师的巡堂轨迹，颜色不同代表停留时间不同。</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 系统支持通过教学大语言模型，生成教学建议，教学大模型具备至少70亿参数量，2200亿训练语料，支持至少16Ktoken输入；教学大模型已通过网信办备案。</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 系统通过教学大语言模型，根据教学内容自动生成师生问答、课堂互动、新课标落实三个维度的课堂反馈建议，可查看全部提问、符合知识性目标的提问、不合适的提问、提问优化建议、课堂互动建议、基于新课标的亮点和改进建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 系统支持统计课程时长、课堂中教师讲授时长、教师讲授字数、教师授课平均语速。</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 系统自动统计教师授课、师生互动、小组讨论、课堂练习的时间分布情况，支持图形可视化展示不同课堂行为的整体时间占比。</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 系统自动统计教师授课、师生互动、小组讨论、课堂练习的时间分布情况，支持按照时序图样式展示，展示不同课堂行为发生的顺序、时长。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 系统通过语音识别技术、自然语言处理，将课堂中老师和学生的声音转写为文字，按照前后文逻辑关系自动切割为不同的片段；片段支持展开查看详细文字，支持跳转到文字段落对应的视频片段。</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 系统支持对语音转写中的师生问答进行自动识别，将提问内容自动高亮显示，支持将识别出的问答实录一键导出为云文档。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 系统支持对识别出的文字进行手动校准，支持对识别出的问答片段标注是否有效，被标注有效的问答片段，在播放器时间轴对应的时间点上会高亮显示。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 系统支持自动识别问答模式分类，按简单型、追问型、思考再答型、自问自答、无响应进行分类统计，通过柱状图表呈现。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 系统支持点击问答模式柱状图对该类型的提问进行筛选，问答实录中显示对应文字明细，支持按师生角色区分，并自动进行分段分句，支持跳转到文字段落对应的视频片段。</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 系统支持通过弗兰德斯编码规则对课堂数据进行每秒1次的打点，自动计算出启发/指导比（I/D）、学生稳态比（PSSR）、教学内容比（CCR）、学生发言比（PIR）、教师提问比（TQR）、教学/调控比（TRR）的指标数值，通过雷达图呈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 系统支持将本堂课的弗兰德斯编码数值和标准数值进行对比，通过上下箭头呈现高于或低于标准数值；可查看弗兰德斯矩阵编码打点信息，点击打点信息可播放对应视频片段。</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17. 系统支持教师画面、学生画面双窗口显示，小窗口可自由拖动位置和自由切换；支持根据课件翻页将教学视频进行虚拟切片，点击互动课件缩略图，可跳转至对应视频片段。</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18. 系统使用基于计算机视觉算法、语音识别技术、自然语言处理的多模态算法整体判断课堂行为，并通过有限状态机进行校正；根据课堂行为对教学视频进行打点，片段打点信息包含提问、回答、举手、起立、上台、齐读、讨论的教学事件，播放进度条支持显示事件类型、快速定位播放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19. 系统支持关键片段、问答模式、完整模式三种播放模式，可任意切换。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20. 系统支持将报告下载至本地，报告中包含基础数据、教学时间分配、讲学环节时间轴、弗兰德斯编码图、S-T/Rt-Ch教学分析图、高频词语分析、提问数据统计、提问详情列表。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21. 系统支持通过对S-T编码序列的深度分析，计算本节课的教师行为占有率Rt、师生行为转换率Ch，基于本节课的Rt值、Ch值得出本节课的教学模式，教学模式包含：混合型、练习型、讲授型、对话型。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22. 系统支持以海报、二维码、链接的方式分享给他人。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23. 系统支持在移动端查看报告。</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C1C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05A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C0B4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0647E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130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D1D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边缘服务器</w:t>
            </w:r>
          </w:p>
        </w:tc>
        <w:tc>
          <w:tcPr>
            <w:tcW w:w="5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0E9F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1.处理器： Intel Core i3-12100。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2.内存类型： DDR4 UDIMM，内存频率3200MHz。</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3.内存：内存空间≥32G。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4.硬盘接口：SATA。</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5.硬盘类型：3.5英吋HDD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6.硬盘空间：物理空间不小于24T。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7.设备高度：≤2U。</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8.操作系统：支持centos 64位。</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9.电源：220V AC。</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10.整机接口：USB≥4个；RJ45≥4个，支持10/100/1000Mbps 自适应；VGA≥1个、HDMI≥1个，DP接口≥1个；Line Out≥1个，Mic in≥1个；COM口≥1个。</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DE4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906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28BD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39FBF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45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E45DE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商务要求</w:t>
            </w:r>
          </w:p>
        </w:tc>
      </w:tr>
      <w:tr w14:paraId="79043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jc w:val="center"/>
        </w:trPr>
        <w:tc>
          <w:tcPr>
            <w:tcW w:w="1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86EB08">
            <w:pPr>
              <w:keepNext w:val="0"/>
              <w:keepLines w:val="0"/>
              <w:widowControl/>
              <w:suppressLineNumbers w:val="0"/>
              <w:jc w:val="left"/>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lang w:val="en-US" w:eastAsia="zh-CN" w:bidi="ar"/>
              </w:rPr>
              <w:t>交货时间和地点</w:t>
            </w:r>
          </w:p>
        </w:tc>
        <w:tc>
          <w:tcPr>
            <w:tcW w:w="75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ED852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交付时间：自签订合同之日起45日历日内交付使用并通过验收。</w:t>
            </w:r>
          </w:p>
          <w:p w14:paraId="4A8EA3E4">
            <w:pPr>
              <w:keepNext w:val="0"/>
              <w:keepLines w:val="0"/>
              <w:widowControl/>
              <w:suppressLineNumbers w:val="0"/>
              <w:jc w:val="left"/>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地点：采购人指定地点。</w:t>
            </w:r>
          </w:p>
        </w:tc>
      </w:tr>
      <w:tr w14:paraId="44074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1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99BDF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合同签订时间</w:t>
            </w:r>
          </w:p>
        </w:tc>
        <w:tc>
          <w:tcPr>
            <w:tcW w:w="75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14675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自中标通知书发出之日起25日内签订完毕。</w:t>
            </w:r>
          </w:p>
        </w:tc>
      </w:tr>
      <w:tr w14:paraId="63112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1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7F6E4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付款条件</w:t>
            </w:r>
          </w:p>
        </w:tc>
        <w:tc>
          <w:tcPr>
            <w:tcW w:w="75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53CC9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自签订合同之日起十个工作日内采购人向成交供应商支付合同款的 30%作为预付款，货物安装调试完毕并经采购人验收合格后，成交供应商开具发票后，十个工作日内采购人向成交供应商支付剩余合同款。</w:t>
            </w:r>
          </w:p>
        </w:tc>
      </w:tr>
      <w:tr w14:paraId="607A4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1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B0849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rPr>
              <w:t>质量保证期</w:t>
            </w:r>
          </w:p>
        </w:tc>
        <w:tc>
          <w:tcPr>
            <w:tcW w:w="75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8435F2">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1．</w:t>
            </w:r>
            <w:r>
              <w:rPr>
                <w:rFonts w:hint="eastAsia" w:ascii="宋体" w:hAnsi="宋体" w:eastAsia="宋体" w:cs="宋体"/>
                <w:color w:val="auto"/>
                <w:sz w:val="21"/>
                <w:szCs w:val="21"/>
                <w:highlight w:val="none"/>
              </w:rPr>
              <w:t>分项有质保要求的按分项质保要求，分项没有质保要求的</w:t>
            </w:r>
            <w:r>
              <w:rPr>
                <w:rFonts w:hint="eastAsia" w:ascii="宋体" w:hAnsi="宋体" w:eastAsia="宋体" w:cs="宋体"/>
                <w:color w:val="auto"/>
                <w:sz w:val="21"/>
                <w:szCs w:val="21"/>
                <w:highlight w:val="none"/>
                <w:lang w:val="en"/>
              </w:rPr>
              <w:t>质保期自交货并验收合格之日起计不少于三年（若产品生产厂家质保期超过此年限的，合同履行过程中按厂家规定执行，并提供终身维护支持）</w:t>
            </w:r>
            <w:r>
              <w:rPr>
                <w:rFonts w:hint="eastAsia" w:ascii="宋体" w:hAnsi="宋体" w:eastAsia="宋体" w:cs="宋体"/>
                <w:color w:val="auto"/>
                <w:sz w:val="21"/>
                <w:szCs w:val="21"/>
                <w:highlight w:val="none"/>
              </w:rPr>
              <w:t>，其余按国家有关产品“三包”规定执行“三包”；</w:t>
            </w:r>
          </w:p>
          <w:p w14:paraId="5181A3C4">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2．质保期内负责上门服务、维修、更换损坏的设备和配件及对产品进行维护和保养、货物质量事故和质量缺陷由中标人无偿保修，提供终身维修。</w:t>
            </w:r>
          </w:p>
          <w:p w14:paraId="07FCBA1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lang w:val="en"/>
              </w:rPr>
              <w:t>3．中标人提供的货物在质保期内，因设计、工艺或材料的缺陷和其他质量问题造成的问题，由中标人负责按照售后服务承诺维修或更换；因采购人员人为因素造成的问题，由中标人负责维保，相关费用与采购人进行协商处理。</w:t>
            </w:r>
          </w:p>
        </w:tc>
      </w:tr>
      <w:tr w14:paraId="4F9B5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1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006A7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售后服务要求</w:t>
            </w:r>
          </w:p>
        </w:tc>
        <w:tc>
          <w:tcPr>
            <w:tcW w:w="75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70CE31">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除另行特别注明外，售后服务要求如下：</w:t>
            </w:r>
          </w:p>
          <w:p w14:paraId="1CFD8FDE">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1．中标人按采购人指定的地点负责送货上门、安装、调试，负责培训使用人员和维护人员。</w:t>
            </w:r>
          </w:p>
          <w:p w14:paraId="57DD06F0">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2．中标人必须提供安装、配线以及软硬件的测试和调整服务。安装设备之前，应先对用户人员进行现场培训。开始安装时，应让用户的硬软件和系统集成人员参与安装、检测和排除故障。中标人在施工、安装、调试等全过程中接受用户的监督。</w:t>
            </w:r>
          </w:p>
          <w:p w14:paraId="6793F451">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3．在中标人承诺的保修期内，设备保修包换所需要的配件均是原厂原装，不得使用兼容货物。</w:t>
            </w:r>
          </w:p>
          <w:p w14:paraId="230A428A">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4．售后服务按厂家承诺执行。超过厂家承诺标准的，按中标人提交的售后服务承诺书执行。定期回访以及对设备进行维护；质保期后需提供维修维护服务。</w:t>
            </w:r>
          </w:p>
          <w:p w14:paraId="3FDCCEBB">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5．中标人在质保期内应当为采购人提供以下技术支持和服务：</w:t>
            </w:r>
          </w:p>
          <w:p w14:paraId="35E284C6">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（1）电话咨询</w:t>
            </w:r>
          </w:p>
          <w:p w14:paraId="2E88ACA4">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中标人应当为采购人提供技术援助电话，解答采购人在使用中遇到的问题，及时为采购人提出解决问题的建议。</w:t>
            </w:r>
          </w:p>
          <w:p w14:paraId="7D552CD0">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（2）服务响应时间</w:t>
            </w:r>
          </w:p>
          <w:p w14:paraId="3038078E">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质保期内，用户遇到使用或技术问题，电话咨询不能解决的，中标人应在8小时内到达现场进行处理，到达现场后3小时内排除故障，恢复正常使用。未能修复的直接更换，保证采购人正常使用，产生的一切费用由中标人承担。</w:t>
            </w:r>
          </w:p>
          <w:p w14:paraId="05D87062">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（3）技术升级</w:t>
            </w:r>
          </w:p>
          <w:p w14:paraId="79B96443">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在质保期内，如果中标人的产品或服务升级，中标人应及时通知采购人，如采购人有相应要求，中标人应对采购人购买的产品或服务进行升级。</w:t>
            </w:r>
          </w:p>
          <w:p w14:paraId="70B32848">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6．质保期外服务要求</w:t>
            </w:r>
          </w:p>
          <w:p w14:paraId="6F11AE41">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（1）质保期过后，中标人应同样无偿提供电话咨询服务，并应承诺提供产品或服务上门维护。</w:t>
            </w:r>
          </w:p>
          <w:p w14:paraId="72D672AE">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（2）质保期过后，采购人需要继续由原中标人提供售后服务的，中标人和制造商应以优惠价格提供售后服务。</w:t>
            </w:r>
          </w:p>
          <w:p w14:paraId="4B28EA2A">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7．备品备件及易损件</w:t>
            </w:r>
          </w:p>
          <w:p w14:paraId="25E4CB7C">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中标人售后服务中，维修使用的备品备件及易损件应为原厂配件，未经采购人同意不得使用非原厂配件。</w:t>
            </w:r>
          </w:p>
          <w:p w14:paraId="597E5A8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8．培训要求：中标人对其提供产品或服务的使用和操作应尽培训义务。中标人应提供对本项目的使用单位进行培训服务，涉及的相关费用计算在项目报价内，并使使用人员能独立、熟练操作设备。要求投标时在响应文件中提供详细培训方案。</w:t>
            </w:r>
          </w:p>
        </w:tc>
      </w:tr>
      <w:tr w14:paraId="33A55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1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937AD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投标报价要求</w:t>
            </w:r>
          </w:p>
        </w:tc>
        <w:tc>
          <w:tcPr>
            <w:tcW w:w="75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34C846">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1、本项目投标人报价为采购人指定地点的现场交货价，投标人自行考虑完成项目所需的辅材、杂配件等数量，投标人报价中应包含全部内容，中标后采购人不再另行支付额外费用。包括但不限于：</w:t>
            </w:r>
          </w:p>
          <w:p w14:paraId="51ABE183">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(1)货物的价格：包括货款、杂配件、安装调试费、履约验收费；</w:t>
            </w:r>
          </w:p>
          <w:p w14:paraId="2748C98B">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(2)货物的标准附件、备品备件、专用工具的价格；</w:t>
            </w:r>
          </w:p>
          <w:p w14:paraId="5B9E434F">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(3)运输、装卸、调试、培训、技术支持、售后服务费；</w:t>
            </w:r>
          </w:p>
          <w:p w14:paraId="574029BE">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(4)各类软件、系统等的安装、集成、试运行等费用；</w:t>
            </w:r>
          </w:p>
          <w:p w14:paraId="500483CC">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(5)代理服务费、保险费和各项税金。</w:t>
            </w:r>
          </w:p>
          <w:p w14:paraId="464344E5">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2．投标人所提供产品为货物生产厂家的全新正品，所有货物应满足采购文件所述项目要求及技术需求。</w:t>
            </w:r>
          </w:p>
          <w:p w14:paraId="08050C8C">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3．中标人负责本项目人员的人身、设备安全责任，验收前，设备丢失自行负责。</w:t>
            </w:r>
          </w:p>
          <w:p w14:paraId="32324C8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rPr>
              <w:t>4．为确保货物质量及原厂品质，中标人在合同签订后正式供货时必须提供本项目核心产品生产厂家的售后服务保证原件、供货证明原件、技术参数确认函原件，否则采购人将有权不予验收通过。如技术参数确认函中所确认的参数与实际供货产品的参数不符，中标人与生产厂家须承担相关法律责任。</w:t>
            </w:r>
          </w:p>
        </w:tc>
      </w:tr>
      <w:tr w14:paraId="71605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1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9F585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验收方式</w:t>
            </w:r>
          </w:p>
        </w:tc>
        <w:tc>
          <w:tcPr>
            <w:tcW w:w="75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FF8CC7">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1.</w:t>
            </w:r>
            <w:r>
              <w:rPr>
                <w:rFonts w:hint="eastAsia" w:ascii="宋体" w:hAnsi="宋体" w:eastAsia="宋体" w:cs="宋体"/>
                <w:color w:val="auto"/>
                <w:sz w:val="21"/>
                <w:szCs w:val="21"/>
                <w:highlight w:val="none"/>
                <w:lang w:val="en-US"/>
              </w:rPr>
              <w:t>中标供应商</w:t>
            </w:r>
            <w:r>
              <w:rPr>
                <w:rFonts w:hint="eastAsia" w:ascii="宋体" w:hAnsi="宋体" w:eastAsia="宋体" w:cs="宋体"/>
                <w:color w:val="auto"/>
                <w:kern w:val="2"/>
                <w:sz w:val="21"/>
                <w:szCs w:val="21"/>
                <w:highlight w:val="none"/>
                <w:lang w:val="en-US"/>
              </w:rPr>
              <w:t>提供不符合招标文件规定或者投标文件承诺的和本合同规定的货物，采购人有权拒绝接受。</w:t>
            </w:r>
          </w:p>
          <w:p w14:paraId="30A34857">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2.</w:t>
            </w:r>
            <w:r>
              <w:rPr>
                <w:rFonts w:hint="eastAsia" w:ascii="宋体" w:hAnsi="宋体" w:eastAsia="宋体" w:cs="宋体"/>
                <w:color w:val="auto"/>
                <w:sz w:val="21"/>
                <w:szCs w:val="21"/>
                <w:highlight w:val="none"/>
                <w:lang w:val="en-US"/>
              </w:rPr>
              <w:t>中标供应商</w:t>
            </w:r>
            <w:r>
              <w:rPr>
                <w:rFonts w:hint="eastAsia" w:ascii="宋体" w:hAnsi="宋体" w:eastAsia="宋体" w:cs="宋体"/>
                <w:color w:val="auto"/>
                <w:kern w:val="2"/>
                <w:sz w:val="21"/>
                <w:szCs w:val="21"/>
                <w:highlight w:val="none"/>
                <w:lang w:val="en-US"/>
              </w:rPr>
              <w:t>应将所提供货物的装箱清单、用户手册、随机资料、工具和备品、备件等交付给采购人，如有缺失应在合理的规定时间内补齐，否则视为逾期交货。</w:t>
            </w:r>
          </w:p>
          <w:p w14:paraId="6DCCB331">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3.</w:t>
            </w:r>
            <w:r>
              <w:rPr>
                <w:rFonts w:hint="eastAsia" w:ascii="宋体" w:hAnsi="宋体" w:eastAsia="宋体" w:cs="宋体"/>
                <w:color w:val="auto"/>
                <w:sz w:val="21"/>
                <w:szCs w:val="21"/>
                <w:highlight w:val="none"/>
              </w:rPr>
              <w:t>中标供应商应当在货物交付、调试、培训完成，达到验收条件后向采购人提出书面验收申请，采购人组织项目验收，验收合格后由双方签署货物验收单并加盖采购人公章，双方各执一份</w:t>
            </w:r>
            <w:r>
              <w:rPr>
                <w:rFonts w:hint="eastAsia" w:ascii="宋体" w:hAnsi="宋体" w:eastAsia="宋体" w:cs="宋体"/>
                <w:color w:val="auto"/>
                <w:kern w:val="2"/>
                <w:sz w:val="21"/>
                <w:szCs w:val="21"/>
                <w:highlight w:val="none"/>
                <w:lang w:val="en-US"/>
              </w:rPr>
              <w:t>。</w:t>
            </w:r>
          </w:p>
          <w:p w14:paraId="011BDB45">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4.采购人委托采购代理机构组织的验收项目，其验收时间以该项目验收方案确定的验收时间为准，验收结果以该项目验收报告结论为准。在验收过程中发现中标供应商有违约问题，可暂缓资金结算，待违约问题解决后，方可办理资金结算事宜。</w:t>
            </w:r>
          </w:p>
          <w:p w14:paraId="74E3197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5.采购人对验收有异议的，在验收后五个工作日内以书面形式向中标供应商提出，中标供应商应自收到采购人书面异议后合同约定的时间内及时予以解决。</w:t>
            </w:r>
          </w:p>
        </w:tc>
      </w:tr>
      <w:tr w14:paraId="095A4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1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88E43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验收标准</w:t>
            </w:r>
          </w:p>
        </w:tc>
        <w:tc>
          <w:tcPr>
            <w:tcW w:w="75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C5D11D">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1.采购人对中标供应商提交的货物依据招标文件上的技术规格要求和国家有关质量标准进行现场签收，外观、说明书符合采购文件技术要求的，给予签收，不合格的不予签收。</w:t>
            </w:r>
          </w:p>
          <w:p w14:paraId="65042E2E">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2．项目验收按以下流程进行：</w:t>
            </w:r>
          </w:p>
          <w:p w14:paraId="07719D4D">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（1）中标人按采购人要求送货至指定地点，双方一起开箱验货并签字确认。</w:t>
            </w:r>
          </w:p>
          <w:p w14:paraId="497962C3">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（2）中标人按采购人指定的设备安装地点，完成设备的安装与调试。</w:t>
            </w:r>
          </w:p>
          <w:p w14:paraId="2A920AA0">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（3）中标人提出验收申请，经采购人同意后共同组织验收，签写相应验收意见并签名确认。如对验收存在异议的，可聘请第三方按合同约定组织验收。</w:t>
            </w:r>
          </w:p>
          <w:p w14:paraId="742958A9">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（4）项目验收合格，项目约定产品或服务才正式交接。交接完毕，才作为项目的最终验收。</w:t>
            </w:r>
          </w:p>
          <w:p w14:paraId="48245E10">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3. 检查供货范围。中标人提供的产品到达采购人指定现场后，中标人应在采购人单位项目负责人在场情况下，对着供货清单，当面开箱，共同清点、检查外观，作出开箱记录，并对相关产品的型号、规格、数量、性能参数等进行初步核对，双方签字确认。中标人应保证货物到达采购人所在地时完好无损，与合同约定一致，如有缺漏、损坏，由中标人负责调换、补齐或赔偿，否则采购方可拒绝签字确认。</w:t>
            </w:r>
          </w:p>
          <w:p w14:paraId="5D214C11">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4．中标人在项目（含货物）验收时由采购人单位对照采购文件的功能目标及技术指标全面核对检验，对所有要求出具的证明文件的原件进行核查，如不符合采购文件的技术需求及要求以及提供虚假承诺的，按相关规定做退货处理及违约处理，中标人承担所有责任和费用，采购人保留进一步追究责任的权利。</w:t>
            </w:r>
          </w:p>
          <w:p w14:paraId="292F84E4">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5．采购人需要制造商对中标人交付的产品或服务（包括质量、参数等）进行确认的，制造商应予以配合并出具书面意见，相关配合事项由中标人与制造商协调。</w:t>
            </w:r>
          </w:p>
          <w:p w14:paraId="5B4B4ACC">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6．产品包装材料归采购人所有。</w:t>
            </w:r>
          </w:p>
          <w:p w14:paraId="2D5874C3">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7．未尽事宜按照《关于印发广西壮族自治区政府采购项目履约验收管理办法的通知》[桂财采〔2015〕22号]以及《财政部关于进一步加强政府采购需求和履约验收管理的指导意见》[财库〔2016〕205号]规定执行。</w:t>
            </w:r>
          </w:p>
          <w:p w14:paraId="7D44ED6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rPr>
              <w:t>8. 验收过程中所产生的一切费用均由中标人承担。报价时应考虑相关费用。</w:t>
            </w:r>
          </w:p>
        </w:tc>
      </w:tr>
      <w:tr w14:paraId="7A29D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1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AD50A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其他要求</w:t>
            </w:r>
          </w:p>
        </w:tc>
        <w:tc>
          <w:tcPr>
            <w:tcW w:w="75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84A4AF">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产品说明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rPr>
              <w:t>本项目货物不接受进口产品（即通过中国海关报关验放进入中国境内且产自关境外的产品）参与投标，</w:t>
            </w:r>
            <w:r>
              <w:rPr>
                <w:rFonts w:hint="eastAsia" w:ascii="宋体" w:hAnsi="宋体" w:eastAsia="宋体" w:cs="宋体"/>
                <w:b/>
                <w:color w:val="auto"/>
                <w:sz w:val="21"/>
                <w:szCs w:val="21"/>
                <w:highlight w:val="none"/>
                <w:lang w:val="en-US"/>
              </w:rPr>
              <w:t>如有此类产品参与投标的做无效标处理</w:t>
            </w:r>
            <w:r>
              <w:rPr>
                <w:rFonts w:hint="eastAsia" w:ascii="宋体" w:hAnsi="宋体" w:eastAsia="宋体" w:cs="宋体"/>
                <w:color w:val="auto"/>
                <w:sz w:val="21"/>
                <w:szCs w:val="21"/>
                <w:highlight w:val="none"/>
                <w:lang w:val="en-US"/>
              </w:rPr>
              <w:t>。</w:t>
            </w:r>
          </w:p>
          <w:p w14:paraId="27CA9F75">
            <w:pPr>
              <w:pStyle w:val="17"/>
              <w:spacing w:line="380" w:lineRule="exact"/>
              <w:rPr>
                <w:rFonts w:hint="eastAsia" w:ascii="宋体" w:hAnsi="宋体" w:eastAsia="宋体" w:cs="宋体"/>
                <w:b/>
                <w:bCs/>
                <w:color w:val="auto"/>
                <w:sz w:val="21"/>
                <w:szCs w:val="21"/>
                <w:highlight w:val="none"/>
                <w:u w:val="single"/>
                <w:lang w:val="en-US" w:eastAsia="zh-CN"/>
              </w:rPr>
            </w:pP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核心产品</w:t>
            </w:r>
            <w:r>
              <w:rPr>
                <w:rFonts w:hint="eastAsia" w:ascii="宋体" w:hAnsi="宋体" w:eastAsia="宋体" w:cs="宋体"/>
                <w:b/>
                <w:bCs/>
                <w:color w:val="auto"/>
                <w:sz w:val="21"/>
                <w:szCs w:val="21"/>
                <w:highlight w:val="none"/>
                <w:lang w:eastAsia="zh-CN"/>
              </w:rPr>
              <w:t>：</w:t>
            </w:r>
            <w:r>
              <w:rPr>
                <w:rFonts w:hint="eastAsia" w:ascii="宋体" w:hAnsi="宋体" w:eastAsia="宋体" w:cs="宋体"/>
                <w:b/>
                <w:color w:val="auto"/>
                <w:sz w:val="21"/>
                <w:szCs w:val="21"/>
                <w:highlight w:val="none"/>
                <w:u w:val="single"/>
                <w:lang w:val="en-US" w:eastAsia="zh-CN"/>
              </w:rPr>
              <w:t xml:space="preserve"> </w:t>
            </w:r>
            <w:r>
              <w:rPr>
                <w:rFonts w:hint="eastAsia" w:ascii="宋体" w:hAnsi="宋体" w:cs="宋体"/>
                <w:b/>
                <w:color w:val="auto"/>
                <w:sz w:val="21"/>
                <w:szCs w:val="21"/>
                <w:highlight w:val="none"/>
                <w:u w:val="single"/>
                <w:lang w:val="en-US" w:eastAsia="zh-CN"/>
              </w:rPr>
              <w:t>学生机</w:t>
            </w:r>
            <w:r>
              <w:rPr>
                <w:rFonts w:hint="eastAsia" w:ascii="宋体" w:hAnsi="宋体" w:eastAsia="宋体" w:cs="宋体"/>
                <w:b/>
                <w:color w:val="auto"/>
                <w:sz w:val="21"/>
                <w:szCs w:val="21"/>
                <w:highlight w:val="none"/>
                <w:u w:val="single"/>
                <w:lang w:val="en-US" w:eastAsia="zh-CN"/>
              </w:rPr>
              <w:t xml:space="preserve">  </w:t>
            </w:r>
          </w:p>
          <w:p w14:paraId="2E7070C8">
            <w:pPr>
              <w:pStyle w:val="41"/>
              <w:numPr>
                <w:ilvl w:val="0"/>
                <w:numId w:val="0"/>
              </w:numPr>
              <w:ind w:lef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bl>
    <w:p w14:paraId="75C8F3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b/>
          <w:bCs/>
          <w:color w:val="auto"/>
          <w:sz w:val="24"/>
          <w:szCs w:val="24"/>
          <w:highlight w:val="none"/>
          <w:lang w:val="en-US" w:eastAsia="zh-CN"/>
        </w:rPr>
      </w:pPr>
      <w:r>
        <w:rPr>
          <w:color w:val="auto"/>
          <w:highlight w:val="none"/>
        </w:rPr>
        <w:br w:type="page"/>
      </w:r>
      <w:r>
        <w:rPr>
          <w:rFonts w:hint="eastAsia"/>
          <w:b/>
          <w:bCs/>
          <w:color w:val="auto"/>
          <w:sz w:val="24"/>
          <w:szCs w:val="24"/>
          <w:highlight w:val="none"/>
          <w:lang w:val="en-US" w:eastAsia="zh-CN"/>
        </w:rPr>
        <w:t>分标3：大新县3所学校人工智能实验室设备及大新县城南小学等3所学校图书采购</w:t>
      </w:r>
    </w:p>
    <w:p w14:paraId="391C10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b/>
          <w:bCs/>
          <w:color w:val="auto"/>
          <w:sz w:val="24"/>
          <w:szCs w:val="24"/>
          <w:highlight w:val="none"/>
          <w:lang w:val="en-US" w:eastAsia="zh-CN"/>
        </w:rPr>
      </w:pPr>
      <w:r>
        <w:rPr>
          <w:rFonts w:hint="default"/>
          <w:b/>
          <w:bCs/>
          <w:color w:val="auto"/>
          <w:sz w:val="24"/>
          <w:szCs w:val="24"/>
          <w:highlight w:val="none"/>
          <w:lang w:val="en-US" w:eastAsia="zh-CN"/>
        </w:rPr>
        <w:t>预算</w:t>
      </w:r>
      <w:r>
        <w:rPr>
          <w:rFonts w:hint="eastAsia"/>
          <w:b/>
          <w:bCs/>
          <w:color w:val="auto"/>
          <w:sz w:val="24"/>
          <w:szCs w:val="24"/>
          <w:highlight w:val="none"/>
          <w:lang w:val="en-US" w:eastAsia="zh-CN"/>
        </w:rPr>
        <w:t>金额</w:t>
      </w:r>
      <w:r>
        <w:rPr>
          <w:rFonts w:hint="default"/>
          <w:b/>
          <w:bCs/>
          <w:color w:val="auto"/>
          <w:sz w:val="24"/>
          <w:szCs w:val="24"/>
          <w:highlight w:val="none"/>
          <w:lang w:val="en-US" w:eastAsia="zh-CN"/>
        </w:rPr>
        <w:t>：人民币（大写）：</w:t>
      </w:r>
      <w:r>
        <w:rPr>
          <w:rFonts w:hint="eastAsia"/>
          <w:b/>
          <w:bCs/>
          <w:color w:val="auto"/>
          <w:sz w:val="24"/>
          <w:szCs w:val="24"/>
          <w:highlight w:val="none"/>
          <w:lang w:val="en-US" w:eastAsia="zh-CN"/>
        </w:rPr>
        <w:t>192.45万元，分标3包含大新县3所学校人工智能实验室设备预算金额：144.4495万元，大新县城南小学等3所学校图书采购预算金额：48.0005万元。）</w:t>
      </w:r>
    </w:p>
    <w:p w14:paraId="03F868E8">
      <w:pPr>
        <w:pStyle w:val="145"/>
        <w:bidi w:val="0"/>
        <w:ind w:firstLine="482" w:firstLineChars="200"/>
        <w:jc w:val="left"/>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分标3-1：堪圩中心小学人工智能实验室货物需求表</w:t>
      </w:r>
    </w:p>
    <w:tbl>
      <w:tblPr>
        <w:tblStyle w:val="51"/>
        <w:tblW w:w="505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2"/>
        <w:gridCol w:w="1234"/>
        <w:gridCol w:w="5967"/>
        <w:gridCol w:w="485"/>
        <w:gridCol w:w="520"/>
        <w:gridCol w:w="582"/>
      </w:tblGrid>
      <w:tr w14:paraId="68A35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9E2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B59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货物名称</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D2E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货物需求及性能配置</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7D1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单位</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A4F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数量</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BA1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备注</w:t>
            </w:r>
          </w:p>
        </w:tc>
      </w:tr>
      <w:tr w14:paraId="270E8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418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9F236">
            <w:pPr>
              <w:keepNext w:val="0"/>
              <w:keepLines w:val="0"/>
              <w:widowControl/>
              <w:suppressLineNumbers w:val="0"/>
              <w:jc w:val="both"/>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一、创客类设备</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4A306">
            <w:pPr>
              <w:jc w:val="both"/>
              <w:rPr>
                <w:rFonts w:hint="eastAsia" w:ascii="宋体" w:hAnsi="宋体" w:eastAsia="宋体" w:cs="宋体"/>
                <w:b/>
                <w:bCs/>
                <w:i w:val="0"/>
                <w:iCs w:val="0"/>
                <w:color w:val="auto"/>
                <w:sz w:val="21"/>
                <w:szCs w:val="21"/>
                <w:highlight w:val="none"/>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43ED7">
            <w:pPr>
              <w:jc w:val="both"/>
              <w:rPr>
                <w:rFonts w:hint="eastAsia" w:ascii="宋体" w:hAnsi="宋体" w:eastAsia="宋体" w:cs="宋体"/>
                <w:b/>
                <w:bCs/>
                <w:i w:val="0"/>
                <w:iCs w:val="0"/>
                <w:color w:val="auto"/>
                <w:sz w:val="21"/>
                <w:szCs w:val="21"/>
                <w:highlight w:val="none"/>
                <w:u w:val="none"/>
              </w:rPr>
            </w:pP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D7A36">
            <w:pPr>
              <w:jc w:val="both"/>
              <w:rPr>
                <w:rFonts w:hint="eastAsia" w:ascii="宋体" w:hAnsi="宋体" w:eastAsia="宋体" w:cs="宋体"/>
                <w:i w:val="0"/>
                <w:iCs w:val="0"/>
                <w:color w:val="auto"/>
                <w:sz w:val="21"/>
                <w:szCs w:val="21"/>
                <w:highlight w:val="none"/>
                <w:u w:val="none"/>
              </w:rPr>
            </w:pPr>
          </w:p>
        </w:tc>
      </w:tr>
      <w:tr w14:paraId="64979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0"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DC8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5C3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行空板入门套件</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5286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cs="宋体"/>
                <w:color w:val="auto"/>
                <w:szCs w:val="21"/>
                <w:highlight w:val="none"/>
              </w:rPr>
              <w:t>★</w:t>
            </w:r>
            <w:r>
              <w:rPr>
                <w:rFonts w:hint="eastAsia" w:ascii="宋体" w:hAnsi="宋体" w:eastAsia="宋体" w:cs="宋体"/>
                <w:i w:val="0"/>
                <w:iCs w:val="0"/>
                <w:color w:val="auto"/>
                <w:sz w:val="21"/>
                <w:szCs w:val="21"/>
                <w:highlight w:val="none"/>
                <w:u w:val="none"/>
              </w:rPr>
              <w:t>（一）Python编程学习主控板</w:t>
            </w:r>
          </w:p>
          <w:p w14:paraId="04DC6B0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1.CPU需采用单板计算机架构的国产芯片，CPU≥64位、核数≥4核、主频≥1.2GHz，板载内存≥512MB的DDR3内存，硬盘内存≥16GB的eMMC存储；</w:t>
            </w:r>
          </w:p>
          <w:p w14:paraId="1634B5B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2.协处理器：主频108MHz、64KB Flash、32KB SRAM</w:t>
            </w:r>
          </w:p>
          <w:p w14:paraId="6DD8FF1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3.需支持内置Wi-Fi频段2.4Ghz</w:t>
            </w:r>
          </w:p>
          <w:p w14:paraId="4F53E06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4.需支持内置蓝牙4.0版本</w:t>
            </w:r>
          </w:p>
          <w:p w14:paraId="7B6013B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5.需支持集成板载≥2.8寸分辨率≥240*320 TFT触摸彩屏、≥1个Home按键、≥1个A按键，≥1个B按键、≥2个红色LED灯（分别为POWER灯、USER灯）、≥1个电容硅麦克风传感器、≥1个光线传感器、≥1个三轴加速度传感器、≥1个三轴陀螺仪、≥1个无源蜂鸣器、≥1个可编程蓝色LED灯；</w:t>
            </w:r>
          </w:p>
          <w:p w14:paraId="75856C7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6.需支持板载金手指：≥19路独立I/O（支持≥1路I2C、≥1路UART、≥2路SPI、≥6路12位ADC、≥5路10位PWM）;</w:t>
            </w:r>
          </w:p>
          <w:p w14:paraId="6712811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7.需支持板载接口：≥2路USB接口（Type-C、Type-A）、≥1路microSD卡接口、≥4路3PinI/O接口、≥2路4Pin I2C接口;</w:t>
            </w:r>
          </w:p>
          <w:p w14:paraId="43EED3E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8.需支持CPU、MCU双处理器架构；</w:t>
            </w:r>
          </w:p>
          <w:p w14:paraId="04B2787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9.系统和环境：CPU、内存、硬盘、屏幕及外设组成计算机系统，支持Linux操作系统和运行完整的Python编程环境。</w:t>
            </w:r>
          </w:p>
          <w:p w14:paraId="6069AA4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10.系统功能：①.需支持Python图形化编程、Python代码编程、Jupyter编程、Thonny编程、SSH远程访问、VScode编程等方式；②.需支持可通过触摸屏切换菜单栏查看系统信息(如显示当前系统版本、当前CPU占用情况、当前内存占用情况、当前硬盘占用情况等)；③.需支持可通过触摸屏切换菜单栏查看查看网络信息(如USB网口IP地址、无线连接IP地址、无线热点IP地址、其他设备IP地址等)；④.需支持可通过触摸屏切换菜单栏查看开启/关闭Jupyter、Python编辑器服务；可通过有线/无线访问后台管理页面、编写及上传Python程序；⑤.需支持可通过触摸屏切换菜单栏查看运行/切换Python程序，支持离线运行和储存多个Python程序;⑥.需支持可通过触摸屏切换菜单栏查看开启/关闭SIoT物联网服务器，可通过有线/无线访问SIoT后台管理页面和数据界面；⑦.需支持USB、路由器Wi-Fi、热点模式、网线等多种网络连接方式;⑧.需支持可通过触摸屏切换菜单栏查看开启/禁用无线热点；⑨.需内置Web网页服务，可通过IP地址访问网页菜单(如查看应用开关、网络设置、文件上传等信息)；⑩.需支持内置远程桌面服务，可通windows远程桌面、MobaXterm软件、VNC软件等以有线/无线方式进行连接，实时显示设备菜单界面；⑪.需支持在完整Python环境下可预装常用Python库（如NumPy、Pandas、Matplotlib等库）和在完整Python环境下可预装常用人工智能库（如Keras、0penAl、Scikit-learn等库）；⑫.需支持系统升级，可通过烧录镜像进行系统恢复和升级；⑬.需支持无需通过USB数据线连接电脑，实现实时调试和上传程序；⑭.需支持语音识别(含麦克风)功能，可实现自定义或预设唤醒词和命令词的识别。</w:t>
            </w:r>
          </w:p>
          <w:p w14:paraId="4BD1560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（二）电子模块：</w:t>
            </w:r>
          </w:p>
          <w:p w14:paraId="26386C4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1.数字功率计：①.需支持可测量电压、电流、功率等数据；②.需支持拨码开关(用于I2C地址切换)、3pin输入接口、3pin输出接口、12C输入接口、I2C输出接口等满足多路数据测量需求；③.需支持可通过软件校准；</w:t>
            </w:r>
          </w:p>
          <w:p w14:paraId="2C5E120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cs="宋体"/>
                <w:color w:val="auto"/>
                <w:szCs w:val="21"/>
                <w:highlight w:val="none"/>
              </w:rPr>
              <w:t>★</w:t>
            </w:r>
            <w:r>
              <w:rPr>
                <w:rFonts w:hint="eastAsia" w:ascii="宋体" w:hAnsi="宋体" w:eastAsia="宋体" w:cs="宋体"/>
                <w:i w:val="0"/>
                <w:iCs w:val="0"/>
                <w:color w:val="auto"/>
                <w:sz w:val="21"/>
                <w:szCs w:val="21"/>
                <w:highlight w:val="none"/>
                <w:u w:val="none"/>
              </w:rPr>
              <w:t>2.继电器模块：①.需配备透明外壳，可清晰观察继电器内部触点工作状态；②.需支持电源输出端直连负载（如水泵、电机等）方式；③.应支持数字信号控制（如高电平吸合、低电平释放）功能；④.电路板需板载3pin接口、电源输入接口、电源输出接口等；</w:t>
            </w:r>
          </w:p>
          <w:p w14:paraId="7C875F1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基础电子模块：①.需配备≥8种电子模块，包含但不限于USB摄像头、按钮模块、电导开关、角度传感器、七彩灯带、风扇、舵机、超声波等；②.电子模块需自带固定螺孔，支持螺丝、魔术贴等方式固定；③.电子模块接口需采用PH2.0接口；</w:t>
            </w:r>
          </w:p>
          <w:p w14:paraId="22BCFFC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（三）配件：需配备模块连接线、主板烧录数据线、电池盒等配件；</w:t>
            </w:r>
          </w:p>
          <w:p w14:paraId="4720BE2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（四）编程方式：需支持图形化编程、Python代码编程。</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84A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5DF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F6E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教学设备</w:t>
            </w:r>
          </w:p>
        </w:tc>
      </w:tr>
      <w:tr w14:paraId="5FDD9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0"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7A6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986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中小学创新实践活动器材（提升版）</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EEEB9">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一、主控板：</w:t>
            </w:r>
          </w:p>
          <w:p w14:paraId="64BF645D">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（一）Python编程学习主控板：</w:t>
            </w:r>
          </w:p>
          <w:p w14:paraId="3B4C2419">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1.CPU需采用单板计算机架构的国产芯片，CPU≥64位、核数≥4核、主频≥1.2GHz，板载内存≥512MB的DDR3内存，硬盘内存≥16GB的eMMC存储；</w:t>
            </w:r>
          </w:p>
          <w:p w14:paraId="16992B0A">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2.协处理器：主频108MHz、64KB Flash、32KB SRAM</w:t>
            </w:r>
          </w:p>
          <w:p w14:paraId="5C68E7C6">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3.需支持内置Wi-Fi频段2.4Ghz</w:t>
            </w:r>
          </w:p>
          <w:p w14:paraId="7E19CD73">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4.需支持内置蓝牙4.0版本</w:t>
            </w:r>
          </w:p>
          <w:p w14:paraId="26390BA0">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5.需支持集成板载≥2.8寸 分辨率≥240*320 TFT触摸彩屏、≥1个Home按键、≥1个A按键，≥1个B按键、≥2个红色LED灯（分别为POWER灯、USER灯）、≥1个电容硅麦克风传感器、≥1个光线传感器、≥1个三轴加速度传感器、≥1个三轴陀螺仪、≥1个无源蜂鸣器、≥1个可编程蓝色LED灯；</w:t>
            </w:r>
          </w:p>
          <w:p w14:paraId="67CFAF1F">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 xml:space="preserve">6.需支持板载金手指：≥19路独立I/O（支持≥1路I2C、≥1路UART、≥2路SPI、≥6路12位ADC、≥5路10位PWM）; </w:t>
            </w:r>
          </w:p>
          <w:p w14:paraId="2A166F32">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7.需支持板载接口：≥2路USB接口（Type-C、Type-A）、≥1路microSD卡接口、≥4路3PinI/O接口、≥2路4Pin I2C接口;</w:t>
            </w:r>
          </w:p>
          <w:p w14:paraId="43C9675D">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8.需支持CPU、MCU双处理器架构；</w:t>
            </w:r>
          </w:p>
          <w:p w14:paraId="6177F180">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9.系统和环境：CPU、内存、硬盘、屏幕及外设组成计算机系统，支持Linux操作系统和运行完整的Python编程环境。</w:t>
            </w:r>
          </w:p>
          <w:p w14:paraId="315E9C6A">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10.系统功能：①.需支持Python图形化编程、Python代码编程、Jupyter编程、Thonny编程、SSH远程访问、VScode编程等方式；②.需支持可通过触摸屏切换菜单栏查看系统信息(如显示当前系统版本、当前CPU占用情况、当前内存占用情况、当前硬盘占用情况等)；③.需支持可通过触摸屏切换菜单栏查看查看网络信息(如USB网口IP地址、无线连接IP地址、无线热点IP地址、其他设备IP地址等)；④.需支持可通过触摸屏切换菜单栏查看开启/关闭Jupyter、Python编辑器服务；可通过有线/无线访问后台管理页面、编写及上传Python程序；⑤.需支持可通过触摸屏切换菜单栏查看运行/切换Python程序，支持离线运行和储存多个Python程序;⑥.需支持可通过触摸屏切换菜单栏查看开启/关闭SIoT物联网服务器，可通过有线/无线访问SIoT后台管理页面和数据界面；⑦.需支持USB、路由器Wi-Fi、热点模式、网线等多种网络连接方式;⑧.需支持可通过触摸屏切换菜单栏查看开启/禁用无线热点；⑨.需内置Web网页服务，可通过IP地址访问网页菜单(如查看应用开关、网络设置、文件上传等信息)；⑩.需支持内置远程桌面服务，可通windows远程桌面、MobaXterm软件、VNC软件等以有线/无线方式进行连接，实时显示设备菜单界面；⑪.需支持在完整Python环境下可</w:t>
            </w:r>
            <w:r>
              <w:rPr>
                <w:rFonts w:hint="eastAsia" w:ascii="宋体" w:hAnsi="宋体" w:eastAsia="宋体" w:cs="宋体"/>
                <w:i w:val="0"/>
                <w:iCs w:val="0"/>
                <w:color w:val="auto"/>
                <w:sz w:val="21"/>
                <w:szCs w:val="21"/>
                <w:highlight w:val="none"/>
                <w:u w:val="none"/>
                <w:lang w:val="en-US" w:eastAsia="zh-CN"/>
              </w:rPr>
              <w:t>0</w:t>
            </w:r>
            <w:r>
              <w:rPr>
                <w:rFonts w:hint="eastAsia" w:ascii="宋体" w:hAnsi="宋体" w:eastAsia="宋体" w:cs="宋体"/>
                <w:i w:val="0"/>
                <w:iCs w:val="0"/>
                <w:color w:val="auto"/>
                <w:sz w:val="21"/>
                <w:szCs w:val="21"/>
                <w:highlight w:val="none"/>
                <w:u w:val="none"/>
              </w:rPr>
              <w:t>预装常用Python库（如NumPy、Pandas、Matplotlib等库）和在完整Python环境下可预装常用人工智能库（如Keras、0penAl、Scikit-learn等库）；⑫.需支持系统升级，可通过烧录镜像进行系统恢复和升级；⑬.需支持无需通过USB数据线连接电脑，实现实时调试和上传程序；⑭.需支持语音识别(含麦克风)功能，可实现自定义或预设唤醒词和命令词的识别。</w:t>
            </w:r>
          </w:p>
          <w:p w14:paraId="05D452A8">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cs="宋体"/>
                <w:color w:val="auto"/>
                <w:szCs w:val="21"/>
                <w:highlight w:val="none"/>
              </w:rPr>
              <w:t>★</w:t>
            </w:r>
            <w:r>
              <w:rPr>
                <w:rFonts w:hint="eastAsia" w:ascii="宋体" w:hAnsi="宋体" w:eastAsia="宋体" w:cs="宋体"/>
                <w:i w:val="0"/>
                <w:iCs w:val="0"/>
                <w:color w:val="auto"/>
                <w:sz w:val="21"/>
                <w:szCs w:val="21"/>
                <w:highlight w:val="none"/>
                <w:u w:val="none"/>
              </w:rPr>
              <w:t>（二）AI编程开发板</w:t>
            </w:r>
          </w:p>
          <w:p w14:paraId="56FA5B79">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1.需板载≥32位双核处理器，处理器主频≥240MHz；</w:t>
            </w:r>
          </w:p>
          <w:p w14:paraId="4C0B090A">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2.需板载SRAM内存≥512KB，ROM内存≥384KB，Flash内存≥16MB，PSRAM内存≥8MB，RTC SRAM≥16KB；</w:t>
            </w:r>
          </w:p>
          <w:p w14:paraId="1E1B8D3D">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3.需支持Wi-Fi协议IEEE 802.11b/g/n 协议（数据率高达150Mbps）,A-MPDU和A-MSDU聚合，支持0.4us防护间隔；</w:t>
            </w:r>
          </w:p>
          <w:p w14:paraId="74989665">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4.需支持Wi-Fi频率在2.4GHz频带支持20MHz和40MHz频宽；</w:t>
            </w:r>
          </w:p>
          <w:p w14:paraId="7FCD5199">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5.需支持蓝牙协议符合Bluetooth 5和Bluetooth mesh标准；</w:t>
            </w:r>
          </w:p>
          <w:p w14:paraId="79F4E7D6">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6.需支持蓝牙频率在2.4-2.5GHz，速率支持125Kbps、500Kbps、1Mbps、2Mbps；</w:t>
            </w:r>
          </w:p>
          <w:p w14:paraId="6B0A84BF">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7.需支持集成板载≥2.8寸分辨率≥240×320的LCD彩屏、≥1个摄像头、≥1个温湿度传感器、≥1个环境光传感器、≥1个加速度传感器、≥1个双麦克风、≥4个按键（A按键、B按键、RST按键、BOOT按键）、≥3颗RGB灯、≥1颗红色LED灯（PWR灯）；</w:t>
            </w:r>
          </w:p>
          <w:p w14:paraId="64637C86">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8.需支持板载金手指引脚≥17路独立I/O（其中支持≥1路I2C、≥2路ADC/PWM）；</w:t>
            </w:r>
          </w:p>
          <w:p w14:paraId="6E870BBA">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9.需支持板载≥1个Micro SD卡槽，支持内存扩展；</w:t>
            </w:r>
          </w:p>
          <w:p w14:paraId="0F7B0B9F">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10.需支持板载接口：≥1个Type-C接口（供电、串口、烧录）、≥1个PH2.0-2Pin电池供电接口、≥2个PH2.0-3Pin IO接口、≥1个PH2.0-4Pin I2C接口；</w:t>
            </w:r>
          </w:p>
          <w:p w14:paraId="2D039E86">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12.需使用FR-4材质和回流焊工艺，确保电路稳定性；</w:t>
            </w:r>
          </w:p>
          <w:p w14:paraId="459E3588">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13.需支持Type-C 5V供电，工作电压3.3V。</w:t>
            </w:r>
          </w:p>
          <w:p w14:paraId="4C7DE8BB">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14.系统功能：①需支持内置了基础的图像检测、语音识别、语音合成等AI算法，供内置出厂程序使用；②.需支持离线人脸检测，离线人脸识别，离线猫/狗检测，离线二维码识别，离线移动目标检测；③.需支持更换图像检测模型，离线语音识别，联网后在线语音识别，自定义语音命令词，离线语音合成；④.需支持调用大模型，可联网在线调用DeepSeek、Kimi、讯飞星火、通义千问等大模型，实现人工智能应用；⑤.需支持多种编程方式，支持图形化编程和MicroPython编程；⑥.需支持高清彩色显示屏可显示彩色文字、图片和摄像头画面；⑦.需支持物联网应用，可作为物联网系统中的终端节点使用，满足物联网教学需求，可结合编程软件实现数据大屏可视化，呈现拍照和监控功能；⑧.需支持≥200W像素，≥80度镜头的摄像头，支持离线人脸检测、宠物检测等AI任务，并能进行拍照和监控功能；</w:t>
            </w:r>
          </w:p>
          <w:p w14:paraId="1F9FA7C1">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二、AI视觉传感器：</w:t>
            </w:r>
          </w:p>
          <w:p w14:paraId="2F985B33">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（一）基础参数：</w:t>
            </w:r>
          </w:p>
          <w:p w14:paraId="6E9234D9">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1.处理器：Kendryte K230双核1.6GHz；</w:t>
            </w:r>
          </w:p>
          <w:p w14:paraId="75212A46">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2.算力：≥6TOPS专用AI算力；</w:t>
            </w:r>
          </w:p>
          <w:p w14:paraId="34134E41">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3.内存：≥1GB LPDDR4；</w:t>
            </w:r>
          </w:p>
          <w:p w14:paraId="6BA2C744">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4.存储：≥8GB；</w:t>
            </w:r>
          </w:p>
          <w:p w14:paraId="43D7268D">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5.需支持集成板载≥2.4英寸 分辨率≥640×480 IPS全贴合电容触摸；</w:t>
            </w:r>
          </w:p>
          <w:p w14:paraId="41F5351F">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6.需内置摄像头模组≥200万像素、支持自动对焦，CMOS尺寸为1/2.9”、最大帧率为≥60FPS；</w:t>
            </w:r>
          </w:p>
          <w:p w14:paraId="602CB4ED">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7.需支持板载传感器及执行器：按键、电容硅麦克风、扬声器、RGB灯、补光灯；</w:t>
            </w:r>
          </w:p>
          <w:p w14:paraId="2D42F407">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8.需支持板载接口≥1路TypeC接口、≥1路4Pin I2C/UART接口、≥1个TF卡槽；</w:t>
            </w:r>
          </w:p>
          <w:p w14:paraId="50226D50">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9.需内置WiFi网卡：2.4GHz WiFi6（插卡式)；</w:t>
            </w:r>
          </w:p>
          <w:p w14:paraId="2BA81ACE">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10.需支持≥19种内置模型包含人脸识别、物体识别、物体追踪、颜色识别、物体分类、自学习分类、实例分割、手势识别、姿态识别、车牌识别、光学字符识别、巡线追踪、表情识别、注视检视方向检测、人脸朝向检测、标签识别、二维码识别、条形码识别、跌倒检测；</w:t>
            </w:r>
          </w:p>
          <w:p w14:paraId="3E3D0247">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11.需支持≥5款内置应用包含照相机、录像机、实时图传、MCP服务、模型安装、快速模型训练、数据集采集器、自动驾驶、教学模式、模型评分；</w:t>
            </w:r>
          </w:p>
          <w:p w14:paraId="54655F3A">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12.需支持兼容Arduino、micro:bit、ESP32、行空板、掌控板、Raspberry Pi等主流控制器；</w:t>
            </w:r>
          </w:p>
          <w:p w14:paraId="6099B9B8">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cs="宋体"/>
                <w:color w:val="auto"/>
                <w:szCs w:val="21"/>
                <w:highlight w:val="none"/>
              </w:rPr>
              <w:t>★</w:t>
            </w:r>
            <w:r>
              <w:rPr>
                <w:rFonts w:hint="eastAsia" w:ascii="宋体" w:hAnsi="宋体" w:eastAsia="宋体" w:cs="宋体"/>
                <w:i w:val="0"/>
                <w:iCs w:val="0"/>
                <w:color w:val="auto"/>
                <w:sz w:val="21"/>
                <w:szCs w:val="21"/>
                <w:highlight w:val="none"/>
                <w:u w:val="none"/>
              </w:rPr>
              <w:t>（二）核心功能</w:t>
            </w:r>
          </w:p>
          <w:p w14:paraId="6D0924C0">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1.人脸识别：需支持识别人脸的五官位置，识别、追踪学习过的多个人脸；</w:t>
            </w:r>
          </w:p>
          <w:p w14:paraId="4C8D4C04">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2.物体识别：需支持识别≥80种固定类别的物体，检测时可自动框出目标物体并显示名称及置信度；</w:t>
            </w:r>
          </w:p>
          <w:p w14:paraId="6E7CCB11">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3.物体追踪：需支持学习并追踪一个指定的物体，且每次只能追踪一个指定的物体；</w:t>
            </w:r>
          </w:p>
          <w:p w14:paraId="666813D0">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4.颜色识别：需支持颜色识别模式有遗忘ID、色块面积阈值、颜色容差、设置名字、显示名字、恢复默认、导入模型、导出模型等参数设置；</w:t>
            </w:r>
          </w:p>
          <w:p w14:paraId="7D2390D6">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5.物体分类：需支持通过内置的模型对≥1000种固定类别的物体进行分类，显示当前画面中物体可能的类别名称和置信度；</w:t>
            </w:r>
          </w:p>
          <w:p w14:paraId="23FF7E65">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6.自学习分类：需支持采集任意物体多角度图片、学习、识别任何自定义的物体；</w:t>
            </w:r>
          </w:p>
          <w:p w14:paraId="1AD92DFB">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7.实例分割：需支持识别出≥80种不同的物体并标记出其轮廓；</w:t>
            </w:r>
          </w:p>
          <w:p w14:paraId="039D674D">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8.手势识别：需支持识别画面中手掌及其≥21个关键点（手腕≥1个、每根手指的≥4个关节点（根部、第一节、第二节、指尖）），并描绘出手掌的各个关键点，学习、识别、追踪手势；</w:t>
            </w:r>
          </w:p>
          <w:p w14:paraId="17A4F133">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9.姿态识别：需支持识别并描绘出画面人体的≥17个关键点（鼻子、双眼、双耳、双肩、双肘、双腕、双胯、双膝和双踝等部位），学习、识别、追踪人体的不同姿态；</w:t>
            </w:r>
          </w:p>
          <w:p w14:paraId="6EBDDA3B">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10.车牌识别：需支持识别画面中的车牌，显示车牌信息，学习、识别、追踪指定车牌；</w:t>
            </w:r>
          </w:p>
          <w:p w14:paraId="37F1D98D">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11.光学字符识别：需支持识别画面中的中英文字符并显示其内容，学习、识别、追踪字符；</w:t>
            </w:r>
          </w:p>
          <w:p w14:paraId="6D430ADE">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12.巡线：需支持检测出摄像头画面中与背景颜色差异明显的线条并使用不同颜色标出不同线条轨迹；</w:t>
            </w:r>
          </w:p>
          <w:p w14:paraId="05B65049">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13.表情识别：需支持识别≥7种特定的表情包含愤怒、厌恶、恐惧、开心、中性、悲伤和惊讶；</w:t>
            </w:r>
          </w:p>
          <w:p w14:paraId="7047AFA7">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14.注视方向检测：需支持识别眼球的注视方向；</w:t>
            </w:r>
          </w:p>
          <w:p w14:paraId="5783CBE0">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15.人脸朝向检测：需支持识别人脸朝向；</w:t>
            </w:r>
          </w:p>
          <w:p w14:paraId="4DB36C62">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16.标签识别：需支持识别≥4种类型AprilTag标签（AprilTag 16h5、AprilTag 25h9、AprilTag 36h10、AprilTag 36h11），学习、识别、追踪指定标签；</w:t>
            </w:r>
          </w:p>
          <w:p w14:paraId="37C59441">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17.二维码识别：需支持学习、识别、追踪二维码，显示二维码内包含的信息，命名二维码；</w:t>
            </w:r>
          </w:p>
          <w:p w14:paraId="29CA050F">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18.条形码识别：需支持学习、识别、追踪条形码，显示条形码内包含的信息，命名条形码；</w:t>
            </w:r>
          </w:p>
          <w:p w14:paraId="11F9E623">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19.跌倒检测：需支持识别人体并判断是否跌倒；</w:t>
            </w:r>
          </w:p>
          <w:p w14:paraId="49871CF5">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20.相机：需支持屏幕底部三个按钮可以在“照相机、录像机、相册”之间切换；</w:t>
            </w:r>
          </w:p>
          <w:p w14:paraId="16823B13">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21.实时图传：需支持USB有线连接与WiFi无线传输两种模式，可实时画面传输并通过无线连接将识别结果与实时画面同步传输至远程终端；</w:t>
            </w:r>
          </w:p>
          <w:p w14:paraId="07BB95C8">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22.自训练模型部署：需支持用户根据特定需求训练专属识别模型，实现模型训练到实际应用的全流程自主定制，支持目标检测、物体分类、实例分割等算法的自训练模型；</w:t>
            </w:r>
          </w:p>
          <w:p w14:paraId="5EB986C8">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23.MCP服务：需支持内置MCP服务为大语言模型提供感知和理解能力，支持识别特定物品、行为特征，通过自训练识别特定目标；</w:t>
            </w:r>
          </w:p>
          <w:p w14:paraId="60FE76BF">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24.固件更新：需支持系统升级，可通过烧录镜像进行系统恢复和升级。</w:t>
            </w:r>
          </w:p>
          <w:p w14:paraId="631D60A4">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（三）AI训练与拓展应用</w:t>
            </w:r>
          </w:p>
          <w:p w14:paraId="778B704F">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1.快速模型训练：无需电脑，在AI视觉传感器中完成可以完成数据采集、模型训练、推理识别全流程；</w:t>
            </w:r>
          </w:p>
          <w:p w14:paraId="27050BD2">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2.数据采集器：需支持AI视觉传感器快速标记目标并拍摄照片，并将拍摄的照片自动存储为标准的yolo数据集格式，可导出后直接用于复杂的模型训练</w:t>
            </w:r>
          </w:p>
          <w:p w14:paraId="368899CA">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3.自动驾驶：需支持内置纯视觉端到端自动驾驶模型，可直接输出转向与油门控制指令</w:t>
            </w:r>
          </w:p>
          <w:p w14:paraId="623EC19B">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4.教学模式：需支持教师自定义模型列表，简化学生操作界面，满足分层教学需求；</w:t>
            </w:r>
          </w:p>
          <w:p w14:paraId="400FB566">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5.模型评分：需具备模型测试评估功能，引导学生了解模型性能并掌握模型优化方法 。</w:t>
            </w:r>
          </w:p>
          <w:p w14:paraId="66BE88D6">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三、扩展板：I/O传感器扩展板、AI编程开发板专用配套扩展板；</w:t>
            </w:r>
          </w:p>
          <w:p w14:paraId="20ECECA0">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五、基础电子模块：</w:t>
            </w:r>
          </w:p>
          <w:p w14:paraId="2F4495EA">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需配备≥21种电子模块，需包含但RFID通信模块、射频通信模块、语音识别模块、语音合成模块、ADkey按钮模块、紫外线传感器、颜色识别传感器、红外避障传感器、手势传感器、分贝计、6轴惯性运动传感器、空气质量传感器、浊度传感器、USB摄像头、白色LED灯、灯环、9g离合舵机、水泵、风扇、继电器、喇叭等；</w:t>
            </w:r>
          </w:p>
          <w:p w14:paraId="1FEF0BF8">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2.电子模块需自带固定螺孔，支持螺丝、魔术贴等方式固定；</w:t>
            </w:r>
          </w:p>
          <w:p w14:paraId="38434478">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3.电子模块接口需采用PH2.0接口；</w:t>
            </w:r>
          </w:p>
          <w:p w14:paraId="154392CB">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六、配件：需配备传感器线若干、公公头杜邦线、母母头杜邦线、数据线若干、电池盒、18650锂电池等。</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D3A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DB3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DEF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创客比赛设备</w:t>
            </w:r>
          </w:p>
        </w:tc>
      </w:tr>
      <w:tr w14:paraId="2EAA1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418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BF695">
            <w:pPr>
              <w:keepNext w:val="0"/>
              <w:keepLines w:val="0"/>
              <w:widowControl/>
              <w:suppressLineNumbers w:val="0"/>
              <w:jc w:val="both"/>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二、飞行</w:t>
            </w:r>
            <w:r>
              <w:rPr>
                <w:rFonts w:hint="eastAsia" w:ascii="宋体" w:hAnsi="宋体" w:cs="宋体"/>
                <w:b/>
                <w:bCs/>
                <w:i w:val="0"/>
                <w:iCs w:val="0"/>
                <w:color w:val="auto"/>
                <w:kern w:val="0"/>
                <w:sz w:val="21"/>
                <w:szCs w:val="21"/>
                <w:highlight w:val="none"/>
                <w:u w:val="none"/>
                <w:lang w:val="en-US" w:eastAsia="zh-CN" w:bidi="ar"/>
              </w:rPr>
              <w:t>机器人</w:t>
            </w:r>
            <w:r>
              <w:rPr>
                <w:rFonts w:hint="eastAsia" w:ascii="宋体" w:hAnsi="宋体" w:eastAsia="宋体" w:cs="宋体"/>
                <w:b/>
                <w:bCs/>
                <w:i w:val="0"/>
                <w:iCs w:val="0"/>
                <w:color w:val="auto"/>
                <w:kern w:val="0"/>
                <w:sz w:val="21"/>
                <w:szCs w:val="21"/>
                <w:highlight w:val="none"/>
                <w:u w:val="none"/>
                <w:lang w:val="en-US" w:eastAsia="zh-CN" w:bidi="ar"/>
              </w:rPr>
              <w:t>类（编程类）设备</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B07DD">
            <w:pPr>
              <w:jc w:val="both"/>
              <w:rPr>
                <w:rFonts w:hint="eastAsia" w:ascii="宋体" w:hAnsi="宋体" w:eastAsia="宋体" w:cs="宋体"/>
                <w:b/>
                <w:bCs/>
                <w:i w:val="0"/>
                <w:iCs w:val="0"/>
                <w:color w:val="auto"/>
                <w:sz w:val="21"/>
                <w:szCs w:val="21"/>
                <w:highlight w:val="none"/>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E367E">
            <w:pPr>
              <w:jc w:val="both"/>
              <w:rPr>
                <w:rFonts w:hint="eastAsia" w:ascii="宋体" w:hAnsi="宋体" w:eastAsia="宋体" w:cs="宋体"/>
                <w:b/>
                <w:bCs/>
                <w:i w:val="0"/>
                <w:iCs w:val="0"/>
                <w:color w:val="auto"/>
                <w:sz w:val="21"/>
                <w:szCs w:val="21"/>
                <w:highlight w:val="none"/>
                <w:u w:val="none"/>
              </w:rPr>
            </w:pP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4C318">
            <w:pPr>
              <w:jc w:val="both"/>
              <w:rPr>
                <w:rFonts w:hint="eastAsia" w:ascii="宋体" w:hAnsi="宋体" w:eastAsia="宋体" w:cs="宋体"/>
                <w:i w:val="0"/>
                <w:iCs w:val="0"/>
                <w:color w:val="auto"/>
                <w:sz w:val="21"/>
                <w:szCs w:val="21"/>
                <w:highlight w:val="none"/>
                <w:u w:val="none"/>
              </w:rPr>
            </w:pPr>
          </w:p>
        </w:tc>
      </w:tr>
      <w:tr w14:paraId="0755B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C15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5E2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编程飞行器</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B447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机体尺寸：189.3*184.6*50mm；</w:t>
            </w:r>
          </w:p>
          <w:p w14:paraId="5DFE127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轴距：128mm；</w:t>
            </w:r>
          </w:p>
          <w:p w14:paraId="3E06532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抗风等级≤3级；</w:t>
            </w:r>
          </w:p>
          <w:p w14:paraId="33B23C4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电池容量：1200mAh；</w:t>
            </w:r>
          </w:p>
          <w:p w14:paraId="1D60E16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电池类型：锂离子电池；</w:t>
            </w:r>
          </w:p>
          <w:p w14:paraId="78A141D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续航时间:1min-12min；</w:t>
            </w:r>
          </w:p>
          <w:p w14:paraId="75B3E5E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机体克重：100g（±3g）；</w:t>
            </w:r>
          </w:p>
          <w:p w14:paraId="418F238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自带物理防护罩（支持半包围及全包围）；</w:t>
            </w:r>
          </w:p>
          <w:p w14:paraId="77A2F66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全彩LED发光机身；</w:t>
            </w:r>
          </w:p>
          <w:p w14:paraId="51D89C7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定位方式：光流与二维码定位；</w:t>
            </w:r>
          </w:p>
          <w:p w14:paraId="148E340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定位精度：二维码：水平士5cm，垂直士10cm；光流；水平士20cm，垂直士10cm；</w:t>
            </w:r>
          </w:p>
          <w:p w14:paraId="300A814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控制方式：通用软件APP控制（支持手机、平板、电脑）和遥控器控制；</w:t>
            </w:r>
          </w:p>
          <w:p w14:paraId="6747169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最大飞行高度：10m；</w:t>
            </w:r>
          </w:p>
          <w:p w14:paraId="7E87B9F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最大通讯距离：50m</w:t>
            </w:r>
          </w:p>
          <w:p w14:paraId="6B644A2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通讯方式：2.4G及5.8G WIFI；</w:t>
            </w:r>
          </w:p>
          <w:p w14:paraId="671F244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天线类型：PCB天线</w:t>
            </w:r>
          </w:p>
          <w:p w14:paraId="1F8506D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AI识别及AR互动，支持姿态识别，支持单机队对抗及组队对抗;</w:t>
            </w:r>
          </w:p>
          <w:p w14:paraId="4356E47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支持可手动物理调节的四向红外避障；</w:t>
            </w:r>
          </w:p>
          <w:p w14:paraId="1B451C3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支持红外激光发射及接收，激光波长640nm；</w:t>
            </w:r>
          </w:p>
          <w:p w14:paraId="5F04147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具有整体式云台及摄像头;</w:t>
            </w:r>
          </w:p>
          <w:p w14:paraId="636CFFE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支持单机飞行与组网编队飞行;</w:t>
            </w:r>
          </w:p>
          <w:p w14:paraId="0E9777B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具备控制软件的软著登记证书，且权利范围为全部权利;</w:t>
            </w:r>
          </w:p>
          <w:p w14:paraId="63F9BF4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lang w:eastAsia="zh-CN"/>
              </w:rPr>
            </w:pPr>
            <w:r>
              <w:rPr>
                <w:rFonts w:hint="eastAsia" w:ascii="宋体" w:hAnsi="宋体" w:eastAsia="宋体" w:cs="宋体"/>
                <w:i w:val="0"/>
                <w:iCs w:val="0"/>
                <w:color w:val="auto"/>
                <w:sz w:val="21"/>
                <w:szCs w:val="21"/>
                <w:highlight w:val="none"/>
                <w:u w:val="none"/>
              </w:rPr>
              <w:t>产品整机完成 1.2m 跌落可靠性测试，结构防护与安全稳定性</w:t>
            </w:r>
            <w:r>
              <w:rPr>
                <w:rFonts w:hint="eastAsia" w:ascii="宋体" w:hAnsi="宋体" w:eastAsia="宋体" w:cs="宋体"/>
                <w:i w:val="0"/>
                <w:iCs w:val="0"/>
                <w:color w:val="auto"/>
                <w:sz w:val="21"/>
                <w:szCs w:val="21"/>
                <w:highlight w:val="none"/>
                <w:u w:val="none"/>
                <w:lang w:eastAsia="zh-CN"/>
              </w:rPr>
              <w:t>高</w:t>
            </w:r>
            <w:r>
              <w:rPr>
                <w:rFonts w:hint="eastAsia" w:ascii="宋体" w:hAnsi="宋体" w:eastAsia="宋体" w:cs="宋体"/>
                <w:i w:val="0"/>
                <w:iCs w:val="0"/>
                <w:color w:val="auto"/>
                <w:sz w:val="21"/>
                <w:szCs w:val="21"/>
                <w:highlight w:val="none"/>
                <w:u w:val="none"/>
              </w:rPr>
              <w:t>，品质风险更低</w:t>
            </w:r>
            <w:r>
              <w:rPr>
                <w:rFonts w:hint="eastAsia" w:ascii="宋体" w:hAnsi="宋体" w:eastAsia="宋体" w:cs="宋体"/>
                <w:i w:val="0"/>
                <w:iCs w:val="0"/>
                <w:color w:val="auto"/>
                <w:sz w:val="21"/>
                <w:szCs w:val="21"/>
                <w:highlight w:val="none"/>
                <w:u w:val="none"/>
                <w:lang w:eastAsia="zh-CN"/>
              </w:rPr>
              <w:t>；</w:t>
            </w:r>
          </w:p>
          <w:p w14:paraId="7D6B605E">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lang w:eastAsia="zh-CN"/>
              </w:rPr>
            </w:pPr>
            <w:r>
              <w:rPr>
                <w:rFonts w:hint="eastAsia" w:ascii="宋体" w:hAnsi="宋体" w:eastAsia="宋体" w:cs="宋体"/>
                <w:i w:val="0"/>
                <w:iCs w:val="0"/>
                <w:color w:val="auto"/>
                <w:sz w:val="21"/>
                <w:szCs w:val="21"/>
                <w:highlight w:val="none"/>
                <w:u w:val="none"/>
              </w:rPr>
              <w:t>电池运输安全，满足国内外物流运输合规硬性要求，风险管控能力突出</w:t>
            </w:r>
            <w:r>
              <w:rPr>
                <w:rFonts w:hint="eastAsia" w:ascii="宋体" w:hAnsi="宋体" w:eastAsia="宋体" w:cs="宋体"/>
                <w:i w:val="0"/>
                <w:iCs w:val="0"/>
                <w:color w:val="auto"/>
                <w:sz w:val="21"/>
                <w:szCs w:val="21"/>
                <w:highlight w:val="none"/>
                <w:u w:val="none"/>
                <w:lang w:eastAsia="zh-CN"/>
              </w:rPr>
              <w:t>。</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E9E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824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D35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无人机教学与比赛设备</w:t>
            </w:r>
          </w:p>
        </w:tc>
      </w:tr>
      <w:tr w14:paraId="6F7A5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8"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B7C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11E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充电套装</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88D44">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包含一拖二充电座一个、</w:t>
            </w:r>
            <w:r>
              <w:rPr>
                <w:rFonts w:hint="eastAsia" w:ascii="宋体" w:hAnsi="宋体" w:cs="宋体"/>
                <w:i w:val="0"/>
                <w:iCs w:val="0"/>
                <w:color w:val="auto"/>
                <w:kern w:val="0"/>
                <w:sz w:val="21"/>
                <w:szCs w:val="21"/>
                <w:highlight w:val="none"/>
                <w:u w:val="none"/>
                <w:lang w:val="en-US" w:eastAsia="zh-CN" w:bidi="ar"/>
              </w:rPr>
              <w:t>专用</w:t>
            </w:r>
            <w:r>
              <w:rPr>
                <w:rFonts w:hint="eastAsia" w:ascii="宋体" w:hAnsi="宋体" w:eastAsia="宋体" w:cs="宋体"/>
                <w:i w:val="0"/>
                <w:iCs w:val="0"/>
                <w:color w:val="auto"/>
                <w:kern w:val="0"/>
                <w:sz w:val="21"/>
                <w:szCs w:val="21"/>
                <w:highlight w:val="none"/>
                <w:u w:val="none"/>
                <w:lang w:val="en-US" w:eastAsia="zh-CN" w:bidi="ar"/>
              </w:rPr>
              <w:t>电池一颗、充电头一个、充电线一根</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80A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0E1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51A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57212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DC0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6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DE7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电池</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421D3">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容量:1200mAh</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电压:3.8V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类型:锂离子电池</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重量:30g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贮存温度:≤1Month:-20°C~45°C;≤1Month:-20°C~30°C;≤1Year:25±3°C</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112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13C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657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48CB3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FE9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6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945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桨叶</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C0C85">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1、快拆螺旋桨（对）× 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2、直径×螺距：3.0 × 4.4 英寸 （8.38 ×11.18 cm ）。</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AE2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B0D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A87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1943C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933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F40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全包围保护罩</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F0630">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尺寸：183.6*188.3*16mm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材质：PA</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63B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DB9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E86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6D343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2D47D">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CF6D1">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飞行机器人训练道具</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C2756">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1.飞行地图：宽3000*长4000mm*1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2.PVC管连接件三通接头：内径20mm*35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3.360mmPVC管PVC灰色圆管：外径20mm*25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4.560mmPVC管PVC灰色圆管：外径20mm*25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5.正方形障碍插板：600mm*600mm*2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6.黑色正方形PVC板：直径600mm*1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7.彩色正方形PVC板：直径600mm*6</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8.黄色圆形PVC板：直径200mm*1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9.黄色椭圆形底座：直径200mm*2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10.黄色长杆：长570mm*1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11.蓝色海绵圆柱：直径60mm，高150mm*1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12.激光标靶：最大延展尺寸120mm*150mm*170mm*1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13.硬卡纸绿旗：130mm*150mm*1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14.魔术贴：长100mm，宽20mm，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15.圆形不干胶标贴透明贴直径50mm*1</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3B2B1">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50C59">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7B8F5">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p>
        </w:tc>
      </w:tr>
      <w:tr w14:paraId="1C18C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EDC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771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空中机器人</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D17F0">
            <w:pPr>
              <w:keepNext w:val="0"/>
              <w:keepLines w:val="0"/>
              <w:widowControl/>
              <w:suppressLineNumbers w:val="0"/>
              <w:jc w:val="both"/>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1.尺寸:190×190mm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2.轴距:140mm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3.重量:空机重量75g(含保护罩)，起飞重量105g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4.电机组:8520电机，含电机，碳纤杆机臂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5.电池:1200mah，3.7V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6.遥控器:2.4G通讯，带显示屏，可调换美国手日本手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7.保护罩:半包围保护罩</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8.定点模块集成:含激光模块，光流模块</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9.充电器:Y2快充</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10.数据线:传输数据及遥控器充电使用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11.飞控主板:支持图形化、Python和C语言编程，具备开放式二次开发功能，拓展飞行体验</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12.增配LED灯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13.视觉识别模块：可识别系统自带标签，能够完成巡线、跟踪、颜色识别等任务，支持Python编程，可做二次开发，使用无人机实现人脸识别、物体识别、文字识别等。</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26E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1DB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FC60B">
            <w:pPr>
              <w:jc w:val="center"/>
              <w:rPr>
                <w:rFonts w:hint="eastAsia" w:ascii="宋体" w:hAnsi="宋体" w:eastAsia="宋体" w:cs="宋体"/>
                <w:i w:val="0"/>
                <w:iCs w:val="0"/>
                <w:color w:val="auto"/>
                <w:sz w:val="21"/>
                <w:szCs w:val="21"/>
                <w:highlight w:val="none"/>
                <w:u w:val="none"/>
              </w:rPr>
            </w:pPr>
          </w:p>
        </w:tc>
      </w:tr>
      <w:tr w14:paraId="0BF09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09B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01D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配件包</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412DD">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1.桨叶2套</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2.保护罩1套</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3.充电器1个</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4.电池3块</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5.螺丝扭＋桨叶螺丝1套</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937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7B6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A6C91">
            <w:pPr>
              <w:jc w:val="center"/>
              <w:rPr>
                <w:rFonts w:hint="eastAsia" w:ascii="宋体" w:hAnsi="宋体" w:eastAsia="宋体" w:cs="宋体"/>
                <w:i w:val="0"/>
                <w:iCs w:val="0"/>
                <w:color w:val="auto"/>
                <w:sz w:val="21"/>
                <w:szCs w:val="21"/>
                <w:highlight w:val="none"/>
                <w:u w:val="none"/>
              </w:rPr>
            </w:pPr>
          </w:p>
        </w:tc>
      </w:tr>
      <w:tr w14:paraId="12A26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CAF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B76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机械爪</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44452">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机械爪模块角度：0-180度；用程序控制,夹取或抓取不大于10g的道具</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ACE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435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CBFD9">
            <w:pPr>
              <w:jc w:val="center"/>
              <w:rPr>
                <w:rFonts w:hint="eastAsia" w:ascii="宋体" w:hAnsi="宋体" w:eastAsia="宋体" w:cs="宋体"/>
                <w:i w:val="0"/>
                <w:iCs w:val="0"/>
                <w:color w:val="auto"/>
                <w:sz w:val="21"/>
                <w:szCs w:val="21"/>
                <w:highlight w:val="none"/>
                <w:u w:val="none"/>
              </w:rPr>
            </w:pPr>
          </w:p>
        </w:tc>
      </w:tr>
      <w:tr w14:paraId="2C32C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604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1B9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电机</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64BB2">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8520电机，含碳纤杆机臂，与无人机相适配，4个一组</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666CE">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套</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128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5CA4C">
            <w:pPr>
              <w:jc w:val="center"/>
              <w:rPr>
                <w:rFonts w:hint="eastAsia" w:ascii="宋体" w:hAnsi="宋体" w:eastAsia="宋体" w:cs="宋体"/>
                <w:i w:val="0"/>
                <w:iCs w:val="0"/>
                <w:color w:val="auto"/>
                <w:sz w:val="21"/>
                <w:szCs w:val="21"/>
                <w:highlight w:val="none"/>
                <w:u w:val="none"/>
              </w:rPr>
            </w:pPr>
          </w:p>
        </w:tc>
      </w:tr>
      <w:tr w14:paraId="4F1B9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9699D">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6B01B">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空中机器人训练道具</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DBAF8">
            <w:pPr>
              <w:keepNext w:val="0"/>
              <w:keepLines w:val="0"/>
              <w:widowControl/>
              <w:suppressLineNumbers w:val="0"/>
              <w:jc w:val="both"/>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1.4000mm×4000mm喷绘地图；</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2.圆环不少于3个，圆环直径不小于500mm；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3.立杆不少于4根，立杆长度不小于750mm；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4.横杆搭配固定螺丝长度不小于800mm；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5.升降支架2个，支架平台1个；</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6.坐标牌：字母（A、B、I、J）和数字（0-9）</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7.正方体参照物1个</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3EC0C">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22A32">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286C3">
            <w:pPr>
              <w:jc w:val="both"/>
              <w:rPr>
                <w:rFonts w:hint="eastAsia" w:ascii="宋体" w:hAnsi="宋体" w:eastAsia="宋体" w:cs="宋体"/>
                <w:i w:val="0"/>
                <w:iCs w:val="0"/>
                <w:color w:val="auto"/>
                <w:sz w:val="21"/>
                <w:szCs w:val="21"/>
                <w:highlight w:val="none"/>
                <w:u w:val="none"/>
              </w:rPr>
            </w:pPr>
          </w:p>
        </w:tc>
      </w:tr>
      <w:tr w14:paraId="52D71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418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03E1F">
            <w:pPr>
              <w:keepNext w:val="0"/>
              <w:keepLines w:val="0"/>
              <w:widowControl/>
              <w:suppressLineNumbers w:val="0"/>
              <w:jc w:val="both"/>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三、人工智能类设备</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3E83A">
            <w:pPr>
              <w:jc w:val="both"/>
              <w:rPr>
                <w:rFonts w:hint="eastAsia" w:ascii="宋体" w:hAnsi="宋体" w:eastAsia="宋体" w:cs="宋体"/>
                <w:b/>
                <w:bCs/>
                <w:i w:val="0"/>
                <w:iCs w:val="0"/>
                <w:color w:val="auto"/>
                <w:sz w:val="21"/>
                <w:szCs w:val="21"/>
                <w:highlight w:val="none"/>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2613C">
            <w:pPr>
              <w:jc w:val="both"/>
              <w:rPr>
                <w:rFonts w:hint="eastAsia" w:ascii="宋体" w:hAnsi="宋体" w:eastAsia="宋体" w:cs="宋体"/>
                <w:b/>
                <w:bCs/>
                <w:i w:val="0"/>
                <w:iCs w:val="0"/>
                <w:color w:val="auto"/>
                <w:sz w:val="21"/>
                <w:szCs w:val="21"/>
                <w:highlight w:val="none"/>
                <w:u w:val="none"/>
              </w:rPr>
            </w:pP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E5FE1">
            <w:pPr>
              <w:jc w:val="both"/>
              <w:rPr>
                <w:rFonts w:hint="eastAsia" w:ascii="宋体" w:hAnsi="宋体" w:eastAsia="宋体" w:cs="宋体"/>
                <w:i w:val="0"/>
                <w:iCs w:val="0"/>
                <w:color w:val="auto"/>
                <w:sz w:val="21"/>
                <w:szCs w:val="21"/>
                <w:highlight w:val="none"/>
                <w:u w:val="none"/>
              </w:rPr>
            </w:pPr>
          </w:p>
        </w:tc>
      </w:tr>
      <w:tr w14:paraId="3EBAB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0"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E396E">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2CE31">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科创实践套装</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4349C">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1.综合实践开源硬件智能控制器具体如下：</w:t>
            </w:r>
          </w:p>
          <w:p w14:paraId="345ABACB">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（1）操作系统支持Linux；</w:t>
            </w:r>
          </w:p>
          <w:p w14:paraId="45BCC7CD">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（2）CPU性能：国产四核64位处理器，最高1.8GHz；</w:t>
            </w:r>
          </w:p>
          <w:p w14:paraId="23A8B654">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（3）存储空间：2GB RAM，16GB ROM；</w:t>
            </w:r>
          </w:p>
          <w:p w14:paraId="7E627ADC">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 xml:space="preserve">（4）WIFI：2.4G/5G双频段，支持a/ac/ax b/g/n </w:t>
            </w:r>
          </w:p>
          <w:p w14:paraId="5E373C87">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（5）电池：1600mAh；</w:t>
            </w:r>
          </w:p>
          <w:p w14:paraId="44F017DF">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（6）显示屏：2.4英寸，LCD屏；</w:t>
            </w:r>
          </w:p>
          <w:p w14:paraId="3D5B590A">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（7）麦克风：语音识别距离2m</w:t>
            </w:r>
          </w:p>
          <w:p w14:paraId="769B2B98">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（8）扬声器：1W双喇叭</w:t>
            </w:r>
          </w:p>
          <w:p w14:paraId="641F0C1C">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2.传感器</w:t>
            </w:r>
          </w:p>
          <w:p w14:paraId="51B28B38">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提供10种传感器；数量11个。</w:t>
            </w:r>
          </w:p>
          <w:p w14:paraId="3CD12E59">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包括：LED灯、超声波传感器、伺服电机、光敏传感器、环境温湿度传感器、摄像头、旋钮/可变电阻器、循线板，编码电机*2、红外传感器。</w:t>
            </w:r>
          </w:p>
          <w:p w14:paraId="2646B467">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3.结构件</w:t>
            </w:r>
          </w:p>
          <w:p w14:paraId="6A7AFE84">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提供180个塑料结构件。</w:t>
            </w:r>
          </w:p>
          <w:p w14:paraId="693846BF">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4.拥有用户主动设置WiFi的入口，支持通过WiFi与科创实践活动平台进行连接；</w:t>
            </w:r>
          </w:p>
          <w:p w14:paraId="0C5ECBB3">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5.支持传感器电路在软件中仿真模拟搭建；</w:t>
            </w:r>
          </w:p>
          <w:p w14:paraId="33109A11">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6.支持响应平板/笔记本电脑完成的编程程序在搭建机器人上运行，包含基础能力运行（如：运动、外观、声音、运算等），也包含AI能力运行，其中AI能力需满足：</w:t>
            </w:r>
          </w:p>
          <w:p w14:paraId="31774E9F">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①支持响应语音唤醒AI能力调用：支持响应所选择唤醒词，用语音将搭建机器人从待机状态唤醒；</w:t>
            </w:r>
          </w:p>
          <w:p w14:paraId="351C71FB">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②支持响应语音合成AI能力调用，支持响应选择不同发音人和自主编辑合成的内容，让搭建机器人用对应发音人声音说出对应内容；</w:t>
            </w:r>
          </w:p>
          <w:p w14:paraId="2BAEB259">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③支持响应语音评测AI能力调用：支持响应设定中英文词语或句子，在搭建机器人上实现中英文发音评测，并反馈评测得分；</w:t>
            </w:r>
          </w:p>
          <w:p w14:paraId="3CAD8B4A">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④支持响应声纹识别AI能力调用：支持注册声纹信息，让搭建机器人能够通过声纹识别出用户信息；</w:t>
            </w:r>
          </w:p>
          <w:p w14:paraId="5D294F35">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⑤支持响应语音转写AI能力调用：让搭建机器人能够将听到的语音转化为文字，并显示在屏幕上；</w:t>
            </w:r>
          </w:p>
          <w:p w14:paraId="3EC5630D">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⑥支持响应文字识别AI能力调用：让搭建机器人能够通过拍照手写体的英文或数字，并识别后转写成印刷体，在屏幕上进行显示；</w:t>
            </w:r>
          </w:p>
          <w:p w14:paraId="212C8A8E">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⑦支持响应人脸识别AI能力调用：支持注册人脸信息，让搭建机器人能够通过人脸识别出用户信息，识别结果可以在屏幕上进行显示；</w:t>
            </w:r>
          </w:p>
          <w:p w14:paraId="2A0CF892">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⑧支持响应人机对话AI能力调用：支持响应选择需要的人机对话技能，让搭建机器人与用户能针对不同场景下对话，例如针对教育、生活等不同场景；</w:t>
            </w:r>
          </w:p>
          <w:p w14:paraId="70646E16">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⑨支持响应AI文本模型分类训练：支持响应自主建立文本分类模型，输入文本数据，训练分类模型，让搭建机器人对输入的文本进行模式识别，识别结果可在屏幕进行显示。</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06D58">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94220">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2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1456ED">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人工智能项目教学与比赛设备</w:t>
            </w:r>
          </w:p>
        </w:tc>
      </w:tr>
      <w:tr w14:paraId="7B996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0" w:hRule="atLeast"/>
          <w:jc w:val="center"/>
        </w:trPr>
        <w:tc>
          <w:tcPr>
            <w:tcW w:w="493" w:type="pct"/>
            <w:tcBorders>
              <w:top w:val="single" w:color="000000" w:sz="4" w:space="0"/>
              <w:left w:val="single" w:color="000000" w:sz="4" w:space="0"/>
              <w:bottom w:val="single" w:color="000000" w:sz="4" w:space="0"/>
              <w:right w:val="nil"/>
            </w:tcBorders>
            <w:shd w:val="clear" w:color="auto" w:fill="auto"/>
            <w:vAlign w:val="center"/>
          </w:tcPr>
          <w:p w14:paraId="016B0650">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DD59C">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中小学人工智能套装</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86F00">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1.主控器采用Cortex-M4系列芯片，运行速度168MHz，196KB SRAM，1M FLASH:控制器外置8MB FLASH程序储存区(其中2M用于字库);内置声敏传感器和蜂鸣器；5个传感器端口，支持模拟传感器和数字传感器(使用12C接口);4个直流电机端口，内置驱动编码盘读取，支持普通电机输出和伺服角度旋转;2.4"，分辨率320X240，16位色(65536种颜色)，带触摸液晶屏；内置鲤电池(7.4V)充电电路和充电指示灯,Type-C接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2.积木电机3个；数字舵机1个。</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3.气压传感器1个，磁敏传感器1个，陀螺仪(姿态传感器）1个，手势传感器1个，温湿度传感器1个，激光测距传感器1个，红外测距传感器1个，蓝牙适配器1个，AI视觉模块1个，扫码摄像头1个，智慧眼2个，16 x 16蓝色点阵2个，触碰传感器1个，光电传感器2个，彩灯1个。</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4.各种结构积木件≥500个。</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5.含人工智能案例：智慧大脑、智能手势、体感影子手臂、智能眼睛等，不少于15节课程内容。</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296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EDB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C61AC">
            <w:pPr>
              <w:jc w:val="both"/>
              <w:rPr>
                <w:rFonts w:hint="eastAsia" w:ascii="宋体" w:hAnsi="宋体" w:eastAsia="宋体" w:cs="宋体"/>
                <w:i w:val="0"/>
                <w:iCs w:val="0"/>
                <w:color w:val="auto"/>
                <w:sz w:val="21"/>
                <w:szCs w:val="21"/>
                <w:highlight w:val="none"/>
                <w:u w:val="none"/>
              </w:rPr>
            </w:pPr>
          </w:p>
        </w:tc>
      </w:tr>
      <w:tr w14:paraId="560EE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7"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58345">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CDDE7">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机器人配包</w:t>
            </w:r>
          </w:p>
        </w:tc>
        <w:tc>
          <w:tcPr>
            <w:tcW w:w="3060" w:type="pct"/>
            <w:tcBorders>
              <w:top w:val="single" w:color="000000" w:sz="4" w:space="0"/>
              <w:left w:val="nil"/>
              <w:bottom w:val="single" w:color="000000" w:sz="4" w:space="0"/>
              <w:right w:val="single" w:color="000000" w:sz="4" w:space="0"/>
            </w:tcBorders>
            <w:shd w:val="clear" w:color="auto" w:fill="auto"/>
            <w:vAlign w:val="center"/>
          </w:tcPr>
          <w:p w14:paraId="45663624">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含小型舵机1个、数字舵机1个、2.4G手柄1个、中型电机1个</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F9030">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CBBEB">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298" w:type="pct"/>
            <w:tcBorders>
              <w:top w:val="nil"/>
              <w:left w:val="single" w:color="000000" w:sz="4" w:space="0"/>
              <w:bottom w:val="single" w:color="000000" w:sz="4" w:space="0"/>
              <w:right w:val="single" w:color="000000" w:sz="4" w:space="0"/>
            </w:tcBorders>
            <w:shd w:val="clear" w:color="auto" w:fill="auto"/>
            <w:vAlign w:val="center"/>
          </w:tcPr>
          <w:p w14:paraId="3554B43F">
            <w:pPr>
              <w:jc w:val="both"/>
              <w:rPr>
                <w:rFonts w:hint="eastAsia" w:ascii="宋体" w:hAnsi="宋体" w:eastAsia="宋体" w:cs="宋体"/>
                <w:i w:val="0"/>
                <w:iCs w:val="0"/>
                <w:color w:val="auto"/>
                <w:sz w:val="21"/>
                <w:szCs w:val="21"/>
                <w:highlight w:val="none"/>
                <w:u w:val="none"/>
              </w:rPr>
            </w:pPr>
          </w:p>
        </w:tc>
      </w:tr>
      <w:tr w14:paraId="31DEB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jc w:val="center"/>
        </w:trPr>
        <w:tc>
          <w:tcPr>
            <w:tcW w:w="493" w:type="pct"/>
            <w:tcBorders>
              <w:top w:val="single" w:color="000000" w:sz="4" w:space="0"/>
              <w:left w:val="single" w:color="000000" w:sz="4" w:space="0"/>
              <w:bottom w:val="single" w:color="000000" w:sz="4" w:space="0"/>
              <w:right w:val="nil"/>
            </w:tcBorders>
            <w:shd w:val="clear" w:color="auto" w:fill="auto"/>
            <w:vAlign w:val="center"/>
          </w:tcPr>
          <w:p w14:paraId="139C2955">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AE893">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智能循迹模块</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B9350">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功能:七路黑白线检测，智能设定阈值，7种颜色自由切换；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参数:标准RCU通用电话线接口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IC通讯工作电压5V</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76FD2">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C7E33">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298" w:type="pct"/>
            <w:tcBorders>
              <w:top w:val="nil"/>
              <w:left w:val="single" w:color="000000" w:sz="4" w:space="0"/>
              <w:bottom w:val="single" w:color="000000" w:sz="4" w:space="0"/>
              <w:right w:val="single" w:color="000000" w:sz="4" w:space="0"/>
            </w:tcBorders>
            <w:shd w:val="clear" w:color="auto" w:fill="auto"/>
            <w:vAlign w:val="center"/>
          </w:tcPr>
          <w:p w14:paraId="05B02796">
            <w:pPr>
              <w:jc w:val="both"/>
              <w:rPr>
                <w:rFonts w:hint="eastAsia" w:ascii="宋体" w:hAnsi="宋体" w:eastAsia="宋体" w:cs="宋体"/>
                <w:i w:val="0"/>
                <w:iCs w:val="0"/>
                <w:color w:val="auto"/>
                <w:sz w:val="21"/>
                <w:szCs w:val="21"/>
                <w:highlight w:val="none"/>
                <w:u w:val="none"/>
              </w:rPr>
            </w:pPr>
          </w:p>
        </w:tc>
      </w:tr>
      <w:tr w14:paraId="18722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418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BB73A">
            <w:pPr>
              <w:keepNext w:val="0"/>
              <w:keepLines w:val="0"/>
              <w:widowControl/>
              <w:suppressLineNumbers w:val="0"/>
              <w:jc w:val="both"/>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四、航天航空竞赛</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3F2F6">
            <w:pPr>
              <w:jc w:val="both"/>
              <w:rPr>
                <w:rFonts w:hint="eastAsia" w:ascii="宋体" w:hAnsi="宋体" w:eastAsia="宋体" w:cs="宋体"/>
                <w:b/>
                <w:bCs/>
                <w:i w:val="0"/>
                <w:iCs w:val="0"/>
                <w:color w:val="auto"/>
                <w:sz w:val="21"/>
                <w:szCs w:val="21"/>
                <w:highlight w:val="none"/>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A7FBA">
            <w:pPr>
              <w:jc w:val="both"/>
              <w:rPr>
                <w:rFonts w:hint="eastAsia" w:ascii="宋体" w:hAnsi="宋体" w:eastAsia="宋体" w:cs="宋体"/>
                <w:b/>
                <w:bCs/>
                <w:i w:val="0"/>
                <w:iCs w:val="0"/>
                <w:color w:val="auto"/>
                <w:sz w:val="21"/>
                <w:szCs w:val="21"/>
                <w:highlight w:val="none"/>
                <w:u w:val="none"/>
              </w:rPr>
            </w:pP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F20B4">
            <w:pPr>
              <w:jc w:val="both"/>
              <w:rPr>
                <w:rFonts w:hint="eastAsia" w:ascii="宋体" w:hAnsi="宋体" w:eastAsia="宋体" w:cs="宋体"/>
                <w:i w:val="0"/>
                <w:iCs w:val="0"/>
                <w:color w:val="auto"/>
                <w:sz w:val="21"/>
                <w:szCs w:val="21"/>
                <w:highlight w:val="none"/>
                <w:u w:val="none"/>
              </w:rPr>
            </w:pPr>
          </w:p>
        </w:tc>
      </w:tr>
      <w:tr w14:paraId="54CF4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6"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7F6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6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796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运输机</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71D99">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1.外形尺寸:200mm×200mm×142mm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桨叶尺寸：67mm±1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2.电机类型：空心杯/无刷，轴距：110mm，直径200mm。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3.动力电池标称电压：3.7 V，容量：550mah</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4.重量（带电池）：79g</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FAD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EE3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29C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23C39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AC8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749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训练场地</w:t>
            </w:r>
          </w:p>
        </w:tc>
        <w:tc>
          <w:tcPr>
            <w:tcW w:w="3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47299">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场地：9*8m</w:t>
            </w:r>
          </w:p>
          <w:p w14:paraId="75E65037">
            <w:pPr>
              <w:keepNext w:val="0"/>
              <w:keepLines w:val="0"/>
              <w:widowControl/>
              <w:suppressLineNumbers w:val="0"/>
              <w:jc w:val="both"/>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停机坪不少于1个、圆环不少于3个、立杆不少于6个</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93E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8C9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EDE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7C2E3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8"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304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3E4A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小天巡者</w:t>
            </w:r>
          </w:p>
        </w:tc>
        <w:tc>
          <w:tcPr>
            <w:tcW w:w="3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06980">
            <w:pPr>
              <w:jc w:val="both"/>
              <w:rPr>
                <w:rFonts w:hint="default"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1.材质：泡沫、塑料、碳纤维</w:t>
            </w:r>
          </w:p>
          <w:p w14:paraId="533BAE0E">
            <w:pPr>
              <w:jc w:val="both"/>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2.技术要求：以橡筋为动力</w:t>
            </w:r>
          </w:p>
          <w:p w14:paraId="38E952AD">
            <w:pPr>
              <w:jc w:val="both"/>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3.翼展不大于500毫米</w:t>
            </w:r>
          </w:p>
          <w:p w14:paraId="7D53F62D">
            <w:pPr>
              <w:jc w:val="both"/>
              <w:rPr>
                <w:rFonts w:hint="default"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4.机身长不大于495毫米</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436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架</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07D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243E1">
            <w:pPr>
              <w:jc w:val="both"/>
              <w:rPr>
                <w:rFonts w:hint="eastAsia" w:ascii="宋体" w:hAnsi="宋体" w:eastAsia="宋体" w:cs="宋体"/>
                <w:i w:val="0"/>
                <w:iCs w:val="0"/>
                <w:color w:val="auto"/>
                <w:sz w:val="21"/>
                <w:szCs w:val="21"/>
                <w:highlight w:val="none"/>
                <w:u w:val="none"/>
              </w:rPr>
            </w:pPr>
          </w:p>
        </w:tc>
      </w:tr>
      <w:tr w14:paraId="35259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5"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339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ED2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天梭一号</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A9EB9">
            <w:pPr>
              <w:jc w:val="both"/>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1.翼展不大于260毫米</w:t>
            </w:r>
          </w:p>
          <w:p w14:paraId="62F6A845">
            <w:pPr>
              <w:jc w:val="both"/>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2.机身长不大于350毫米</w:t>
            </w:r>
          </w:p>
          <w:p w14:paraId="69F5DE26">
            <w:pPr>
              <w:jc w:val="both"/>
              <w:rPr>
                <w:rFonts w:hint="default"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3.弹射棒长度不大于300毫米</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0BF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架</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545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E6918">
            <w:pPr>
              <w:jc w:val="both"/>
              <w:rPr>
                <w:rFonts w:hint="eastAsia" w:ascii="宋体" w:hAnsi="宋体" w:eastAsia="宋体" w:cs="宋体"/>
                <w:i w:val="0"/>
                <w:iCs w:val="0"/>
                <w:color w:val="auto"/>
                <w:sz w:val="21"/>
                <w:szCs w:val="21"/>
                <w:highlight w:val="none"/>
                <w:u w:val="none"/>
              </w:rPr>
            </w:pPr>
          </w:p>
        </w:tc>
      </w:tr>
      <w:tr w14:paraId="48DCC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418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23566">
            <w:pPr>
              <w:keepNext w:val="0"/>
              <w:keepLines w:val="0"/>
              <w:widowControl/>
              <w:suppressLineNumbers w:val="0"/>
              <w:jc w:val="both"/>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五、手工操作类设备</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23778">
            <w:pPr>
              <w:jc w:val="both"/>
              <w:rPr>
                <w:rFonts w:hint="eastAsia" w:ascii="宋体" w:hAnsi="宋体" w:eastAsia="宋体" w:cs="宋体"/>
                <w:b/>
                <w:bCs/>
                <w:i w:val="0"/>
                <w:iCs w:val="0"/>
                <w:color w:val="auto"/>
                <w:sz w:val="21"/>
                <w:szCs w:val="21"/>
                <w:highlight w:val="none"/>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4B12A">
            <w:pPr>
              <w:jc w:val="both"/>
              <w:rPr>
                <w:rFonts w:hint="eastAsia" w:ascii="宋体" w:hAnsi="宋体" w:eastAsia="宋体" w:cs="宋体"/>
                <w:b/>
                <w:bCs/>
                <w:i w:val="0"/>
                <w:iCs w:val="0"/>
                <w:color w:val="auto"/>
                <w:sz w:val="21"/>
                <w:szCs w:val="21"/>
                <w:highlight w:val="none"/>
                <w:u w:val="none"/>
              </w:rPr>
            </w:pP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63001">
            <w:pPr>
              <w:jc w:val="both"/>
              <w:rPr>
                <w:rFonts w:hint="eastAsia" w:ascii="宋体" w:hAnsi="宋体" w:eastAsia="宋体" w:cs="宋体"/>
                <w:i w:val="0"/>
                <w:iCs w:val="0"/>
                <w:color w:val="auto"/>
                <w:sz w:val="21"/>
                <w:szCs w:val="21"/>
                <w:highlight w:val="none"/>
                <w:u w:val="none"/>
              </w:rPr>
            </w:pPr>
          </w:p>
        </w:tc>
      </w:tr>
      <w:tr w14:paraId="06577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BBF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B53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3D打印机</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5F644">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1、成型技术：熔融沉积成型；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2、机身最大尺寸(长×宽×高)不低于392×406×478 mm³，净重约17.6 kg，最大打印尺寸(长×宽×高)不低于256×256×256 mm³；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3、框架为塑胶和钢材构成，外壳为塑料和玻璃构成；</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▲4、工具头：全金属热端、硬化钢挤出机齿轮、硬化钢喷嘴，陶瓷加热座，内置工具头切刀，喷嘴最高温度不低于300 ℃、标配喷嘴直径0.4 mm，可选0.2 mm，0.6 mm，0.8 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5、机器标配双面纹理PEI打印面板，可扩展光面打印面板，热床最高温度不低于110℃；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▲6、工具头最大移动速度不低于600 mm/s，工具头最大移动加速度不低于20000 mm/s²，普通热端最大流速不低于40 mm³/s；</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7、支持耗材类型：PLA、PETG、ABS、ASA、TPU、Support for PLA、Support for PLA/PETG、Support for ABS、PET、PA、PC、PVA、PLA-CF、PETG-CF、ABS-GF、ASA-CF、PA6-CF、PA6-GF、PAHT-CF、PPA-CF、PET-CF等；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▲8、支持热端快拆、主动振动补偿、主动流量补偿、自动热床调平；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▲9、配备高清摄像头，分辨率≤1920×1080，支持实时监控和延时摄影；</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▲10、支持AI首层检测、炒面检测、异物检测、裹头检测、废料滑梯堵塞检测、硬件配置扫描；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▲11、支持开门检测、断料检测、缠料检测、断电续打，具备监控打印机状态的健康管理系统；</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12、支持耗材用量及余料检测，支持多色打印，最多支持不少于20色；</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13、配备全闭环控制风扇系统，确保打印的高质量和可靠性；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▲14、配备自适应空气循环系统，支持自适应空气循环，外吸风进气口，显著提高冷却；腔温温度保持，可达50℃，存储打印机内部热量；配备活性炭滤芯，主动过滤内部空气；</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15、配备触摸显示屏，屏幕尺寸≤5英寸，屏幕分辨率≤854×480；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16、支持通过触摸显示屏、手机端APP、电脑端应用三种操作界面控制；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17、支持Wi-Fi通讯，支持2.4 GHz 和 5 GHz，支持协议 IEEE 802.11 a/b/g/n。</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F084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D9E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4B0F0">
            <w:pPr>
              <w:jc w:val="both"/>
              <w:rPr>
                <w:rFonts w:hint="eastAsia" w:ascii="宋体" w:hAnsi="宋体" w:eastAsia="宋体" w:cs="宋体"/>
                <w:i w:val="0"/>
                <w:iCs w:val="0"/>
                <w:color w:val="auto"/>
                <w:sz w:val="21"/>
                <w:szCs w:val="21"/>
                <w:highlight w:val="none"/>
                <w:u w:val="none"/>
              </w:rPr>
            </w:pPr>
          </w:p>
        </w:tc>
      </w:tr>
      <w:tr w14:paraId="51EE2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43D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FBB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3D打印机耗材</w:t>
            </w:r>
          </w:p>
        </w:tc>
        <w:tc>
          <w:tcPr>
            <w:tcW w:w="3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0482B">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PLA基础色1000k（带料盘）</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E3F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kg</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7DB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25283">
            <w:pPr>
              <w:jc w:val="both"/>
              <w:rPr>
                <w:rFonts w:hint="eastAsia" w:ascii="宋体" w:hAnsi="宋体" w:eastAsia="宋体" w:cs="宋体"/>
                <w:i w:val="0"/>
                <w:iCs w:val="0"/>
                <w:color w:val="auto"/>
                <w:sz w:val="21"/>
                <w:szCs w:val="21"/>
                <w:highlight w:val="none"/>
                <w:u w:val="none"/>
              </w:rPr>
            </w:pPr>
          </w:p>
        </w:tc>
      </w:tr>
      <w:tr w14:paraId="1A7D2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A71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ED6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激光雕刻机</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73A06">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主板：泰智主板；驱动器：雷赛双驱动;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导轨：XY三线15直线导轨 ; 制冷：水冷;</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激光头：工业级标准（可微调）;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主板：睿达脱机6442主板，驱动器：雷塞双独立驱动器，直线导轨:进口SHAC直线导轨，制冷：水冷，反光镜：进口镜片，激光头水平：小于0.5MM，工作电压：220V±10% ,50/60Hz，工作幅面 600*400m，功率80W，工作平台：电动升降，蜂窝平台/刀条平台，外形尺寸： 140*100*（57cm+30cm），定位精度： &lt;0.01mm，雕刻精度：0.0125mm，割厚度 0-20mm（视材料厚及材质），支持系统： WINDOWS XP/Win7/8 ，支持格式 BMP,PLT,AI,CDR,DXF等，冷却方式：水冷水温要求：5°C -35°C ，最小雕刻尺寸：汉字：2*2mm ,字母：1x1mm ，随机器附件：空气过滤器、水冷机、潜水泵、气泵、水泵 、保险丝、电源线、光盘、USB线、焦距尺1个。</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1F98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235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65F44">
            <w:pPr>
              <w:jc w:val="both"/>
              <w:rPr>
                <w:rFonts w:hint="eastAsia" w:ascii="宋体" w:hAnsi="宋体" w:eastAsia="宋体" w:cs="宋体"/>
                <w:i w:val="0"/>
                <w:iCs w:val="0"/>
                <w:color w:val="auto"/>
                <w:sz w:val="21"/>
                <w:szCs w:val="21"/>
                <w:highlight w:val="none"/>
                <w:u w:val="none"/>
              </w:rPr>
            </w:pPr>
          </w:p>
        </w:tc>
      </w:tr>
      <w:tr w14:paraId="39B4D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BB9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F68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雕刻耗材</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117F0">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透明亚克力350*550*2.5MM1块、木板300*450*3MM1块、木板450*900*4MM1块</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65F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9CE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08577">
            <w:pPr>
              <w:jc w:val="both"/>
              <w:rPr>
                <w:rFonts w:hint="eastAsia" w:ascii="宋体" w:hAnsi="宋体" w:eastAsia="宋体" w:cs="宋体"/>
                <w:i w:val="0"/>
                <w:iCs w:val="0"/>
                <w:color w:val="auto"/>
                <w:sz w:val="21"/>
                <w:szCs w:val="21"/>
                <w:highlight w:val="none"/>
                <w:u w:val="none"/>
              </w:rPr>
            </w:pPr>
          </w:p>
        </w:tc>
      </w:tr>
      <w:tr w14:paraId="5E2C9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418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816C0">
            <w:pPr>
              <w:keepNext w:val="0"/>
              <w:keepLines w:val="0"/>
              <w:widowControl/>
              <w:suppressLineNumbers w:val="0"/>
              <w:jc w:val="both"/>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六、</w:t>
            </w:r>
            <w:r>
              <w:rPr>
                <w:rFonts w:hint="eastAsia" w:ascii="宋体" w:hAnsi="宋体" w:cs="宋体"/>
                <w:b/>
                <w:bCs/>
                <w:i w:val="0"/>
                <w:iCs w:val="0"/>
                <w:color w:val="auto"/>
                <w:kern w:val="0"/>
                <w:sz w:val="21"/>
                <w:szCs w:val="21"/>
                <w:highlight w:val="none"/>
                <w:u w:val="none"/>
                <w:lang w:val="en-US" w:eastAsia="zh-CN" w:bidi="ar"/>
              </w:rPr>
              <w:t>普及赛</w:t>
            </w:r>
            <w:r>
              <w:rPr>
                <w:rFonts w:hint="eastAsia" w:ascii="宋体" w:hAnsi="宋体" w:eastAsia="宋体" w:cs="宋体"/>
                <w:b/>
                <w:bCs/>
                <w:i w:val="0"/>
                <w:iCs w:val="0"/>
                <w:color w:val="auto"/>
                <w:kern w:val="0"/>
                <w:sz w:val="21"/>
                <w:szCs w:val="21"/>
                <w:highlight w:val="none"/>
                <w:u w:val="none"/>
                <w:lang w:val="en-US" w:eastAsia="zh-CN" w:bidi="ar"/>
              </w:rPr>
              <w:t>机器人</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D913C">
            <w:pPr>
              <w:jc w:val="both"/>
              <w:rPr>
                <w:rFonts w:hint="eastAsia" w:ascii="宋体" w:hAnsi="宋体" w:eastAsia="宋体" w:cs="宋体"/>
                <w:b/>
                <w:bCs/>
                <w:i w:val="0"/>
                <w:iCs w:val="0"/>
                <w:color w:val="auto"/>
                <w:sz w:val="21"/>
                <w:szCs w:val="21"/>
                <w:highlight w:val="none"/>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9BC4D">
            <w:pPr>
              <w:jc w:val="both"/>
              <w:rPr>
                <w:rFonts w:hint="eastAsia" w:ascii="宋体" w:hAnsi="宋体" w:eastAsia="宋体" w:cs="宋体"/>
                <w:b/>
                <w:bCs/>
                <w:i w:val="0"/>
                <w:iCs w:val="0"/>
                <w:color w:val="auto"/>
                <w:sz w:val="21"/>
                <w:szCs w:val="21"/>
                <w:highlight w:val="none"/>
                <w:u w:val="none"/>
              </w:rPr>
            </w:pP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DF516">
            <w:pPr>
              <w:jc w:val="both"/>
              <w:rPr>
                <w:rFonts w:hint="eastAsia" w:ascii="宋体" w:hAnsi="宋体" w:eastAsia="宋体" w:cs="宋体"/>
                <w:i w:val="0"/>
                <w:iCs w:val="0"/>
                <w:color w:val="auto"/>
                <w:sz w:val="21"/>
                <w:szCs w:val="21"/>
                <w:highlight w:val="none"/>
                <w:u w:val="none"/>
              </w:rPr>
            </w:pPr>
          </w:p>
        </w:tc>
      </w:tr>
      <w:tr w14:paraId="00483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CAB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853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积木机器人竞赛普及套装(2026版)</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9C369">
            <w:pPr>
              <w:keepNext w:val="0"/>
              <w:keepLines w:val="0"/>
              <w:widowControl/>
              <w:suppressLineNumbers w:val="0"/>
              <w:spacing w:after="220" w:afterAutospacing="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▲1、控制器：RAM 32位Cortex处理器，240Mhz，4M flash，224K RAM，可存储30条以上程序。128*64LCD背光，支持中文、英文显示。4个按键，一个开机及运行程序合用键，一个返回键，两个左右选择键；提供16路各类输入输出接口，其中10路数字/模拟/I^2C接口（AI、DO）；提供4路闭环电机控制接口，单路最大电流1.5A；2路485伺服电机串行接口，最大电流6A；USB口有两种工作模式，一种为U盘下载模式；另一种为在在线运行模式；内置蓝牙，可通过手机APP或遥控器连接。可在文件界面选择不同的程序并运行；支持中文、英文；电池电压显示，声音播放；可测试单个电机及全部电机正反转，可反馈闭环速度值；可测试10路模拟端口传感器值，或控制10路数字端口状态；可设置EEPROM中的参数；并控制声音开关的开关。内置轻量级嵌入式实时机器人操作系统。系统工作电压6.5~10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结构件（含传动件）：集成式底盘，方便快速组装成车体。支持多种运动方式；结构件设计比例基于标准的10毫米积木，拼插式搭建方式，无螺丝搭建设计。组件数量不少于323个，组件种类不少于40种。主要构件梁、销、轴类构件单点固定牢固，可承担扭转力矩大于1N.m。各种类型结构部件还以颜色区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3、传动件：9种齿轮16个，包含：8直齿齿轮2个、16直齿齿轮2个、24直齿齿轮2个，20齿半高锥齿轮2个、36锥直齿轮1 个、12半高锥齿2个，12锥直齿2个,蜗杆1个、带销齿条2个。</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▲4、传感器：地面灰度传感器 （红灯版，工作电压5V，自发射调制光线，抗环境光干扰，检测灰阶）5个；NFC读卡模块1个（带广西专属密钥识别）；V3点阵屏1个；</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▲5、执行器：闭环电机3个（工作电压7.2V-8.4V，空载转速400±10 rpm，旋转扭矩0.05N*M，堵转扭矩0.25N*M）；气泵盒组件1个(单吸盘，可通过DO控制)。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6、能源：7.4V1500mAh专用锂电池</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7、编程：AI Module 软件，支持流程图编程、标准C语言编程、Python编程、Scrach编程、动作编辑器五种编程方式。流程图模块包含所有端口功能，支持子程序功能等可视化编程。含有动作、传感器、控制、程序、数据、高级、巡线、AI、8大功能模块；基于全新QT平台开发，可适用于Windows、MAC等操作系统，同时可以多线程编程。流程图可自动生成C语言，C语言支持指针、数组、结构体等复杂应用。库函数全开放。可以直接使用 Python语言编写程序，也可以将编写好的流程图或者 Scrach编程程序一键切换为Python代码，进阶学习专业编程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8、其他：符合广西电教赛、北部湾赛竞赛要求。</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229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861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4D81F">
            <w:pPr>
              <w:jc w:val="both"/>
              <w:rPr>
                <w:rFonts w:hint="eastAsia" w:ascii="宋体" w:hAnsi="宋体" w:eastAsia="宋体" w:cs="宋体"/>
                <w:i w:val="0"/>
                <w:iCs w:val="0"/>
                <w:color w:val="auto"/>
                <w:sz w:val="21"/>
                <w:szCs w:val="21"/>
                <w:highlight w:val="none"/>
                <w:u w:val="none"/>
              </w:rPr>
            </w:pPr>
          </w:p>
        </w:tc>
      </w:tr>
      <w:tr w14:paraId="4F8E4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0"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95C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8C2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普及赛场地套装</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9E090">
            <w:pPr>
              <w:keepNext w:val="0"/>
              <w:keepLines w:val="0"/>
              <w:widowControl/>
              <w:suppressLineNumbers w:val="0"/>
              <w:spacing w:after="220" w:afterAutospacing="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1、该套装包含2026年活动场地任务模型零件（不少于359个），可搭建8组任务模型：指南针、造纸术、火药、活字印刷、地动仪、金字塔、长城、以及一种障碍物，配有固定场地任务模型专用魔术贴。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2、包含2026年活动专用场地纸1张（尺寸2.16米*1.2米），单独包装。 NFC广西版密钥卡片（A、B、C、D)4张，包含任务模型贴图1套,基地贴图AKODIN2026两张。</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F81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BDF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0DE6F">
            <w:pPr>
              <w:jc w:val="both"/>
              <w:rPr>
                <w:rFonts w:hint="eastAsia" w:ascii="宋体" w:hAnsi="宋体" w:eastAsia="宋体" w:cs="宋体"/>
                <w:i w:val="0"/>
                <w:iCs w:val="0"/>
                <w:color w:val="auto"/>
                <w:sz w:val="21"/>
                <w:szCs w:val="21"/>
                <w:highlight w:val="none"/>
                <w:u w:val="none"/>
              </w:rPr>
            </w:pPr>
          </w:p>
        </w:tc>
      </w:tr>
      <w:tr w14:paraId="34D66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418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E6C30">
            <w:pPr>
              <w:keepNext w:val="0"/>
              <w:keepLines w:val="0"/>
              <w:widowControl/>
              <w:suppressLineNumbers w:val="0"/>
              <w:jc w:val="both"/>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七、教学设备类</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4838D">
            <w:pPr>
              <w:jc w:val="both"/>
              <w:rPr>
                <w:rFonts w:hint="eastAsia" w:ascii="宋体" w:hAnsi="宋体" w:eastAsia="宋体" w:cs="宋体"/>
                <w:b/>
                <w:bCs/>
                <w:i w:val="0"/>
                <w:iCs w:val="0"/>
                <w:color w:val="auto"/>
                <w:sz w:val="21"/>
                <w:szCs w:val="21"/>
                <w:highlight w:val="none"/>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9725E">
            <w:pPr>
              <w:jc w:val="both"/>
              <w:rPr>
                <w:rFonts w:hint="eastAsia" w:ascii="宋体" w:hAnsi="宋体" w:eastAsia="宋体" w:cs="宋体"/>
                <w:b/>
                <w:bCs/>
                <w:i w:val="0"/>
                <w:iCs w:val="0"/>
                <w:color w:val="auto"/>
                <w:sz w:val="21"/>
                <w:szCs w:val="21"/>
                <w:highlight w:val="none"/>
                <w:u w:val="none"/>
              </w:rPr>
            </w:pP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56186">
            <w:pPr>
              <w:jc w:val="both"/>
              <w:rPr>
                <w:rFonts w:hint="eastAsia" w:ascii="宋体" w:hAnsi="宋体" w:eastAsia="宋体" w:cs="宋体"/>
                <w:i w:val="0"/>
                <w:iCs w:val="0"/>
                <w:color w:val="auto"/>
                <w:sz w:val="21"/>
                <w:szCs w:val="21"/>
                <w:highlight w:val="none"/>
                <w:u w:val="none"/>
              </w:rPr>
            </w:pPr>
          </w:p>
        </w:tc>
      </w:tr>
      <w:tr w14:paraId="48CC7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F1F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8D9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笔记本电脑</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A77A4">
            <w:pPr>
              <w:keepNext w:val="0"/>
              <w:keepLines w:val="0"/>
              <w:widowControl/>
              <w:suppressLineNumbers w:val="0"/>
              <w:spacing w:after="220" w:afterAutospacing="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（一）硬件参数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1.处理器：≧Intel Core I5  13代处理器，核心≥8核，主频≥2.1GHz 及以上；</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2.内存：≥16GB DDR4 3200MHz 内存；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3.硬盘：≥512G M.2 SSD硬盘；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4.显示屏：14.0英寸 LED 背光防眩光超薄型液晶显示屏16: 9（1920*1080像素显示分辨率），配置全合金转轴，更加牢固、美观、耐用,180度开合；</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5.显卡：配置高性能显卡；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6.网卡：RJ45千兆有线网卡，802.11 AX 2x2无线网卡（支持WIFI6协议）；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7.键盘：防泼溅键盘；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8.定位设备：多点触控板，按键与触控板分离，方便使用；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9.摄像头：720P高清摄像头，支持物理防窥功能，保护个人隐私；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10.接口：3个USB接口（1*全功能Type-C、2*Type-A）、HDMI2.0接口、耳麦二合一接口、RJ45接口；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11.电池：内置45WH锂电池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12.体积：重量≤1.43Kg（含电池）；</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13.厚度：≤19.9mm；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14.操作系统：Windows 11 家庭版。</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（二）教学管理平台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▲1.为实现异构平台混合管理，要求云桌面管理平台支持在Windows或麒麟等国产系统搭建，支持对终端的操作系统镜像生成与统一分发管理。（提供此功能界面截图证明）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2.为满足学校能够充分将新、旧电脑进行统一纳管，降低建设成本的需要，云桌面支持Legacy与UEFI两种方式启动系统，支持管理多网卡、双硬盘，支持M.2新型高速固态硬盘，同时兼容新老机型部署。</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3.为提升学校管理效率，云桌面管理平台支持批量管理终端计算机名、IP地址、分辨率、时间同步等配置信息，同时支持针对不同的终端群组设置不同的安全管控策略。</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4.针对不同楼宇、年级、学科的终端支持分组管理，可将终端进行分组，管理员可根据配置好的镜像分配给相应的分组；为不影响教学，可在正常上课的同时完成镜像缓存下载。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▲5.可充分利用学校现有网络，支持在镜像下发时进行组内网络探测与网速传输测试，提前优化镜像下发策略，保障传输效率。（提供此功能界面截图证明）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6.为适配大型或复杂型学校网络环境，云桌面支持跨校区、跨广域网部署，IP可达即可部署；为满足学校的WiFi使用场景，简化网络结构，支持通过wifi进行镜像更新和平台管理。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7.为满足学校对多教学场景的切换，支持三种模式对某一系统盘和数据盘的管理，即还原模式、读写模式、学习模式。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为了提升机房的统一部署与更新时间，减少老师的操作步骤与等待时间，支持镜像下发时的策略设置，更新镜像时锁定终端屏幕和更新时隐藏下载窗口；支持系统镜像下发后自动执行关机、重启等操作。（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9.支持从服务器端对客户端发起远程开机、关机、发送通知消息、发送远程命令等指令，支持管理员对客户端进行远程协助排障。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为方便学校进行硬件资产统计，支持平台收集所有终端硬件配置信息，包含但不限于终端名称、主板型号、CPU型号、内存容量、最近运行时间、合计运行时间、硬件变更和记录信息等。（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▲11.为方便学校掌握终端硬件运行情况，支持平台收集所有终端的运行状态信息，包含但不限于终端名称、CPU温度、开机时间、硬盘信息等。（提供此功能界面截图证明）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12.为方便学校对教学软件运行情况的统计，支持平台收集所有终端的软件信息，包含但不限于程序名称、运行次数、运行时长、版本、程序大小等。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为保障在大批量终端集中下发与更新镜像时能够获得更快的速度，满足学校考试环境部署或统一更换镜像的需求，当学校网络带宽有限时，可支持在管理集群内将主服务器内镜像提前下发至IO服务器，通过IO服务器分发镜像，实现数据分流，提升局域网内镜像的更新速度。(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▲14.支持平台可以计划任务设置，可以设置固定时间、每天、每周、每月进行定时执行各种任务类型，包括开机、关机、切换模板、下发模版、还原系统盘、还原数据盘。（提供此功能界面截图证明）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▲15.支持大数据展示。可展示包括但不限于资产统计、设备详情、开关机对比、日志、系统使用情况等信息。（提供此功能界面截图证明）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▲16.为避免网络端口被占用而引起的教学环境不可用的问题，云桌面管理平台支持对服务器使用的网络端口进行检测，并通过检测结果帮助管理员快速分析和解决问题。（提供此功能界面截图证明）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▲17.可提供网盘功能：支持用户在终端登录网盘，实现数据漫游与数据共享；支持用户将网盘中的文件分享给其他用户，其他用户可通过链接和提取码查看文件。（提供此功能界面截图证明）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▲18.网盘回收站功能：为防止误删重要文件，删除的文件会先保留在回收站，可根据实际情况按需取回。（提供此功能界面截图证明）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19.为满足学校各类考试需求，包括但不限于国家计算机一、二级等级考试、社会职称考试等，支持ATA、NCRE等考试模式，支持设置考试专属镜像并在考试开始前将考试镜像设置为隐藏模式，不被破坏。为方便后期溯源备查考试结果并可快速进入下一场考试，支持管理员自定义保留考试桌面保留的周期时间，即在保留学生完整桌面、系统环境、文件数据的同时，可快速部署下一场考试桌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▲20.为满足客户单位形象与风格的统一要求，支持系统名称、LOGO、登录背景图等可按需修改成客户单位名称。（提供此功能界面截图证明）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▲21.为简化管理，云桌面管理平台支持创建组织、用户、角色，支持管理员对不同用户和角色进行分级分权管理。（提供此功能界面截图证明）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22.屏幕监视：教师机可以监视单一、部分、全体学生机的屏幕，教师机每屏可监视多个学生屏幕</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23.频道教学：支持多达32个频道的划分，一个教师可对单个班级或多个班级同时上课；多个教师可同时对多个班级进行不同内容的教学</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24.签到：提供学生名单管理工具，为软件和考试模块提供实名验证。提供点名功能，支持保留学生多次登录记录、考勤统计、签到信息的导出与对比</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25.班级模型：支持单独对班级模型的统一管理，支持导入、导出、调用不同网络教室中的班级模型。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▲26.上网限制：支持对学生访问网站的黑名单或白名单设置，支持对学生可以访问的Internet站点进行管理。支持多浏览器限制，包括但不限于QQ、IE、谷歌、360、遨游等浏览器。（提供此功能界面截图证明）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▲27.程序限制：为防止学生在教学过程中打游戏或使用QQ、MSN等聊天工具，支持通过各种策略限制学生使用程序。（提供此功能界面截图证明）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28.黑屏肃静：教师可以对单一、部分、全体学生执行黑屏肃静来禁止其进行任何操作，达到专心听课目的，教师可自定义黑屏的内容与图片。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29.分组管理：教师可以新建，删除，重命名分组，添加和删除分组中的成员，设置小组长。分组信息随班级模型永久保存，下次上课可以直接使用保存的分组</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30.自动锁屏：断线保护自动锁屏技术，通过网卡的是否激活来锁定屏幕，避免学生拔掉网线违反纪律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31.防杀进程：为安全起见，学生端程序运行后，可防止学生通过任务管理器结束学生端程序进程来逃脱教师控制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32.请求帮助：学生端遇到问题可请求帮助，教师端可远程遥控帮助学生解决问题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33.远程消息：教师与学生能够使用远程消息进行交流，并可以允许和阻止学生发送文字消息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▲34.远程设置：支持远程设置学生桌面主题、桌面背景、屏幕保护方案、学生的频道号和音量、学生端密码，是否启用进程保护，断线锁屏，热键退出等。（提供此功能界面截图证明）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（三）质量和保障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1.产品及厂商资质认证要求：产品通过3C认证、节能认证。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2.售后服务：由制造厂商提供整机原厂二年有限保修服务，提供专人专线售后支持，原厂商提供400/800售后服务电话。供货时须体统原装参数确认函及售后服务承诺函原件。</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1D8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58E1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9F44F">
            <w:pPr>
              <w:jc w:val="both"/>
              <w:rPr>
                <w:rFonts w:hint="eastAsia" w:ascii="宋体" w:hAnsi="宋体" w:eastAsia="宋体" w:cs="宋体"/>
                <w:i w:val="0"/>
                <w:iCs w:val="0"/>
                <w:color w:val="auto"/>
                <w:sz w:val="21"/>
                <w:szCs w:val="21"/>
                <w:highlight w:val="none"/>
                <w:u w:val="none"/>
              </w:rPr>
            </w:pPr>
          </w:p>
        </w:tc>
      </w:tr>
      <w:tr w14:paraId="00D01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686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6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BA1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电脑桌</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C6728">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1、规格尺寸：约1200mm×400mm×730mm。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2、结构：钢架结构。</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3、台面：采用基材为25mm厚E1级刨花板，三聚氰胺饰面，面板四周采用封边条封边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▲4、立腿采用φ50mm的圆管，厚度不小于1.2mm；横梁采用25mm×50mm的方管，厚度不小于1.2mm。钢管符合GB/T 3094-2012《冷拔异型钢管》、QB/T3826-1999《轻工产品金属镀层和化学处理层的耐腐蚀试验方法 中性盐雾试验(NSS)法》、QB/T 3832-1999《轻工产品金属镀层腐蚀试验结果的评价》要求，其中：化学成分(%)（C≤0.20、Si≤0.35、Mn≤1.40、P≤0.045、S≤0.045），力学性能（下屈服强度≥235N/m㎡、抗拉强度为370-500 N/m㎡、断后伸长率≥25%）。经过不少于125h试验，耐腐蚀等级达到9级以上，投标时必须提供</w:t>
            </w:r>
            <w:r>
              <w:rPr>
                <w:rFonts w:hint="eastAsia"/>
                <w:color w:val="auto"/>
                <w:highlight w:val="none"/>
              </w:rPr>
              <w:t>国家认可的第三方检测机构出具检测报告复印件</w:t>
            </w:r>
            <w:r>
              <w:rPr>
                <w:rFonts w:hint="eastAsia" w:ascii="宋体" w:hAnsi="宋体" w:eastAsia="宋体" w:cs="宋体"/>
                <w:i w:val="0"/>
                <w:iCs w:val="0"/>
                <w:color w:val="auto"/>
                <w:kern w:val="0"/>
                <w:sz w:val="21"/>
                <w:szCs w:val="21"/>
                <w:highlight w:val="none"/>
                <w:u w:val="none"/>
                <w:lang w:val="en-US" w:eastAsia="zh-CN" w:bidi="ar"/>
              </w:rPr>
              <w:t>出具的符合上述要求的检测报告扫描件。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▲5、金属件采用环保产品环氧聚脂塑粉静电喷塑。喷塑外膜的表面光滑平整，色泽均匀，喷塑层无漏喷、起泡、模糊、划痕或碰伤等缺陷。塑粉符合HG/T 2006-2022《热固性和热塑性粉末涂料》标准要求：筛余物(125μm)全部通过、涂膜外观正常、铅笔硬度(内聚破坏中擦伤)≥H、附着力(干附着力)≤1级、弯曲试验≤4mm、杯突试验≥4mm、耐磨性(750g/500r)≤50mg、耐碱性168h无异常、耐酸性240h无异常、耐湿性500h无异常、耐沸水性(2h)无异常，投标时必须提供</w:t>
            </w:r>
            <w:r>
              <w:rPr>
                <w:rFonts w:hint="eastAsia"/>
                <w:color w:val="auto"/>
                <w:highlight w:val="none"/>
              </w:rPr>
              <w:t>国家认可的第三方检测机构出具检测报告复印件</w:t>
            </w:r>
            <w:r>
              <w:rPr>
                <w:rFonts w:hint="eastAsia" w:ascii="宋体" w:hAnsi="宋体" w:eastAsia="宋体" w:cs="宋体"/>
                <w:i w:val="0"/>
                <w:iCs w:val="0"/>
                <w:color w:val="auto"/>
                <w:kern w:val="0"/>
                <w:sz w:val="21"/>
                <w:szCs w:val="21"/>
                <w:highlight w:val="none"/>
                <w:u w:val="none"/>
                <w:lang w:val="en-US" w:eastAsia="zh-CN" w:bidi="ar"/>
              </w:rPr>
              <w:t>出具的符合上述要求的检测报告扫描件。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6、采用ABS可调脚。</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B22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6FA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6D90F">
            <w:pPr>
              <w:jc w:val="both"/>
              <w:rPr>
                <w:rFonts w:hint="eastAsia" w:ascii="宋体" w:hAnsi="宋体" w:eastAsia="宋体" w:cs="宋体"/>
                <w:i w:val="0"/>
                <w:iCs w:val="0"/>
                <w:color w:val="auto"/>
                <w:sz w:val="21"/>
                <w:szCs w:val="21"/>
                <w:highlight w:val="none"/>
                <w:u w:val="none"/>
              </w:rPr>
            </w:pPr>
          </w:p>
        </w:tc>
      </w:tr>
      <w:tr w14:paraId="065B7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424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6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5DF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方凳</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30489">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1、规格为：不小于长320×宽220×高420mm（±20mm偏差）。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2、钢架采用不小于20mm×40mm冷轧无缝椭圆钢管，管壁厚不低于1mm，钢管表面喷涂前经酸洗、磷化、除油、脱水、热固化喷塑。</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▲3、凳子的脚套为内嵌式黑色脚套，采用超高分子量PE材料制作，壁厚不小于2mm，底厚不小于5mm；进深不小于20mm，加强筋不少于3圈， 加强筋厚度不小于1.2mm，底面直径不小于22mm×42mm，脚套与桌脚和椅脚应结合紧密，牢靠，不脱落。面板采用三聚氰胺板，颜色与台同色总厚度不低于15mm。牢固耐用、平稳。不得有毛刺污点，凳子2年内不变形。</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A66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61C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5A491">
            <w:pPr>
              <w:jc w:val="both"/>
              <w:rPr>
                <w:rFonts w:hint="eastAsia" w:ascii="宋体" w:hAnsi="宋体" w:eastAsia="宋体" w:cs="宋体"/>
                <w:i w:val="0"/>
                <w:iCs w:val="0"/>
                <w:color w:val="auto"/>
                <w:sz w:val="21"/>
                <w:szCs w:val="21"/>
                <w:highlight w:val="none"/>
                <w:u w:val="none"/>
              </w:rPr>
            </w:pPr>
          </w:p>
        </w:tc>
      </w:tr>
      <w:tr w14:paraId="464C0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D7F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47B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展示柜</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953E4">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2400*400*2000mm展柜，展柜分为上下两层。下层底内隔两层的收纳柜，高65CM，含柜门。上层为敞开式格栅展柜。</w:t>
            </w:r>
          </w:p>
          <w:p w14:paraId="49804C2A">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1.采用优质E1级实木多层板（胶合板）基材，板材通过 GB/T 39600-2021《人造板及其制品甲醛释放量分级》，其中甲醛释放量(气候箱法)≤0.05mg/m³。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2.封边：采用与板材同色全自动封边机封边，全新1.0mm厚PVC封边，封边条的耐干热、耐磨性、耐老化性、耐冷热循环性须符合国家标准QB/T 4463-2013《家具用封边条技术要求》的要求。甲醛释放量≤0.05mg/L，氯乙烯单体≤0.52mg/kg。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3.五金配件：采用国内优质五金连接件，不易生锈腐蚀，拼装紧凑牢固。所有五金配件做防锈、防腐处理。</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E94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组</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975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3EDC2">
            <w:pPr>
              <w:jc w:val="both"/>
              <w:rPr>
                <w:rFonts w:hint="eastAsia" w:ascii="宋体" w:hAnsi="宋体" w:eastAsia="宋体" w:cs="宋体"/>
                <w:i w:val="0"/>
                <w:iCs w:val="0"/>
                <w:color w:val="auto"/>
                <w:sz w:val="21"/>
                <w:szCs w:val="21"/>
                <w:highlight w:val="none"/>
                <w:u w:val="none"/>
              </w:rPr>
            </w:pPr>
          </w:p>
        </w:tc>
      </w:tr>
      <w:tr w14:paraId="27FDD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13A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2203C">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文化装饰</w:t>
            </w:r>
          </w:p>
        </w:tc>
        <w:tc>
          <w:tcPr>
            <w:tcW w:w="30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300B5">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文化装饰，两间教室格栅吊顶、四周半吊、筒灯、布电、灯光、地板、墙面电视屏65寸2台等</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C5D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C63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108B9">
            <w:pPr>
              <w:jc w:val="both"/>
              <w:rPr>
                <w:rFonts w:hint="eastAsia" w:ascii="宋体" w:hAnsi="宋体" w:eastAsia="宋体" w:cs="宋体"/>
                <w:b/>
                <w:bCs/>
                <w:i w:val="0"/>
                <w:iCs w:val="0"/>
                <w:color w:val="auto"/>
                <w:sz w:val="21"/>
                <w:szCs w:val="21"/>
                <w:highlight w:val="none"/>
                <w:u w:val="none"/>
              </w:rPr>
            </w:pPr>
          </w:p>
        </w:tc>
      </w:tr>
    </w:tbl>
    <w:p w14:paraId="2B0FD8BC">
      <w:pPr>
        <w:pStyle w:val="146"/>
        <w:rPr>
          <w:rFonts w:hint="eastAsia"/>
          <w:color w:val="auto"/>
          <w:highlight w:val="none"/>
          <w:lang w:eastAsia="zh-CN"/>
        </w:rPr>
      </w:pPr>
      <w:r>
        <w:rPr>
          <w:color w:val="auto"/>
          <w:highlight w:val="none"/>
        </w:rPr>
        <w:br w:type="textWrapping"/>
      </w:r>
      <w:r>
        <w:rPr>
          <w:rFonts w:hint="eastAsia"/>
          <w:color w:val="auto"/>
          <w:highlight w:val="none"/>
          <w:lang w:eastAsia="zh-CN"/>
        </w:rPr>
        <w:br w:type="page"/>
      </w:r>
    </w:p>
    <w:p w14:paraId="4D644491">
      <w:pPr>
        <w:pStyle w:val="145"/>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bCs/>
          <w:color w:val="auto"/>
          <w:sz w:val="28"/>
          <w:szCs w:val="28"/>
          <w:highlight w:val="none"/>
          <w:lang w:val="en-US" w:eastAsia="zh-CN"/>
        </w:rPr>
      </w:pPr>
      <w:r>
        <w:rPr>
          <w:rFonts w:hint="eastAsia"/>
          <w:color w:val="auto"/>
          <w:sz w:val="28"/>
          <w:szCs w:val="28"/>
          <w:highlight w:val="none"/>
          <w:lang w:val="en-US" w:eastAsia="zh-CN"/>
        </w:rPr>
        <w:t>分标3-2：</w:t>
      </w:r>
      <w:r>
        <w:rPr>
          <w:rFonts w:hint="eastAsia" w:ascii="宋体" w:hAnsi="宋体" w:eastAsia="宋体" w:cs="宋体"/>
          <w:b/>
          <w:bCs/>
          <w:color w:val="auto"/>
          <w:sz w:val="28"/>
          <w:szCs w:val="28"/>
          <w:highlight w:val="none"/>
          <w:lang w:val="en-US" w:eastAsia="zh-CN"/>
        </w:rPr>
        <w:t>桃城二小人工智能实验室货物需求表</w:t>
      </w:r>
    </w:p>
    <w:p w14:paraId="4E14FAB6">
      <w:pPr>
        <w:pStyle w:val="146"/>
        <w:rPr>
          <w:rFonts w:hint="default"/>
          <w:color w:val="auto"/>
          <w:highlight w:val="none"/>
          <w:lang w:val="en-US" w:eastAsia="zh-CN"/>
        </w:rPr>
      </w:pPr>
    </w:p>
    <w:tbl>
      <w:tblPr>
        <w:tblStyle w:val="51"/>
        <w:tblW w:w="8740" w:type="dxa"/>
        <w:tblInd w:w="-13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8"/>
        <w:gridCol w:w="1150"/>
        <w:gridCol w:w="5400"/>
        <w:gridCol w:w="532"/>
        <w:gridCol w:w="558"/>
        <w:gridCol w:w="542"/>
      </w:tblGrid>
      <w:tr w14:paraId="328F2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809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DD6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货物名称</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9D7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货物需求及性能配置</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56D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单位</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89B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数量</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7AC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备注</w:t>
            </w:r>
          </w:p>
        </w:tc>
      </w:tr>
      <w:tr w14:paraId="593AE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710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36E96">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一、创客类设备</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12978">
            <w:pPr>
              <w:jc w:val="left"/>
              <w:rPr>
                <w:rFonts w:hint="eastAsia" w:ascii="宋体" w:hAnsi="宋体" w:eastAsia="宋体" w:cs="宋体"/>
                <w:b/>
                <w:bCs/>
                <w:i w:val="0"/>
                <w:iCs w:val="0"/>
                <w:color w:val="auto"/>
                <w:sz w:val="21"/>
                <w:szCs w:val="21"/>
                <w:highlight w:val="none"/>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E1A28">
            <w:pPr>
              <w:jc w:val="left"/>
              <w:rPr>
                <w:rFonts w:hint="eastAsia" w:ascii="宋体" w:hAnsi="宋体" w:eastAsia="宋体" w:cs="宋体"/>
                <w:b/>
                <w:bCs/>
                <w:i w:val="0"/>
                <w:iCs w:val="0"/>
                <w:color w:val="auto"/>
                <w:sz w:val="21"/>
                <w:szCs w:val="21"/>
                <w:highlight w:val="none"/>
                <w:u w:val="none"/>
              </w:rPr>
            </w:pP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6B171">
            <w:pPr>
              <w:jc w:val="left"/>
              <w:rPr>
                <w:rFonts w:hint="eastAsia" w:ascii="宋体" w:hAnsi="宋体" w:eastAsia="宋体" w:cs="宋体"/>
                <w:i w:val="0"/>
                <w:iCs w:val="0"/>
                <w:color w:val="auto"/>
                <w:sz w:val="21"/>
                <w:szCs w:val="21"/>
                <w:highlight w:val="none"/>
                <w:u w:val="none"/>
              </w:rPr>
            </w:pPr>
          </w:p>
        </w:tc>
      </w:tr>
      <w:tr w14:paraId="2141F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244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56203">
            <w:pPr>
              <w:bidi w:val="0"/>
              <w:jc w:val="center"/>
              <w:rPr>
                <w:rFonts w:hint="eastAsia" w:ascii="宋体" w:hAnsi="宋体" w:eastAsia="宋体" w:cs="宋体"/>
                <w:i w:val="0"/>
                <w:iCs w:val="0"/>
                <w:color w:val="auto"/>
                <w:szCs w:val="21"/>
                <w:highlight w:val="none"/>
                <w:u w:val="none"/>
              </w:rPr>
            </w:pPr>
            <w:r>
              <w:rPr>
                <w:rFonts w:hint="eastAsia"/>
                <w:color w:val="auto"/>
                <w:highlight w:val="none"/>
                <w:lang w:val="en-US" w:eastAsia="zh-CN"/>
              </w:rPr>
              <w:t>信息科技小学基础教学套件</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D6E9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★（一）主控板</w:t>
            </w:r>
          </w:p>
          <w:p w14:paraId="3DFC3F5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1.需板载≥32位双核处理器，处理器主频≥240MHz；</w:t>
            </w:r>
          </w:p>
          <w:p w14:paraId="2C3C19F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2.需板载SRAM内存≥512KB，ROM内存≥384KB，Flash内存≥16MB，PSRAM内存≥8MB，RTC SRAM≥16KB；</w:t>
            </w:r>
          </w:p>
          <w:p w14:paraId="60CED94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3.需支持Wi-Fi协议IEEE 802.11b/g/n 协议（数据率高达150Mbps）,A-MPDU和A-MSDU聚合，支持0.4us防护间隔；</w:t>
            </w:r>
          </w:p>
          <w:p w14:paraId="2E70E66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4.需支持Wi-Fi频率在2.4GHz频带支持20MHz和40MHz频宽；</w:t>
            </w:r>
          </w:p>
          <w:p w14:paraId="3F12DD4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5.需支持蓝牙协议符合Bluetooth 5和Bluetooth mesh标准；</w:t>
            </w:r>
          </w:p>
          <w:p w14:paraId="2E1A544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6.需支持蓝牙频率在2.4-2.5GHz，速率支持125Kbps、500Kbps、1Mbps、2Mbps；</w:t>
            </w:r>
          </w:p>
          <w:p w14:paraId="4A4BB53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7.需支持集成板载≥2.8寸分辨率≥240×320的LCD彩屏、≥1个摄像头、≥1个温湿度传感器、≥1个环境光传感器、≥1个加速度传感器、≥1个双麦克风、≥4个按键（A按键、B按键、RST按键、BOOT按键）、≥3颗RGB灯、≥1颗红色LED灯（PWR灯）；</w:t>
            </w:r>
          </w:p>
          <w:p w14:paraId="724771F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8.需支持板载金手指引脚≥17路独立I/O（其中支持≥1路I2C、≥2路ADC/PWM）；</w:t>
            </w:r>
          </w:p>
          <w:p w14:paraId="11C9124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9.需支持板载≥1个Micro SD卡槽，支持内存扩展；</w:t>
            </w:r>
          </w:p>
          <w:p w14:paraId="13D32FC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10.需支持板载接口：≥1个Type-C接口（供电、串口、烧录）、≥1个PH2.0-2Pin电池供电接口、≥2个PH2.0-3Pin IO接口、≥1个PH2.0-4Pin I2C接口；</w:t>
            </w:r>
          </w:p>
          <w:p w14:paraId="3B0A5CE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w:t>
            </w:r>
            <w:r>
              <w:rPr>
                <w:rFonts w:hint="eastAsia" w:ascii="宋体" w:hAnsi="宋体" w:eastAsia="宋体" w:cs="宋体"/>
                <w:i w:val="0"/>
                <w:iCs w:val="0"/>
                <w:color w:val="auto"/>
                <w:sz w:val="21"/>
                <w:szCs w:val="21"/>
                <w:highlight w:val="none"/>
                <w:u w:val="none"/>
                <w:lang w:val="en-US" w:eastAsia="zh-CN"/>
              </w:rPr>
              <w:t>1</w:t>
            </w:r>
            <w:r>
              <w:rPr>
                <w:rFonts w:hint="eastAsia" w:ascii="宋体" w:hAnsi="宋体" w:eastAsia="宋体" w:cs="宋体"/>
                <w:i w:val="0"/>
                <w:iCs w:val="0"/>
                <w:color w:val="auto"/>
                <w:sz w:val="21"/>
                <w:szCs w:val="21"/>
                <w:highlight w:val="none"/>
                <w:u w:val="none"/>
              </w:rPr>
              <w:t>.需使用FR-4材质和回流焊工艺，确保电路稳定性；</w:t>
            </w:r>
          </w:p>
          <w:p w14:paraId="28C9632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w:t>
            </w:r>
            <w:r>
              <w:rPr>
                <w:rFonts w:hint="eastAsia" w:ascii="宋体" w:hAnsi="宋体" w:eastAsia="宋体" w:cs="宋体"/>
                <w:i w:val="0"/>
                <w:iCs w:val="0"/>
                <w:color w:val="auto"/>
                <w:sz w:val="21"/>
                <w:szCs w:val="21"/>
                <w:highlight w:val="none"/>
                <w:u w:val="none"/>
                <w:lang w:val="en-US" w:eastAsia="zh-CN"/>
              </w:rPr>
              <w:t>2</w:t>
            </w:r>
            <w:r>
              <w:rPr>
                <w:rFonts w:hint="eastAsia" w:ascii="宋体" w:hAnsi="宋体" w:eastAsia="宋体" w:cs="宋体"/>
                <w:i w:val="0"/>
                <w:iCs w:val="0"/>
                <w:color w:val="auto"/>
                <w:sz w:val="21"/>
                <w:szCs w:val="21"/>
                <w:highlight w:val="none"/>
                <w:u w:val="none"/>
              </w:rPr>
              <w:t>.需支持Type-C 5V供电，工作电压3.3V。</w:t>
            </w:r>
          </w:p>
          <w:p w14:paraId="646A08D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w:t>
            </w:r>
            <w:r>
              <w:rPr>
                <w:rFonts w:hint="eastAsia" w:ascii="宋体" w:hAnsi="宋体" w:eastAsia="宋体" w:cs="宋体"/>
                <w:i w:val="0"/>
                <w:iCs w:val="0"/>
                <w:color w:val="auto"/>
                <w:sz w:val="21"/>
                <w:szCs w:val="21"/>
                <w:highlight w:val="none"/>
                <w:u w:val="none"/>
                <w:lang w:val="en-US" w:eastAsia="zh-CN"/>
              </w:rPr>
              <w:t>3</w:t>
            </w:r>
            <w:r>
              <w:rPr>
                <w:rFonts w:hint="eastAsia" w:ascii="宋体" w:hAnsi="宋体" w:eastAsia="宋体" w:cs="宋体"/>
                <w:i w:val="0"/>
                <w:iCs w:val="0"/>
                <w:color w:val="auto"/>
                <w:sz w:val="21"/>
                <w:szCs w:val="21"/>
                <w:highlight w:val="none"/>
                <w:u w:val="none"/>
              </w:rPr>
              <w:t>.系统功能：①需支持内置了基础的图像检测、语音识别、语音合成等AI算法，供内置出厂程序使用；②.需支持离线人脸检测，离线人脸识别，离线猫/狗检测，离线二维码识别，离线移动目标检测；③.需支持更换图像检测模型，离线语音识别，联网后在线语音识别，自定义语音命令词，离线语音合成；④.需支持调用大模型，可联网在线调用DeepSeek、Kimi、讯飞星火、通义千问等大模型，实现人工智能应用；⑤.需支持多种编程方式，支持图形化编程和MicroPython编程；⑥.需支持高清彩色显示屏可显示彩色文字、图片和摄像头画面；⑦.需支持物联网应用，可作为物联网系统中的终端节点使用，满足物联网教学需求，可结合编程软件实现数据大屏可视化，呈现拍照和监控功能；⑧.需支持≥200W像素，≥80度镜头的摄像头，支持离线人脸检测、宠物检测等AI任务，并能进行拍照和监控功能；</w:t>
            </w:r>
          </w:p>
          <w:p w14:paraId="352309A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（二）电子模块：</w:t>
            </w:r>
          </w:p>
          <w:p w14:paraId="0D76944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★1.继电器模块：①.需配备透明外壳，可清晰观察继电器内部触点工作状态；②.需支持电源输出端直连负载（如水泵、电机等）方式；③.应支持数字信号控制（如高电平吸合、低电平释放）功能； ④.电路板需板载3pin接口、电源输入接口、电源输出接口等；2.基础电子模块：①.需配备≥5种电子模块，包含但不限于按钮、红外传感器、土壤湿度传感器、声音传感器、风扇等；②.电子模块需自带固定螺孔，支持螺丝、魔术贴等方式固定；③.电子模块接口需采用PH2.0接口；</w:t>
            </w:r>
          </w:p>
          <w:p w14:paraId="5B980A9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（三）配件：需配备主板烧录数据线、模块连接线、水泵、电池盒等配件；</w:t>
            </w:r>
          </w:p>
          <w:p w14:paraId="1DEFF6F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（四）编程方式：需支持图形化编程、micropython编程。</w:t>
            </w:r>
          </w:p>
          <w:p w14:paraId="3E5DF5F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二、配套内容：</w:t>
            </w:r>
          </w:p>
          <w:p w14:paraId="4D0350C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配套《义务教育信息科技教学指南》六年级≥26课时电子资源。</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CF4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A3128">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25</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60C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0CAF9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E98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B2B4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小学信息科技基础教学实践项目手册</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A38A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信息科技小学基础教学套件的配套电子课程，帮助老师落实跨学科教学，教授控制系统、物联网、人工智能基础知识与应用。</w:t>
            </w:r>
          </w:p>
          <w:p w14:paraId="1D1600D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建议课时数：16课时</w:t>
            </w:r>
          </w:p>
          <w:p w14:paraId="4062DCF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学习目标：</w:t>
            </w:r>
          </w:p>
          <w:p w14:paraId="3A52899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1.采用图形化编程验证算法，培养算法思维；</w:t>
            </w:r>
          </w:p>
          <w:p w14:paraId="01A80C9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2.结合开源硬件工具，理解并设计控制系统；</w:t>
            </w:r>
          </w:p>
          <w:p w14:paraId="2E50DA5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3.借用可视化工具，观察数据之间的关系；</w:t>
            </w:r>
          </w:p>
          <w:p w14:paraId="68F9911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4.搭建简易物联网系统，体验基础人工智能应用。</w:t>
            </w:r>
          </w:p>
          <w:p w14:paraId="3B1CCC1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章节总览：</w:t>
            </w:r>
          </w:p>
          <w:p w14:paraId="1BF969C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第一单元：智能微波炉控制系统</w:t>
            </w:r>
          </w:p>
          <w:p w14:paraId="2E5CAD8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第二单元：智能空调控制系统</w:t>
            </w:r>
          </w:p>
          <w:p w14:paraId="3D4B93F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第三单元：智慧图书借阅管理系统</w:t>
            </w:r>
          </w:p>
          <w:p w14:paraId="37ECE3C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第四单元：智慧校园系统</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73E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4CF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96E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025EC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CCD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E68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人工智能与开源硬件：从理论到实践的AI项目实施套件</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841B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（一）Python编程学习主控板</w:t>
            </w:r>
          </w:p>
          <w:p w14:paraId="112E0C9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1.CPU需采用单板计算机架构的国产芯片，CPU≥64位、核数≥4核、主频≥1.2GHz，板载内存≥512MB的DDR3内存，硬盘内存≥16GB的eMMC存储；</w:t>
            </w:r>
          </w:p>
          <w:p w14:paraId="31744E2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2.协处理器：主频108MHz、64KB Flash、32KB SRAM</w:t>
            </w:r>
          </w:p>
          <w:p w14:paraId="5DE985A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3.需支持内置Wi-Fi频段2.4Ghz</w:t>
            </w:r>
          </w:p>
          <w:p w14:paraId="0BDAF10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4.需支持内置蓝牙4.0版本</w:t>
            </w:r>
          </w:p>
          <w:p w14:paraId="01466B3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5.需支持集成板载≥2.8寸 分辨率≥240*320 TFT触摸彩屏、≥1个Home按键、≥1个A按键，≥1个B按键、≥2个红色LED灯（分别为POWER灯、USER灯）、≥1个电容硅麦克风传感器、≥1个光线传感器、≥1个三轴加速度传感器、≥1个三轴陀螺仪、≥1个无源蜂鸣器、≥1个可编程蓝色LED灯；</w:t>
            </w:r>
          </w:p>
          <w:p w14:paraId="3D63E04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6.需支持板载金手指：≥19路独立I/O（支持≥1路I2C、≥1路UART、≥2路SPI、≥6路12位ADC、≥5路10位PWM）;</w:t>
            </w:r>
          </w:p>
          <w:p w14:paraId="0C6AD42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7.需支持板载接口：≥2路USB接口（Type-C、Type-A）、≥1路microSD卡接口、≥4路3PinI/O接口、≥2路4Pin I2C接口;</w:t>
            </w:r>
          </w:p>
          <w:p w14:paraId="705B15E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8.需支持CPU、MCU双处理器架构；</w:t>
            </w:r>
          </w:p>
          <w:p w14:paraId="5DE2DC0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9.系统和环境：CPU、内存、硬盘、屏幕及外设组成计算机系统，支持Linux操作系统和运行完整的Python编程环境。</w:t>
            </w:r>
          </w:p>
          <w:p w14:paraId="32A5053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10.系统功能：①.需支持Python图形化编程、Python代码编程、Jupyter编程、Thonny编程、SSH远程访问、VScode编程等方式；②.需支持可通过触摸屏切换菜单栏查看系统信息(如显示当前系统版本、当前CPU占用情况、当前内存占用情况、当前硬盘占用情况等)；③.需支持可通过触摸屏切换菜单栏查看查看网络信息(如USB网口IP地址、无线连接IP地址、无线热点IP地址、其他设备IP地址等)；④.需支持可通过触摸屏切换菜单栏查看开启/关闭Jupyter、Python编辑器服务；可通过有线/无线访问后台管理页面、编写及上传Python程序；⑤.需支持可通过触摸屏切换菜单栏查看运行/切换Python程序，支持离线运行和储存多个Python程序;⑥.需支持可通过触摸屏切换菜单栏查看开启/关闭SIoT物联网服务器，可通过有线/无线访问SIoT后台管理页面和数据界面；⑦.需支持USB、路由器Wi-Fi、热点模式、网线等多种网络连接方式;⑧.需支持可通过触摸屏切换菜单栏查看开启/禁用无线热点；⑨.需内置Web网页服务，可通过IP地址访问网页菜单(如查看应用开关、网络设置、文件上传等信息)；⑩.需支持内置远程桌面服务，可通windows远程桌面、MobaXterm软件、VNC软件等以有线/无线方式进行连接，实时显示设备菜单界面；⑪.需支持在完整Python环境下可预装常用Python库（如NumPy、Pandas、Matplotlib等库）和在完整Python环境下可预装常用人工智能库（如Keras、0penAl、Scikit-learn等库）；⑫.需支持系统升级，可通过烧录镜像进行系统恢复和升级；⑬.需支持无需通过USB数据线连接电脑，实现实时调试和上传程序；⑭.需支持语音识别(含麦克风)功能，可实现自定义或预设唤醒词和命令词的识别。</w:t>
            </w:r>
          </w:p>
          <w:p w14:paraId="7A03973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（二）电子模块：</w:t>
            </w:r>
          </w:p>
          <w:p w14:paraId="7CDD320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空气质量传感器：①需支持≥3种数据输出，数据包含TVOC、eCO2、AQI数据；②需内置算法，输出数据更准确；③需内置基线自动校准算法，利于传感器的长期使用更加稳定；④需采用I2C通讯方式，适配主流开源硬件主控器。</w:t>
            </w:r>
          </w:p>
          <w:p w14:paraId="1CCA0D7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2.基础电子模块：①.需配备≥4种电子模块，包含USB摄像头、按钮模块、红色LED、温湿度传感器模块；②.电子模块需自带固定螺孔，支持螺丝、魔术贴等方式固定；③.电子模块接口需采用PH2.0接口；</w:t>
            </w:r>
          </w:p>
          <w:p w14:paraId="2494387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（三）配件：配备模块连接线、主板烧录数据线等配件；</w:t>
            </w:r>
          </w:p>
          <w:p w14:paraId="30E5068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（四）编程方式：需支持图形化编程、Python代码编程。</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75E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CBD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407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5288A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8"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B29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FF6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Arduino创意编程套件</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200D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一.主控板：</w:t>
            </w:r>
          </w:p>
          <w:p w14:paraId="2EADE54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①.需板载ATmega328P微处理器；</w:t>
            </w:r>
          </w:p>
          <w:p w14:paraId="1E63A2C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②.需板载内存：EEPROM内存≥1KB，SRAM内存≥2KB，Flash内存≥32KB；</w:t>
            </w:r>
          </w:p>
          <w:p w14:paraId="0691642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③.需支持≥14个数字I/O端口、≥6个模拟输入端口、≥2个IIC端口、≥1个UART端口、ICSP端口（支持ISP下载功能）；</w:t>
            </w:r>
          </w:p>
          <w:p w14:paraId="6BD80E7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④.需板载Type-B接口、外接电源DC插座；</w:t>
            </w:r>
          </w:p>
          <w:p w14:paraId="7F96185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⑤.需支持工作电压：5V。</w:t>
            </w:r>
          </w:p>
          <w:p w14:paraId="2DA4400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二.扩展板：</w:t>
            </w:r>
          </w:p>
          <w:p w14:paraId="47F2965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①.需板载“运行/下载”拨动开关；</w:t>
            </w:r>
          </w:p>
          <w:p w14:paraId="54ECA10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②.需板载≥14个数字I/O端口、≥6个模拟输入端口、≥2个IIC端口、≥1个UART端口、≥1个wifi/蓝牙底座、≥1个APC220底座、≥1个SD卡模块底座、≥1个复位按键；</w:t>
            </w:r>
          </w:p>
          <w:p w14:paraId="11E006A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③.需支持≥2路外接电源输入端口；</w:t>
            </w:r>
          </w:p>
          <w:p w14:paraId="67CF65D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④.工作电压：3.3V/5V。</w:t>
            </w:r>
          </w:p>
          <w:p w14:paraId="3B78DAD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三.电子模块：</w:t>
            </w:r>
          </w:p>
          <w:p w14:paraId="3519890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至少≥17种电子模块，包含但不限于数字晃动传感器，红外开关，光敏传感器，角度传感器，声音传感器，温度传感器，按钮模块，超声波测距传感器，温湿度传感器，舵机，小灯模块，RGB灯，蜂鸣器，液晶显示屏，继电器，蓝牙模块，物联网模块等；</w:t>
            </w:r>
          </w:p>
          <w:p w14:paraId="7B770E7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2.所有电子模块均使用沉金工艺制作。</w:t>
            </w:r>
          </w:p>
          <w:p w14:paraId="346839B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四.配件：</w:t>
            </w:r>
          </w:p>
          <w:p w14:paraId="64CFADC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需配备主控板烧录数据线、模块连接线、电池盒等配件；</w:t>
            </w:r>
          </w:p>
          <w:p w14:paraId="1B6B0EB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五.编程方式：</w:t>
            </w:r>
          </w:p>
          <w:p w14:paraId="2600E4B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需支持图形化编程。</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EE9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70F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7E0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36B56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710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AC220">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二、飞行</w:t>
            </w:r>
            <w:r>
              <w:rPr>
                <w:rFonts w:hint="eastAsia" w:ascii="宋体" w:hAnsi="宋体" w:cs="宋体"/>
                <w:b/>
                <w:bCs/>
                <w:i w:val="0"/>
                <w:iCs w:val="0"/>
                <w:color w:val="auto"/>
                <w:kern w:val="0"/>
                <w:sz w:val="21"/>
                <w:szCs w:val="21"/>
                <w:highlight w:val="none"/>
                <w:u w:val="none"/>
                <w:lang w:val="en-US" w:eastAsia="zh-CN" w:bidi="ar"/>
              </w:rPr>
              <w:t>机器人</w:t>
            </w:r>
            <w:r>
              <w:rPr>
                <w:rFonts w:hint="eastAsia" w:ascii="宋体" w:hAnsi="宋体" w:eastAsia="宋体" w:cs="宋体"/>
                <w:b/>
                <w:bCs/>
                <w:i w:val="0"/>
                <w:iCs w:val="0"/>
                <w:color w:val="auto"/>
                <w:kern w:val="0"/>
                <w:sz w:val="21"/>
                <w:szCs w:val="21"/>
                <w:highlight w:val="none"/>
                <w:u w:val="none"/>
                <w:lang w:val="en-US" w:eastAsia="zh-CN" w:bidi="ar"/>
              </w:rPr>
              <w:t>类（编程类）设备</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7DA7F">
            <w:pPr>
              <w:jc w:val="center"/>
              <w:rPr>
                <w:rFonts w:hint="eastAsia" w:ascii="宋体" w:hAnsi="宋体" w:eastAsia="宋体" w:cs="宋体"/>
                <w:b/>
                <w:bCs/>
                <w:i w:val="0"/>
                <w:iCs w:val="0"/>
                <w:color w:val="auto"/>
                <w:sz w:val="21"/>
                <w:szCs w:val="21"/>
                <w:highlight w:val="none"/>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32850">
            <w:pPr>
              <w:jc w:val="center"/>
              <w:rPr>
                <w:rFonts w:hint="eastAsia" w:ascii="宋体" w:hAnsi="宋体" w:eastAsia="宋体" w:cs="宋体"/>
                <w:b/>
                <w:bCs/>
                <w:i w:val="0"/>
                <w:iCs w:val="0"/>
                <w:color w:val="auto"/>
                <w:sz w:val="21"/>
                <w:szCs w:val="21"/>
                <w:highlight w:val="none"/>
                <w:u w:val="none"/>
              </w:rPr>
            </w:pP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D96C4">
            <w:pPr>
              <w:jc w:val="center"/>
              <w:rPr>
                <w:rFonts w:hint="eastAsia" w:ascii="宋体" w:hAnsi="宋体" w:eastAsia="宋体" w:cs="宋体"/>
                <w:i w:val="0"/>
                <w:iCs w:val="0"/>
                <w:color w:val="auto"/>
                <w:sz w:val="21"/>
                <w:szCs w:val="21"/>
                <w:highlight w:val="none"/>
                <w:u w:val="none"/>
              </w:rPr>
            </w:pPr>
          </w:p>
        </w:tc>
      </w:tr>
      <w:tr w14:paraId="1FDC0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9B3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91B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编程</w:t>
            </w:r>
            <w:r>
              <w:rPr>
                <w:rFonts w:hint="eastAsia" w:ascii="宋体" w:hAnsi="宋体" w:cs="宋体"/>
                <w:i w:val="0"/>
                <w:iCs w:val="0"/>
                <w:color w:val="auto"/>
                <w:kern w:val="0"/>
                <w:sz w:val="21"/>
                <w:szCs w:val="21"/>
                <w:highlight w:val="none"/>
                <w:u w:val="none"/>
                <w:lang w:val="en-US" w:eastAsia="zh-CN" w:bidi="ar"/>
              </w:rPr>
              <w:t>飞行器</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87B3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机体尺寸：189.3*184.6*50mm；</w:t>
            </w:r>
          </w:p>
          <w:p w14:paraId="1F1B1F9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轴距：128mm；</w:t>
            </w:r>
          </w:p>
          <w:p w14:paraId="6AE6E8D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抗风等级≤3级；</w:t>
            </w:r>
          </w:p>
          <w:p w14:paraId="06DA3D9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电池容量：1200mAh；</w:t>
            </w:r>
          </w:p>
          <w:p w14:paraId="3C2DCBD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电池类型：锂离子电池；</w:t>
            </w:r>
          </w:p>
          <w:p w14:paraId="70470A8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续航时间:1min-12min；</w:t>
            </w:r>
          </w:p>
          <w:p w14:paraId="64C47EC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机体克重：100g（±3g）；</w:t>
            </w:r>
          </w:p>
          <w:p w14:paraId="70CE1E7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自带物理防护罩（支持半包围及全包围）；</w:t>
            </w:r>
          </w:p>
          <w:p w14:paraId="5C1C683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全彩LED发光机身；</w:t>
            </w:r>
          </w:p>
          <w:p w14:paraId="00C9978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定位方式：光流与二维码定位；</w:t>
            </w:r>
          </w:p>
          <w:p w14:paraId="4AB4BA3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定位精度：二维码：水平士5cm，垂直士10cm；光流；水平士20cm，垂直士10cm；</w:t>
            </w:r>
          </w:p>
          <w:p w14:paraId="16DFD81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控制方式：通用软件APP控制（支持手机、平板、电脑）和遥控器控制；</w:t>
            </w:r>
          </w:p>
          <w:p w14:paraId="2EFE75D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最大飞行高度：10m；</w:t>
            </w:r>
          </w:p>
          <w:p w14:paraId="272F044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最大通讯距离：50m</w:t>
            </w:r>
          </w:p>
          <w:p w14:paraId="517DBAB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通讯方式：2.4G及5.8G WIFI；</w:t>
            </w:r>
          </w:p>
          <w:p w14:paraId="73601F0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天线类型：PCB天线</w:t>
            </w:r>
          </w:p>
          <w:p w14:paraId="3A4EA04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AI识别及AR互动，支持姿态识别，支持单机队对抗及组队对抗;</w:t>
            </w:r>
          </w:p>
          <w:p w14:paraId="13E5332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支持可手动物理调节的四向红外避障；</w:t>
            </w:r>
          </w:p>
          <w:p w14:paraId="42D6CA0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支持红外激光发射及接收，激光波长640nm；</w:t>
            </w:r>
          </w:p>
          <w:p w14:paraId="415A93E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具有整体式云台及摄像头;</w:t>
            </w:r>
          </w:p>
          <w:p w14:paraId="3F6D3A6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支持单机飞行与组网编队飞行;</w:t>
            </w:r>
          </w:p>
          <w:p w14:paraId="73BEACF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具备控制软件的软著登记证书，且权利范围为全部权利;</w:t>
            </w:r>
          </w:p>
          <w:p w14:paraId="0A33559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lang w:eastAsia="zh-CN"/>
              </w:rPr>
            </w:pPr>
            <w:r>
              <w:rPr>
                <w:rFonts w:hint="eastAsia" w:ascii="宋体" w:hAnsi="宋体" w:eastAsia="宋体" w:cs="宋体"/>
                <w:i w:val="0"/>
                <w:iCs w:val="0"/>
                <w:color w:val="auto"/>
                <w:sz w:val="21"/>
                <w:szCs w:val="21"/>
                <w:highlight w:val="none"/>
                <w:u w:val="none"/>
              </w:rPr>
              <w:t>产品整机完成 1.2m 跌落可靠性测试，结构防护与安全稳定性</w:t>
            </w:r>
            <w:r>
              <w:rPr>
                <w:rFonts w:hint="eastAsia" w:ascii="宋体" w:hAnsi="宋体" w:eastAsia="宋体" w:cs="宋体"/>
                <w:i w:val="0"/>
                <w:iCs w:val="0"/>
                <w:color w:val="auto"/>
                <w:sz w:val="21"/>
                <w:szCs w:val="21"/>
                <w:highlight w:val="none"/>
                <w:u w:val="none"/>
                <w:lang w:eastAsia="zh-CN"/>
              </w:rPr>
              <w:t>高</w:t>
            </w:r>
            <w:r>
              <w:rPr>
                <w:rFonts w:hint="eastAsia" w:ascii="宋体" w:hAnsi="宋体" w:eastAsia="宋体" w:cs="宋体"/>
                <w:i w:val="0"/>
                <w:iCs w:val="0"/>
                <w:color w:val="auto"/>
                <w:sz w:val="21"/>
                <w:szCs w:val="21"/>
                <w:highlight w:val="none"/>
                <w:u w:val="none"/>
              </w:rPr>
              <w:t>，品质风险更低</w:t>
            </w:r>
            <w:r>
              <w:rPr>
                <w:rFonts w:hint="eastAsia" w:ascii="宋体" w:hAnsi="宋体" w:eastAsia="宋体" w:cs="宋体"/>
                <w:i w:val="0"/>
                <w:iCs w:val="0"/>
                <w:color w:val="auto"/>
                <w:sz w:val="21"/>
                <w:szCs w:val="21"/>
                <w:highlight w:val="none"/>
                <w:u w:val="none"/>
                <w:lang w:eastAsia="zh-CN"/>
              </w:rPr>
              <w:t>；</w:t>
            </w:r>
          </w:p>
          <w:p w14:paraId="339F0B4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电池运输安全，满足国内外物流运输合规硬性要求，风险管控能力突出</w:t>
            </w:r>
            <w:r>
              <w:rPr>
                <w:rFonts w:hint="eastAsia" w:ascii="宋体" w:hAnsi="宋体" w:eastAsia="宋体" w:cs="宋体"/>
                <w:i w:val="0"/>
                <w:iCs w:val="0"/>
                <w:color w:val="auto"/>
                <w:sz w:val="21"/>
                <w:szCs w:val="21"/>
                <w:highlight w:val="none"/>
                <w:u w:val="none"/>
                <w:lang w:eastAsia="zh-CN"/>
              </w:rPr>
              <w:t>。</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0BB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EBE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C4D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5E0D4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5"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A278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2B6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充电套装</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6A06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包含一拖二充电座一个、电池一颗、充电头一个、充电线一根</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2E9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EAE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8C6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61EC3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9"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8D6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C92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电池</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C0022">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容量:1200mAh</w:t>
            </w:r>
          </w:p>
          <w:p w14:paraId="68F3CB4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电压:3.8V</w:t>
            </w:r>
          </w:p>
          <w:p w14:paraId="2EDCF64A">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类型:锂离子电池</w:t>
            </w:r>
          </w:p>
          <w:p w14:paraId="72DA4C8F">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重量:30g</w:t>
            </w:r>
          </w:p>
          <w:p w14:paraId="7BD0BDA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贮存温度:≤1Month:-20°C~45°C;≤1Month:-20°C~30°C;≤1Year:25±3°C</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83B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375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AD9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44215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45B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D3D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桨叶</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4F7C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1、快拆螺旋桨（对）× 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2、直径×螺距：3.0 × 4.4 英寸 （8.38 ×11.18 cm ）。</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9FC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55F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1B8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32AF9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7"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013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46C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全包围保护罩</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DBA3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尺寸：183.6*188.3*16mm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材质：PA</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E0A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950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13A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1362B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162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AD4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飞行机器人训练道具</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C9CC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1.飞行地图：宽3000*长4000mm*1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2.PVC管连接件三通接头：内径20mm*35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3.360mmPVC管PVC灰色圆管：外径20mm*25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4.560mmPVC管PVC灰色圆管：外径20mm*25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5.正方形障碍插板：600mm*600mm*2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6.黑色正方形PVC板：直径600mm*1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7.彩色正方形PVC板：直径600mm*6</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8.黄色圆形PVC板：直径200mm*1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9.黄色椭圆形底座：直径200mm*2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10.黄色长杆：长570mm*1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11.蓝色海绵圆柱：直径60mm，高150mm*1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12.激光标靶：最大延展尺寸120mm*150mm*170mm*1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13.硬卡纸绿旗：130mm*150mm*1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14.魔术贴：长100mm，宽20mm，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15.圆形不干胶标贴透明贴直径50mm*1</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78C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EA4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321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7F7AC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710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29ED0">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三、人工智能类设备</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D2E9D">
            <w:pPr>
              <w:jc w:val="center"/>
              <w:rPr>
                <w:rFonts w:hint="eastAsia" w:ascii="宋体" w:hAnsi="宋体" w:eastAsia="宋体" w:cs="宋体"/>
                <w:b/>
                <w:bCs/>
                <w:i w:val="0"/>
                <w:iCs w:val="0"/>
                <w:color w:val="auto"/>
                <w:sz w:val="21"/>
                <w:szCs w:val="21"/>
                <w:highlight w:val="none"/>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62578">
            <w:pPr>
              <w:jc w:val="center"/>
              <w:rPr>
                <w:rFonts w:hint="eastAsia" w:ascii="宋体" w:hAnsi="宋体" w:eastAsia="宋体" w:cs="宋体"/>
                <w:b/>
                <w:bCs/>
                <w:i w:val="0"/>
                <w:iCs w:val="0"/>
                <w:color w:val="auto"/>
                <w:sz w:val="21"/>
                <w:szCs w:val="21"/>
                <w:highlight w:val="none"/>
                <w:u w:val="none"/>
              </w:rPr>
            </w:pP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E06D6">
            <w:pPr>
              <w:jc w:val="center"/>
              <w:rPr>
                <w:rFonts w:hint="eastAsia" w:ascii="宋体" w:hAnsi="宋体" w:eastAsia="宋体" w:cs="宋体"/>
                <w:i w:val="0"/>
                <w:iCs w:val="0"/>
                <w:color w:val="auto"/>
                <w:sz w:val="21"/>
                <w:szCs w:val="21"/>
                <w:highlight w:val="none"/>
                <w:u w:val="none"/>
              </w:rPr>
            </w:pPr>
          </w:p>
        </w:tc>
      </w:tr>
      <w:tr w14:paraId="40986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5BF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3CB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科创实践套装</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B1CA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1.综合实践开源硬件智能控制器具体如下：</w:t>
            </w:r>
          </w:p>
          <w:p w14:paraId="7B5FFB8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（1）操作系统支持Linux；</w:t>
            </w:r>
          </w:p>
          <w:p w14:paraId="06B0CBC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（2）CPU性能：国产四核64位处理器，最高1.8GHz；</w:t>
            </w:r>
          </w:p>
          <w:p w14:paraId="08BC339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（3）存储空间：2GB RAM，16GB ROM；</w:t>
            </w:r>
          </w:p>
          <w:p w14:paraId="52D7AAB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（4）WIFI：2.4G/5G双频段，支持a/ac/ax b/g/n</w:t>
            </w:r>
          </w:p>
          <w:p w14:paraId="41AB248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（5）电池：1600mAh；</w:t>
            </w:r>
          </w:p>
          <w:p w14:paraId="072B6AB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（6）显示屏：2.4英寸，LCD屏；</w:t>
            </w:r>
          </w:p>
          <w:p w14:paraId="507CBCF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（7）麦克风：语音识别距离2m</w:t>
            </w:r>
          </w:p>
          <w:p w14:paraId="76E7CC9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（8）扬声器：1W双喇叭</w:t>
            </w:r>
          </w:p>
          <w:p w14:paraId="41E92D4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2.传感器</w:t>
            </w:r>
          </w:p>
          <w:p w14:paraId="2B84A37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提供10种传感器；数量11个。</w:t>
            </w:r>
          </w:p>
          <w:p w14:paraId="1319E53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包括：LED灯、超声波传感器、伺服电机、光敏传感器、环境温湿度传感器、摄像头、旋钮/可变电阻器、循线板，编码电机*2、红外传感器。</w:t>
            </w:r>
          </w:p>
          <w:p w14:paraId="562B288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3.结构件</w:t>
            </w:r>
          </w:p>
          <w:p w14:paraId="635252A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提供180个塑料结构件。</w:t>
            </w:r>
          </w:p>
          <w:p w14:paraId="5361979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4.拥有用户主动设置WiFi的入口，支持通过WiFi与科创实践活动平台进行连接；</w:t>
            </w:r>
          </w:p>
          <w:p w14:paraId="4BC3A53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5.支持传感器电路在软件中仿真模拟搭建；</w:t>
            </w:r>
          </w:p>
          <w:p w14:paraId="1005242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6</w:t>
            </w:r>
            <w:r>
              <w:rPr>
                <w:rFonts w:hint="eastAsia" w:ascii="宋体" w:hAnsi="宋体" w:eastAsia="宋体" w:cs="宋体"/>
                <w:i w:val="0"/>
                <w:iCs w:val="0"/>
                <w:color w:val="auto"/>
                <w:sz w:val="21"/>
                <w:szCs w:val="21"/>
                <w:highlight w:val="none"/>
                <w:u w:val="none"/>
                <w:lang w:eastAsia="zh-CN"/>
              </w:rPr>
              <w:t>.</w:t>
            </w:r>
            <w:r>
              <w:rPr>
                <w:rFonts w:hint="eastAsia" w:ascii="宋体" w:hAnsi="宋体" w:eastAsia="宋体" w:cs="宋体"/>
                <w:i w:val="0"/>
                <w:iCs w:val="0"/>
                <w:color w:val="auto"/>
                <w:sz w:val="21"/>
                <w:szCs w:val="21"/>
                <w:highlight w:val="none"/>
                <w:u w:val="none"/>
              </w:rPr>
              <w:t>支持响应平板/笔记本电脑完成的编程程序在搭建机器人上运行，包含基础能力运行（如：运动、外观、声音、运算等），也包含AI能力运行，其中AI能力需满足：</w:t>
            </w:r>
          </w:p>
          <w:p w14:paraId="734189C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①支持响应语音唤醒AI能力调用：支持响应所选择唤醒词，用语音将搭建机器人从待机状态唤醒；</w:t>
            </w:r>
          </w:p>
          <w:p w14:paraId="2AFB553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②支持响应语音合成AI能力调用，支持响应选择不同发音人和自主编辑合成的内容，让搭建机器人用对应发音人声音说出对应内容；</w:t>
            </w:r>
          </w:p>
          <w:p w14:paraId="0140747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③支持响应语音评测AI能力调用：支持响应设定中英文词语或句子，在搭建机器人上实现中英文发音评测，并反馈评测得分；</w:t>
            </w:r>
          </w:p>
          <w:p w14:paraId="6D741AA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④支持响应声纹识别AI能力调用：支持注册声纹信息，让搭建机器人能够通过声纹识别出用户信息；</w:t>
            </w:r>
          </w:p>
          <w:p w14:paraId="17E04D1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⑤支持响应语音转写AI能力调用：让搭建机器人能够将听到的语音转化为文字，并显示在屏幕上；</w:t>
            </w:r>
          </w:p>
          <w:p w14:paraId="19033E3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⑥支持响应文字识别AI能力调用：让搭建机器人能够通过拍照手写体的英文或数字，并识别后转写成印刷体，在屏幕上进行显示；</w:t>
            </w:r>
          </w:p>
          <w:p w14:paraId="54BE986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⑦支持响应人脸识别AI能力调用：支持注册人脸信息，让搭建机器人能够通过人脸识别出用户信息，识别结果可以在屏幕上进行显示；</w:t>
            </w:r>
          </w:p>
          <w:p w14:paraId="6426B7E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⑧支持响应人机对话AI能力调用：支持响应选择需要的人机对话技能，让搭建机器人与用户能针对不同场景下对话，例如针对教育、生活等不同场景；</w:t>
            </w:r>
          </w:p>
          <w:p w14:paraId="1655D62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lang w:eastAsia="zh-CN"/>
              </w:rPr>
            </w:pPr>
            <w:r>
              <w:rPr>
                <w:rFonts w:hint="eastAsia" w:ascii="宋体" w:hAnsi="宋体" w:eastAsia="宋体" w:cs="宋体"/>
                <w:i w:val="0"/>
                <w:iCs w:val="0"/>
                <w:color w:val="auto"/>
                <w:sz w:val="21"/>
                <w:szCs w:val="21"/>
                <w:highlight w:val="none"/>
                <w:u w:val="none"/>
              </w:rPr>
              <w:t>⑨支持响应AI文本模型分类训练：支持响应自主建立文本分类模型，输入文本数据，训练分类模型，让搭建机器人对输入的文本进行模式识别，识别结果可在屏幕进行显示</w:t>
            </w:r>
            <w:r>
              <w:rPr>
                <w:rFonts w:hint="eastAsia" w:ascii="宋体" w:hAnsi="宋体" w:eastAsia="宋体" w:cs="宋体"/>
                <w:i w:val="0"/>
                <w:iCs w:val="0"/>
                <w:color w:val="auto"/>
                <w:sz w:val="21"/>
                <w:szCs w:val="21"/>
                <w:highlight w:val="none"/>
                <w:u w:val="none"/>
                <w:lang w:eastAsia="zh-CN"/>
              </w:rPr>
              <w:t>。</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473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415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746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2BBFA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710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6884D">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四、数字竞技机器人类设备</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59993">
            <w:pPr>
              <w:jc w:val="center"/>
              <w:rPr>
                <w:rFonts w:hint="eastAsia" w:ascii="宋体" w:hAnsi="宋体" w:eastAsia="宋体" w:cs="宋体"/>
                <w:b/>
                <w:bCs/>
                <w:i w:val="0"/>
                <w:iCs w:val="0"/>
                <w:color w:val="auto"/>
                <w:sz w:val="21"/>
                <w:szCs w:val="21"/>
                <w:highlight w:val="none"/>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BAE47">
            <w:pPr>
              <w:jc w:val="center"/>
              <w:rPr>
                <w:rFonts w:hint="eastAsia" w:ascii="宋体" w:hAnsi="宋体" w:eastAsia="宋体" w:cs="宋体"/>
                <w:b/>
                <w:bCs/>
                <w:i w:val="0"/>
                <w:iCs w:val="0"/>
                <w:color w:val="auto"/>
                <w:sz w:val="21"/>
                <w:szCs w:val="21"/>
                <w:highlight w:val="none"/>
                <w:u w:val="none"/>
              </w:rPr>
            </w:pP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9B8A3">
            <w:pPr>
              <w:jc w:val="center"/>
              <w:rPr>
                <w:rFonts w:hint="eastAsia" w:ascii="宋体" w:hAnsi="宋体" w:eastAsia="宋体" w:cs="宋体"/>
                <w:i w:val="0"/>
                <w:iCs w:val="0"/>
                <w:color w:val="auto"/>
                <w:sz w:val="21"/>
                <w:szCs w:val="21"/>
                <w:highlight w:val="none"/>
                <w:u w:val="none"/>
              </w:rPr>
            </w:pPr>
          </w:p>
        </w:tc>
      </w:tr>
      <w:tr w14:paraId="5471E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9"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ADCC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941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竞技机器人竖转套件</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164E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▲1.可以配合IE1组装为完整的竞技机器人机型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2.材料为PLA材料</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3.至少包含5种螺丝</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4F9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995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8BF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0E1AA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A27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5CF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竞技机器人核心套装</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58102">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主控器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尺寸大于60*20*10mm小于80*50*20mm；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重量：不小于15g；</w:t>
            </w:r>
          </w:p>
          <w:p w14:paraId="06BED347">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额定输入电压：6.0~8.4V；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CH 1 / 2 / 3 / 4：信号端子：PWM 50Hz，1~2ms宽度方波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供电端子：同电池电压（8.4V MAX）；</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CH S1：供电输出3.3V；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CH S2：供电输出3.3V；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CH M：信号端子：PWM 50Hz，1~2ms宽度方波，供电端子：同电池电压（8.4V MAX）；</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工作温度范围：-10~45℃。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2.遥控器</w:t>
            </w:r>
          </w:p>
          <w:p w14:paraId="7EE7AD73">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重量：不小于25g；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总减速比为1:47；</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空载转速：550rpm（8.4V)；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空载电流（电压7.4V）：135mA</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3.舵机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空载速度：0.07sec/60°（8.4V）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堵转扭矩：24kg·cm （8.4V）；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4.电池</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尺寸：62*17*14mm；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容量：450mAh；</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建议充电电压：4.2V（单节电芯）；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整机待机续航：约4.5h；</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解锁模式续航：约10min；</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安全模式续航：约1h;</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5.无刷电机（含电调）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重量：19±2g；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最高转速（解锁状态）：15960rpm；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最高转速（安全模式）：1650rpm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固件类型：BLS /A-H-25</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C5C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E2F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911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69E0F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C2C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FE6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组装版300克便携舱</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731A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1.防护面有极好的抗冲击强度、热稳定性、光泽度、阻燃特性；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2.外包装尺寸大于600mm*350mm*390mm小于700mm*430mm*450mm；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3.拼装尺寸大于800mm*800mm*250mm小于900mm*900mm*350mm；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4.保护罩尺寸大于850mm*850mm小于950mm*950mm；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5.总质量小于12kg；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6.主要材质大于2mm厚聚碳酸酯、ABS；</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7.产品灵活性较强，可在多个场景下使用，既可提供开放型竞技空间，也可以以全封闭竞技空间的模式使用。</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0ED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6FD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84E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5A394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710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D852B">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五、手工操作类设备</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15554">
            <w:pPr>
              <w:jc w:val="center"/>
              <w:rPr>
                <w:rFonts w:hint="eastAsia" w:ascii="宋体" w:hAnsi="宋体" w:eastAsia="宋体" w:cs="宋体"/>
                <w:b/>
                <w:bCs/>
                <w:i w:val="0"/>
                <w:iCs w:val="0"/>
                <w:color w:val="auto"/>
                <w:sz w:val="21"/>
                <w:szCs w:val="21"/>
                <w:highlight w:val="none"/>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BFCE1">
            <w:pPr>
              <w:jc w:val="center"/>
              <w:rPr>
                <w:rFonts w:hint="eastAsia" w:ascii="宋体" w:hAnsi="宋体" w:eastAsia="宋体" w:cs="宋体"/>
                <w:b/>
                <w:bCs/>
                <w:i w:val="0"/>
                <w:iCs w:val="0"/>
                <w:color w:val="auto"/>
                <w:sz w:val="21"/>
                <w:szCs w:val="21"/>
                <w:highlight w:val="none"/>
                <w:u w:val="none"/>
              </w:rPr>
            </w:pP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957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3A349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8"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89B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DE7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3D打印机</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8D12A">
            <w:pPr>
              <w:keepNext w:val="0"/>
              <w:keepLines w:val="0"/>
              <w:widowControl/>
              <w:suppressLineNumbers w:val="0"/>
              <w:jc w:val="left"/>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1.成型技术：熔融沉积成型；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2.机身最大尺寸(长×宽×高)不低于392×406×478 mm³，净重约17.6 kg，最大打印尺寸(长×宽×高)不低于256×256×256 mm³；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3.框架为塑胶和钢材构成，外壳为塑料和玻璃构成；</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▲4.工具头：全金属热端、硬化钢挤出机齿轮、硬化钢喷嘴，陶瓷加热座，内置工具头切刀，喷嘴最高温度不低于300 ℃、标配喷嘴直径0.4 mm，可选0.2 mm，0.6 mm，0.8 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5.机器标配双面纹理PEI打印面板，可扩展光面打印面板，热床最高温度不低于110℃；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▲6.工具头最大移动速度不低于600 mm/s，工具头最大移动加速度不低于20000 mm/s²，普通热端最大流速不低于40 mm³/s；</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7.支持耗材类型：PLA、PETG、ABS、ASA、TPU、Support for PLA、Support for PLA/PETG、Support for ABS、PET、PA、PC、PVA、PLA-CF、PETG-CF、ABS-GF、ASA-CF、PA6-CF、PA6-GF、PAHT-CF、PPA-CF、PET-CF等；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▲8.支持热端快拆、主动振动补偿、主动流量补偿、自动热床调平；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▲9.配备高清摄像头，分辨率≤1920×1080，支持实时监控和延时摄影；</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▲10.支持AI首层检测、炒面检测、异物检测、裹头检测、废料滑梯堵塞检测、硬件配置扫描；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▲11.支持开门检测、断料检测、缠料检测、断电续打，具备监控打印机状态的健康管理系统；</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12.支持耗材用量及余料检测，支持多色打印，最多支持不少于20色；</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13.配备全闭环控制风扇系统，确保打印的高质量和可靠性；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▲14.配备自适应空气循环系统，支持自适应空气循环，外吸风进气口，显著提高冷却；腔温温度保持，可达50℃，存储打印机内部热量；配备活性炭滤芯，主动过滤内部空气；</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15.配备触摸显示屏，屏幕尺寸≤5英寸，屏幕分辨率≤854×480；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16.支持通过触摸显示屏、手机端APP、电脑端应用三种操作界面控制；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17.支持Wi-Fi通讯，支持2.4 GHz 和 5 GHz，支持协议 IEEE 802.11 a/b/g/n。</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A49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A25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4159A">
            <w:pPr>
              <w:jc w:val="center"/>
              <w:rPr>
                <w:rFonts w:hint="eastAsia" w:ascii="宋体" w:hAnsi="宋体" w:eastAsia="宋体" w:cs="宋体"/>
                <w:i w:val="0"/>
                <w:iCs w:val="0"/>
                <w:color w:val="auto"/>
                <w:sz w:val="21"/>
                <w:szCs w:val="21"/>
                <w:highlight w:val="none"/>
                <w:u w:val="none"/>
              </w:rPr>
            </w:pPr>
          </w:p>
        </w:tc>
      </w:tr>
      <w:tr w14:paraId="1E2A3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7AE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7B5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3D打印机耗材</w:t>
            </w:r>
          </w:p>
        </w:tc>
        <w:tc>
          <w:tcPr>
            <w:tcW w:w="5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E8F2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PLA基础色1000k（带料盘）</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0F7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kg</w:t>
            </w:r>
          </w:p>
        </w:tc>
        <w:tc>
          <w:tcPr>
            <w:tcW w:w="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E25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21257">
            <w:pPr>
              <w:jc w:val="center"/>
              <w:rPr>
                <w:rFonts w:hint="eastAsia" w:ascii="宋体" w:hAnsi="宋体" w:eastAsia="宋体" w:cs="宋体"/>
                <w:i w:val="0"/>
                <w:iCs w:val="0"/>
                <w:color w:val="auto"/>
                <w:sz w:val="21"/>
                <w:szCs w:val="21"/>
                <w:highlight w:val="none"/>
                <w:u w:val="none"/>
              </w:rPr>
            </w:pPr>
          </w:p>
        </w:tc>
      </w:tr>
      <w:tr w14:paraId="065B9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710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05B0B">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六、教学设备类</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58F3A">
            <w:pPr>
              <w:jc w:val="center"/>
              <w:rPr>
                <w:rFonts w:hint="eastAsia" w:ascii="宋体" w:hAnsi="宋体" w:eastAsia="宋体" w:cs="宋体"/>
                <w:b/>
                <w:bCs/>
                <w:i w:val="0"/>
                <w:iCs w:val="0"/>
                <w:color w:val="auto"/>
                <w:sz w:val="21"/>
                <w:szCs w:val="21"/>
                <w:highlight w:val="none"/>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C06D1">
            <w:pPr>
              <w:jc w:val="center"/>
              <w:rPr>
                <w:rFonts w:hint="eastAsia" w:ascii="宋体" w:hAnsi="宋体" w:eastAsia="宋体" w:cs="宋体"/>
                <w:b/>
                <w:bCs/>
                <w:i w:val="0"/>
                <w:iCs w:val="0"/>
                <w:color w:val="auto"/>
                <w:sz w:val="21"/>
                <w:szCs w:val="21"/>
                <w:highlight w:val="none"/>
                <w:u w:val="none"/>
              </w:rPr>
            </w:pP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CB6F4">
            <w:pPr>
              <w:jc w:val="center"/>
              <w:rPr>
                <w:rFonts w:hint="eastAsia" w:ascii="宋体" w:hAnsi="宋体" w:eastAsia="宋体" w:cs="宋体"/>
                <w:i w:val="0"/>
                <w:iCs w:val="0"/>
                <w:color w:val="auto"/>
                <w:sz w:val="21"/>
                <w:szCs w:val="21"/>
                <w:highlight w:val="none"/>
                <w:u w:val="none"/>
              </w:rPr>
            </w:pPr>
          </w:p>
        </w:tc>
      </w:tr>
      <w:tr w14:paraId="5D35C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8B6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C7B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笔记本电脑</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AB404">
            <w:pPr>
              <w:keepNext w:val="0"/>
              <w:keepLines w:val="0"/>
              <w:widowControl/>
              <w:suppressLineNumbers w:val="0"/>
              <w:spacing w:after="220" w:afterAutospacing="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（一）硬件参数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1.处理器：≧Intel Core I5  13代处理器，核心≥8核，主频≥2.1GHz 及以上；</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2.内存：≥16GB DDR4 3200MHz 内存；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3.硬盘：≥512G M.2 SSD硬盘；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4.显示屏：14.0英寸 LED 背光防眩光超薄型液晶显示屏16: 9（1920*1080像素显示分辨率），配置全合金转轴，更加牢固、美观、耐用,180度开合；</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5.显卡：配置高性能显卡；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6.网卡：RJ45千兆有线网卡，802.11 AX 2x2无线网卡（支持WIFI6协议）；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7.键盘：防泼溅键盘；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8.定位设备：多点触控板，按键与触控板分离，方便使用；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9.摄像头：720P高清摄像头，支持物理防窥功能，保护个人隐私；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10.接口：3个USB接口（1*全功能Type-C、2*Type-A）、HDMI2.0接口、耳麦二合一接口、RJ45接口；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11.电池：内置45WH锂电池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12.体积：重量≤1.43Kg（含电池）；</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13.厚度：≤19.9mm；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14.操作系统：Windows 11 家庭版。</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（二）教学管理平台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▲1.为实现异构平台混合管理，要求云桌面管理平台支持在Windows或麒麟等国产系统搭建，支持对终端的操作系统镜像生成与统一分发管理。（提供此功能界面截图证明）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2.为满足学校能够充分将新、旧电脑进行统一纳管，降低建设成本的需要，云桌面支持Legacy与UEFI两种方式启动系统，支持管理多网卡、双硬盘，支持M.2新型高速固态硬盘，同时兼容新老机型部署。</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3.为提升学校管理效率，云桌面管理平台支持批量管理终端计算机名、IP地址、分辨率、时间同步等配置信息，同时支持针对不同的终端群组设置不同的安全管控策略。</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4.针对不同楼宇、年级、学科的终端支持分组管理，可将终端进行分组，管理员可根据配置好的镜像分配给相应的分组；为不影响教学，可在正常上课的同时完成镜像缓存下载。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▲5.可充分利用学校现有网络，支持在镜像下发时进行组内网络探测与网速传输测试，提前优化镜像下发策略，保障传输效率。（提供此功能界面截图证明）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6.为适配大型或复杂型学校网络环境，云桌面支持跨校区、跨广域网部署，IP可达即可部署；为满足学校的WiFi使用场景，简化网络结构，支持通过wifi进行镜像更新和平台管理。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7.为满足学校对多教学场景的切换，支持三种模式对某一系统盘和数据盘的管理，即还原模式、读写模式、学习模式。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为了提升机房的统一部署与更新时间，减少老师的操作步骤与等待时间，支持镜像下发时的策略设置，更新镜像时锁定终端屏幕和更新时隐藏下载窗口；支持系统镜像下发后自动执行关机、重启等操作。（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9.支持从服务器端对客户端发起远程开机、关机、发送通知消息、发送远程命令等指令，支持管理员对客户端进行远程协助排障。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为方便学校进行硬件资产统计，支持平台收集所有终端硬件配置信息，包含但不限于终端名称、主板型号、CPU型号、内存容量、最近运行时间、合计运行时间、硬件变更和记录信息等。（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▲11.为方便学校掌握终端硬件运行情况，支持平台收集所有终端的运行状态信息，包含但不限于终端名称、CPU温度、开机时间、硬盘信息等。（提供此功能界面截图证明）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12.为方便学校对教学软件运行情况的统计，支持平台收集所有终端的软件信息，包含但不限于程序名称、运行次数、运行时长、版本、程序大小等。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为保障在大批量终端集中下发与更新镜像时能够获得更快的速度，满足学校考试环境部署或统一更换镜像的需求，当学校网络带宽有限时，可支持在管理集群内将主服务器内镜像提前下发至IO服务器，通过IO服务器分发镜像，实现数据分流，提升局域网内镜像的更新速度。(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▲14.支持平台可以计划任务设置，可以设置固定时间、每天、每周、每月进行定时执行各种任务类型，包括开机、关机、切换模板、下发模版、还原系统盘、还原数据盘。（提供此功能界面截图证明）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▲15.支持大数据展示。可展示包括但不限于资产统计、设备详情、开关机对比、日志、系统使用情况等信息。（提供此功能界面截图证明）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▲16.为避免网络端口被占用而引起的教学环境不可用的问题，云桌面管理平台支持对服务器使用的网络端口进行检测，并通过检测结果帮助管理员快速分析和解决问题。（提供此功能界面截图证明）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▲17.可提供网盘功能：支持用户在终端登录网盘，实现数据漫游与数据共享；支持用户将网盘中的文件分享给其他用户，其他用户可通过链接和提取码查看文件。（提供此功能界面截图证明）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▲18.网盘回收站功能：为防止误删重要文件，删除的文件会先保留在回收站，可根据实际情况按需取回。（提供此功能界面截图证明）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19.为满足学校各类考试需求，包括但不限于国家计算机一、二级等级考试、社会职称考试等，支持ATA、NCRE等考试模式，支持设置考试专属镜像并在考试开始前将考试镜像设置为隐藏模式，不被破坏。为方便后期溯源备查考试结果并可快速进入下一场考试，支持管理员自定义保留考试桌面保留的周期时间，即在保留学生完整桌面、系统环境、文件数据的同时，可快速部署下一场考试桌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▲20.为满足客户单位形象与风格的统一要求，支持系统名称、LOGO、登录背景图等可按需修改成客户单位名称。（提供此功能界面截图证明）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▲21.为简化管理，云桌面管理平台支持创建组织、用户、角色，支持管理员对不同用户和角色进行分级分权管理。（提供此功能界面截图证明）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22.屏幕监视：教师机可以监视单一、部分、全体学生机的屏幕，教师机每屏可监视多个学生屏幕</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23.频道教学：支持多达32个频道的划分，一个教师可对单个班级或多个班级同时上课；多个教师可同时对多个班级进行不同内容的教学</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24.签到：提供学生名单管理工具，为软件和考试模块提供实名验证。提供点名功能，支持保留学生多次登录记录、考勤统计、签到信息的导出与对比</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25.班级模型：支持单独对班级模型的统一管理，支持导入、导出、调用不同网络教室中的班级模型。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▲26.上网限制：支持对学生访问网站的黑名单或白名单设置，支持对学生可以访问的Internet站点进行管理。支持多浏览器限制，包括但不限于QQ、IE、谷歌、360、遨游等浏览器。（提供此功能界面截图证明）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▲27.程序限制：为防止学生在教学过程中打游戏或使用QQ、MSN等聊天工具，支持通过各种策略限制学生使用程序。（提供此功能界面截图证明）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28.黑屏肃静：教师可以对单一、部分、全体学生执行黑屏肃静来禁止其进行任何操作，达到专心听课目的，教师可自定义黑屏的内容与图片。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29.分组管理：教师可以新建，删除，重命名分组，添加和删除分组中的成员，设置小组长。分组信息随班级模型永久保存，下次上课可以直接使用保存的分组</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30.自动锁屏：断线保护自动锁屏技术，通过网卡的是否激活来锁定屏幕，避免学生拔掉网线违反纪律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31.防杀进程：为安全起见，学生端程序运行后，可防止学生通过任务管理器结束学生端程序进程来逃脱教师控制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32.请求帮助：学生端遇到问题可请求帮助，教师端可远程遥控帮助学生解决问题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33.远程消息：教师与学生能够使用远程消息进行交流，并可以允许和阻止学生发送文字消息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▲34.远程设置：支持远程设置学生桌面主题、桌面背景、屏幕保护方案、学生的频道号和音量、学生端密码，是否启用进程保护，断线锁屏，热键退出等。（提供此功能界面截图证明）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（三）质量和保障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1.产品及厂商资质认证要求：产品通过3C认证、节能认证。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2.售后服务：由制造厂商提供整机原厂二年有限保修服务，提供专人专线售后支持，原厂商提供400/800售后服务电话。供货时须体统原装参数确认函及售后服务承诺函原件。</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975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BEE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3FF3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494A3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8F9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975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分组活动桌</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74AC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1.长方形结构，规格：约1800mm×800mm×730mm。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2.结构：钢架结构。</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3.台面：采用基材为25mm厚E1级刨花板，三聚氰胺饰面，面板四周采用封边条封边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▲4.立腿采用φ50mm的圆管，厚度不小于1.2mm；横梁采用25mm×50mm的方管，厚度不小于1.2mm。钢管符合GB/T 3094-2012《冷拔异型钢管》、QB/T3826-1999《轻工产品金属镀层和化学处理层的耐腐蚀试验方法 中性盐雾试验(NSS)法》、QB/T 3832-1999《轻工产品金属镀层腐蚀试验结果的评价》要求，其中：化学成分(%)（C≤0.20、Si≤0.35、Mn≤1.40、P≤0.045、S≤0.045），力学性能（下屈服强度≥235N/m㎡、抗拉强度为370-500 N/m㎡、断后伸长率≥25%）。经过不少于125h试验，耐腐蚀等级达到9级以上，投标时必须提供</w:t>
            </w:r>
            <w:r>
              <w:rPr>
                <w:rFonts w:hint="eastAsia"/>
                <w:color w:val="auto"/>
                <w:highlight w:val="none"/>
              </w:rPr>
              <w:t>国家认可的第三方检测机构出具检测报告复印件</w:t>
            </w:r>
            <w:r>
              <w:rPr>
                <w:rFonts w:hint="eastAsia" w:ascii="宋体" w:hAnsi="宋体" w:eastAsia="宋体" w:cs="宋体"/>
                <w:i w:val="0"/>
                <w:iCs w:val="0"/>
                <w:color w:val="auto"/>
                <w:kern w:val="0"/>
                <w:sz w:val="21"/>
                <w:szCs w:val="21"/>
                <w:highlight w:val="none"/>
                <w:u w:val="none"/>
                <w:lang w:val="en-US" w:eastAsia="zh-CN" w:bidi="ar"/>
              </w:rPr>
              <w:t>出具的符合上述要求的检测报告扫描件。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▲5.金属件采用环保产品环氧聚脂塑粉静电喷塑。喷塑外膜的表面光滑平整，色泽均匀，喷塑层无漏喷、起泡、模糊、划痕或碰伤等缺陷。塑粉符合HG/T 2006-2022《热固性和热塑性粉末涂料》标准要求：筛余物(125μm)全部通过、涂膜外观正常、铅笔硬度(内聚破坏中擦伤)≥H、附着力(干附着力)≤1级、弯曲试验≤4mm、杯突试验≥4mm、耐磨性(750g/500r)≤50mg、耐碱性168h无异常、耐酸性240h无异常、耐湿性500h无异常、耐沸水性(2h)无异常，投标时必须提供</w:t>
            </w:r>
            <w:r>
              <w:rPr>
                <w:rFonts w:hint="eastAsia"/>
                <w:color w:val="auto"/>
                <w:highlight w:val="none"/>
              </w:rPr>
              <w:t>国家认可的第三方检测机构出具检测报告复印件</w:t>
            </w:r>
            <w:r>
              <w:rPr>
                <w:rFonts w:hint="eastAsia" w:ascii="宋体" w:hAnsi="宋体" w:eastAsia="宋体" w:cs="宋体"/>
                <w:i w:val="0"/>
                <w:iCs w:val="0"/>
                <w:color w:val="auto"/>
                <w:kern w:val="0"/>
                <w:sz w:val="21"/>
                <w:szCs w:val="21"/>
                <w:highlight w:val="none"/>
                <w:u w:val="none"/>
                <w:lang w:val="en-US" w:eastAsia="zh-CN" w:bidi="ar"/>
              </w:rPr>
              <w:t>出具的符合上述要求的检测报告扫描件。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6.采用ABS可调脚。</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894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EFF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E15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22CFA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367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0F7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分组活动椅</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3568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椅子坐背采用优质工程塑胶PP+纤维塑料一次性压制而成，架子采用14直径足1.5厚的五金铁经过烧焊、打磨、抛光、电镀而成，椅子可以叠高，能更好节省空间，使用方便。</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3FE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D94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48</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3BC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14CE0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C83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657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展示柜</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0BD0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尺寸：900mm×350mm×600mm，采用基材为18mm厚E1级刨花板。</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9B9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078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2F5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7B908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D76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069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文化装饰</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F3C8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文化装饰，规格定制，材质环保耐用，样式简约雅致，色彩柔和协调，适配多种空间，安装便捷，兼具美观与文化氛围。</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4CF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9ED6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FFFA6">
            <w:pPr>
              <w:jc w:val="center"/>
              <w:rPr>
                <w:rFonts w:hint="eastAsia" w:ascii="宋体" w:hAnsi="宋体" w:eastAsia="宋体" w:cs="宋体"/>
                <w:b/>
                <w:bCs/>
                <w:i w:val="0"/>
                <w:iCs w:val="0"/>
                <w:color w:val="auto"/>
                <w:sz w:val="21"/>
                <w:szCs w:val="21"/>
                <w:highlight w:val="none"/>
                <w:u w:val="none"/>
              </w:rPr>
            </w:pPr>
          </w:p>
        </w:tc>
      </w:tr>
      <w:tr w14:paraId="4CB05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10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51500">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七、</w:t>
            </w:r>
            <w:r>
              <w:rPr>
                <w:rFonts w:hint="eastAsia" w:ascii="宋体" w:hAnsi="宋体" w:cs="宋体"/>
                <w:b/>
                <w:bCs/>
                <w:i w:val="0"/>
                <w:iCs w:val="0"/>
                <w:color w:val="auto"/>
                <w:kern w:val="0"/>
                <w:sz w:val="21"/>
                <w:szCs w:val="21"/>
                <w:highlight w:val="none"/>
                <w:u w:val="none"/>
                <w:lang w:val="en-US" w:eastAsia="zh-CN" w:bidi="ar"/>
              </w:rPr>
              <w:t>轮式轨迹</w:t>
            </w:r>
            <w:r>
              <w:rPr>
                <w:rFonts w:hint="eastAsia" w:ascii="宋体" w:hAnsi="宋体" w:eastAsia="宋体" w:cs="宋体"/>
                <w:b/>
                <w:bCs/>
                <w:i w:val="0"/>
                <w:iCs w:val="0"/>
                <w:color w:val="auto"/>
                <w:kern w:val="0"/>
                <w:sz w:val="21"/>
                <w:szCs w:val="21"/>
                <w:highlight w:val="none"/>
                <w:u w:val="none"/>
                <w:lang w:val="en-US" w:eastAsia="zh-CN" w:bidi="ar"/>
              </w:rPr>
              <w:t>机器人</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A92C3">
            <w:pPr>
              <w:jc w:val="center"/>
              <w:rPr>
                <w:rFonts w:hint="eastAsia" w:ascii="宋体" w:hAnsi="宋体" w:eastAsia="宋体" w:cs="宋体"/>
                <w:b/>
                <w:bCs/>
                <w:i w:val="0"/>
                <w:iCs w:val="0"/>
                <w:color w:val="auto"/>
                <w:sz w:val="21"/>
                <w:szCs w:val="21"/>
                <w:highlight w:val="none"/>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8A024">
            <w:pPr>
              <w:jc w:val="center"/>
              <w:rPr>
                <w:rFonts w:hint="eastAsia" w:ascii="宋体" w:hAnsi="宋体" w:eastAsia="宋体" w:cs="宋体"/>
                <w:b/>
                <w:bCs/>
                <w:i w:val="0"/>
                <w:iCs w:val="0"/>
                <w:color w:val="auto"/>
                <w:sz w:val="21"/>
                <w:szCs w:val="21"/>
                <w:highlight w:val="none"/>
                <w:u w:val="none"/>
              </w:rPr>
            </w:pP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32EA">
            <w:pPr>
              <w:jc w:val="center"/>
              <w:rPr>
                <w:rFonts w:hint="eastAsia" w:ascii="宋体" w:hAnsi="宋体" w:eastAsia="宋体" w:cs="宋体"/>
                <w:b/>
                <w:bCs/>
                <w:i w:val="0"/>
                <w:iCs w:val="0"/>
                <w:color w:val="auto"/>
                <w:sz w:val="21"/>
                <w:szCs w:val="21"/>
                <w:highlight w:val="none"/>
                <w:u w:val="none"/>
              </w:rPr>
            </w:pPr>
          </w:p>
        </w:tc>
      </w:tr>
      <w:tr w14:paraId="66227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F68A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3ED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创新风暴机器人教育系统V1.0</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1D92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1、主控器1个：采用Cortex-M7系列芯片，运行速度480MHz，864KB SRAM，2M FLASH；3.2寸 240*320 电容触摸屏幕，支持多点触摸，内置SD NAND芯片，120MB空间存储程序和音频，内置喇叭，支持播放MP3和WAV，内置麦克风，内置蜂鸣器，内置EEPROM，2个可编程独立按键，8个RJ11传感器端口，其中2个支持串口，8个RJ11马达端口，支持编码功能，M1-M4最大电流1.5A，M5-M8最大电流2.8A，内置电池7.4V 2600mah，支持5V-2A充电/ PD9V快充，支持蓝牙5.0 ble+WIFI，尺寸110*70*38.2mm2、传感器；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2、电子部件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电子部件采用ABS一体外壳，支持RJ11接口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1)光电传感器3个：标准RCU通用电话线接口；工作电压4.5V–5V；连续模拟信号输出；带传感器类型识别电路；抗干扰性能提高；使用高度更加灵活；</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2)彩灯模块1个：标准RCU通用电话线接口；工作电压范围4.5V–5V；雾状三色灯；7种颜色状态;带传感器类型识别电路；功耗低、体积小。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3)触碰传感器2个：标准RCU通用电话线接口；工作电压范围4.5V–5V；具有体积小，灵敏度与响应速度高。带传感器类型识别电路；低耗能、工作可靠、电路简单、免调试，操作方便。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4)视觉模块1个：主芯片：大核1GHz RISC-V C906 / ARM A53；小核700MHz RISC-V C906；低功耗核25～300M 8051，1TOPS INT8 支持 BF16，256MB DDR3，YOLO11n 640x640 23 FPS，H.264/H.265 /MJPEG 硬解码，支持 2k@30fps 编解码，Linux系统，摄像头200W像素，角度90°，显示屏2.4寸，分辨率480*640，多点触摸电容屏，TF卡座，带32G TF卡，模拟麦克风，内置6轴陀螺仪，用户按键一个，复位按键一个，WIFI6 2.4G+5G双频，内置网卡，蓝牙5.4，电源指示灯，运行状态指示灯，板载 BM8653 RTC 芯片+纽扣电池，断电时间仍然正确，TPYE-C USB2.0，调试程序和数据传输、供电，支持Device和Host模式，支持 USB 摄像头，外部接口：PH1.25mm 6pin，串口尺寸20*70*63mm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5)激光传感器1个：标准RCU通用电话线接口；工作电压范围4.5V–5V；检测距离2-120cm，精度1cm。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大型减速电机2个：标准RCU通用电话线接口，电压范围：6-8.4V(DC)，额定电压：7.4V，空载电流：≤150mA，空载速度：200rmp±10%，堵转电流：≤2A，堵转扭矩：≥3.0kgf.cm，额定扭矩：0.75kgf.cm，编码精度：360/圈，连接端口：RJ11-6P标准电话线接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7)数字舵机1个：标准RCU通用电话线接口，角度控制范围：0-359°，宽电压范围供电：DC 5V～9V；大扭矩：&gt;=8 Kgf.cm ( AT:5V )，转速：&lt;=0.2S/60°；减速比：1：279；高精度全金属齿轮组，双滚珠轴承；I2C总线连接，理论可并联250个单元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8)姿态传感器1个：标准RCU通用电话线接口；工作电压范围4.5V–5V；I2C通讯方式具备自动校准功能;提供姿态方位数据（AHRS）;具备加速度和角速度测量功能；角度精度±0.1°；加速度精度±0.01°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3、积木结构件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（1）孔距：标准的10毫米积木，无螺丝的搭建设计。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（2）数量：≥425个积木件。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（3）种类：≥80种。</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（4）辅助结构部件：≥7类含：梁类、齿轮、轴类 、实销类、虚销类、连接销、紧固件；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（5）积木颜色：≥10种（含有红、黄、蓝、绿、灰、深灰、白、土黄、黄色、黑等颜色）。</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（6）齿轮类：≥6种：可实现多种传动方式。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（7）梁类：各种直梁和异形梁等，≥27种。</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（8）销类：用于连接、紧固的各种销≥13种，有丰富的搭建方式且易于实现。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4、轮胎：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（1）数量：两个硅胶轮胎。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（2）规格：轮毂65x20mm，硅胶胎皮70x20mm。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5、包装：配有一个套装塑料箱和一个分类盒。</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6、软件：机器人编程软件同时支持图形化编程和代码编程方式。可以支持SCRATCH2.0和SCRATCH3.0编程方式；支持控制器通过内置蓝牙直接连接 SCRATCH 在线编程与下载，具备多任务编程方式；支持手机/平板APP的程序编写、遥控与Python文件程序下载并保存控制器磁盘中；且APP内可提供3D搭建图；控制器同时支持Python语言和C语言，支持直接运行.py文件与.bin文件。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7、案例：包括但不限于：视觉识别机械手、自平衡自行车，自平衡机器人、蝎子机器人、视觉跟踪小车等</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9A8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A11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E5E77">
            <w:pPr>
              <w:jc w:val="center"/>
              <w:rPr>
                <w:rFonts w:hint="eastAsia" w:ascii="宋体" w:hAnsi="宋体" w:eastAsia="宋体" w:cs="宋体"/>
                <w:i w:val="0"/>
                <w:iCs w:val="0"/>
                <w:color w:val="auto"/>
                <w:sz w:val="21"/>
                <w:szCs w:val="21"/>
                <w:highlight w:val="none"/>
                <w:u w:val="none"/>
              </w:rPr>
            </w:pPr>
          </w:p>
        </w:tc>
      </w:tr>
      <w:tr w14:paraId="16319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CFF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E6F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智能循迹模块</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EAE1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功能:七路黑白线检测，智能设定阈值，7种颜色自由切换;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参数:标准</w:t>
            </w:r>
            <w:r>
              <w:rPr>
                <w:rFonts w:hint="eastAsia" w:ascii="宋体" w:hAnsi="宋体" w:cs="宋体"/>
                <w:i w:val="0"/>
                <w:iCs w:val="0"/>
                <w:color w:val="auto"/>
                <w:kern w:val="0"/>
                <w:sz w:val="21"/>
                <w:szCs w:val="21"/>
                <w:highlight w:val="none"/>
                <w:u w:val="none"/>
                <w:lang w:val="en-US" w:eastAsia="zh-CN" w:bidi="ar"/>
              </w:rPr>
              <w:t>R</w:t>
            </w:r>
            <w:r>
              <w:rPr>
                <w:rFonts w:hint="eastAsia" w:ascii="宋体" w:hAnsi="宋体" w:eastAsia="宋体" w:cs="宋体"/>
                <w:i w:val="0"/>
                <w:iCs w:val="0"/>
                <w:color w:val="auto"/>
                <w:kern w:val="0"/>
                <w:sz w:val="21"/>
                <w:szCs w:val="21"/>
                <w:highlight w:val="none"/>
                <w:u w:val="none"/>
                <w:lang w:val="en-US" w:eastAsia="zh-CN" w:bidi="ar"/>
              </w:rPr>
              <w:t>CU通用电话线接口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IC通讯工作电压5V</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6B4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778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6B68B">
            <w:pPr>
              <w:jc w:val="center"/>
              <w:rPr>
                <w:rFonts w:hint="eastAsia" w:ascii="宋体" w:hAnsi="宋体" w:eastAsia="宋体" w:cs="宋体"/>
                <w:i w:val="0"/>
                <w:iCs w:val="0"/>
                <w:color w:val="auto"/>
                <w:sz w:val="21"/>
                <w:szCs w:val="21"/>
                <w:highlight w:val="none"/>
                <w:u w:val="none"/>
              </w:rPr>
            </w:pPr>
          </w:p>
        </w:tc>
      </w:tr>
      <w:tr w14:paraId="5E6D3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095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367E5">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中型积木减速电机（7.4V带编码版）</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DDD6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工作电压范围：7.4V-8.4V DC</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额定工作电压：7.4V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空载电流：&lt;130mA</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空载速度：160rpm10%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堵转电流：≤1.5A</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堵转扭矩：&gt;3.5kgf.cm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额定扭矩：0.87kgf.cm</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263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B9E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5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B947D">
            <w:pPr>
              <w:jc w:val="center"/>
              <w:rPr>
                <w:rFonts w:hint="eastAsia" w:ascii="宋体" w:hAnsi="宋体" w:eastAsia="宋体" w:cs="宋体"/>
                <w:i w:val="0"/>
                <w:iCs w:val="0"/>
                <w:color w:val="auto"/>
                <w:sz w:val="21"/>
                <w:szCs w:val="21"/>
                <w:highlight w:val="none"/>
                <w:u w:val="none"/>
              </w:rPr>
            </w:pPr>
          </w:p>
        </w:tc>
      </w:tr>
      <w:tr w14:paraId="69EF1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3C4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2AF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RFID模块</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408B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1、标准RCU通用电话线接口；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2、工作电压5V；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3、可以显示7种颜色；（RGB值可调）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4、功耗低；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5、内置13.56MHz复旦IC磁卡。</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C17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031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28E97">
            <w:pPr>
              <w:jc w:val="center"/>
              <w:rPr>
                <w:rFonts w:hint="eastAsia" w:ascii="宋体" w:hAnsi="宋体" w:eastAsia="宋体" w:cs="宋体"/>
                <w:i w:val="0"/>
                <w:iCs w:val="0"/>
                <w:color w:val="auto"/>
                <w:sz w:val="21"/>
                <w:szCs w:val="21"/>
                <w:highlight w:val="none"/>
                <w:u w:val="none"/>
              </w:rPr>
            </w:pPr>
          </w:p>
        </w:tc>
      </w:tr>
      <w:tr w14:paraId="56FD0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A6B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691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超级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轨迹赛道具包挑战组</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031C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符合2026年超级轨迹</w:t>
            </w:r>
            <w:r>
              <w:rPr>
                <w:rFonts w:hint="eastAsia" w:ascii="宋体" w:hAnsi="宋体" w:cs="宋体"/>
                <w:i w:val="0"/>
                <w:iCs w:val="0"/>
                <w:color w:val="auto"/>
                <w:kern w:val="0"/>
                <w:sz w:val="21"/>
                <w:szCs w:val="21"/>
                <w:highlight w:val="none"/>
                <w:u w:val="none"/>
                <w:lang w:val="en-US" w:eastAsia="zh-CN" w:bidi="ar"/>
              </w:rPr>
              <w:t>赛</w:t>
            </w:r>
            <w:r>
              <w:rPr>
                <w:rFonts w:hint="eastAsia" w:ascii="宋体" w:hAnsi="宋体" w:eastAsia="宋体" w:cs="宋体"/>
                <w:i w:val="0"/>
                <w:iCs w:val="0"/>
                <w:color w:val="auto"/>
                <w:kern w:val="0"/>
                <w:sz w:val="21"/>
                <w:szCs w:val="21"/>
                <w:highlight w:val="none"/>
                <w:u w:val="none"/>
                <w:lang w:val="en-US" w:eastAsia="zh-CN" w:bidi="ar"/>
              </w:rPr>
              <w:t>要求。主要元器件包含超级轨迹赛场地任务道具，能够完成超级轨迹规则要求的所有任务模型的搭建。包含场地布置方法说明和任务模型搭建说明。道具为拼插式搭建方式，搭建过程不需要使用螺钉。含2幅不同尺寸场地纸，分别为尺寸：1.5*2.5m（刀刮布）和2*3m（喷绘布）</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3F9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85C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71258">
            <w:pPr>
              <w:jc w:val="center"/>
              <w:rPr>
                <w:rFonts w:hint="eastAsia" w:ascii="宋体" w:hAnsi="宋体" w:eastAsia="宋体" w:cs="宋体"/>
                <w:i w:val="0"/>
                <w:iCs w:val="0"/>
                <w:color w:val="auto"/>
                <w:sz w:val="21"/>
                <w:szCs w:val="21"/>
                <w:highlight w:val="none"/>
                <w:u w:val="none"/>
              </w:rPr>
            </w:pPr>
          </w:p>
        </w:tc>
      </w:tr>
      <w:tr w14:paraId="37741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710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896B5">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八、</w:t>
            </w:r>
            <w:r>
              <w:rPr>
                <w:rFonts w:hint="eastAsia" w:ascii="宋体" w:hAnsi="宋体" w:cs="宋体"/>
                <w:b/>
                <w:bCs/>
                <w:i w:val="0"/>
                <w:iCs w:val="0"/>
                <w:color w:val="auto"/>
                <w:kern w:val="0"/>
                <w:sz w:val="21"/>
                <w:szCs w:val="21"/>
                <w:highlight w:val="none"/>
                <w:u w:val="none"/>
                <w:lang w:val="en-US" w:eastAsia="zh-CN" w:bidi="ar"/>
              </w:rPr>
              <w:t>普及赛</w:t>
            </w:r>
            <w:r>
              <w:rPr>
                <w:rFonts w:hint="eastAsia" w:ascii="宋体" w:hAnsi="宋体" w:eastAsia="宋体" w:cs="宋体"/>
                <w:b/>
                <w:bCs/>
                <w:i w:val="0"/>
                <w:iCs w:val="0"/>
                <w:color w:val="auto"/>
                <w:kern w:val="0"/>
                <w:sz w:val="21"/>
                <w:szCs w:val="21"/>
                <w:highlight w:val="none"/>
                <w:u w:val="none"/>
                <w:lang w:val="en-US" w:eastAsia="zh-CN" w:bidi="ar"/>
              </w:rPr>
              <w:t>机器人</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C61FD">
            <w:pPr>
              <w:jc w:val="center"/>
              <w:rPr>
                <w:rFonts w:hint="eastAsia" w:ascii="宋体" w:hAnsi="宋体" w:eastAsia="宋体" w:cs="宋体"/>
                <w:b/>
                <w:bCs/>
                <w:i w:val="0"/>
                <w:iCs w:val="0"/>
                <w:color w:val="auto"/>
                <w:sz w:val="21"/>
                <w:szCs w:val="21"/>
                <w:highlight w:val="none"/>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3FBFE">
            <w:pPr>
              <w:jc w:val="center"/>
              <w:rPr>
                <w:rFonts w:hint="eastAsia" w:ascii="宋体" w:hAnsi="宋体" w:eastAsia="宋体" w:cs="宋体"/>
                <w:b/>
                <w:bCs/>
                <w:i w:val="0"/>
                <w:iCs w:val="0"/>
                <w:color w:val="auto"/>
                <w:sz w:val="21"/>
                <w:szCs w:val="21"/>
                <w:highlight w:val="none"/>
                <w:u w:val="none"/>
              </w:rPr>
            </w:pP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BD17F">
            <w:pPr>
              <w:jc w:val="center"/>
              <w:rPr>
                <w:rFonts w:hint="eastAsia" w:ascii="宋体" w:hAnsi="宋体" w:eastAsia="宋体" w:cs="宋体"/>
                <w:b/>
                <w:bCs/>
                <w:i w:val="0"/>
                <w:iCs w:val="0"/>
                <w:color w:val="auto"/>
                <w:sz w:val="21"/>
                <w:szCs w:val="21"/>
                <w:highlight w:val="none"/>
                <w:u w:val="none"/>
              </w:rPr>
            </w:pPr>
          </w:p>
        </w:tc>
      </w:tr>
      <w:tr w14:paraId="13977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DAF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39B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积木机器人竞赛普及套装</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8DDD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sz w:val="21"/>
                <w:szCs w:val="21"/>
                <w:highlight w:val="none"/>
                <w:u w:val="none"/>
              </w:rPr>
              <w:t>1、控制器：RAM 32位Cortex处理器，240Mhz，4M flash，224K RAM，可存储30条以上程序。128*64LCD背光，支持中文、英文显示。4个按键，一个开机及运行程序合用键，一个返回键，两个左右选择键；提供16路各类输入输出接口，其中10路数字/模拟/I^2C接口（AI、DO）；提供4路闭环电机控制接口，单路最大电流1.5A；2路485伺服电机串行接口，最大电流6A；USB口有两种工作模式，一种为U盘下载模式；另一种为在在线运行模式；内置蓝牙，可通过手机APP或遥控器连接。可在文件界面选择不同的程序并运行；支持中文、英文；电池电压显示，声音播放；可测试单个电机及全部电机正反转，可反馈闭环速度值；可测试10路模拟端口传感器值，或控制10路数字端口状态；可设置EEPROM中的参数；并控制声音开关的开关。内置轻量级嵌入式实时机器人操作系统。系统工作电压6.5~10V。</w:t>
            </w:r>
          </w:p>
          <w:p w14:paraId="710A8E8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sz w:val="21"/>
                <w:szCs w:val="21"/>
                <w:highlight w:val="none"/>
                <w:u w:val="none"/>
              </w:rPr>
              <w:t>2、结构件（含传动件）：集成式底盘，方便快速组装成车体。支持多种运动方式；结构件设计比例基于标准的10毫米积木，拼插式搭建方式，无螺丝搭建设计。组件数量不少于323个，组件种类不少于40种。主要构件梁、销、轴类构件单点固定牢固，可承担扭转力矩大于1N.m。各种类型结构部件还以颜色区分。</w:t>
            </w:r>
          </w:p>
          <w:p w14:paraId="24E1C52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3、传动件：9种齿轮16个，包含：8直齿齿轮2个、16直齿齿轮2个、24直齿齿轮2个，20齿半高锥齿轮2个、36锥直齿轮1 个、12半高锥齿2个，12锥直齿2个,蜗杆1个、带销齿条2个。</w:t>
            </w:r>
          </w:p>
          <w:p w14:paraId="23E9977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sz w:val="21"/>
                <w:szCs w:val="21"/>
                <w:highlight w:val="none"/>
                <w:u w:val="none"/>
              </w:rPr>
              <w:t>4、传感器：地面灰度传感器 （红灯版，工作电压5V，自发射调制光线，抗环境光干扰，检测灰阶）5个；NFC读卡模块1个（带广西专属密钥识别）；V3点阵屏1个；</w:t>
            </w:r>
          </w:p>
          <w:p w14:paraId="1DC2F2B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sz w:val="21"/>
                <w:szCs w:val="21"/>
                <w:highlight w:val="none"/>
                <w:u w:val="none"/>
              </w:rPr>
              <w:t>5、执行器：闭环电机3个（工作电压7.2V-8.4V，空载转速400±10 rpm，旋转扭矩0.05N*M，堵转扭矩0.25N*M）；气泵盒组件1个(单吸盘，可通过DO控制)。</w:t>
            </w:r>
          </w:p>
          <w:p w14:paraId="0F5DA24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6、能源：7.4V1500mAh专用锂电池</w:t>
            </w:r>
          </w:p>
          <w:p w14:paraId="01BD222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7、编程：AI Module 软件，支持流程图编程、标准C语言编程、Python编程、Scrach编程、动作编辑器五种编程方式。流程图模块包含所有端口功能，支持子程序功能等可视化编程。含有动作、传感器、控制、程序、数据、高级、巡线、AI、8大功能模块；基于全新QT平台开发，可适用于Windows、MAC等操作系统，同时可以多线程编程。流程图可自动生成C语言，C语言支持指针、数组、结构体等复杂应用。库函数全开放。可以直接使用 Python语言编写程序，也可以将编写好的流程图或者 Scrach编程程序一键切换为Python代码，进阶学习专业编程 。</w:t>
            </w:r>
          </w:p>
          <w:p w14:paraId="1EB6CA3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8、其他：符合广西电教赛、北部湾赛竞赛要求。</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49E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12D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07D91">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p>
        </w:tc>
      </w:tr>
      <w:tr w14:paraId="57B36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B50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4E2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普及赛场地套装</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70C7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1、该套装包含2026年活动场地任务模型零件（不少于359个），可搭建8组任务模型：指南针、造纸术、火药、活字印刷、地动仪、金字塔、长城、以及一种障碍物，配有固定场地任务模型专用魔术贴。</w:t>
            </w:r>
          </w:p>
          <w:p w14:paraId="6EC0261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2、包含2026年活动专用场地纸1张（尺寸2.16米*1.2米），单独包装。 NFC广西版密钥卡片（A、B、C、D)4张，包含任务模型贴图1套,基地贴图AKODIN2026两张。</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8B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9F1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99859">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p>
        </w:tc>
      </w:tr>
    </w:tbl>
    <w:p w14:paraId="3F802383">
      <w:pPr>
        <w:rPr>
          <w:rFonts w:hint="default"/>
          <w:color w:val="auto"/>
          <w:highlight w:val="none"/>
          <w:lang w:val="en-US" w:eastAsia="zh-CN"/>
        </w:rPr>
      </w:pPr>
    </w:p>
    <w:p w14:paraId="583D2B45">
      <w:pPr>
        <w:rPr>
          <w:rFonts w:hint="eastAsia"/>
          <w:color w:val="auto"/>
          <w:highlight w:val="none"/>
          <w:lang w:eastAsia="zh-CN"/>
        </w:rPr>
      </w:pPr>
      <w:r>
        <w:rPr>
          <w:rFonts w:hint="eastAsia"/>
          <w:color w:val="auto"/>
          <w:highlight w:val="none"/>
          <w:lang w:eastAsia="zh-CN"/>
        </w:rPr>
        <w:br w:type="page"/>
      </w:r>
    </w:p>
    <w:p w14:paraId="4AC9EF2B">
      <w:pPr>
        <w:pStyle w:val="145"/>
        <w:bidi w:val="0"/>
        <w:ind w:firstLine="840" w:firstLineChars="300"/>
        <w:jc w:val="both"/>
        <w:rPr>
          <w:rFonts w:hint="eastAsia"/>
          <w:color w:val="auto"/>
          <w:sz w:val="28"/>
          <w:szCs w:val="28"/>
          <w:highlight w:val="none"/>
          <w:lang w:val="en-US" w:eastAsia="zh-CN"/>
        </w:rPr>
      </w:pPr>
      <w:r>
        <w:rPr>
          <w:rFonts w:hint="eastAsia"/>
          <w:color w:val="auto"/>
          <w:sz w:val="28"/>
          <w:szCs w:val="28"/>
          <w:highlight w:val="none"/>
          <w:lang w:val="en-US" w:eastAsia="zh-CN"/>
        </w:rPr>
        <w:t>分标3-3：养利中学人工智能实验室货物需求表</w:t>
      </w:r>
    </w:p>
    <w:p w14:paraId="15E40704">
      <w:pPr>
        <w:pStyle w:val="146"/>
        <w:rPr>
          <w:rFonts w:hint="eastAsia"/>
          <w:color w:val="auto"/>
          <w:highlight w:val="none"/>
          <w:lang w:val="en-US" w:eastAsia="zh-CN"/>
        </w:rPr>
      </w:pPr>
    </w:p>
    <w:tbl>
      <w:tblPr>
        <w:tblStyle w:val="51"/>
        <w:tblW w:w="4943" w:type="pct"/>
        <w:tblInd w:w="-34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3"/>
        <w:gridCol w:w="848"/>
        <w:gridCol w:w="5495"/>
        <w:gridCol w:w="1394"/>
        <w:gridCol w:w="460"/>
        <w:gridCol w:w="568"/>
      </w:tblGrid>
      <w:tr w14:paraId="4DB49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2BB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23F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货物名称</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E62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货物需求及性能配置</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303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单位</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31F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数量</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B8C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备注</w:t>
            </w:r>
          </w:p>
        </w:tc>
      </w:tr>
      <w:tr w14:paraId="7A166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372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E6A5A">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一、创客类设备</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8B38F">
            <w:pPr>
              <w:jc w:val="left"/>
              <w:rPr>
                <w:rFonts w:hint="eastAsia" w:ascii="宋体" w:hAnsi="宋体" w:eastAsia="宋体" w:cs="宋体"/>
                <w:b/>
                <w:bCs/>
                <w:i w:val="0"/>
                <w:iCs w:val="0"/>
                <w:color w:val="auto"/>
                <w:sz w:val="21"/>
                <w:szCs w:val="21"/>
                <w:highlight w:val="none"/>
                <w:u w:val="none"/>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A354F">
            <w:pPr>
              <w:jc w:val="left"/>
              <w:rPr>
                <w:rFonts w:hint="eastAsia" w:ascii="宋体" w:hAnsi="宋体" w:eastAsia="宋体" w:cs="宋体"/>
                <w:b/>
                <w:bCs/>
                <w:i w:val="0"/>
                <w:iCs w:val="0"/>
                <w:color w:val="auto"/>
                <w:sz w:val="21"/>
                <w:szCs w:val="21"/>
                <w:highlight w:val="none"/>
                <w:u w:val="none"/>
              </w:rPr>
            </w:pP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7B44D">
            <w:pPr>
              <w:jc w:val="left"/>
              <w:rPr>
                <w:rFonts w:hint="eastAsia" w:ascii="宋体" w:hAnsi="宋体" w:eastAsia="宋体" w:cs="宋体"/>
                <w:i w:val="0"/>
                <w:iCs w:val="0"/>
                <w:color w:val="auto"/>
                <w:sz w:val="21"/>
                <w:szCs w:val="21"/>
                <w:highlight w:val="none"/>
                <w:u w:val="none"/>
              </w:rPr>
            </w:pPr>
          </w:p>
        </w:tc>
      </w:tr>
      <w:tr w14:paraId="4119C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378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578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信息技术初中基础教学套件</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F05D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（一）Python编程学习主控板</w:t>
            </w:r>
          </w:p>
          <w:p w14:paraId="525F816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1.CPU需采用单板计算机架构的国产芯片，CPU≥64位、核数≥4核、主频≥1.2GHz，板载内存≥512MB的DDR3内存，硬盘内存≥16GB的eMMC存储；</w:t>
            </w:r>
          </w:p>
          <w:p w14:paraId="5456BF1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2.协处理器：主频108MHz、64KB Flash、32KB SRAM</w:t>
            </w:r>
          </w:p>
          <w:p w14:paraId="3483E1E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3.需支持内置Wi-Fi频段2.4Ghz</w:t>
            </w:r>
          </w:p>
          <w:p w14:paraId="68999F8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4.需支持内置蓝牙4.0版本</w:t>
            </w:r>
          </w:p>
          <w:p w14:paraId="7ABBA00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5.需支持集成板载≥2.8寸 分辨率≥240*320 TFT触摸彩屏、≥1个Home按键、≥1个A按键，≥1个B按键、≥2个红色LED灯（分别为POWER灯、USER灯）、≥1个电容硅麦克风传感器、≥1个光线传感器、≥1个三轴加速度传感器、≥1个三轴陀螺仪、≥1个无源蜂鸣器、≥1个可编程蓝色LED灯；</w:t>
            </w:r>
          </w:p>
          <w:p w14:paraId="0D8B23A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 xml:space="preserve">6.需支持板载金手指：≥19路独立I/O（支持≥1路I2C、≥1路UART、≥2路SPI、≥6路12位ADC、≥5路10位PWM）; </w:t>
            </w:r>
          </w:p>
          <w:p w14:paraId="081C54C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7.需支持板载接口：≥2路USB接口（Type-C、Type-A）、≥1路microSD卡接口、≥4路3PinI/O接口、≥2路4Pin I2C接口;</w:t>
            </w:r>
          </w:p>
          <w:p w14:paraId="57A012A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8.需支持CPU、MCU双处理器架构；</w:t>
            </w:r>
          </w:p>
          <w:p w14:paraId="77BFFB1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9.系统和环境：CPU、内存、硬盘、屏幕及外设组成计算机系统，支持Linux操作系统和运行完整的Python编程环境。</w:t>
            </w:r>
          </w:p>
          <w:p w14:paraId="0143AA6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10.系统功能：①.需支持Python图形化编程、Python代码编程、Jupyter编程、Thonny编程、SSH远程访问、VScode编程等方式；②.需支持可通过触摸屏切换菜单栏查看系统信息(如显示当前系统版本、当前CPU占用情况、当前内存占用情况、当前硬盘占用情况等)；③.需支持可通过触摸屏切换菜单栏查看查看网络信息(如USB网口IP地址、无线连接IP地址、无线热点IP地址、其他设备IP地址等)；④.需支持可通过触摸屏切换菜单栏查看开启/关闭Jupyter、Python编辑器服务；可通过有线/无线访问后台管理页面、编写及上传Python程序；⑤.需支持可通过触摸屏切换菜单栏查看运行/切换Python程序，支持离线运行和储存多个Python程序;⑥.需支持可通过触摸屏切换菜单栏查看开启/关闭SIoT物联网服务器，可通过有线/无线访问SIoT后台管理页面和数据界面；⑦.需支持USB、路由器Wi-Fi、热点模式、网线等多种网络连接方式;⑧.需支持可通过触摸屏切换菜单栏查看开启/禁用无线热点；⑨.需内置Web网页服务，可通过IP地址访问网页菜单(如查看应用开关、网络设置、文件上传等信息)；⑩.需支持内置远程桌面服务，可通windows远程桌面、MobaXterm软件、VNC软件等以有线/无线方式进行连接，实时显示设备菜单界面；⑪.需支持在完整Python环境下可预装常用Python库（如NumPy、Pandas、Matplotlib等库）和在完整Python环境下可预装常用人工智能库（如Keras、0penAl、Scikit-learn等库）；⑫.需支持系统升级，可通过烧录镜像进行系统恢复和升级；⑬.需支持无需通过USB数据线连接电脑，实现实时调试和上传程序；⑭.需支持语音识别(含麦克风)功能，可实现自定义或预设唤醒词和命令词的识别。</w:t>
            </w:r>
          </w:p>
          <w:p w14:paraId="463377D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（二）电子模块：</w:t>
            </w:r>
          </w:p>
          <w:p w14:paraId="7812FE0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1.继电器模块：①.需配备透明外壳，可清晰观察继电器内部触点工作状态； ②.需支持电源输出端直连负载（如水泵、电机等）方式；③.应支持数字信号控制（如高电平吸合、低电平释放）功能； ④.电路板需板载3pin接口、电源输入接口、电源输出接口等；</w:t>
            </w:r>
          </w:p>
          <w:p w14:paraId="21473C1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基础电子模块：①.需配备≥9种电子模块，包含但不限于USB摄像头、温湿度传感器、气压温度传感器、土壤湿度传感器、水分传感器、语音识别模块、手势识别传感器、舵机、水泵等；②.电子模块需自带固定螺孔，支持螺丝、魔术贴等方式固定；③.电子模块接口需采用PH2.0接口；</w:t>
            </w:r>
          </w:p>
          <w:p w14:paraId="6C5A4D7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（三）配件：需配备模块连接线、主板烧录数据线、电池盒等配件；</w:t>
            </w:r>
          </w:p>
          <w:p w14:paraId="0F0619E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（四）编程方式：需支持图形化编程、Python代码编程。</w:t>
            </w:r>
          </w:p>
          <w:p w14:paraId="31D6C4C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二、配套内容：</w:t>
            </w:r>
          </w:p>
          <w:p w14:paraId="3684E00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配套《义务教育信息科技教学指南》八年级≥26课时电子资源。</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BDD3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A5F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0B3F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教学设备</w:t>
            </w:r>
          </w:p>
        </w:tc>
      </w:tr>
      <w:tr w14:paraId="2F692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66"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384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EAC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初中信息科技基础教学实践项目手册</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F5D2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信息科技初中基础教学套件的配套电子教程，教程结合《信息科技国家课程标准（2022版）》课标中 7~9 年级跨学科主题案例，帮助学生了解物联网、互联网和人工智能等知识。，通过16个课时和丰富的教学资源，帮助学生掌握从基础到应用的相关知识和技能。</w:t>
            </w:r>
          </w:p>
          <w:p w14:paraId="22E7150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建议课时数：16课时</w:t>
            </w:r>
          </w:p>
          <w:p w14:paraId="3BBEC14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学习目标：</w:t>
            </w:r>
          </w:p>
          <w:p w14:paraId="3DC402A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1.掌握 Python图形化编程的基本概念和常用库；</w:t>
            </w:r>
          </w:p>
          <w:p w14:paraId="62A6CB7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2.了解传感器的基本原理和数据采集方法，熟悉常用的传感器类型和接口；</w:t>
            </w:r>
          </w:p>
          <w:p w14:paraId="2FB79E9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3.学会使用 Python进行数据可视化分析；</w:t>
            </w:r>
          </w:p>
          <w:p w14:paraId="710DFC5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4.理解物联网系统的基本架构和工作原理，了解 SIoT平台的使用方法和功能；</w:t>
            </w:r>
          </w:p>
          <w:p w14:paraId="0FEA2C6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5.学习机器学习算法的基本原理，了解常用的机器学习算法和应用场景；</w:t>
            </w:r>
          </w:p>
          <w:p w14:paraId="349DB6B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6.通过实践项目，体验人工智能在物联网领域的应用，提高解决实际问题的能力；</w:t>
            </w:r>
          </w:p>
          <w:p w14:paraId="4F3D334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章节总览：</w:t>
            </w:r>
          </w:p>
          <w:p w14:paraId="0F53C44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第一章：向世界介绍我的学校</w:t>
            </w:r>
          </w:p>
          <w:p w14:paraId="6E4A151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第二章：校园气象站系统</w:t>
            </w:r>
          </w:p>
          <w:p w14:paraId="22DDEC8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第三章：智慧农业温室系统</w:t>
            </w:r>
          </w:p>
          <w:p w14:paraId="60F41C1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第四章：人工智能预测出行</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59D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608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D839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字纸教材</w:t>
            </w:r>
          </w:p>
        </w:tc>
      </w:tr>
      <w:tr w14:paraId="465DB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F32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E67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人工智能初中基础教学实验盒</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CCAE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（一）实验盒：</w:t>
            </w:r>
          </w:p>
          <w:p w14:paraId="2D72BBF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1.CPU需采用单板计算机架构的国产芯片，CPU≥64位、核数≥4核、主频≥1.2GHz，板载内存≥512MB的DDR3内存，硬盘内存≥16GB的eMMC存储；</w:t>
            </w:r>
          </w:p>
          <w:p w14:paraId="1604E92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2.协处理器需主频≥108MHz、≥64KB Flash、≥32KB SRAM；</w:t>
            </w:r>
          </w:p>
          <w:p w14:paraId="5DF744D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3.需支持内置Wi-Fi频段2.4Ghz；</w:t>
            </w:r>
          </w:p>
          <w:p w14:paraId="6E8A995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4.需内置蓝牙4.0版本；</w:t>
            </w:r>
          </w:p>
          <w:p w14:paraId="1D303F5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5.需集成板载≥2.8寸 分辨率≥240*320 TFT触摸彩屏、≥1个Home按键、≥1个开关按键、≥1个A按键，≥1个B按键、≥2个数字按键、≥3个LED灯（分别为POWER灯、USER灯、充电指示灯）、≥1个RGB灯（电源指示灯）、≥1个麦克风传感器、≥1个光线传感器、≥1个六轴传感器、≥1个摄像头、≥1个小音箱、≥1个温湿度传感器、RGB灯、≥1个旋钮、≥1个摇杆、减速电机、≥5路巡线传感器、≥1个RFID感应器、≥1个红外避障传感器、≥1个电导开关、≥1个蜂鸣器；</w:t>
            </w:r>
          </w:p>
          <w:p w14:paraId="532C8DB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6.需支持集成板载≥1个USB接口（Type-C接口、TypeA接口，可拓展USB外设，如摄像头等）、≥1个microSD卡接口、≥2个IIC接口、≥4个I/O接口、≥1个水泵接口、≥1个超声波接口；</w:t>
            </w:r>
          </w:p>
          <w:p w14:paraId="098B68C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7.需支持集成板载锂电池；</w:t>
            </w:r>
          </w:p>
          <w:p w14:paraId="09498DA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8.需支持CPU、MCU双处理器架构；</w:t>
            </w:r>
          </w:p>
          <w:p w14:paraId="527B60E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9.系统和环境：CPU、内存、硬盘、屏幕及外设组成计算机系统，支持Linux操作系统和运行完整的Python编程环境；</w:t>
            </w:r>
          </w:p>
          <w:p w14:paraId="550AA1F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10.系统功能：①需支持Python图形化编程、Python代码编程、Jupyter编程、Thonny编程、SSH远程访问、VScode编程等方式；②.需支持可通过触摸屏切换菜单栏查看系统信息(如显示当前系统版本、当前CPU占用情况、当前内存占用情况、当前硬盘占用情况等)；③.需支持可通过触摸屏切换菜单栏查看查看网络信息(如USB网口IP地址、无线连接IP地址、无线热点IP地址、其他设备IP地址等)；④.需支持可通过触摸屏切换菜单栏查看开启/关闭Jupyter、Python编辑器服务；可通过有线/无线访问后台管理页面、编写及上传Python程序；⑤.需支持可通过触摸屏切换菜单栏查看运行/切换Python程序，支持离线运行和储存多个Python程序;⑥.需支持可通过触摸屏切换菜单栏查看开启/关闭SIoT物联网服务器，可通过有线/无线访问SIoT后台管理页面和数据界面；⑦.需支持USB、路由器Wi-Fi、热点模式、网线等多种网络连接方式;⑧.需支持可通过触摸屏切换菜单栏查看开启/禁用无线热点；⑨.需内置Web网页服务，可通过IP地址访问网页菜单(如查看应用开关、网络设置、文件上传等信息)；⑩.需支持内置远程桌面服务，可通windows远程桌面、MobaXterm软件、VNC软件等以有线/无线方式进行连接，实时显示设备菜单界面；⑪.需支持在完整Python环境下可预装常用Python库（如NumPy、Pandas、Matplotlib等库）和在完整Python环境下可预装常用人工智能库（如Keras、0penAl、Scikit-learn等库）；⑫.需支持系统升级，可通过烧录镜像进行系统恢复和升级；⑬.需支持无需通过USB数据线连接电脑，实现实时调试和上传程序。</w:t>
            </w:r>
          </w:p>
          <w:p w14:paraId="0AB1AE5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（二）电子模块：</w:t>
            </w:r>
          </w:p>
          <w:p w14:paraId="6AB8A3D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1.需配备≥4种电子模块，包含但不限于摄像头、超声波传感器、风扇、舵机等；</w:t>
            </w:r>
          </w:p>
          <w:p w14:paraId="74D5F0C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2.电子模块需自带固定螺孔，支持螺丝、魔术贴等方式固定；</w:t>
            </w:r>
          </w:p>
          <w:p w14:paraId="13374DD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3.电子模块接口需采用PH2.0接口；</w:t>
            </w:r>
          </w:p>
          <w:p w14:paraId="7D1E0B6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（三）配件：需配备主板烧录数据线、模块连接线、车轮、RFID标签卡等配件。</w:t>
            </w:r>
          </w:p>
          <w:p w14:paraId="1AFD1E4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（四）编程方式：需支持图形化编程、Python代码编程。</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84D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0AB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AB29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教学设备</w:t>
            </w:r>
          </w:p>
        </w:tc>
      </w:tr>
      <w:tr w14:paraId="1BC33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077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479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中小学创新实践活动器材（提升版）</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EF02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一、主控板：</w:t>
            </w:r>
          </w:p>
          <w:p w14:paraId="4B7B1A0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（一）Python编程学习主控板：</w:t>
            </w:r>
          </w:p>
          <w:p w14:paraId="509B08D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1.CPU需采用单板计算机架构的国产芯片，CPU≥64位、核数≥4核、主频≥1.2GHz，板载内存≥512MB的DDR3内存，硬盘内存≥16GB的eMMC存储；</w:t>
            </w:r>
          </w:p>
          <w:p w14:paraId="308594E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2.协处理器：主频108MHz、64KB Flash、32KB SRAM</w:t>
            </w:r>
          </w:p>
          <w:p w14:paraId="0E0CD23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3.需支持内置Wi-Fi频段2.4Ghz</w:t>
            </w:r>
          </w:p>
          <w:p w14:paraId="7BEBDA4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4.需支持内置蓝牙4.0版本</w:t>
            </w:r>
          </w:p>
          <w:p w14:paraId="7605F53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5.需支持集成板载≥2.8寸 分辨率≥240*320 TFT触摸彩屏、≥1个Home按键、≥1个A按键，≥1个B按键、≥2个红色LED灯（分别为POWER灯、USER灯）、≥1个电容硅麦克风传感器、≥1个光线传感器、≥1个三轴加速度传感器、≥1个三轴陀螺仪、≥1个无源蜂鸣器、≥1个可编程蓝色LED灯；</w:t>
            </w:r>
          </w:p>
          <w:p w14:paraId="588A152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 xml:space="preserve">6.需支持板载金手指：≥19路独立I/O（支持≥1路I2C、≥1路UART、≥2路SPI、≥6路12位ADC、≥5路10位PWM）; </w:t>
            </w:r>
          </w:p>
          <w:p w14:paraId="552F645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7.需支持板载接口：≥2路USB接口（Type-C、Type-A）、≥1路microSD卡接口、≥4路3PinI/O接口、≥2路4Pin I2C接口;</w:t>
            </w:r>
          </w:p>
          <w:p w14:paraId="4A3D409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8.需支持CPU、MCU双处理器架构；</w:t>
            </w:r>
          </w:p>
          <w:p w14:paraId="45E52B3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9.系统和环境：CPU、内存、硬盘、屏幕及外设组成计算机系统，支持Linux操作系统和运行完整的Python编程环境。</w:t>
            </w:r>
          </w:p>
          <w:p w14:paraId="4E978B2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10.系统功能：①.需支持Python图形化编程、Python代码编程、Jupyter编程、Thonny编程、SSH远程访问、VScode编程等方式；②.需支持可通过触摸屏切换菜单栏查看系统信息(如显示当前系统版本、当前CPU占用情况、当前内存占用情况、当前硬盘占用情况等)；③.需支持可通过触摸屏切换菜单栏查看查看网络信息(如USB网口IP地址、无线连接IP地址、无线热点IP地址、其他设备IP地址等)；④.需支持可通过触摸屏切换菜单栏查看开启/关闭Jupyter、Python编辑器服务；可通过有线/无线访问后台管理页面、编写及上传Python程序；⑤.需支持可通过触摸屏切换菜单栏查看运行/切换Python程序，支持离线运行和储存多个Python程序;⑥.需支持可通过触摸屏切换菜单栏查看开启/关闭SIoT物联网服务器，可通过有线/无线访问SIoT后台管理页面和数据界面；⑦.需支持USB、路由器Wi-Fi、热点模式、网线等多种网络连接方式;⑧.需支持可通过触摸屏切换菜单栏查看开启/禁用无线热点；⑨.需内置Web网页服务，可通过IP地址访问网页菜单(如查看应用开关、网络设置、文件上传等信息)；⑩.需支持内置远程桌面服务，可通windows远程桌面、MobaXterm软件、VNC软件等以有线/无线方式进行连接，实时显示设备菜单界面；⑪.需支持在完整Python环境下可预装常用Python库（如NumPy、Pandas、Matplotlib等库）和在完整Python环境下可预装常用人工智能库（如Keras、0penAl、Scikit-learn等库）；⑫.需支持系统升级，可通过烧录镜像进行系统恢复和升级；⑬.需支持无需通过USB数据线连接电脑，实现实时调试和上传程序；⑭.需支持语音识别(含麦克风)功能，可实现自定义或预设唤醒词和命令词的识别。</w:t>
            </w:r>
          </w:p>
          <w:p w14:paraId="191AA98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（二）AI编程开发板</w:t>
            </w:r>
          </w:p>
          <w:p w14:paraId="201700F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1.需板载≥32位双核处理器，处理器主频≥240MHz；</w:t>
            </w:r>
          </w:p>
          <w:p w14:paraId="38020F3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2.需板载SRAM内存≥512KB，ROM内存≥384KB，Flash内存≥16MB，PSRAM内存≥8MB，RTC SRAM≥16KB；</w:t>
            </w:r>
          </w:p>
          <w:p w14:paraId="324FDAD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3.需支持Wi-Fi协议IEEE 802.11b/g/n 协议（数据率高达150Mbps）,A-MPDU和A-MSDU聚合，支持0.4us防护间隔；</w:t>
            </w:r>
          </w:p>
          <w:p w14:paraId="7FB8273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4.需支持Wi-Fi频率在2.4GHz频带支持20MHz和40MHz频宽；</w:t>
            </w:r>
          </w:p>
          <w:p w14:paraId="2D88B90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5.需支持蓝牙协议符合Bluetooth 5和Bluetooth mesh标准；</w:t>
            </w:r>
          </w:p>
          <w:p w14:paraId="5D458D6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6.需支持蓝牙频率在2.4-2.5GHz，速率支持125Kbps、500Kbps、1Mbps、2Mbps；</w:t>
            </w:r>
          </w:p>
          <w:p w14:paraId="45CAF19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7.需支持集成板载≥2.8寸分辨率≥240×320的LCD彩屏、≥1个摄像头、≥1个温湿度传感器、≥1个环境光传感器、≥1个加速度传感器、≥1个双麦克风、≥4个按键（A按键、B按键、RST按键、BOOT按键）、≥3颗RGB灯、≥1颗红色LED灯（PWR灯）；</w:t>
            </w:r>
          </w:p>
          <w:p w14:paraId="16E9F8D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8.需支持板载金手指引脚≥17路独立I/O（其中支持≥1路I2C、≥2路ADC/PWM）；</w:t>
            </w:r>
          </w:p>
          <w:p w14:paraId="200FF24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9.需支持板载≥1个Micro SD卡槽，支持内存扩展；</w:t>
            </w:r>
          </w:p>
          <w:p w14:paraId="1A1E594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10.需支持板载接口：≥1个Type-C接口（供电、串口、烧录）、≥1个PH2.0-2Pin电池供电接口、≥2个PH2.0-3Pin IO接口、≥1个PH2.0-4Pin I2C接口；</w:t>
            </w:r>
          </w:p>
          <w:p w14:paraId="41BBF45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12.需使用FR-4材质和回流焊工艺，确保电路稳定性；</w:t>
            </w:r>
          </w:p>
          <w:p w14:paraId="16EA83A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13.需支持Type-C 5V供电，工作电压3.3V。</w:t>
            </w:r>
          </w:p>
          <w:p w14:paraId="196222B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14.系统功能：①需支持内置了基础的图像检测、语音识别、语音合成等AI算法，供内置出厂程序使用；②.需支持离线人脸检测，离线人脸识别，离线猫/狗检测，离线二维码识别，离线移动目标检测；③.需支持更换图像检测模型，离线语音识别，联网后在线语音识别，自定义语音命令词，离线语音合成；④.需支持调用大模型，可联网在线调用DeepSeek、Kimi、讯飞星火、通义千问等大模型，实现人工智能应用；⑤.需支持多种编程方式，支持图形化编程和MicroPython编程；⑥.需支持高清彩色显示屏可显示彩色文字、图片和摄像头画面；⑦.需支持物联网应用，可作为物联网系统中的终端节点使用，满足物联网教学需求，可结合编程软件实现数据大屏可视化，呈现拍照和监控功能；⑧.需支持≥200W像素，≥80度镜头的摄像头，支持离线人脸检测、宠物检测等AI任务，并能进行拍照和监控功能；</w:t>
            </w:r>
          </w:p>
          <w:p w14:paraId="0466605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二、AI视觉传感器：</w:t>
            </w:r>
          </w:p>
          <w:p w14:paraId="4406C4A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（一）基础参数：</w:t>
            </w:r>
          </w:p>
          <w:p w14:paraId="3B45F33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1.处理器：Kendryte K230双核1.6GHz；</w:t>
            </w:r>
          </w:p>
          <w:p w14:paraId="55CF996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2.算力：≥6TOPS专用AI算力；</w:t>
            </w:r>
          </w:p>
          <w:p w14:paraId="0F609E9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3.内存：≥1GB LPDDR4；</w:t>
            </w:r>
          </w:p>
          <w:p w14:paraId="531C1F2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4.存储：≥8GB；</w:t>
            </w:r>
          </w:p>
          <w:p w14:paraId="55699ED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5.需支持集成板载≥2.4英寸 分辨率≥640×480 IPS全贴合电容触摸；</w:t>
            </w:r>
          </w:p>
          <w:p w14:paraId="24451FD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6.需内置摄像头模组≥200万像素、支持自动对焦，CMOS尺寸为1/2.9”、最大帧率为≥60FPS；</w:t>
            </w:r>
          </w:p>
          <w:p w14:paraId="1FF6028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7.需支持板载传感器及执行器：按键、电容硅麦克风、扬声器、RGB灯、补光灯；</w:t>
            </w:r>
          </w:p>
          <w:p w14:paraId="7E0C8E5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8.需支持板载接口≥1路TypeC接口、≥1路4Pin I2C/UART接口、≥1个TF卡槽；</w:t>
            </w:r>
          </w:p>
          <w:p w14:paraId="455DE0E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9.需内置WiFi网卡：2.4GHz WiFi6（插卡式)；</w:t>
            </w:r>
          </w:p>
          <w:p w14:paraId="53DE691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10.需支持≥19种内置模型包含人脸识别、物体识别、物体追踪、颜色识别、物体分类、自学习分类、实例分割、手势识别、姿态识别、车牌识别、光学字符识别、巡线追踪、表情识别、注视检视方向检测、人脸朝向检测、标签识别、二维码识别、条形码识别、跌倒检测；</w:t>
            </w:r>
          </w:p>
          <w:p w14:paraId="21300E1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11.需支持≥5款内置应用包含照相机、录像机、实时图传、MCP服务、模型安装、快速模型训练、数据集采集器、自动驾驶、教学模式、模型评分；</w:t>
            </w:r>
          </w:p>
          <w:p w14:paraId="4F7C52A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12.需支持兼容Arduino、micro:bit、ESP32、行空板、掌控板、Raspberry Pi等主流控制器；</w:t>
            </w:r>
          </w:p>
          <w:p w14:paraId="18AA269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（二）核心功能</w:t>
            </w:r>
          </w:p>
          <w:p w14:paraId="07D7F2C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1.人脸识别：需支持识别人脸的五官位置，识别、追踪学习过的多个人脸；</w:t>
            </w:r>
          </w:p>
          <w:p w14:paraId="3B9D74A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2.物体识别：需支持识别≥80种固定类别的物体，检测时可自动框出目标物体并显示名称及置信度；</w:t>
            </w:r>
          </w:p>
          <w:p w14:paraId="67C7037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3.物体追踪：需支持学习并追踪一个指定的物体，且每次只能追踪一个指定的物体；</w:t>
            </w:r>
          </w:p>
          <w:p w14:paraId="2F3E39B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4.颜色识别：需支持颜色识别模式有遗忘ID、色块面积阈值、颜色容差、设置名字、显示名字、恢复默认、导入模型、导出模型等参数设置；</w:t>
            </w:r>
          </w:p>
          <w:p w14:paraId="58C5930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5.物体分类：需支持通过内置的模型对≥1000种固定类别的物体进行分类，显示当前画面中物体可能的类别名称和置信度；</w:t>
            </w:r>
          </w:p>
          <w:p w14:paraId="41A80C1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6.自学习分类：需支持采集任意物体多角度图片、学习、识别任何自定义的物体；</w:t>
            </w:r>
          </w:p>
          <w:p w14:paraId="7D38EBD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7.实例分割：需支持识别出≥80种不同的物体并标记出其轮廓；</w:t>
            </w:r>
          </w:p>
          <w:p w14:paraId="5901B81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8.手势识别：需支持识别画面中手掌及其≥21个关键点（手腕≥1个、每根手指的≥4个关节点（根部、第一节、第二节、指尖）），并描绘出手掌的各个关键点，学习、识别、追踪手势；</w:t>
            </w:r>
          </w:p>
          <w:p w14:paraId="3E6FF0D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9.姿态识别：需支持识别并描绘出画面人体的≥17个关键点（鼻子、双眼、双耳、双肩、双肘、双腕、双胯、双膝和双踝等部位），学习、识别、追踪人体的不同姿态；</w:t>
            </w:r>
          </w:p>
          <w:p w14:paraId="073F769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10.车牌识别：需支持识别画面中的车牌，显示车牌信息，学习、识别、追踪指定车牌；</w:t>
            </w:r>
          </w:p>
          <w:p w14:paraId="2FE6D04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11.光学字符识别：需支持识别画面中的中英文字符并显示其内容，学习、识别、追踪字符；</w:t>
            </w:r>
          </w:p>
          <w:p w14:paraId="6C2D476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12.巡线：需支持检测出摄像头画面中与背景颜色差异明显的线条并使用不同颜色标出不同线条轨迹；</w:t>
            </w:r>
          </w:p>
          <w:p w14:paraId="5AD8255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13.表情识别：需支持识别≥7种特定的表情包含愤怒、厌恶、恐惧、开心、中性、悲伤和惊讶；</w:t>
            </w:r>
          </w:p>
          <w:p w14:paraId="5C5C928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14.注视方向检测：需支持识别眼球的注视方向；</w:t>
            </w:r>
          </w:p>
          <w:p w14:paraId="4C41D58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15.人脸朝向检测：需支持识别人脸朝向；</w:t>
            </w:r>
          </w:p>
          <w:p w14:paraId="3B3642D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16.标签识别：需支持识别≥4种类型AprilTag标签（AprilTag 16h5、AprilTag 25h9、AprilTag 36h10、AprilTag 36h11），学习、识别、追踪指定标签；</w:t>
            </w:r>
          </w:p>
          <w:p w14:paraId="3C2EEC4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17.二维码识别：需支持学习、识别、追踪二维码，显示二维码内包含的信息，命名二维码；</w:t>
            </w:r>
          </w:p>
          <w:p w14:paraId="6954672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18.条形码识别：需支持学习、识别、追踪条形码，显示条形码内包含的信息，命名条形码；</w:t>
            </w:r>
          </w:p>
          <w:p w14:paraId="6BB115E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19.跌倒检测：需支持识别人体并判断是否跌倒；</w:t>
            </w:r>
          </w:p>
          <w:p w14:paraId="443A3D9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20.相机：需支持屏幕底部三个按钮可以在“照相机、录像机、相册”之间切换；</w:t>
            </w:r>
          </w:p>
          <w:p w14:paraId="6B5BAF3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21.实时图传：需支持USB有线连接与WiFi无线传输两种模式，可实时画面传输并通过无线连接将识别结果与实时画面同步传输至远程终端；</w:t>
            </w:r>
          </w:p>
          <w:p w14:paraId="5C30D55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22.自训练模型部署：需支持用户根据特定需求训练专属识别模型，实现模型训练到实际应用的全流程自主定制，支持目标检测、物体分类、实例分割等算法的自训练模型；</w:t>
            </w:r>
          </w:p>
          <w:p w14:paraId="06A057B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23.MCP服务：需支持内置MCP服务为大语言模型提供感知和理解能力，支持识别特定物品、行为特征，通过自训练识别特定目标；</w:t>
            </w:r>
          </w:p>
          <w:p w14:paraId="5856748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24.固件更新：需支持系统升级，可通过烧录镜像进行系统恢复和升级。</w:t>
            </w:r>
          </w:p>
          <w:p w14:paraId="052C8AA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（三）AI训练与拓展应用</w:t>
            </w:r>
          </w:p>
          <w:p w14:paraId="01A8C1D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1.快速模型训练：无需电脑，在AI视觉传感器中完成可以完成数据采集、模型训练、推理识别全流程；</w:t>
            </w:r>
          </w:p>
          <w:p w14:paraId="5CE920C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2.数据采集器：需支持AI视觉传感器快速标记目标并拍摄照片，并将拍摄的照片自动存储为标准的yolo数据集格式，可导出后直接用于复杂的模型训练</w:t>
            </w:r>
          </w:p>
          <w:p w14:paraId="4ED8E48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3.自动驾驶：需支持内置纯视觉端到端自动驾驶模型，可直接输出转向与油门控制指令</w:t>
            </w:r>
          </w:p>
          <w:p w14:paraId="36EDCB8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4.教学模式：需支持教师自定义模型列表，简化学生操作界面，满足分层教学需求；</w:t>
            </w:r>
          </w:p>
          <w:p w14:paraId="13CCF7B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5.模型评分：需具备模型测试评估功能，引导学生了解模型性能并掌握模型优化方法 。</w:t>
            </w:r>
          </w:p>
          <w:p w14:paraId="27C1FC9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三、扩展板：I/O传感器扩展板、AI编程开发板专用配套扩展板；</w:t>
            </w:r>
          </w:p>
          <w:p w14:paraId="6E15D32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五、基础电子模块：</w:t>
            </w:r>
          </w:p>
          <w:p w14:paraId="2AF38E9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需配备≥21种电子模块，需包含但RFID通信模块、射频通信模块、语音识别模块、语音合成模块、ADkey按钮模块、紫外线传感器、颜色识别传感器、红外避障传感器、手势传感器、分贝计、6轴惯性运动传感器、空气质量传感器、浊度传感器、USB摄像头、白色LED灯、灯环、9g离合舵机、水泵、风扇、继电器、喇叭等；</w:t>
            </w:r>
          </w:p>
          <w:p w14:paraId="79D3144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2.电子模块需自带固定螺孔，支持螺丝、魔术贴等方式固定；</w:t>
            </w:r>
          </w:p>
          <w:p w14:paraId="0D5DCD1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3.电子模块接口需采用PH2.0接口；</w:t>
            </w:r>
          </w:p>
          <w:p w14:paraId="1078574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六、配件：需配备传感器线若干、公公头杜邦线、母母头杜邦线、数据线若干、电池盒、18650锂电池等。</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154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EA5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3763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创客比赛设备</w:t>
            </w:r>
          </w:p>
        </w:tc>
      </w:tr>
      <w:tr w14:paraId="29A1D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372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ECDAB">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二、飞行</w:t>
            </w:r>
            <w:r>
              <w:rPr>
                <w:rFonts w:hint="eastAsia" w:ascii="宋体" w:hAnsi="宋体" w:cs="宋体"/>
                <w:b/>
                <w:bCs/>
                <w:i w:val="0"/>
                <w:iCs w:val="0"/>
                <w:color w:val="auto"/>
                <w:kern w:val="0"/>
                <w:sz w:val="21"/>
                <w:szCs w:val="21"/>
                <w:highlight w:val="none"/>
                <w:u w:val="none"/>
                <w:lang w:val="en-US" w:eastAsia="zh-CN" w:bidi="ar"/>
              </w:rPr>
              <w:t>机器人</w:t>
            </w:r>
            <w:r>
              <w:rPr>
                <w:rFonts w:hint="eastAsia" w:ascii="宋体" w:hAnsi="宋体" w:eastAsia="宋体" w:cs="宋体"/>
                <w:b/>
                <w:bCs/>
                <w:i w:val="0"/>
                <w:iCs w:val="0"/>
                <w:color w:val="auto"/>
                <w:kern w:val="0"/>
                <w:sz w:val="21"/>
                <w:szCs w:val="21"/>
                <w:highlight w:val="none"/>
                <w:u w:val="none"/>
                <w:lang w:val="en-US" w:eastAsia="zh-CN" w:bidi="ar"/>
              </w:rPr>
              <w:t>类（编程类）设备</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E3190">
            <w:pPr>
              <w:jc w:val="center"/>
              <w:rPr>
                <w:rFonts w:hint="eastAsia" w:ascii="宋体" w:hAnsi="宋体" w:eastAsia="宋体" w:cs="宋体"/>
                <w:b/>
                <w:bCs/>
                <w:i w:val="0"/>
                <w:iCs w:val="0"/>
                <w:color w:val="auto"/>
                <w:sz w:val="21"/>
                <w:szCs w:val="21"/>
                <w:highlight w:val="none"/>
                <w:u w:val="none"/>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FDD52">
            <w:pPr>
              <w:jc w:val="center"/>
              <w:rPr>
                <w:rFonts w:hint="eastAsia" w:ascii="宋体" w:hAnsi="宋体" w:eastAsia="宋体" w:cs="宋体"/>
                <w:b/>
                <w:bCs/>
                <w:i w:val="0"/>
                <w:iCs w:val="0"/>
                <w:color w:val="auto"/>
                <w:sz w:val="21"/>
                <w:szCs w:val="21"/>
                <w:highlight w:val="none"/>
                <w:u w:val="none"/>
              </w:rPr>
            </w:pP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26A9A">
            <w:pPr>
              <w:jc w:val="left"/>
              <w:rPr>
                <w:rFonts w:hint="eastAsia" w:ascii="宋体" w:hAnsi="宋体" w:eastAsia="宋体" w:cs="宋体"/>
                <w:i w:val="0"/>
                <w:iCs w:val="0"/>
                <w:color w:val="auto"/>
                <w:sz w:val="21"/>
                <w:szCs w:val="21"/>
                <w:highlight w:val="none"/>
                <w:u w:val="none"/>
              </w:rPr>
            </w:pPr>
          </w:p>
        </w:tc>
      </w:tr>
      <w:tr w14:paraId="50D20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C2C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6D0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编程</w:t>
            </w:r>
            <w:r>
              <w:rPr>
                <w:rFonts w:hint="eastAsia" w:ascii="宋体" w:hAnsi="宋体" w:cs="宋体"/>
                <w:i w:val="0"/>
                <w:iCs w:val="0"/>
                <w:color w:val="auto"/>
                <w:kern w:val="0"/>
                <w:sz w:val="21"/>
                <w:szCs w:val="21"/>
                <w:highlight w:val="none"/>
                <w:u w:val="none"/>
                <w:lang w:val="en-US" w:eastAsia="zh-CN" w:bidi="ar"/>
              </w:rPr>
              <w:t>飞行器</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11B5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机体尺寸：189.3*184.6*50mm；</w:t>
            </w:r>
          </w:p>
          <w:p w14:paraId="7C1E9FC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轴距：128mm；</w:t>
            </w:r>
          </w:p>
          <w:p w14:paraId="6D5A585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抗风等级≤3级；</w:t>
            </w:r>
          </w:p>
          <w:p w14:paraId="5B14944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电池容量：1200mAh；</w:t>
            </w:r>
          </w:p>
          <w:p w14:paraId="158A863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电池类型：锂离子电池；</w:t>
            </w:r>
          </w:p>
          <w:p w14:paraId="23169CC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续航时间:1min-12min；</w:t>
            </w:r>
          </w:p>
          <w:p w14:paraId="1B35E83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机体克重：100g（±3g）；</w:t>
            </w:r>
          </w:p>
          <w:p w14:paraId="5AD0DAF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自带物理防护罩（支持半包围及全包围）；</w:t>
            </w:r>
          </w:p>
          <w:p w14:paraId="683D2E8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全彩LED发光机身；</w:t>
            </w:r>
          </w:p>
          <w:p w14:paraId="1459154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定位方式：光流与二维码定位；</w:t>
            </w:r>
          </w:p>
          <w:p w14:paraId="1248AAC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定位精度：二维码：水平士5cm，垂直士10cm；光流；水平士20cm，垂直士10cm；</w:t>
            </w:r>
          </w:p>
          <w:p w14:paraId="75E3075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控制方式：通用软件APP控制（支持手机、平板、电脑）和遥控器控制；</w:t>
            </w:r>
          </w:p>
          <w:p w14:paraId="1EF7573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最大飞行高度：10m；</w:t>
            </w:r>
          </w:p>
          <w:p w14:paraId="2A5B5E0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最大通讯距离：50m</w:t>
            </w:r>
          </w:p>
          <w:p w14:paraId="37C6CDB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通讯方式：2.4G及5.8G WIFI；</w:t>
            </w:r>
          </w:p>
          <w:p w14:paraId="57A45A1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天线类型：PCB天线</w:t>
            </w:r>
          </w:p>
          <w:p w14:paraId="624A71E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AI识别及AR互动，支持姿态识别，支持单机队对抗及组队对抗;</w:t>
            </w:r>
          </w:p>
          <w:p w14:paraId="42AAEF0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支持可手动物理调节的四向红外避障；</w:t>
            </w:r>
          </w:p>
          <w:p w14:paraId="48BADEA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支持红外激光发射及接收，激光波长640nm；</w:t>
            </w:r>
          </w:p>
          <w:p w14:paraId="433B112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具有整体式云台及摄像头;</w:t>
            </w:r>
          </w:p>
          <w:p w14:paraId="1BF1813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支持单机飞行与组网编队飞行;</w:t>
            </w:r>
          </w:p>
          <w:p w14:paraId="2760169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具备控制软件的软著登记证书，且权利范围为全部权利;</w:t>
            </w:r>
          </w:p>
          <w:p w14:paraId="327A841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lang w:eastAsia="zh-CN"/>
              </w:rPr>
            </w:pPr>
            <w:r>
              <w:rPr>
                <w:rFonts w:hint="eastAsia" w:ascii="宋体" w:hAnsi="宋体" w:eastAsia="宋体" w:cs="宋体"/>
                <w:i w:val="0"/>
                <w:iCs w:val="0"/>
                <w:color w:val="auto"/>
                <w:sz w:val="21"/>
                <w:szCs w:val="21"/>
                <w:highlight w:val="none"/>
                <w:u w:val="none"/>
              </w:rPr>
              <w:t>产品整机完成 1.2m 跌落可靠性测试，结构防护与安全稳定性</w:t>
            </w:r>
            <w:r>
              <w:rPr>
                <w:rFonts w:hint="eastAsia" w:ascii="宋体" w:hAnsi="宋体" w:eastAsia="宋体" w:cs="宋体"/>
                <w:i w:val="0"/>
                <w:iCs w:val="0"/>
                <w:color w:val="auto"/>
                <w:sz w:val="21"/>
                <w:szCs w:val="21"/>
                <w:highlight w:val="none"/>
                <w:u w:val="none"/>
                <w:lang w:eastAsia="zh-CN"/>
              </w:rPr>
              <w:t>高</w:t>
            </w:r>
            <w:r>
              <w:rPr>
                <w:rFonts w:hint="eastAsia" w:ascii="宋体" w:hAnsi="宋体" w:eastAsia="宋体" w:cs="宋体"/>
                <w:i w:val="0"/>
                <w:iCs w:val="0"/>
                <w:color w:val="auto"/>
                <w:sz w:val="21"/>
                <w:szCs w:val="21"/>
                <w:highlight w:val="none"/>
                <w:u w:val="none"/>
              </w:rPr>
              <w:t>，品质风险更低</w:t>
            </w:r>
            <w:r>
              <w:rPr>
                <w:rFonts w:hint="eastAsia" w:ascii="宋体" w:hAnsi="宋体" w:eastAsia="宋体" w:cs="宋体"/>
                <w:i w:val="0"/>
                <w:iCs w:val="0"/>
                <w:color w:val="auto"/>
                <w:sz w:val="21"/>
                <w:szCs w:val="21"/>
                <w:highlight w:val="none"/>
                <w:u w:val="none"/>
                <w:lang w:eastAsia="zh-CN"/>
              </w:rPr>
              <w:t>；</w:t>
            </w:r>
          </w:p>
          <w:p w14:paraId="43398B2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电池运输安全，满足国内外物流运输合规硬性要求，风险管控能力突出</w:t>
            </w:r>
            <w:r>
              <w:rPr>
                <w:rFonts w:hint="eastAsia" w:ascii="宋体" w:hAnsi="宋体" w:eastAsia="宋体" w:cs="宋体"/>
                <w:i w:val="0"/>
                <w:iCs w:val="0"/>
                <w:color w:val="auto"/>
                <w:sz w:val="21"/>
                <w:szCs w:val="21"/>
                <w:highlight w:val="none"/>
                <w:u w:val="none"/>
                <w:lang w:eastAsia="zh-CN"/>
              </w:rPr>
              <w:t>。</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E0B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2E5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A5D8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r>
      <w:tr w14:paraId="74881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6"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B28A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2E3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充电套装</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8C87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包含一拖二充电座一个、无人机电池一颗、充电头一个、充电线一根</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FBCE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01E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3D5C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r>
      <w:tr w14:paraId="7972A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7"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168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335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电池</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F8DB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容量:1200mAh</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电压:3.8V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类型:锂离子电池</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重量:30g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贮存温度:≤1Month:-20°C~45°C;≤1Month:-20°C~30°C;≤1Year:25±3°C</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C83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A5E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93CCA">
            <w:pPr>
              <w:jc w:val="left"/>
              <w:rPr>
                <w:rFonts w:hint="eastAsia" w:ascii="宋体" w:hAnsi="宋体" w:eastAsia="宋体" w:cs="宋体"/>
                <w:i w:val="0"/>
                <w:iCs w:val="0"/>
                <w:color w:val="auto"/>
                <w:sz w:val="21"/>
                <w:szCs w:val="21"/>
                <w:highlight w:val="none"/>
                <w:u w:val="none"/>
              </w:rPr>
            </w:pPr>
          </w:p>
        </w:tc>
      </w:tr>
      <w:tr w14:paraId="16602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08E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AD6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桨叶</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B7EE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1、快拆螺旋桨（对）× 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2、直径×螺距：3.0 × 4.4 英寸 （8.38 ×11.18 cm ）。</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181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3AB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152D2">
            <w:pPr>
              <w:jc w:val="left"/>
              <w:rPr>
                <w:rFonts w:hint="eastAsia" w:ascii="宋体" w:hAnsi="宋体" w:eastAsia="宋体" w:cs="宋体"/>
                <w:i w:val="0"/>
                <w:iCs w:val="0"/>
                <w:color w:val="auto"/>
                <w:sz w:val="21"/>
                <w:szCs w:val="21"/>
                <w:highlight w:val="none"/>
                <w:u w:val="none"/>
              </w:rPr>
            </w:pPr>
          </w:p>
        </w:tc>
      </w:tr>
      <w:tr w14:paraId="49ED7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95B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DC3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全包围保护罩</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8946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尺寸：183.6*188.3*16mm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材质：PA</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1F9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55F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18138">
            <w:pPr>
              <w:jc w:val="left"/>
              <w:rPr>
                <w:rFonts w:hint="eastAsia" w:ascii="宋体" w:hAnsi="宋体" w:eastAsia="宋体" w:cs="宋体"/>
                <w:i w:val="0"/>
                <w:iCs w:val="0"/>
                <w:color w:val="auto"/>
                <w:sz w:val="21"/>
                <w:szCs w:val="21"/>
                <w:highlight w:val="none"/>
                <w:u w:val="none"/>
              </w:rPr>
            </w:pPr>
          </w:p>
        </w:tc>
      </w:tr>
      <w:tr w14:paraId="10119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56F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B5C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飞行机器人</w:t>
            </w:r>
            <w:r>
              <w:rPr>
                <w:rFonts w:hint="eastAsia" w:ascii="宋体" w:hAnsi="宋体" w:eastAsia="宋体" w:cs="宋体"/>
                <w:i w:val="0"/>
                <w:iCs w:val="0"/>
                <w:color w:val="auto"/>
                <w:kern w:val="0"/>
                <w:sz w:val="21"/>
                <w:szCs w:val="21"/>
                <w:highlight w:val="none"/>
                <w:u w:val="none"/>
                <w:lang w:val="en-US" w:eastAsia="zh-CN" w:bidi="ar"/>
              </w:rPr>
              <w:t>训练道具</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CA2B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1.飞行地图：宽3000*长4000mm*1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2.PVC管连接件三通接头：内径20mm*35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3.360mmPVC管PVC灰色圆管：外径20mm*25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4.560mmPVC管PVC灰色圆管：外径20mm*25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5.正方形障碍插板：600mm*600mm*2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6.黑色正方形PVC板：直径600mm*1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7.彩色正方形PVC板：直径600mm*6</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8.黄色圆形PVC板：直径200mm*1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9.黄色椭圆形底座：直径200mm*2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10黄色长杆：长570mm*1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11.蓝色塑料圆柱：直径60mm，高150mm*1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12.黄色海绵圆球：直径50mm*1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13.激光标靶：最大延展尺寸120mm*150mm*170mm*2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14.硬卡纸绿旗：130mm*150mm*1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15.魔术贴：长100mm，宽20mm，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16.圆形不干胶标贴透明贴直径50mm*1</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A23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B6A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22DB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r>
      <w:tr w14:paraId="26E75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372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30AB4">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三、人工智能类设备</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51893">
            <w:pPr>
              <w:jc w:val="center"/>
              <w:rPr>
                <w:rFonts w:hint="eastAsia" w:ascii="宋体" w:hAnsi="宋体" w:eastAsia="宋体" w:cs="宋体"/>
                <w:b/>
                <w:bCs/>
                <w:i w:val="0"/>
                <w:iCs w:val="0"/>
                <w:color w:val="auto"/>
                <w:sz w:val="21"/>
                <w:szCs w:val="21"/>
                <w:highlight w:val="none"/>
                <w:u w:val="none"/>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3E291">
            <w:pPr>
              <w:jc w:val="center"/>
              <w:rPr>
                <w:rFonts w:hint="eastAsia" w:ascii="宋体" w:hAnsi="宋体" w:eastAsia="宋体" w:cs="宋体"/>
                <w:b/>
                <w:bCs/>
                <w:i w:val="0"/>
                <w:iCs w:val="0"/>
                <w:color w:val="auto"/>
                <w:sz w:val="21"/>
                <w:szCs w:val="21"/>
                <w:highlight w:val="none"/>
                <w:u w:val="none"/>
              </w:rPr>
            </w:pP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68EAD">
            <w:pPr>
              <w:jc w:val="left"/>
              <w:rPr>
                <w:rFonts w:hint="eastAsia" w:ascii="宋体" w:hAnsi="宋体" w:eastAsia="宋体" w:cs="宋体"/>
                <w:i w:val="0"/>
                <w:iCs w:val="0"/>
                <w:color w:val="auto"/>
                <w:sz w:val="21"/>
                <w:szCs w:val="21"/>
                <w:highlight w:val="none"/>
                <w:u w:val="none"/>
              </w:rPr>
            </w:pPr>
          </w:p>
        </w:tc>
      </w:tr>
      <w:tr w14:paraId="31301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8"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21D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8CB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科创实践套装</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A7CF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1.综合实践开源硬件智能控制器具体如下：</w:t>
            </w:r>
          </w:p>
          <w:p w14:paraId="2775CB4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（1）操作系统支持Linux；</w:t>
            </w:r>
          </w:p>
          <w:p w14:paraId="3CEF4C6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（2）CPU性能：国产四核64位处理器，最高1.8GHz；</w:t>
            </w:r>
          </w:p>
          <w:p w14:paraId="22B80E4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（3）存储空间：2GB RAM，16GB ROM；</w:t>
            </w:r>
          </w:p>
          <w:p w14:paraId="392E807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 xml:space="preserve">（4）WIFI：2.4G/5G双频段，支持a/ac/ax b/g/n </w:t>
            </w:r>
          </w:p>
          <w:p w14:paraId="1DEEA8C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（5）电池：1600mAh；</w:t>
            </w:r>
          </w:p>
          <w:p w14:paraId="576A798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（6）显示屏：2.4英寸，LCD屏；</w:t>
            </w:r>
          </w:p>
          <w:p w14:paraId="2FF3B4A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（7）麦克风：语音识别距离2m</w:t>
            </w:r>
          </w:p>
          <w:p w14:paraId="433EA66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（8）扬声器：1W双喇叭</w:t>
            </w:r>
          </w:p>
          <w:p w14:paraId="4D27621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2.传感器</w:t>
            </w:r>
          </w:p>
          <w:p w14:paraId="3BDFD5E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提供10种传感器；数量11个。</w:t>
            </w:r>
          </w:p>
          <w:p w14:paraId="3F6DC9D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包括：LED灯、超声波传感器、伺服电机、光敏传感器、环境温湿度传感器、摄像头、旋钮/可变电阻器、循线板，编码电机*2、红外传感器。</w:t>
            </w:r>
          </w:p>
          <w:p w14:paraId="6022B56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3.结构件</w:t>
            </w:r>
          </w:p>
          <w:p w14:paraId="55199DD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提供180个塑料结构件。</w:t>
            </w:r>
          </w:p>
          <w:p w14:paraId="53C4342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4.拥有用户主动设置WiFi的入口，支持通过WiFi与科创实践活动平台进行连接；</w:t>
            </w:r>
          </w:p>
          <w:p w14:paraId="68293B9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5.支持传感器电路在软件中仿真模拟搭建；</w:t>
            </w:r>
          </w:p>
          <w:p w14:paraId="7DAD38A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6.支持响应平板/笔记本电脑完成的编程程序在搭建机器人上运行，包含基础能力运行（如：运动、外观、声音、运算等），也包含AI能力运行，其中AI能力需满足：</w:t>
            </w:r>
          </w:p>
          <w:p w14:paraId="296DA5A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①支持响应语音唤醒AI能力调用：支持响应所选择唤醒词，用语音将搭建机器人从待机状态唤醒；</w:t>
            </w:r>
          </w:p>
          <w:p w14:paraId="598C84C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②支持响应语音合成AI能力调用，支持响应选择不同发音人和自主编辑合成的内容，让搭建机器人用对应发音人声音说出对应内容；</w:t>
            </w:r>
          </w:p>
          <w:p w14:paraId="2173A7E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③支持响应语音评测AI能力调用：支持响应设定中英文词语或句子，在搭建机器人上实现中英文发音评测，并反馈评测得分；</w:t>
            </w:r>
          </w:p>
          <w:p w14:paraId="23D2431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④支持响应声纹识别AI能力调用：支持注册声纹信息，让搭建机器人能够通过声纹识别出用户信息；</w:t>
            </w:r>
          </w:p>
          <w:p w14:paraId="50E0C3C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⑤支持响应语音转写AI能力调用：让搭建机器人能够将听到的语音转化为文字，并显示在屏幕上；</w:t>
            </w:r>
          </w:p>
          <w:p w14:paraId="7C3F97E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⑥支持响应文字识别AI能力调用：让搭建机器人能够通过拍照手写体的英文或数字，并识别后转写成印刷体，在屏幕上进行显示；</w:t>
            </w:r>
          </w:p>
          <w:p w14:paraId="5464251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⑦支持响应人脸识别AI能力调用：支持注册人脸信息，让搭建机器人能够通过人脸识别出用户信息，识别结果可以在屏幕上进行显示；</w:t>
            </w:r>
          </w:p>
          <w:p w14:paraId="5907346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⑧支持响应人机对话AI能力调用：支持响应选择需要的人机对话技能，让搭建机器人与用户能针对不同场景下对话，例如针对教育、生活等不同场景；</w:t>
            </w:r>
          </w:p>
          <w:p w14:paraId="2AE8F53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⑨支持响应AI文本模型分类训练：支持响应自主建立文本分类模型，输入文本数据，训练分类模型，让搭建机器人对输入的文本进行模式识别，识别结果可在屏幕进行显示。</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3FD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5B5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CE96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人工智能项目教学与比赛设备</w:t>
            </w:r>
          </w:p>
        </w:tc>
      </w:tr>
      <w:tr w14:paraId="46E9F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372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D7822">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四、手工操作类设备</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4B06C">
            <w:pPr>
              <w:jc w:val="center"/>
              <w:rPr>
                <w:rFonts w:hint="eastAsia" w:ascii="宋体" w:hAnsi="宋体" w:eastAsia="宋体" w:cs="宋体"/>
                <w:b/>
                <w:bCs/>
                <w:i w:val="0"/>
                <w:iCs w:val="0"/>
                <w:color w:val="auto"/>
                <w:sz w:val="21"/>
                <w:szCs w:val="21"/>
                <w:highlight w:val="none"/>
                <w:u w:val="none"/>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CC655">
            <w:pPr>
              <w:jc w:val="center"/>
              <w:rPr>
                <w:rFonts w:hint="eastAsia" w:ascii="宋体" w:hAnsi="宋体" w:eastAsia="宋体" w:cs="宋体"/>
                <w:b/>
                <w:bCs/>
                <w:i w:val="0"/>
                <w:iCs w:val="0"/>
                <w:color w:val="auto"/>
                <w:sz w:val="21"/>
                <w:szCs w:val="21"/>
                <w:highlight w:val="none"/>
                <w:u w:val="none"/>
              </w:rPr>
            </w:pP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25C33">
            <w:pPr>
              <w:jc w:val="left"/>
              <w:rPr>
                <w:rFonts w:hint="eastAsia" w:ascii="宋体" w:hAnsi="宋体" w:eastAsia="宋体" w:cs="宋体"/>
                <w:i w:val="0"/>
                <w:iCs w:val="0"/>
                <w:color w:val="auto"/>
                <w:sz w:val="21"/>
                <w:szCs w:val="21"/>
                <w:highlight w:val="none"/>
                <w:u w:val="none"/>
              </w:rPr>
            </w:pPr>
          </w:p>
        </w:tc>
      </w:tr>
      <w:tr w14:paraId="15BB0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276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32D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3D打印机</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AEF5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1、成型技术：熔融沉积成型；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2、机身最大尺寸(长×宽×高)不低于392×406×478 mm³，净重约17.6 kg，最大打印尺寸(长×宽×高)不低于256×256×256 mm³；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3、框架为塑胶和钢材构成，外壳为塑料和玻璃构成；</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▲4、工具头：全金属热端、硬化钢挤出机齿轮、硬化钢喷嘴，陶瓷加热座，内置工具头切刀，喷嘴最高温度不低于300 ℃、标配喷嘴直径0.4 mm，可选0.2 mm，0.6 mm，0.8 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5、机器标配双面纹理PEI打印面板，可扩展光面打印面板，热床最高温度不低于110℃；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▲6、工具头最大移动速度不低于600 mm/s，工具头最大移动加速度不低于20000 mm/s²，普通热端最大流速不低于40 mm³/s；</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7、支持耗材类型：PLA、PETG、ABS、ASA、TPU、Support for PLA、Support for PLA/PETG、Support for ABS、PET、PA、PC、PVA、PLA-CF、PETG-CF、ABS-GF、ASA-CF、PA6-CF、PA6-GF、PAHT-CF、PPA-CF、PET-CF等；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▲8、支持热端快拆、主动振动补偿、主动流量补偿、自动热床调平；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▲9、配备高清摄像头，分辨率≤1920×1080，支持实时监控和延时摄影；</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▲10、支持AI首层检测、炒面检测、异物检测、裹头检测、废料滑梯堵塞检测、硬件配置扫描；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▲11、支持开门检测、断料检测、缠料检测、断电续打，具备监控打印机状态的健康管理系统；</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12、支持耗材用量及余料检测，支持多色打印，最多支持不少于20色；</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13、配备全闭环控制风扇系统，确保打印的高质量和可靠性；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▲14、配备自适应空气循环系统，支持自适应空气循环，外吸风进气口，显著提高冷却；腔温温度保持，可达50℃，存储打印机内部热量；配备活性炭滤芯，主动过滤内部空气；</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15、配备触摸显示屏，屏幕尺寸≤5英寸，屏幕分辨率≤854×480；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16、支持通过触摸显示屏、手机端APP、电脑端应用三种操作界面控制；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17、支持Wi-Fi通讯，支持2.4 GHz 和 5 GHz，支持协议 IEEE 802.11 a/b/g/n。</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A4E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0AE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0B470">
            <w:pPr>
              <w:jc w:val="left"/>
              <w:rPr>
                <w:rFonts w:hint="eastAsia" w:ascii="宋体" w:hAnsi="宋体" w:eastAsia="宋体" w:cs="宋体"/>
                <w:i w:val="0"/>
                <w:iCs w:val="0"/>
                <w:color w:val="auto"/>
                <w:sz w:val="21"/>
                <w:szCs w:val="21"/>
                <w:highlight w:val="none"/>
                <w:u w:val="none"/>
              </w:rPr>
            </w:pPr>
          </w:p>
        </w:tc>
      </w:tr>
      <w:tr w14:paraId="5CCD3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A9A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5F2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小型激光雕刻机 (40W)</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05D7A">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是一款独具特色的桌面级激光雕刻切割机，机器利用先进的激光和计算机技术，通过工业设计重新定义创造工具，让创作变得高效且安全。机器内封闭式导轨设计起到防尘作用；智能外罩具备排烟、阻隔激光、补光、开盖联锁等特性，当外罩打开时，激光头将自动关闭，确保您和您的作品安全。安全性能方面，机器配备了 USB 儿童安全锁，同时引入专利火焰检测、机身倾斜检测、氮气弹簧等多项技术，全方位保护您和您的设备。除此之外，机器底部增设了氛围灯带，可提供机器工作状态的可视反馈，让您在创作过程中拥有更多的安心与信任。</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产品特性：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智能安全外罩：切割机装载智能安全外罩，采用氮气弹簧做支撑，可任意角度悬停；烟雾阻隔率达到90%；可视激光阻隔率达到90%；机器运行状态通透可见；当外罩被意外打开时机器会暂停激光输出。可扩展摄像头和烟雾净化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2、封闭式导轨：实现机器防尘和静音的效果，还可以整合机器的连接线路，使机器整体看起来更加整洁美观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3、激光头：别出心裁的快拆结构，各型号功率的激光头可以实现快速更换，采用标准Arca 接口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4、机器在无需更换整体结构件的情况下，最高支持40W功率的激光头运行</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安全特性：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1、童锁设定：机器可使用USB钥匙授权使用，当USB钥匙未插入机器时，机器无法开机使用，防止儿童误触发。</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2、外罩阻隔率：可见激光阻隔率达到90%、烟雾阻隔率达到90%。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3、智能外罩开盖联锁：当外罩被意外打开时机器会暂停激光输出，保证机器在安全工作环境中运行</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4、专利火焰检测技术，识别准确率提升至99.9%，防止环境光干扰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5、倾斜检测，当机器意外倾斜时机器会暂停激光输出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6、长时间曝光检测，防止在一个地方持续输出激光导致火灾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器材清单：</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左Y轴组件、右Y轴组件、前X轴组件、后X轴组件、X轴运动组件、脚垫、垫高柱、光轴、激光器、护目镜、耗材包、用户手册、快速入门手册、电源适配器、电源线、Type - C数据线、工具盒（开口扳手、3号内六角扳手、2.5号内六角扳手、2号内六角扳手、M4*35螺丝 × 8、M4*12螺丝 × 14、M3*6螺丝 × 5、窗口镜、调焦块）、配件盒（USB锁、TF卡、读卡器、镜头布 × 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扩展应用：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急停开关 、摄像头 、烟雾净化器 、辊轮 、增高脚垫 、红光激光头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规格参数：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尺寸：645*617*149mm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机器与外罩：645*617*306mm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净重 仅机器：4.8kg；</w:t>
            </w:r>
          </w:p>
          <w:p w14:paraId="4409421D">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机器和外罩：9.8kg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材料：</w:t>
            </w:r>
          </w:p>
          <w:p w14:paraId="359614E2">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机身材料：铝合金；</w:t>
            </w:r>
          </w:p>
          <w:p w14:paraId="57A9B8ED">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智能防护罩：亚克力板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输入电源：24V，5A，120W</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支持的软件：LightBurn，LaserGRBL</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文件传输方式：TF 卡、Type-C 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加工尺寸：430mm * 400mm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激光源：450nm - 460nm 半导体激光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激光功率：10W/20W（选配）</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光斑尺寸：</w:t>
            </w:r>
          </w:p>
          <w:p w14:paraId="53D54A7B">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10W：0.075*0.18mm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20W：0.15*0.27mm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激光等级：四级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定位精度：0.01mm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重复定位精度：0.02mm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最高雕刻速度：24000 mm/min</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最大切割深度（椴木板）</w:t>
            </w:r>
          </w:p>
          <w:p w14:paraId="4EE1499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10W：6mm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20W：10mm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工作温度：0°C- 35°C</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支持雕刻的材料：椴木、桐木、松木、胶合板、榉木、胡桃木、竹子、中密度纤维板、漆面金属、马口铁、不锈钢、阳极氧化铝、深色玻璃、板岩、陶瓷、玉、大理石、页岩、皮革、织物、帆布、瓦楞纸、卡纸、塑料、深色亚克力（蓝色除外）</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支持切割的材料：椴木、桐木、松木、胶合板、榉木、胡桃木、竹子、中密度纤维板、皮革、织物、帆布、瓦楞纸、卡纸、塑料、深色亚克力（蓝色除外）</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006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A02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0E9C9">
            <w:pPr>
              <w:jc w:val="left"/>
              <w:rPr>
                <w:rFonts w:hint="eastAsia" w:ascii="宋体" w:hAnsi="宋体" w:eastAsia="宋体" w:cs="宋体"/>
                <w:i w:val="0"/>
                <w:iCs w:val="0"/>
                <w:color w:val="auto"/>
                <w:sz w:val="21"/>
                <w:szCs w:val="21"/>
                <w:highlight w:val="none"/>
                <w:u w:val="none"/>
              </w:rPr>
            </w:pPr>
          </w:p>
        </w:tc>
      </w:tr>
      <w:tr w14:paraId="19A03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6D8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080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3D打印机耗材</w:t>
            </w:r>
          </w:p>
        </w:tc>
        <w:tc>
          <w:tcPr>
            <w:tcW w:w="28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1B59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PLA基础色1000k（带料盘）</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EB2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kg</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57D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66DAB">
            <w:pPr>
              <w:jc w:val="left"/>
              <w:rPr>
                <w:rFonts w:hint="eastAsia" w:ascii="宋体" w:hAnsi="宋体" w:eastAsia="宋体" w:cs="宋体"/>
                <w:i w:val="0"/>
                <w:iCs w:val="0"/>
                <w:color w:val="auto"/>
                <w:sz w:val="21"/>
                <w:szCs w:val="21"/>
                <w:highlight w:val="none"/>
                <w:u w:val="none"/>
              </w:rPr>
            </w:pPr>
          </w:p>
        </w:tc>
      </w:tr>
      <w:tr w14:paraId="026FC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372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44EA3">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五、比赛设备</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F188D">
            <w:pPr>
              <w:jc w:val="center"/>
              <w:rPr>
                <w:rFonts w:hint="eastAsia" w:ascii="宋体" w:hAnsi="宋体" w:eastAsia="宋体" w:cs="宋体"/>
                <w:b/>
                <w:bCs/>
                <w:i w:val="0"/>
                <w:iCs w:val="0"/>
                <w:color w:val="auto"/>
                <w:sz w:val="21"/>
                <w:szCs w:val="21"/>
                <w:highlight w:val="none"/>
                <w:u w:val="none"/>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E1ACD">
            <w:pPr>
              <w:jc w:val="center"/>
              <w:rPr>
                <w:rFonts w:hint="eastAsia" w:ascii="宋体" w:hAnsi="宋体" w:eastAsia="宋体" w:cs="宋体"/>
                <w:b/>
                <w:bCs/>
                <w:i w:val="0"/>
                <w:iCs w:val="0"/>
                <w:color w:val="auto"/>
                <w:sz w:val="21"/>
                <w:szCs w:val="21"/>
                <w:highlight w:val="none"/>
                <w:u w:val="none"/>
              </w:rPr>
            </w:pP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B877B">
            <w:pPr>
              <w:jc w:val="left"/>
              <w:rPr>
                <w:rFonts w:hint="eastAsia" w:ascii="宋体" w:hAnsi="宋体" w:eastAsia="宋体" w:cs="宋体"/>
                <w:i w:val="0"/>
                <w:iCs w:val="0"/>
                <w:color w:val="auto"/>
                <w:sz w:val="21"/>
                <w:szCs w:val="21"/>
                <w:highlight w:val="none"/>
                <w:u w:val="none"/>
              </w:rPr>
            </w:pPr>
          </w:p>
        </w:tc>
      </w:tr>
      <w:tr w14:paraId="1B145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89A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4C2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积木机器人竞赛普及套装2026版</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1E3E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▲1、控制器：RAM 32位Cortex处理器，240Mhz，4M flash，224K</w:t>
            </w:r>
            <w:r>
              <w:rPr>
                <w:rFonts w:hint="eastAsia" w:ascii="宋体" w:hAnsi="宋体" w:eastAsia="宋体" w:cs="宋体"/>
                <w:i w:val="0"/>
                <w:iCs w:val="0"/>
                <w:color w:val="auto"/>
                <w:sz w:val="21"/>
                <w:szCs w:val="21"/>
                <w:highlight w:val="none"/>
                <w:u w:val="none"/>
                <w:lang w:val="en-US" w:eastAsia="zh-CN"/>
              </w:rPr>
              <w:t xml:space="preserve"> R</w:t>
            </w:r>
            <w:r>
              <w:rPr>
                <w:rFonts w:hint="eastAsia" w:ascii="宋体" w:hAnsi="宋体" w:eastAsia="宋体" w:cs="宋体"/>
                <w:i w:val="0"/>
                <w:iCs w:val="0"/>
                <w:color w:val="auto"/>
                <w:sz w:val="21"/>
                <w:szCs w:val="21"/>
                <w:highlight w:val="none"/>
                <w:u w:val="none"/>
              </w:rPr>
              <w:t>AM，可存储30条以上程序。128*64L</w:t>
            </w:r>
            <w:r>
              <w:rPr>
                <w:rFonts w:hint="eastAsia" w:ascii="宋体" w:hAnsi="宋体" w:eastAsia="宋体" w:cs="宋体"/>
                <w:i w:val="0"/>
                <w:iCs w:val="0"/>
                <w:color w:val="auto"/>
                <w:sz w:val="21"/>
                <w:szCs w:val="21"/>
                <w:highlight w:val="none"/>
                <w:u w:val="none"/>
                <w:lang w:val="en-US" w:eastAsia="zh-CN"/>
              </w:rPr>
              <w:t>CD</w:t>
            </w:r>
            <w:r>
              <w:rPr>
                <w:rFonts w:hint="eastAsia" w:ascii="宋体" w:hAnsi="宋体" w:eastAsia="宋体" w:cs="宋体"/>
                <w:i w:val="0"/>
                <w:iCs w:val="0"/>
                <w:color w:val="auto"/>
                <w:sz w:val="21"/>
                <w:szCs w:val="21"/>
                <w:highlight w:val="none"/>
                <w:u w:val="none"/>
              </w:rPr>
              <w:t>背光，支持中文、英文显示。4个按键，一个开机及运行程序合用键，一个返回键，两个左右选择键；提供16路各类输入输出接口，其中10路数字/模拟/I^2C接口（AI、DO）；提供4路闭环电机控制接口，单路最大电流1.5A；2路485伺服电机串行接口，最大电流6A；USB口有两种工作模式，一种为U盘下载模式；另一种为在在线运行模式；内置蓝牙，可通过手机APP或遥控器连接。可在文件界面选择不同的程序并运行；支持中文、英文；电池电压显示，声音播放；可测试单个电机及全部电机正反转，可反馈闭环速度值；可测试10路模拟端口传感器值，或控制10路数字端口状态；可设置EEPROM中的参数；并控制声音开关的开关。内置轻量级嵌入式实时机器人操作系统。系统工作电压6.5~10V。</w:t>
            </w:r>
          </w:p>
          <w:p w14:paraId="0674F72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结构件（含传动件）：集成式底盘，方便快速组装成车体。支持多种运动方式；结构件设计比例基于标准的10毫米积木，拼插式搭建方式，无螺丝搭建设计。组件数量不少于323个，组件种类不少于40种。主要构件梁、销、轴类构件单点固定牢固，可承担扭转力矩大于1N.m。各种类型结构部件还以颜色区分。</w:t>
            </w:r>
          </w:p>
          <w:p w14:paraId="37503B0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3、传动件：9种齿轮16个，包含：8直齿齿轮2个、16直齿齿轮2个、24直齿齿轮2个，20齿半高锥齿轮2个、36锥直齿轮1 个、12半高锥齿2个，12锥直齿2个,蜗杆1个、带销齿条2个。</w:t>
            </w:r>
          </w:p>
          <w:p w14:paraId="33EDAFB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▲4、传感器：地面灰度传感器 （红灯版，工作电压5V，自发射调制光线，抗环境光干扰，检测灰阶）5个；NFC读卡模块1个（带广西专属密钥识别）；V3点阵屏1个；</w:t>
            </w:r>
          </w:p>
          <w:p w14:paraId="09234D4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▲5、执行器：闭环电机3个（工作电压7.2V-8.4V，空载转速400±10 rpm，旋转扭矩0.05N*M，堵转扭矩0.25N*M）；气泵盒组件1个(单吸盘，可通过DO控制)。</w:t>
            </w:r>
          </w:p>
          <w:p w14:paraId="25A6F41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6、能源：7.4V1500mAh专用锂电池</w:t>
            </w:r>
          </w:p>
          <w:p w14:paraId="0B3FD0E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7、编程：AI Module 软件，支持流程图编程、标准C语言编程、Python编程、Scrach编程、动作编辑器五种编程方式。流程图模块包含所有端口功能，支持子程序功能等可视化编程。含有动作、传感器、控制、程序、数据、高级、巡线、AI、8大功能模块；基于全新QT平台开发，可适用于Windows、MAC等操作系统，同时可以多线程编程。流程图可自动生成C语言，C语言支持指针、数组、结构体等复杂应用。库函数全开放。可以直接使用 Python语言编写程序，也可以将编写好的流程图或者 Scrach编程程序一键切换为Python代码，进阶学习专业编程 。</w:t>
            </w:r>
          </w:p>
          <w:p w14:paraId="3CC12D2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8、其他：符合广西电教赛、北部湾赛竞赛要求。</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A00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83A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4C3DE">
            <w:pPr>
              <w:jc w:val="left"/>
              <w:rPr>
                <w:rFonts w:hint="eastAsia" w:ascii="宋体" w:hAnsi="宋体" w:eastAsia="宋体" w:cs="宋体"/>
                <w:i w:val="0"/>
                <w:iCs w:val="0"/>
                <w:color w:val="auto"/>
                <w:sz w:val="21"/>
                <w:szCs w:val="21"/>
                <w:highlight w:val="none"/>
                <w:u w:val="none"/>
              </w:rPr>
            </w:pPr>
          </w:p>
        </w:tc>
      </w:tr>
      <w:tr w14:paraId="2CFAA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BD6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36F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普及赛场地套装</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45BB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1、该套装包含2026年活动场地任务模型零件（不少于359个），可搭建8组任务模型：指南针、造纸术、火药、活字印刷、地动仪、金字塔、长城、以及一种障碍物，配有固定场地任务模型专用魔术贴。</w:t>
            </w:r>
            <w:r>
              <w:rPr>
                <w:rFonts w:hint="eastAsia" w:ascii="宋体" w:hAnsi="宋体" w:eastAsia="宋体" w:cs="宋体"/>
                <w:i w:val="0"/>
                <w:iCs w:val="0"/>
                <w:color w:val="auto"/>
                <w:sz w:val="21"/>
                <w:szCs w:val="21"/>
                <w:highlight w:val="none"/>
                <w:u w:val="none"/>
                <w:lang w:val="en-US" w:eastAsia="zh-CN"/>
              </w:rPr>
              <w:br w:type="textWrapping"/>
            </w:r>
            <w:r>
              <w:rPr>
                <w:rFonts w:hint="eastAsia" w:ascii="宋体" w:hAnsi="宋体" w:eastAsia="宋体" w:cs="宋体"/>
                <w:i w:val="0"/>
                <w:iCs w:val="0"/>
                <w:color w:val="auto"/>
                <w:sz w:val="21"/>
                <w:szCs w:val="21"/>
                <w:highlight w:val="none"/>
                <w:u w:val="none"/>
                <w:lang w:val="en-US" w:eastAsia="zh-CN"/>
              </w:rPr>
              <w:t>2、包含2026年活动专用场地纸1张（尺寸2.16米*1.2米），单独包装。包含 NFC广西版密钥卡片（A、B、C、D)4张，包含任务模型贴图1套,基地贴图AKODIN2026两张。</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0CA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8E2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6E225">
            <w:pPr>
              <w:jc w:val="left"/>
              <w:rPr>
                <w:rFonts w:hint="eastAsia" w:ascii="宋体" w:hAnsi="宋体" w:eastAsia="宋体" w:cs="宋体"/>
                <w:i w:val="0"/>
                <w:iCs w:val="0"/>
                <w:color w:val="auto"/>
                <w:sz w:val="21"/>
                <w:szCs w:val="21"/>
                <w:highlight w:val="none"/>
                <w:u w:val="none"/>
              </w:rPr>
            </w:pPr>
          </w:p>
        </w:tc>
      </w:tr>
      <w:tr w14:paraId="50E2D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5E3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440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人工智能积木普及套装</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0162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1、控制器：32位Cortex-M3处理器，240Mhz，4M flash，224K RAM，可存储30条以上程序。128*64LCD背光，支持中文、英文显示。4个按键，一个开机及运行程序合用键，一个返回键，两个左右选择键；提供16路各类输入输出接口，其中10路数字/模拟/I^2C接口（AI、DO）；提供4路闭环电机控制接口，单路最大电流1.5A；2路485伺服电机串行接口，最大电流6A；USB口有两种工作模式，一种为U盘下载模式；另一种为在在线运行模式；内置蓝牙，可通过手机APP或遥控器连接。可在文件界面选择不同的程序并运行；支持中文、英文；电池电压显示，声音播放；可测试单个电机及全部电机正反转，可反馈闭环速度值；可测试10路模拟端口传感器值，或控制10路数字端口状态；可设置EEPROM中的参数；并控制声音开关的开关。系统工作电压6.5~10V。</w:t>
            </w:r>
          </w:p>
          <w:p w14:paraId="5988942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2、遥控手柄（蓝牙版）1个：2个4方向遥杆，1个开关机键，1个蓝牙配对键，16个功能按键。可通过编程实现自定义功能。</w:t>
            </w:r>
            <w:r>
              <w:rPr>
                <w:rFonts w:hint="eastAsia" w:ascii="宋体" w:hAnsi="宋体" w:eastAsia="宋体" w:cs="宋体"/>
                <w:i w:val="0"/>
                <w:iCs w:val="0"/>
                <w:color w:val="auto"/>
                <w:sz w:val="21"/>
                <w:szCs w:val="21"/>
                <w:highlight w:val="none"/>
                <w:u w:val="none"/>
                <w:lang w:val="en-US" w:eastAsia="zh-CN"/>
              </w:rPr>
              <w:br w:type="textWrapping"/>
            </w:r>
            <w:r>
              <w:rPr>
                <w:rFonts w:hint="eastAsia" w:ascii="宋体" w:hAnsi="宋体" w:eastAsia="宋体" w:cs="宋体"/>
                <w:i w:val="0"/>
                <w:iCs w:val="0"/>
                <w:color w:val="auto"/>
                <w:sz w:val="21"/>
                <w:szCs w:val="21"/>
                <w:highlight w:val="none"/>
                <w:u w:val="none"/>
                <w:lang w:val="en-US" w:eastAsia="zh-CN"/>
              </w:rPr>
              <w:t>3、传感器：地面灰度传感器（红灯版，工作电压5V，自发射调制光线，抗环境光干扰，检测灰阶）5个。</w:t>
            </w:r>
            <w:r>
              <w:rPr>
                <w:rFonts w:hint="eastAsia" w:ascii="宋体" w:hAnsi="宋体" w:eastAsia="宋体" w:cs="宋体"/>
                <w:i w:val="0"/>
                <w:iCs w:val="0"/>
                <w:color w:val="auto"/>
                <w:sz w:val="21"/>
                <w:szCs w:val="21"/>
                <w:highlight w:val="none"/>
                <w:u w:val="none"/>
                <w:lang w:val="en-US" w:eastAsia="zh-CN"/>
              </w:rPr>
              <w:br w:type="textWrapping"/>
            </w:r>
            <w:r>
              <w:rPr>
                <w:rFonts w:hint="eastAsia" w:ascii="宋体" w:hAnsi="宋体" w:eastAsia="宋体" w:cs="宋体"/>
                <w:i w:val="0"/>
                <w:iCs w:val="0"/>
                <w:color w:val="auto"/>
                <w:sz w:val="21"/>
                <w:szCs w:val="21"/>
                <w:highlight w:val="none"/>
                <w:u w:val="none"/>
                <w:lang w:val="en-US" w:eastAsia="zh-CN"/>
              </w:rPr>
              <w:t>4、执行器：闭环电机（工作电压7.2V-8.4V，空载转速400±10 rpm，旋转扭矩0.05N*M，堵转扭矩0.25N*M）4个；</w:t>
            </w:r>
            <w:r>
              <w:rPr>
                <w:rFonts w:hint="eastAsia" w:ascii="宋体" w:hAnsi="宋体" w:eastAsia="宋体" w:cs="宋体"/>
                <w:i w:val="0"/>
                <w:iCs w:val="0"/>
                <w:color w:val="auto"/>
                <w:sz w:val="21"/>
                <w:szCs w:val="21"/>
                <w:highlight w:val="none"/>
                <w:u w:val="none"/>
                <w:lang w:val="en-US" w:eastAsia="zh-CN"/>
              </w:rPr>
              <w:br w:type="textWrapping"/>
            </w:r>
            <w:r>
              <w:rPr>
                <w:rFonts w:hint="eastAsia" w:ascii="宋体" w:hAnsi="宋体" w:eastAsia="宋体" w:cs="宋体"/>
                <w:i w:val="0"/>
                <w:iCs w:val="0"/>
                <w:color w:val="auto"/>
                <w:sz w:val="21"/>
                <w:szCs w:val="21"/>
                <w:highlight w:val="none"/>
                <w:u w:val="none"/>
                <w:lang w:val="en-US" w:eastAsia="zh-CN"/>
              </w:rPr>
              <w:t>气泵套装（单吸盘，可通过DO控制）1个；</w:t>
            </w:r>
            <w:r>
              <w:rPr>
                <w:rFonts w:hint="eastAsia" w:ascii="宋体" w:hAnsi="宋体" w:eastAsia="宋体" w:cs="宋体"/>
                <w:i w:val="0"/>
                <w:iCs w:val="0"/>
                <w:color w:val="auto"/>
                <w:sz w:val="21"/>
                <w:szCs w:val="21"/>
                <w:highlight w:val="none"/>
                <w:u w:val="none"/>
                <w:lang w:val="en-US" w:eastAsia="zh-CN"/>
              </w:rPr>
              <w:br w:type="textWrapping"/>
            </w:r>
            <w:r>
              <w:rPr>
                <w:rFonts w:hint="eastAsia" w:ascii="宋体" w:hAnsi="宋体" w:eastAsia="宋体" w:cs="宋体"/>
                <w:i w:val="0"/>
                <w:iCs w:val="0"/>
                <w:color w:val="auto"/>
                <w:sz w:val="21"/>
                <w:szCs w:val="21"/>
                <w:highlight w:val="none"/>
                <w:u w:val="none"/>
                <w:lang w:val="en-US" w:eastAsia="zh-CN"/>
              </w:rPr>
              <w:t>9#伺服电机（最大扭矩20kgf.cm，串行总线控制方式 ，可与梁、销、轴等快速搭建）2个。</w:t>
            </w:r>
            <w:r>
              <w:rPr>
                <w:rFonts w:hint="eastAsia" w:ascii="宋体" w:hAnsi="宋体" w:eastAsia="宋体" w:cs="宋体"/>
                <w:i w:val="0"/>
                <w:iCs w:val="0"/>
                <w:color w:val="auto"/>
                <w:sz w:val="21"/>
                <w:szCs w:val="21"/>
                <w:highlight w:val="none"/>
                <w:u w:val="none"/>
                <w:lang w:val="en-US" w:eastAsia="zh-CN"/>
              </w:rPr>
              <w:br w:type="textWrapping"/>
            </w:r>
            <w:r>
              <w:rPr>
                <w:rFonts w:hint="eastAsia" w:ascii="宋体" w:hAnsi="宋体" w:eastAsia="宋体" w:cs="宋体"/>
                <w:i w:val="0"/>
                <w:iCs w:val="0"/>
                <w:color w:val="auto"/>
                <w:sz w:val="21"/>
                <w:szCs w:val="21"/>
                <w:highlight w:val="none"/>
                <w:u w:val="none"/>
                <w:lang w:val="en-US" w:eastAsia="zh-CN"/>
              </w:rPr>
              <w:t>5、结构件（含传动件）：集成式底盘，方便快速组装成车体 。支持多种运动方式 ；结构件设计比例基于标准的 10毫米积木，拼插式搭建方式，无螺丝搭建设计。组件数量不少于460个，组件种类不少于45种。主要构件梁、销、轴类构件单点固定牢固，可承担扭转力矩大于 1N.m。各种类型结构部件还以颜色区分 。</w:t>
            </w:r>
            <w:r>
              <w:rPr>
                <w:rFonts w:hint="eastAsia" w:ascii="宋体" w:hAnsi="宋体" w:eastAsia="宋体" w:cs="宋体"/>
                <w:i w:val="0"/>
                <w:iCs w:val="0"/>
                <w:color w:val="auto"/>
                <w:sz w:val="21"/>
                <w:szCs w:val="21"/>
                <w:highlight w:val="none"/>
                <w:u w:val="none"/>
                <w:lang w:val="en-US" w:eastAsia="zh-CN"/>
              </w:rPr>
              <w:br w:type="textWrapping"/>
            </w:r>
            <w:r>
              <w:rPr>
                <w:rFonts w:hint="eastAsia" w:ascii="宋体" w:hAnsi="宋体" w:eastAsia="宋体" w:cs="宋体"/>
                <w:i w:val="0"/>
                <w:iCs w:val="0"/>
                <w:color w:val="auto"/>
                <w:sz w:val="21"/>
                <w:szCs w:val="21"/>
                <w:highlight w:val="none"/>
                <w:u w:val="none"/>
                <w:lang w:val="en-US" w:eastAsia="zh-CN"/>
              </w:rPr>
              <w:t>6、传动件：12半高锥齿2个，20半高锥齿2个，12锥直齿1个，20锥直齿1个，36锥直齿1个，8直齿齿轮2个，16直齿齿</w:t>
            </w:r>
            <w:r>
              <w:rPr>
                <w:rFonts w:hint="eastAsia" w:ascii="宋体" w:hAnsi="宋体" w:eastAsia="宋体" w:cs="宋体"/>
                <w:i w:val="0"/>
                <w:iCs w:val="0"/>
                <w:color w:val="auto"/>
                <w:sz w:val="21"/>
                <w:szCs w:val="21"/>
                <w:highlight w:val="none"/>
                <w:u w:val="none"/>
                <w:lang w:val="en-US" w:eastAsia="zh-CN"/>
              </w:rPr>
              <w:br w:type="textWrapping"/>
            </w:r>
            <w:r>
              <w:rPr>
                <w:rFonts w:hint="eastAsia" w:ascii="宋体" w:hAnsi="宋体" w:eastAsia="宋体" w:cs="宋体"/>
                <w:i w:val="0"/>
                <w:iCs w:val="0"/>
                <w:color w:val="auto"/>
                <w:sz w:val="21"/>
                <w:szCs w:val="21"/>
                <w:highlight w:val="none"/>
                <w:u w:val="none"/>
                <w:lang w:val="en-US" w:eastAsia="zh-CN"/>
              </w:rPr>
              <w:t>轮2个，24直齿齿轮2个，齿条8个。</w:t>
            </w:r>
            <w:r>
              <w:rPr>
                <w:rFonts w:hint="eastAsia" w:ascii="宋体" w:hAnsi="宋体" w:eastAsia="宋体" w:cs="宋体"/>
                <w:i w:val="0"/>
                <w:iCs w:val="0"/>
                <w:color w:val="auto"/>
                <w:sz w:val="21"/>
                <w:szCs w:val="21"/>
                <w:highlight w:val="none"/>
                <w:u w:val="none"/>
                <w:lang w:val="en-US" w:eastAsia="zh-CN"/>
              </w:rPr>
              <w:br w:type="textWrapping"/>
            </w:r>
            <w:r>
              <w:rPr>
                <w:rFonts w:hint="eastAsia" w:ascii="宋体" w:hAnsi="宋体" w:eastAsia="宋体" w:cs="宋体"/>
                <w:i w:val="0"/>
                <w:iCs w:val="0"/>
                <w:color w:val="auto"/>
                <w:sz w:val="21"/>
                <w:szCs w:val="21"/>
                <w:highlight w:val="none"/>
                <w:u w:val="none"/>
                <w:lang w:val="en-US" w:eastAsia="zh-CN"/>
              </w:rPr>
              <w:t>7、能源：7.4V 1500mAh专用锂电池，专用适配器1个。</w:t>
            </w:r>
            <w:r>
              <w:rPr>
                <w:rFonts w:hint="eastAsia" w:ascii="宋体" w:hAnsi="宋体" w:eastAsia="宋体" w:cs="宋体"/>
                <w:i w:val="0"/>
                <w:iCs w:val="0"/>
                <w:color w:val="auto"/>
                <w:sz w:val="21"/>
                <w:szCs w:val="21"/>
                <w:highlight w:val="none"/>
                <w:u w:val="none"/>
                <w:lang w:val="en-US" w:eastAsia="zh-CN"/>
              </w:rPr>
              <w:br w:type="textWrapping"/>
            </w:r>
            <w:r>
              <w:rPr>
                <w:rFonts w:hint="eastAsia" w:ascii="宋体" w:hAnsi="宋体" w:eastAsia="宋体" w:cs="宋体"/>
                <w:i w:val="0"/>
                <w:iCs w:val="0"/>
                <w:color w:val="auto"/>
                <w:sz w:val="21"/>
                <w:szCs w:val="21"/>
                <w:highlight w:val="none"/>
                <w:u w:val="none"/>
                <w:lang w:val="en-US" w:eastAsia="zh-CN"/>
              </w:rPr>
              <w:t>8、编程：AI Module 软件，支持流程图编程 、标准C语言编程、Python编程、Scrach编程、动作编辑器五种编程方式 。流程图模块包含所有端口功能 ，支持子程序功能等可视化编程 。含有动作、传感器、控制、程序、数据、高级、巡线、AI 、8大功能模块；基于全新QT平台开发，可适用于Windows等操作系统，同时可以多线程编程 。流程图可自动生成 C语言，C语言支持指针、数组、结构体等复杂应用 。库函数全开放。可以直接使用 Python语言编写程序，也可以将编写好的流程图或者 Scrach编程程序一键切换为Python代码，进阶学习专业编程 。</w:t>
            </w:r>
            <w:r>
              <w:rPr>
                <w:rFonts w:hint="eastAsia" w:ascii="宋体" w:hAnsi="宋体" w:eastAsia="宋体" w:cs="宋体"/>
                <w:i w:val="0"/>
                <w:iCs w:val="0"/>
                <w:color w:val="auto"/>
                <w:sz w:val="21"/>
                <w:szCs w:val="21"/>
                <w:highlight w:val="none"/>
                <w:u w:val="none"/>
                <w:lang w:val="en-US" w:eastAsia="zh-CN"/>
              </w:rPr>
              <w:br w:type="textWrapping"/>
            </w:r>
            <w:r>
              <w:rPr>
                <w:rFonts w:hint="eastAsia" w:ascii="宋体" w:hAnsi="宋体" w:eastAsia="宋体" w:cs="宋体"/>
                <w:i w:val="0"/>
                <w:iCs w:val="0"/>
                <w:color w:val="auto"/>
                <w:sz w:val="21"/>
                <w:szCs w:val="21"/>
                <w:highlight w:val="none"/>
                <w:u w:val="none"/>
                <w:lang w:val="en-US" w:eastAsia="zh-CN"/>
              </w:rPr>
              <w:t>9、其他：符合广西电教赛、北部湾赛竞赛要求。</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A26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6FC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45926">
            <w:pPr>
              <w:jc w:val="left"/>
              <w:rPr>
                <w:rFonts w:hint="eastAsia" w:ascii="宋体" w:hAnsi="宋体" w:eastAsia="宋体" w:cs="宋体"/>
                <w:i w:val="0"/>
                <w:iCs w:val="0"/>
                <w:color w:val="auto"/>
                <w:sz w:val="21"/>
                <w:szCs w:val="21"/>
                <w:highlight w:val="none"/>
                <w:u w:val="none"/>
              </w:rPr>
            </w:pPr>
          </w:p>
        </w:tc>
      </w:tr>
      <w:tr w14:paraId="5C71C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F1A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51E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普及赛场地套装</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D5AA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1、该套装包含2026年活动场地任务模型零件（不少于827个），可搭建4组任务模型：火力全开-红、火力全开-蓝、收集框、勇夺堡垒，配有固定场地任务模型专用魔术贴。</w:t>
            </w:r>
          </w:p>
          <w:p w14:paraId="7321350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2、包含2026年活动专用场地纸1张（尺寸2.16米*1.2米），单独包装。</w:t>
            </w:r>
          </w:p>
          <w:p w14:paraId="6451270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3、包含场地边框（场地直角组件4个、直边组件18个、底板（32x32cm）28个，以及固定赛台与场地图的螺丝刀、销、布基胶带）</w:t>
            </w:r>
          </w:p>
          <w:p w14:paraId="271CF20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4、包含NFC广西版密钥卡片（A卡、B卡、C卡、D卡)4张</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EF0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A92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7818C">
            <w:pPr>
              <w:jc w:val="left"/>
              <w:rPr>
                <w:rFonts w:hint="eastAsia" w:ascii="宋体" w:hAnsi="宋体" w:eastAsia="宋体" w:cs="宋体"/>
                <w:i w:val="0"/>
                <w:iCs w:val="0"/>
                <w:color w:val="auto"/>
                <w:sz w:val="21"/>
                <w:szCs w:val="21"/>
                <w:highlight w:val="none"/>
                <w:u w:val="none"/>
              </w:rPr>
            </w:pPr>
          </w:p>
        </w:tc>
      </w:tr>
      <w:tr w14:paraId="06CC9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639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C57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创新风暴机器人教育系统V1.0</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C2217">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1、主控器1个：采用Cortex-M7系列芯片，运行速度480MHz，864KB SRAM，2M FLASH；3.2寸 240*320 电容触摸屏幕，支持多点触摸，内置SD NAND芯片，120MB空间存储程序和音频，内置喇叭，支持播放MP3和WAV，内置麦克风，内置蜂鸣器，内置EEPROM，2个可编程独立按键，8个RJ11传感器端口，其中2个支持串口，8个RJ11马达端口，支持编码功能，M1-M4最大电流1.5A，M5-M8最大电流2.8A，内置电池7.4V 2600mah，支持5V-2A充电 / PD9V快充，支持蓝牙5.0 ble+WIFI，尺寸110*70*38.2mm</w:t>
            </w:r>
          </w:p>
          <w:p w14:paraId="30EC732D">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2、电子部件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电子部件采用ABS一体外壳，支持RJ11接口、传感器</w:t>
            </w:r>
          </w:p>
          <w:p w14:paraId="4DA3AD96">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1)光电传感器3个：标准RCU通用电话线接口；工作电压4.5V–5V；连续模拟信号输出；带传感器类型识别电路；抗干扰性能提高；使用高度更加灵活；</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2)彩灯模块1个：标准RCU通用电话线接口；工作电压范围4.5V–5V；雾状三色灯；7种颜色状态;带传感器类型识别电路；功耗低、体积小。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3)触碰传感器2个：标准RCU通用电话线接口；工作电压范围4.5V–5V；具有体积小，灵敏度与响应速度高。带传感器类型识别电路；低耗能、工作可靠、电路简单、免调试，操作方便。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4)视觉模块1个：主芯片：大核1GHz RISC-V C906 / ARM A53；小核700MHz RISC-V C906；低功耗核25～300M 8051，1TOPS INT8 支持 BF16，256MB DDR3，YOLO11n 640x640 23 FPS，H.264/H.265 /MJPEG 硬解码，支持 2k@30fps 编解码，Linux系统，摄像头200W像素，角度90°，显示屏2.4寸，分辨率480*640，多点触摸电容屏，TF卡座，带32G TF卡，模拟麦克风，内置6轴陀螺仪，用户按键一个，复位按键一个，WIFI6 2.4G+5G双频，内置网卡，蓝牙5.4，电源指示灯，运行状态指示灯，板载 BM8653 RTC 芯片+纽扣电池，断电时间仍然正确，TPYE-C USB2.0，调试程序和数据传输、供电，支持Device和Host模式，支持 USB 摄像头，外部接口：PH1.25mm 6pin，串口尺寸20*70*63mm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5)激光传感器1个：标准RCU通用电话线接口；工作电压范围4.5V–5V；检测距离2-120cm，精度1cm。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大型减速电机2个：标准RCU通用电话线接口，电压范围：6-8.4V(DC)，额定电压：7.4V，空载电流：≤150mA，空载速度：200rmp±10%，堵转电流：≤2A，堵转扭矩：≥3.0kgf.cm，额定扭矩：0.75kgf.cm，编码精度：360/圈，连接端口：RJ11-6P标准电话线接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7)数字舵机1个：标准RCU通用电话线接口，角度控制范围：0-359°，宽电压范围供电:  DC 5V～9V；大扭矩：&gt;=8 Kgf.cm ( AT:5V )，转速：&lt;=0.2S/60°；减速比：1：279；高精度全金属齿轮组，双滚珠轴承；I2C总线连接，理论可并联250个单元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8)姿态传感器1 个：标准RCU通用电话线接口；工作电压范围4.5V–5V；I2C通讯方式具备自动校准功能;提供姿态方位数据（AHRS）;具备加速度和角速度测量功能；角度精度±0.1°；加速度精度±0.01°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3、积木结构件：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（1）孔距：标准的10毫米积木，无螺丝的搭建设计。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（2）数量：≥ 425个积木件。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（3）种类：≥80种。</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（4）辅助结构部件：≥ 7 类含：梁类、齿轮、轴类 、实销类、虚销类、连接销、紧固件；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（5）积木颜色：≥10种（含有红、黄、蓝、绿、灰、深灰、白、土黄、黄色、黑等颜色）。</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（6）齿轮类：≥6种：可实现多种传动方式。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（7）梁类：各种直梁和异形梁等，≥27种。</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（8）销类：用于连接、紧固的各种销≥13种，有丰富的搭建方式且易于实现。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5、轮胎：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（1）数量：两个硅胶轮胎。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（2）规格：轮毂65x20mm，硅胶胎皮70x20mm。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6、包装：配有一个套装塑料箱和一个分类盒。</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7、软件：机器人编程软件同时支持图形化编程和代码编程方式。可以支持SCRATCH2.0和SCRATCH3.0编程方式；支持控制器通过内置蓝牙直接连接 SCRATCH 在线编程与下载，具备多任务编程方式；支持手机/平板APP 的程序编写、遥控与Python文件程序下载并保存控制器磁盘中；且APP内可提供3D搭建图；控制器同时支持Python语言和C语言，支持直接运行.py文件与.bin文件。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8、案例：包括但不限于：视觉识别机械手、自平衡自行车，自平衡机器人、蝎子机器人、视觉跟踪小车等</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725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849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0CB21">
            <w:pPr>
              <w:jc w:val="left"/>
              <w:rPr>
                <w:rFonts w:hint="eastAsia" w:ascii="宋体" w:hAnsi="宋体" w:eastAsia="宋体" w:cs="宋体"/>
                <w:i w:val="0"/>
                <w:iCs w:val="0"/>
                <w:color w:val="auto"/>
                <w:sz w:val="21"/>
                <w:szCs w:val="21"/>
                <w:highlight w:val="none"/>
                <w:u w:val="none"/>
              </w:rPr>
            </w:pPr>
          </w:p>
        </w:tc>
      </w:tr>
      <w:tr w14:paraId="6576C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AC8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E35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智能循迹模块</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2769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功能:七路黑白线检测，智能设定阈值，7种颜色自由切换；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参数:标准RCU通用电话线接口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IC通讯工作电压5V</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FE5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A82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87845">
            <w:pPr>
              <w:jc w:val="left"/>
              <w:rPr>
                <w:rFonts w:hint="eastAsia" w:ascii="宋体" w:hAnsi="宋体" w:eastAsia="宋体" w:cs="宋体"/>
                <w:i w:val="0"/>
                <w:iCs w:val="0"/>
                <w:color w:val="auto"/>
                <w:sz w:val="21"/>
                <w:szCs w:val="21"/>
                <w:highlight w:val="none"/>
                <w:u w:val="none"/>
              </w:rPr>
            </w:pPr>
          </w:p>
        </w:tc>
      </w:tr>
      <w:tr w14:paraId="0EA02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BDE0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CBE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中型积木减速电机（7.4V带编码版）</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404B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工作电压范围：7.4V-8.4V DC</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额定工作电压：7.4V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空载电流：&lt;130mA</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空载速度：160rpm10%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堵转电流：≤1.5A</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堵转扭矩：&gt;3.5kgf.cm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额定扭矩：0.87kgf.cm</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935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2F3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76BA2">
            <w:pPr>
              <w:jc w:val="left"/>
              <w:rPr>
                <w:rFonts w:hint="eastAsia" w:ascii="宋体" w:hAnsi="宋体" w:eastAsia="宋体" w:cs="宋体"/>
                <w:i w:val="0"/>
                <w:iCs w:val="0"/>
                <w:color w:val="auto"/>
                <w:sz w:val="21"/>
                <w:szCs w:val="21"/>
                <w:highlight w:val="none"/>
                <w:u w:val="none"/>
              </w:rPr>
            </w:pPr>
          </w:p>
        </w:tc>
      </w:tr>
      <w:tr w14:paraId="78A8D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5CD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C87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RFID模块</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DCAF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1、标准RCU通用电话线接口；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2、工作电压5V；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3、可以显示7种颜色；（RGB值可调）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4、功耗低；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5、内置13.56MHz复旦IC磁卡。</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1D0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A3A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C2C44">
            <w:pPr>
              <w:jc w:val="left"/>
              <w:rPr>
                <w:rFonts w:hint="eastAsia" w:ascii="宋体" w:hAnsi="宋体" w:eastAsia="宋体" w:cs="宋体"/>
                <w:i w:val="0"/>
                <w:iCs w:val="0"/>
                <w:color w:val="auto"/>
                <w:sz w:val="21"/>
                <w:szCs w:val="21"/>
                <w:highlight w:val="none"/>
                <w:u w:val="none"/>
              </w:rPr>
            </w:pPr>
          </w:p>
        </w:tc>
      </w:tr>
      <w:tr w14:paraId="16E27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6D0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D83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竞赛版积木数字舵机(带线)</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D1F94">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电压范围:5V-9V(DC)</w:t>
            </w:r>
          </w:p>
          <w:p w14:paraId="42EC59E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工作角度:0-3599</w:t>
            </w:r>
          </w:p>
          <w:p w14:paraId="7472FF5E">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定位精度:≤1!</w:t>
            </w:r>
          </w:p>
          <w:p w14:paraId="03C01DFD">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最大速度:≤0.2Sec/609</w:t>
            </w:r>
          </w:p>
          <w:p w14:paraId="138034A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最大扭矩:≥8 kgf.cm(AT:5V)</w:t>
            </w:r>
          </w:p>
          <w:p w14:paraId="0ADBACF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其它特征:高精度全金属齿轮组;双滚珠轴承</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E8B6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9DB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FECE5">
            <w:pPr>
              <w:jc w:val="left"/>
              <w:rPr>
                <w:rFonts w:hint="eastAsia" w:ascii="宋体" w:hAnsi="宋体" w:eastAsia="宋体" w:cs="宋体"/>
                <w:i w:val="0"/>
                <w:iCs w:val="0"/>
                <w:color w:val="auto"/>
                <w:sz w:val="21"/>
                <w:szCs w:val="21"/>
                <w:highlight w:val="none"/>
                <w:u w:val="none"/>
              </w:rPr>
            </w:pPr>
          </w:p>
        </w:tc>
      </w:tr>
      <w:tr w14:paraId="46930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984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9BB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超级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轨迹赛道具包挑战组</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8809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符合2026年超级轨迹</w:t>
            </w:r>
            <w:r>
              <w:rPr>
                <w:rFonts w:hint="eastAsia" w:ascii="宋体" w:hAnsi="宋体" w:cs="宋体"/>
                <w:i w:val="0"/>
                <w:iCs w:val="0"/>
                <w:color w:val="auto"/>
                <w:kern w:val="0"/>
                <w:sz w:val="21"/>
                <w:szCs w:val="21"/>
                <w:highlight w:val="none"/>
                <w:u w:val="none"/>
                <w:lang w:val="en-US" w:eastAsia="zh-CN" w:bidi="ar"/>
              </w:rPr>
              <w:t>赛</w:t>
            </w:r>
            <w:r>
              <w:rPr>
                <w:rFonts w:hint="eastAsia" w:ascii="宋体" w:hAnsi="宋体" w:eastAsia="宋体" w:cs="宋体"/>
                <w:i w:val="0"/>
                <w:iCs w:val="0"/>
                <w:color w:val="auto"/>
                <w:kern w:val="0"/>
                <w:sz w:val="21"/>
                <w:szCs w:val="21"/>
                <w:highlight w:val="none"/>
                <w:u w:val="none"/>
                <w:lang w:val="en-US" w:eastAsia="zh-CN" w:bidi="ar"/>
              </w:rPr>
              <w:t>要求。主要元器件包含超级轨迹赛场地任务道具，能够完成超级轨迹规则要求的所有任务模型的搭建。包含场地布置方法说明和任务模型搭建说明。道具为拼插式搭建方式，搭建过程不需要使用螺钉。含2幅不同尺寸场地纸，分别为尺寸：1.5*2.5m（刀刮布）和2*3m（喷绘布）</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9A5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A94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540DF">
            <w:pPr>
              <w:jc w:val="left"/>
              <w:rPr>
                <w:rFonts w:hint="eastAsia" w:ascii="宋体" w:hAnsi="宋体" w:eastAsia="宋体" w:cs="宋体"/>
                <w:i w:val="0"/>
                <w:iCs w:val="0"/>
                <w:color w:val="auto"/>
                <w:sz w:val="21"/>
                <w:szCs w:val="21"/>
                <w:highlight w:val="none"/>
                <w:u w:val="none"/>
              </w:rPr>
            </w:pPr>
          </w:p>
        </w:tc>
      </w:tr>
      <w:tr w14:paraId="649F6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372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9B50A">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六、教学设备类</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55D34">
            <w:pPr>
              <w:jc w:val="center"/>
              <w:rPr>
                <w:rFonts w:hint="eastAsia" w:ascii="宋体" w:hAnsi="宋体" w:eastAsia="宋体" w:cs="宋体"/>
                <w:b/>
                <w:bCs/>
                <w:i w:val="0"/>
                <w:iCs w:val="0"/>
                <w:color w:val="auto"/>
                <w:sz w:val="21"/>
                <w:szCs w:val="21"/>
                <w:highlight w:val="none"/>
                <w:u w:val="none"/>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702F9">
            <w:pPr>
              <w:jc w:val="center"/>
              <w:rPr>
                <w:rFonts w:hint="eastAsia" w:ascii="宋体" w:hAnsi="宋体" w:eastAsia="宋体" w:cs="宋体"/>
                <w:b/>
                <w:bCs/>
                <w:i w:val="0"/>
                <w:iCs w:val="0"/>
                <w:color w:val="auto"/>
                <w:sz w:val="21"/>
                <w:szCs w:val="21"/>
                <w:highlight w:val="none"/>
                <w:u w:val="none"/>
              </w:rPr>
            </w:pP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E7C9F">
            <w:pPr>
              <w:jc w:val="left"/>
              <w:rPr>
                <w:rFonts w:hint="eastAsia" w:ascii="宋体" w:hAnsi="宋体" w:eastAsia="宋体" w:cs="宋体"/>
                <w:i w:val="0"/>
                <w:iCs w:val="0"/>
                <w:color w:val="auto"/>
                <w:sz w:val="21"/>
                <w:szCs w:val="21"/>
                <w:highlight w:val="none"/>
                <w:u w:val="none"/>
              </w:rPr>
            </w:pPr>
          </w:p>
        </w:tc>
      </w:tr>
      <w:tr w14:paraId="79177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47E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D3D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笔记本电脑</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84956">
            <w:pPr>
              <w:keepNext w:val="0"/>
              <w:keepLines w:val="0"/>
              <w:widowControl/>
              <w:suppressLineNumbers w:val="0"/>
              <w:spacing w:after="220" w:afterAutospacing="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（一）硬件参数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1.处理器：≧Intel Core I5  13代处理器，核心≥8核，主频≥2.1GHz 及以上；</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2.内存：≥16GB DDR4 3200MHz 内存；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3.硬盘：≥512G M.2 SSD硬盘；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4.显示屏：14.0英寸 LED 背光防眩光超薄型液晶显示屏16: 9（1920*1080像素显示分辨率），配置全合金转轴，更加牢固、美观、耐用,180度开合；</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5.显卡：配置高性能显卡；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6.网卡：RJ45千兆有线网卡，802.11 AX 2x2无线网卡（支持WIFI6协议）；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7.键盘：防泼溅键盘；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8.定位设备：多点触控板，按键与触控板分离，方便使用；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9.摄像头：720P高清摄像头，支持物理防窥功能，保护个人隐私；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10.接口：3个USB接口（1*全功能Type-C、2*Type-A）、HDMI2.0接口、耳麦二合一接口、RJ45接口；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11.电池：内置45WH锂电池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12.体积：重量≤1.43Kg（含电池）；</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13.厚度：≤19.9mm；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14.操作系统：Windows 11 家庭版。</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（二）教学管理平台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▲1.为实现异构平台混合管理，要求云桌面管理平台支持在Windows或麒麟等国产系统搭建，支持对终端的操作系统镜像生成与统一分发管理。（提供此功能界面截图证明）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2.为满足学校能够充分将新、旧电脑进行统一纳管，降低建设成本的需要，云桌面支持Legacy与UEFI两种方式启动系统，支持管理多网卡、双硬盘，支持M.2新型高速固态硬盘，同时兼容新老机型部署。</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3.为提升学校管理效率，云桌面管理平台支持批量管理终端计算机名、IP地址、分辨率、时间同步等配置信息，同时支持针对不同的终端群组设置不同的安全管控策略。</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4.针对不同楼宇、年级、学科的终端支持分组管理，可将终端进行分组，管理员可根据配置好的镜像分配给相应的分组；为不影响教学，可在正常上课的同时完成镜像缓存下载。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▲5.可充分利用学校现有网络，支持在镜像下发时进行组内网络探测与网速传输测试，提前优化镜像下发策略，保障传输效率。（提供此功能界面截图证明）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6.为适配大型或复杂型学校网络环境，云桌面支持跨校区、跨广域网部署，IP可达即可部署；为满足学校的WiFi使用场景，简化网络结构，支持通过wifi进行镜像更新和平台管理。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7.为满足学校对多教学场景的切换，支持三种模式对某一系统盘和数据盘的管理，即还原模式、读写模式、学习模式。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为了提升机房的统一部署与更新时间，减少老师的操作步骤与等待时间，支持镜像下发时的策略设置，更新镜像时锁定终端屏幕和更新时隐藏下载窗口；支持系统镜像下发后自动执行关机、重启等操作。（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9.支持从服务器端对客户端发起远程开机、关机、发送通知消息、发送远程命令等指令，支持管理员对客户端进行远程协助排障。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为方便学校进行硬件资产统计，支持平台收集所有终端硬件配置信息，包含但不限于终端名称、主板型号、CPU型号、内存容量、最近运行时间、合计运行时间、硬件变更和记录信息等。（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▲11.为方便学校掌握终端硬件运行情况，支持平台收集所有终端的运行状态信息，包含但不限于终端名称、CPU温度、开机时间、硬盘信息等。（提供此功能界面截图证明）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12.为方便学校对教学软件运行情况的统计，支持平台收集所有终端的软件信息，包含但不限于程序名称、运行次数、运行时长、版本、程序大小等。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为保障在大批量终端集中下发与更新镜像时能够获得更快的速度，满足学校考试环境部署或统一更换镜像的需求，当学校网络带宽有限时，可支持在管理集群内将主服务器内镜像提前下发至IO服务器，通过IO服务器分发镜像，实现数据分流，提升局域网内镜像的更新速度。(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▲14.支持平台可以计划任务设置，可以设置固定时间、每天、每周、每月进行定时执行各种任务类型，包括开机、关机、切换模板、下发模版、还原系统盘、还原数据盘。（提供此功能界面截图证明）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▲15.支持大数据展示。可展示包括但不限于资产统计、设备详情、开关机对比、日志、系统使用情况等信息。（提供此功能界面截图证明）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▲16.为避免网络端口被占用而引起的教学环境不可用的问题，云桌面管理平台支持对服务器使用的网络端口进行检测，并通过检测结果帮助管理员快速分析和解决问题。（提供此功能界面截图证明）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▲17.可提供网盘功能：支持用户在终端登录网盘，实现数据漫游与数据共享；支持用户将网盘中的文件分享给其他用户，其他用户可通过链接和提取码查看文件。（提供此功能界面截图证明）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▲18.网盘回收站功能：为防止误删重要文件，删除的文件会先保留在回收站，可根据实际情况按需取回。（提供此功能界面截图证明）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19.为满足学校各类考试需求，包括但不限于国家计算机一、二级等级考试、社会职称考试等，支持ATA、NCRE等考试模式，支持设置考试专属镜像并在考试开始前将考试镜像设置为隐藏模式，不被破坏。为方便后期溯源备查考试结果并可快速进入下一场考试，支持管理员自定义保留考试桌面保留的周期时间，即在保留学生完整桌面、系统环境、文件数据的同时，可快速部署下一场考试桌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▲20.为满足客户单位形象与风格的统一要求，支持系统名称、LOGO、登录背景图等可按需修改成客户单位名称。（提供此功能界面截图证明）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▲21.为简化管理，云桌面管理平台支持创建组织、用户、角色，支持管理员对不同用户和角色进行分级分权管理。（提供此功能界面截图证明）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22.屏幕监视：教师机可以监视单一、部分、全体学生机的屏幕，教师机每屏可监视多个学生屏幕</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23.频道教学：支持多达32个频道的划分，一个教师可对单个班级或多个班级同时上课；多个教师可同时对多个班级进行不同内容的教学</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24.签到：提供学生名单管理工具，为软件和考试模块提供实名验证。提供点名功能，支持保留学生多次登录记录、考勤统计、签到信息的导出与对比</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25.班级模型：支持单独对班级模型的统一管理，支持导入、导出、调用不同网络教室中的班级模型。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▲26.上网限制：支持对学生访问网站的黑名单或白名单设置，支持对学生可以访问的Internet站点进行管理。支持多浏览器限制，包括但不限于QQ、IE、谷歌、360、遨游等浏览器。（提供此功能界面截图证明）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▲27.程序限制：为防止学生在教学过程中打游戏或使用QQ、MSN等聊天工具，支持通过各种策略限制学生使用程序。（提供此功能界面截图证明）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28.黑屏肃静：教师可以对单一、部分、全体学生执行黑屏肃静来禁止其进行任何操作，达到专心听课目的，教师可自定义黑屏的内容与图片。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29.分组管理：教师可以新建，删除，重命名分组，添加和删除分组中的成员，设置小组长。分组信息随班级模型永久保存，下次上课可以直接使用保存的分组</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30.自动锁屏：断线保护自动锁屏技术，通过网卡的是否激活来锁定屏幕，避免学生拔掉网线违反纪律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31.防杀进程：为安全起见，学生端程序运行后，可防止学生通过任务管理器结束学生端程序进程来逃脱教师控制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32.请求帮助：学生端遇到问题可请求帮助，教师端可远程遥控帮助学生解决问题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33.远程消息：教师与学生能够使用远程消息进行交流，并可以允许和阻止学生发送文字消息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▲34.远程设置：支持远程设置学生桌面主题、桌面背景、屏幕保护方案、学生的频道号和音量、学生端密码，是否启用进程保护，断线锁屏，热键退出等。（提供此功能界面截图证明）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（三）质量和保障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1.产品及厂商资质认证要求：产品通过3C认证、节能认证。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2.售后服务：由制造厂商提供整机原厂二年有限保修服务，提供专人专线售后支持，原厂商提供400/800售后服务电话。供货时须体统原装参数确认函及售后服务承诺函原件。</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83C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7F2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5AE7F">
            <w:pPr>
              <w:jc w:val="left"/>
              <w:rPr>
                <w:rFonts w:hint="eastAsia" w:ascii="宋体" w:hAnsi="宋体" w:eastAsia="宋体" w:cs="宋体"/>
                <w:i w:val="0"/>
                <w:iCs w:val="0"/>
                <w:color w:val="auto"/>
                <w:sz w:val="21"/>
                <w:szCs w:val="21"/>
                <w:highlight w:val="none"/>
                <w:u w:val="none"/>
              </w:rPr>
            </w:pPr>
          </w:p>
        </w:tc>
      </w:tr>
      <w:tr w14:paraId="5A4E1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21C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172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分组活动桌</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9805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1、长方形结构，规格：约1800mm×800mm×730mm。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2、结构：钢架结构。</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3、台面：采用基材为25mm厚E1级刨花板，三聚氰胺饰面，面板四周采用封边条封边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▲4、立腿采用φ50mm的圆管，厚度不小于1.2mm；横梁采用25mm×50mm的方管，厚度不小于1.2mm。钢管符合GB/T 3094-2012《冷拔异型钢管》、QB/T3826-1999《轻工产品金属镀层和化学处理层的耐腐蚀试验方法 中性盐雾试验(NSS)法》、QB/T 3832-1999《轻工产品金属镀层腐蚀试验结果的评价》要求，其中：化学成分(%)（C≤0.20、Si≤0.35、Mn≤1.40、P≤0.045、S≤0.045），力学性能（下屈服强度≥235N/m㎡、抗拉强度为370-500 N/m㎡、断后伸长率≥25%）。经过不少于125h试验，耐腐蚀等级达到9级以上，投标时必须提供</w:t>
            </w:r>
            <w:r>
              <w:rPr>
                <w:rFonts w:hint="eastAsia"/>
                <w:color w:val="auto"/>
                <w:highlight w:val="none"/>
              </w:rPr>
              <w:t>国家认可的第三方检测机构出具检测报告复印件</w:t>
            </w:r>
            <w:r>
              <w:rPr>
                <w:rFonts w:hint="eastAsia" w:ascii="宋体" w:hAnsi="宋体" w:eastAsia="宋体" w:cs="宋体"/>
                <w:i w:val="0"/>
                <w:iCs w:val="0"/>
                <w:color w:val="auto"/>
                <w:kern w:val="0"/>
                <w:sz w:val="21"/>
                <w:szCs w:val="21"/>
                <w:highlight w:val="none"/>
                <w:u w:val="none"/>
                <w:lang w:val="en-US" w:eastAsia="zh-CN" w:bidi="ar"/>
              </w:rPr>
              <w:t>出具的符合上述要求的检测报告扫描件。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▲5、金属件采用环保产品环氧聚脂塑粉静电喷塑。喷塑外膜的表面光滑平整，色泽均匀，喷塑层无漏喷、起泡、模糊、划痕或碰伤等缺陷。塑粉符合HG/T 2006-2022《热固性和热塑性粉末涂料》标准要求：筛余物(125μm)全部通过、涂膜外观正常、铅笔硬度(内聚破坏中擦伤)≥H、附着力(干附着力)≤1级、弯曲试验≤4mm、杯突试验≥4mm、耐磨性(750g/500r)≤50mg、耐碱性168h无异常、耐酸性240h无异常、耐湿性500h无异常、耐沸水性(2h)无异常，投标时必须提供</w:t>
            </w:r>
            <w:r>
              <w:rPr>
                <w:rFonts w:hint="eastAsia"/>
                <w:color w:val="auto"/>
                <w:highlight w:val="none"/>
              </w:rPr>
              <w:t>国家认可的第三方检测机构出具检测报告复印件</w:t>
            </w:r>
            <w:r>
              <w:rPr>
                <w:rFonts w:hint="eastAsia" w:ascii="宋体" w:hAnsi="宋体" w:eastAsia="宋体" w:cs="宋体"/>
                <w:i w:val="0"/>
                <w:iCs w:val="0"/>
                <w:color w:val="auto"/>
                <w:kern w:val="0"/>
                <w:sz w:val="21"/>
                <w:szCs w:val="21"/>
                <w:highlight w:val="none"/>
                <w:u w:val="none"/>
                <w:lang w:val="en-US" w:eastAsia="zh-CN" w:bidi="ar"/>
              </w:rPr>
              <w:t>出具的符合上述要求的检测报告扫描件。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6、采用ABS可调脚。</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416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A7F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D6001">
            <w:pPr>
              <w:jc w:val="left"/>
              <w:rPr>
                <w:rFonts w:hint="eastAsia" w:ascii="宋体" w:hAnsi="宋体" w:eastAsia="宋体" w:cs="宋体"/>
                <w:i w:val="0"/>
                <w:iCs w:val="0"/>
                <w:color w:val="auto"/>
                <w:sz w:val="21"/>
                <w:szCs w:val="21"/>
                <w:highlight w:val="none"/>
                <w:u w:val="none"/>
              </w:rPr>
            </w:pPr>
          </w:p>
        </w:tc>
      </w:tr>
      <w:tr w14:paraId="1696E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6"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977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FBF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分组活动椅</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675B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椅子坐背采用优质工程塑胶PP+纤维塑料一次性压制而成，架子采用14直径足1.5厚的五金铁经过烧焊、打磨、抛光、电镀而成；椅子可以叠高，能更好节省空间，使用方便。</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BCD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684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56</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7A384">
            <w:pPr>
              <w:jc w:val="left"/>
              <w:rPr>
                <w:rFonts w:hint="eastAsia" w:ascii="宋体" w:hAnsi="宋体" w:eastAsia="宋体" w:cs="宋体"/>
                <w:i w:val="0"/>
                <w:iCs w:val="0"/>
                <w:color w:val="auto"/>
                <w:sz w:val="21"/>
                <w:szCs w:val="21"/>
                <w:highlight w:val="none"/>
                <w:u w:val="none"/>
              </w:rPr>
            </w:pPr>
          </w:p>
        </w:tc>
      </w:tr>
      <w:tr w14:paraId="09806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7FD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590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展示柜</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C682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尺寸：900mm×350mm×600mm，采用基材为18mm厚E1级刨花板。</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470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483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54E1B">
            <w:pPr>
              <w:jc w:val="left"/>
              <w:rPr>
                <w:rFonts w:hint="eastAsia" w:ascii="宋体" w:hAnsi="宋体" w:eastAsia="宋体" w:cs="宋体"/>
                <w:i w:val="0"/>
                <w:iCs w:val="0"/>
                <w:color w:val="auto"/>
                <w:sz w:val="21"/>
                <w:szCs w:val="21"/>
                <w:highlight w:val="none"/>
                <w:u w:val="none"/>
              </w:rPr>
            </w:pPr>
          </w:p>
        </w:tc>
      </w:tr>
      <w:tr w14:paraId="392DE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6"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19D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031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文化装饰</w:t>
            </w:r>
          </w:p>
        </w:tc>
        <w:tc>
          <w:tcPr>
            <w:tcW w:w="2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741A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文化装饰，规格定制，材质环保耐用，样式简约雅致，色彩柔和协调，适配多种空间，安装便捷，兼具美观与文化氛围。</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ECC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F16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B1C96">
            <w:pPr>
              <w:jc w:val="left"/>
              <w:rPr>
                <w:rFonts w:hint="eastAsia" w:ascii="宋体" w:hAnsi="宋体" w:eastAsia="宋体" w:cs="宋体"/>
                <w:b/>
                <w:bCs/>
                <w:i w:val="0"/>
                <w:iCs w:val="0"/>
                <w:color w:val="auto"/>
                <w:sz w:val="21"/>
                <w:szCs w:val="21"/>
                <w:highlight w:val="none"/>
                <w:u w:val="none"/>
              </w:rPr>
            </w:pPr>
          </w:p>
        </w:tc>
      </w:tr>
    </w:tbl>
    <w:p w14:paraId="6697DAAA">
      <w:pPr>
        <w:pStyle w:val="27"/>
        <w:spacing w:line="440" w:lineRule="exact"/>
        <w:ind w:left="25" w:leftChars="12" w:firstLine="310" w:firstLineChars="147"/>
        <w:rPr>
          <w:rFonts w:hAnsi="宋体" w:cs="宋体"/>
          <w:b/>
          <w:color w:val="auto"/>
          <w:sz w:val="21"/>
          <w:highlight w:val="none"/>
        </w:rPr>
      </w:pPr>
    </w:p>
    <w:p w14:paraId="5D7B5921">
      <w:pPr>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br w:type="page"/>
      </w:r>
    </w:p>
    <w:p w14:paraId="1D41E08C">
      <w:pPr>
        <w:rPr>
          <w:rFonts w:hint="eastAsia" w:ascii="Times New Roman" w:hAnsi="Times New Roman" w:eastAsia="宋体" w:cs="Times New Roman"/>
          <w:color w:val="auto"/>
          <w:sz w:val="28"/>
          <w:szCs w:val="28"/>
          <w:highlight w:val="none"/>
          <w:lang w:val="en-US" w:eastAsia="zh-CN"/>
        </w:rPr>
      </w:pPr>
    </w:p>
    <w:tbl>
      <w:tblPr>
        <w:tblStyle w:val="51"/>
        <w:tblpPr w:leftFromText="180" w:rightFromText="180" w:vertAnchor="text" w:horzAnchor="page" w:tblpX="1255" w:tblpY="354"/>
        <w:tblOverlap w:val="never"/>
        <w:tblW w:w="81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98"/>
        <w:gridCol w:w="6179"/>
      </w:tblGrid>
      <w:tr w14:paraId="190FA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8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3A21EE">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分标3：养利中学人工智能实验室、桃城二小人工智能实验室、堪圩中心小学人工智能实验室商务要求</w:t>
            </w:r>
          </w:p>
        </w:tc>
      </w:tr>
      <w:tr w14:paraId="7F77B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F00EA">
            <w:pPr>
              <w:keepNext w:val="0"/>
              <w:keepLines w:val="0"/>
              <w:widowControl/>
              <w:suppressLineNumbers w:val="0"/>
              <w:jc w:val="left"/>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lang w:val="en-US" w:eastAsia="zh-CN" w:bidi="ar"/>
              </w:rPr>
              <w:t>交货时间和地点</w:t>
            </w:r>
          </w:p>
        </w:tc>
        <w:tc>
          <w:tcPr>
            <w:tcW w:w="6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9682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交付时间：自签订合同之日起45日历日内交付使用并通过验收。</w:t>
            </w:r>
          </w:p>
          <w:p w14:paraId="552B66FE">
            <w:pPr>
              <w:keepNext w:val="0"/>
              <w:keepLines w:val="0"/>
              <w:widowControl/>
              <w:suppressLineNumbers w:val="0"/>
              <w:jc w:val="left"/>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地点：采购人指定地点。</w:t>
            </w:r>
          </w:p>
        </w:tc>
      </w:tr>
      <w:tr w14:paraId="74EBF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FC9F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合同签订时间</w:t>
            </w:r>
          </w:p>
        </w:tc>
        <w:tc>
          <w:tcPr>
            <w:tcW w:w="6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93E2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自中标通知书发出之日起25日内签订完毕。</w:t>
            </w:r>
          </w:p>
        </w:tc>
      </w:tr>
      <w:tr w14:paraId="1B7A2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9814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付款条件</w:t>
            </w:r>
          </w:p>
        </w:tc>
        <w:tc>
          <w:tcPr>
            <w:tcW w:w="6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C7AD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自签订合同之日起十个工作日内采购人向成交供应商支付合同款的 30%作为预付款，货物安装调试完毕并经采购人验收合格后，成交供应商开具发票后，十个工作日内采购人向成交供应商支付剩余合同款。</w:t>
            </w:r>
          </w:p>
        </w:tc>
      </w:tr>
      <w:tr w14:paraId="5B656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F5CD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rPr>
              <w:t>质量保证期</w:t>
            </w:r>
          </w:p>
        </w:tc>
        <w:tc>
          <w:tcPr>
            <w:tcW w:w="6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D33B7">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1．</w:t>
            </w:r>
            <w:r>
              <w:rPr>
                <w:rFonts w:hint="eastAsia" w:ascii="宋体" w:hAnsi="宋体" w:eastAsia="宋体" w:cs="宋体"/>
                <w:color w:val="auto"/>
                <w:sz w:val="21"/>
                <w:szCs w:val="21"/>
                <w:highlight w:val="none"/>
              </w:rPr>
              <w:t>分项有质保要求的按分项质保要求，分项没有质保要求的</w:t>
            </w:r>
            <w:r>
              <w:rPr>
                <w:rFonts w:hint="eastAsia" w:ascii="宋体" w:hAnsi="宋体" w:eastAsia="宋体" w:cs="宋体"/>
                <w:color w:val="auto"/>
                <w:sz w:val="21"/>
                <w:szCs w:val="21"/>
                <w:highlight w:val="none"/>
                <w:lang w:val="en"/>
              </w:rPr>
              <w:t>质保期自交货并验收合格之日起计不少于三年（若产品生产厂家质保期超过此年限的，合同履行过程中按厂家规定执行，并提供终身维护支持）</w:t>
            </w:r>
            <w:r>
              <w:rPr>
                <w:rFonts w:hint="eastAsia" w:ascii="宋体" w:hAnsi="宋体" w:eastAsia="宋体" w:cs="宋体"/>
                <w:color w:val="auto"/>
                <w:sz w:val="21"/>
                <w:szCs w:val="21"/>
                <w:highlight w:val="none"/>
              </w:rPr>
              <w:t>，其余按国家有关产品“三包”规定执行“三包”；</w:t>
            </w:r>
          </w:p>
          <w:p w14:paraId="0D638B97">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2．质保期内负责上门服务、维修、更换损坏的设备和配件及对产品进行维护和保养、货物质量事故和质量缺陷由中标人无偿保修，提供终身维修。</w:t>
            </w:r>
          </w:p>
          <w:p w14:paraId="41F9676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lang w:val="en"/>
              </w:rPr>
              <w:t>3．中标人提供的货物在质保期内，因设计、工艺或材料的缺陷和其他质量问题造成的问题，由中标人负责按照售后服务承诺维修或更换；因采购人员人为因素造成的问题，由中标人负责维保，相关费用与采购人进行协商处理。</w:t>
            </w:r>
          </w:p>
        </w:tc>
      </w:tr>
      <w:tr w14:paraId="5805F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8CCC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售后服务要求</w:t>
            </w:r>
          </w:p>
        </w:tc>
        <w:tc>
          <w:tcPr>
            <w:tcW w:w="6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196C7">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除另行特别注明外，售后服务要求如下：</w:t>
            </w:r>
          </w:p>
          <w:p w14:paraId="6D8F4BD0">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1．中标人按采购人指定的地点负责送货上门、安装、调试，负责培训使用人员和维护人员。</w:t>
            </w:r>
          </w:p>
          <w:p w14:paraId="22816CA3">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2．中标人必须提供安装、配线以及软硬件的测试和调整服务。安装设备之前，应先对用户人员进行现场培训。开始安装时，应让用户的硬软件和系统集成人员参与安装、检测和排除故障。中标人在施工、安装、调试等全过程中接受用户的监督。</w:t>
            </w:r>
          </w:p>
          <w:p w14:paraId="3ED67247">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3．在中标人承诺的保修期内，设备保修包换所需要的配件均是原厂原装，不得使用兼容货物。</w:t>
            </w:r>
          </w:p>
          <w:p w14:paraId="3A595983">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4．售后服务按厂家承诺执行。超过厂家承诺标准的，按中标人提交的售后服务承诺书执行。定期回访以及对设备进行维护；质保期后需提供维修维护服务。</w:t>
            </w:r>
          </w:p>
          <w:p w14:paraId="50CDD4C3">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5．中标人在质保期内应当为采购人提供以下技术支持和服务：</w:t>
            </w:r>
          </w:p>
          <w:p w14:paraId="7C97E4BA">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（1）电话咨询</w:t>
            </w:r>
          </w:p>
          <w:p w14:paraId="3674C1C7">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中标人应当为采购人提供技术援助电话，解答采购人在使用中遇到的问题，及时为采购人提出解决问题的建议。</w:t>
            </w:r>
          </w:p>
          <w:p w14:paraId="525AC579">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（2）服务响应时间</w:t>
            </w:r>
          </w:p>
          <w:p w14:paraId="4C764466">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质保期内，用户遇到使用或技术问题，电话咨询不能解决的，中标人应在8小时内到达现场进行处理，到达现场后3小时内排除故障，恢复正常使用。未能修复的直接更换，保证采购人正常使用，产生的一切费用由中标人承担。</w:t>
            </w:r>
          </w:p>
          <w:p w14:paraId="1153879E">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（3）技术升级</w:t>
            </w:r>
          </w:p>
          <w:p w14:paraId="0AE73D93">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在质保期内，如果中标人的产品或服务升级，中标人应及时通知采购人，如采购人有相应要求，中标人应对采购人购买的产品或服务进行升级。</w:t>
            </w:r>
          </w:p>
          <w:p w14:paraId="2F7D475E">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6．质保期外服务要求</w:t>
            </w:r>
          </w:p>
          <w:p w14:paraId="30DFB65D">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（1）质保期过后，中标人应同样无偿提供电话咨询服务，并应承诺提供产品或服务上门维护。</w:t>
            </w:r>
          </w:p>
          <w:p w14:paraId="1502BC62">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（2）质保期过后，采购人需要继续由原中标人提供售后服务的，中标人和制造商应以优惠价格提供售后服务。</w:t>
            </w:r>
          </w:p>
          <w:p w14:paraId="53DAA29B">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7．备品备件及易损件</w:t>
            </w:r>
          </w:p>
          <w:p w14:paraId="602CB019">
            <w:pPr>
              <w:tabs>
                <w:tab w:val="left" w:pos="180"/>
                <w:tab w:val="left" w:pos="1620"/>
              </w:tabs>
              <w:jc w:val="left"/>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中标人售后服务中，维修使用的备品备件及易损件应为原厂配件，未经采购人同意不得使用非原厂配件。</w:t>
            </w:r>
          </w:p>
          <w:p w14:paraId="2939803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lang w:val="en"/>
              </w:rPr>
              <w:t>8．培训要求：中标人对其提供产品或服务的使用和操作应尽培训义务。中标人应提供对本项目的使用单位进行培训服务，涉及的相关费用计算在项目报价内，并使使用人员能独立、熟练操作设备。要求投标时在响应文件中提供详细培训方案。</w:t>
            </w:r>
          </w:p>
        </w:tc>
      </w:tr>
      <w:tr w14:paraId="631F3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4DF0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投标报价要求</w:t>
            </w:r>
          </w:p>
        </w:tc>
        <w:tc>
          <w:tcPr>
            <w:tcW w:w="6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A3510">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1、本项目投标人报价为采购人指定地点的现场交货价，投标人自行考虑完成项目所需的辅材、杂配件等数量，投标人报价中应包含全部内容，中标后采购人不再另行支付额外费用。包括但不限于：</w:t>
            </w:r>
          </w:p>
          <w:p w14:paraId="0544E81A">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(1)货物的价格：包括货款、杂配件、安装调试费、履约验收费；</w:t>
            </w:r>
          </w:p>
          <w:p w14:paraId="49E7F080">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(2)货物的标准附件、备品备件、专用工具的价格；</w:t>
            </w:r>
          </w:p>
          <w:p w14:paraId="306C15D3">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(3)运输、装卸、调试、培训、技术支持、售后服务费；</w:t>
            </w:r>
          </w:p>
          <w:p w14:paraId="733AE851">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(4)各类软件、系统等的安装、集成、试运行等费用；</w:t>
            </w:r>
          </w:p>
          <w:p w14:paraId="29F17886">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(5)代理服务费、保险费和各项税金。</w:t>
            </w:r>
          </w:p>
          <w:p w14:paraId="043510E9">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2．投标人所提供产品为货物生产厂家的全新正品，所有货物应满足采购文件所述项目要求及技术需求。</w:t>
            </w:r>
          </w:p>
          <w:p w14:paraId="7B234DC6">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3．中标人负责本项目人员的人身、设备安全责任，验收前，设备丢失自行负责。</w:t>
            </w:r>
          </w:p>
          <w:p w14:paraId="03384D7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rPr>
              <w:t>4．为确保货物质量及原厂品质，中标人在合同签订后正式供货时必须提供本项目核心产品生产厂家的售后服务保证原件、供货证明原件、技术参数确认函原件，否则采购人将有权不予验收通过。如技术参数确认函中所确认的参数与实际供货产品的参数不符，中标人与生产厂家须承担相关法律责任。</w:t>
            </w:r>
          </w:p>
        </w:tc>
      </w:tr>
      <w:tr w14:paraId="58E4E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1D40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验收方式</w:t>
            </w:r>
          </w:p>
        </w:tc>
        <w:tc>
          <w:tcPr>
            <w:tcW w:w="6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A80A1">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1.</w:t>
            </w:r>
            <w:r>
              <w:rPr>
                <w:rFonts w:hint="eastAsia" w:ascii="宋体" w:hAnsi="宋体" w:eastAsia="宋体" w:cs="宋体"/>
                <w:color w:val="auto"/>
                <w:sz w:val="21"/>
                <w:szCs w:val="21"/>
                <w:highlight w:val="none"/>
                <w:lang w:val="en-US"/>
              </w:rPr>
              <w:t>中标供应商</w:t>
            </w:r>
            <w:r>
              <w:rPr>
                <w:rFonts w:hint="eastAsia" w:ascii="宋体" w:hAnsi="宋体" w:eastAsia="宋体" w:cs="宋体"/>
                <w:color w:val="auto"/>
                <w:kern w:val="2"/>
                <w:sz w:val="21"/>
                <w:szCs w:val="21"/>
                <w:highlight w:val="none"/>
                <w:lang w:val="en-US"/>
              </w:rPr>
              <w:t>提供不符合招标文件规定或者投标文件承诺的和本合同规定的货物，采购人有权拒绝接受。</w:t>
            </w:r>
          </w:p>
          <w:p w14:paraId="7C3E8E16">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2.</w:t>
            </w:r>
            <w:r>
              <w:rPr>
                <w:rFonts w:hint="eastAsia" w:ascii="宋体" w:hAnsi="宋体" w:eastAsia="宋体" w:cs="宋体"/>
                <w:color w:val="auto"/>
                <w:sz w:val="21"/>
                <w:szCs w:val="21"/>
                <w:highlight w:val="none"/>
                <w:lang w:val="en-US"/>
              </w:rPr>
              <w:t>中标供应商</w:t>
            </w:r>
            <w:r>
              <w:rPr>
                <w:rFonts w:hint="eastAsia" w:ascii="宋体" w:hAnsi="宋体" w:eastAsia="宋体" w:cs="宋体"/>
                <w:color w:val="auto"/>
                <w:kern w:val="2"/>
                <w:sz w:val="21"/>
                <w:szCs w:val="21"/>
                <w:highlight w:val="none"/>
                <w:lang w:val="en-US"/>
              </w:rPr>
              <w:t>应将所提供货物的装箱清单、用户手册、随机资料、工具和备品、备件等交付给采购人，如有缺失应在合理的规定时间内补齐，否则视为逾期交货。</w:t>
            </w:r>
          </w:p>
          <w:p w14:paraId="772BFC73">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3.</w:t>
            </w:r>
            <w:r>
              <w:rPr>
                <w:rFonts w:hint="eastAsia" w:ascii="宋体" w:hAnsi="宋体" w:eastAsia="宋体" w:cs="宋体"/>
                <w:color w:val="auto"/>
                <w:sz w:val="21"/>
                <w:szCs w:val="21"/>
                <w:highlight w:val="none"/>
              </w:rPr>
              <w:t>中标供应商应当在货物交付、调试、培训完成，达到验收条件后向采购人提出书面验收申请，采购人组织项目验收，验收合格后由双方签署货物验收单并加盖采购人公章，双方各执一份</w:t>
            </w:r>
            <w:r>
              <w:rPr>
                <w:rFonts w:hint="eastAsia" w:ascii="宋体" w:hAnsi="宋体" w:eastAsia="宋体" w:cs="宋体"/>
                <w:color w:val="auto"/>
                <w:kern w:val="2"/>
                <w:sz w:val="21"/>
                <w:szCs w:val="21"/>
                <w:highlight w:val="none"/>
                <w:lang w:val="en-US"/>
              </w:rPr>
              <w:t>。</w:t>
            </w:r>
          </w:p>
          <w:p w14:paraId="07D6F1CB">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4.采购人委托采购代理机构组织的验收项目，其验收时间以该项目验收方案确定的验收时间为准，验收结果以该项目验收报告结论为准。在验收过程中发现中标供应商有违约问题，可暂缓资金结算，待违约问题解决后，方可办理资金结算事宜。</w:t>
            </w:r>
          </w:p>
          <w:p w14:paraId="4AB263B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5.采购人对验收有异议的，在验收后五个工作日内以书面形式向中标供应商提出，中标供应商应自收到采购人书面异议后合同约定的时间内及时予以解决。</w:t>
            </w:r>
          </w:p>
        </w:tc>
      </w:tr>
      <w:tr w14:paraId="247B0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051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验收标准</w:t>
            </w:r>
          </w:p>
        </w:tc>
        <w:tc>
          <w:tcPr>
            <w:tcW w:w="6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4F861">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1.采购人对中标供应商提交的货物依据招标文件上的技术规格要求和国家有关质量标准进行现场签收，外观、说明书符合采购文件技术要求的，给予签收，不合格的不予签收。</w:t>
            </w:r>
          </w:p>
          <w:p w14:paraId="1F19E31D">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2．项目验收按以下流程进行：</w:t>
            </w:r>
          </w:p>
          <w:p w14:paraId="4EDE9902">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（1）中标人按采购人要求送货至指定地点，双方一起开箱验货并签字确认。</w:t>
            </w:r>
          </w:p>
          <w:p w14:paraId="0B6D23B2">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（2）中标人按采购人指定的设备安装地点，完成设备的安装与调试。</w:t>
            </w:r>
          </w:p>
          <w:p w14:paraId="5AB56498">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（3）中标人提出验收申请，经采购人同意后共同组织验收，签写相应验收意见并签名确认。如对验收存在异议的，可聘请第三方按合同约定组织验收。</w:t>
            </w:r>
          </w:p>
          <w:p w14:paraId="00234548">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（4）项目验收合格，项目约定产品或服务才正式交接。交接完毕，才作为项目的最终验收。</w:t>
            </w:r>
          </w:p>
          <w:p w14:paraId="5225DF79">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3. 检查供货范围。中标人提供的产品到达采购人指定现场后，中标人应在采购人单位项目负责人在场情况下，对着供货清单，当面开箱，共同清点、检查外观，作出开箱记录，并对相关产品的型号、规格、数量、性能参数等进行初步核对，双方签字确认。中标人应保证货物到达采购人所在地时完好无损，与合同约定一致，如有缺漏、损坏，由中标人负责调换、补齐或赔偿，否则采购方可拒绝签字确认。</w:t>
            </w:r>
          </w:p>
          <w:p w14:paraId="0761681B">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4．中标人在项目（含货物）验收时由采购人单位对照采购文件的功能目标及技术指标全面核对检验，对所有要求出具的证明文件的原件进行核查，如不符合采购文件的技术需求及要求以及提供虚假承诺的，按相关规定做退货处理及违约处理，中标人承担所有责任和费用，采购人保留进一步追究责任的权利。</w:t>
            </w:r>
          </w:p>
          <w:p w14:paraId="09F36623">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5．采购人需要制造商对中标人交付的产品或服务（包括质量、参数等）进行确认的，制造商应予以配合并出具书面意见，相关配合事项由中标人与制造商协调。</w:t>
            </w:r>
          </w:p>
          <w:p w14:paraId="66483506">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6．产品包装材料归采购人所有。</w:t>
            </w:r>
          </w:p>
          <w:p w14:paraId="2492018D">
            <w:pPr>
              <w:pStyle w:val="27"/>
              <w:snapToGrid w:val="0"/>
              <w:spacing w:line="380" w:lineRule="exact"/>
              <w:ind w:firstLine="8" w:firstLineChars="4"/>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rPr>
              <w:t>7．未尽事宜按照《关于印发广西壮族自治区政府采购项目履约验收管理办法的通知》[桂财采〔2015〕22号]以及《财政部关于进一步加强政府采购需求和履约验收管理的指导意见》[财库〔2016〕205号]规定执行。</w:t>
            </w:r>
          </w:p>
          <w:p w14:paraId="623F5D7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rPr>
              <w:t>8. 验收过程中所产生的一切费用均由中标人承担。报价时应考虑相关费用。</w:t>
            </w:r>
          </w:p>
        </w:tc>
      </w:tr>
      <w:tr w14:paraId="5A72A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1F8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其他要求</w:t>
            </w:r>
          </w:p>
        </w:tc>
        <w:tc>
          <w:tcPr>
            <w:tcW w:w="6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65FB2">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产品说明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rPr>
              <w:t>本项目货物不接受进口产品（即通过中国海关报关验放进入中国境内且产自关境外的产品）参与投标，</w:t>
            </w:r>
            <w:r>
              <w:rPr>
                <w:rFonts w:hint="eastAsia" w:ascii="宋体" w:hAnsi="宋体" w:eastAsia="宋体" w:cs="宋体"/>
                <w:b/>
                <w:color w:val="auto"/>
                <w:sz w:val="21"/>
                <w:szCs w:val="21"/>
                <w:highlight w:val="none"/>
                <w:lang w:val="en-US"/>
              </w:rPr>
              <w:t>如有此类产品参与投标的做无效标处理</w:t>
            </w:r>
            <w:r>
              <w:rPr>
                <w:rFonts w:hint="eastAsia" w:ascii="宋体" w:hAnsi="宋体" w:eastAsia="宋体" w:cs="宋体"/>
                <w:color w:val="auto"/>
                <w:sz w:val="21"/>
                <w:szCs w:val="21"/>
                <w:highlight w:val="none"/>
                <w:lang w:val="en-US"/>
              </w:rPr>
              <w:t>。</w:t>
            </w:r>
          </w:p>
          <w:p w14:paraId="14F9782E">
            <w:pPr>
              <w:pStyle w:val="17"/>
              <w:spacing w:line="380" w:lineRule="exact"/>
              <w:rPr>
                <w:rFonts w:hint="eastAsia" w:ascii="宋体" w:hAnsi="宋体" w:eastAsia="宋体" w:cs="宋体"/>
                <w:b/>
                <w:bCs/>
                <w:color w:val="auto"/>
                <w:sz w:val="21"/>
                <w:szCs w:val="21"/>
                <w:highlight w:val="none"/>
                <w:u w:val="single"/>
                <w:lang w:val="en-US" w:eastAsia="zh-CN"/>
              </w:rPr>
            </w:pP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核心产品</w:t>
            </w:r>
            <w:r>
              <w:rPr>
                <w:rFonts w:hint="eastAsia" w:ascii="宋体" w:hAnsi="宋体" w:eastAsia="宋体" w:cs="宋体"/>
                <w:b/>
                <w:bCs/>
                <w:color w:val="auto"/>
                <w:sz w:val="21"/>
                <w:szCs w:val="21"/>
                <w:highlight w:val="none"/>
                <w:lang w:eastAsia="zh-CN"/>
              </w:rPr>
              <w:t>：</w:t>
            </w:r>
            <w:r>
              <w:rPr>
                <w:rFonts w:hint="eastAsia" w:ascii="宋体" w:hAnsi="宋体" w:eastAsia="宋体" w:cs="宋体"/>
                <w:b/>
                <w:color w:val="auto"/>
                <w:sz w:val="21"/>
                <w:szCs w:val="21"/>
                <w:highlight w:val="none"/>
                <w:u w:val="single"/>
                <w:lang w:val="en-US"/>
              </w:rPr>
              <w:t xml:space="preserve"> </w:t>
            </w:r>
            <w:r>
              <w:rPr>
                <w:rFonts w:hint="eastAsia" w:ascii="宋体" w:hAnsi="宋体" w:eastAsia="宋体" w:cs="宋体"/>
                <w:b/>
                <w:color w:val="auto"/>
                <w:sz w:val="21"/>
                <w:szCs w:val="21"/>
                <w:highlight w:val="none"/>
                <w:u w:val="single"/>
                <w:lang w:val="en-US" w:eastAsia="zh-CN"/>
              </w:rPr>
              <w:t xml:space="preserve">科创实践套装 </w:t>
            </w:r>
          </w:p>
          <w:p w14:paraId="4B1F605B">
            <w:pPr>
              <w:pStyle w:val="41"/>
              <w:numPr>
                <w:ilvl w:val="0"/>
                <w:numId w:val="0"/>
              </w:numPr>
              <w:ind w:lef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bl>
    <w:p w14:paraId="77FE5FF1">
      <w:pPr>
        <w:rPr>
          <w:color w:val="auto"/>
          <w:highlight w:val="none"/>
        </w:rPr>
      </w:pPr>
      <w:r>
        <w:rPr>
          <w:color w:val="auto"/>
          <w:highlight w:val="none"/>
        </w:rPr>
        <w:br w:type="page"/>
      </w:r>
    </w:p>
    <w:p w14:paraId="2E9084C4">
      <w:pPr>
        <w:rPr>
          <w:rFonts w:hint="eastAsia" w:eastAsia="宋体"/>
          <w:color w:val="auto"/>
          <w:sz w:val="28"/>
          <w:szCs w:val="28"/>
          <w:highlight w:val="none"/>
          <w:lang w:eastAsia="zh-CN"/>
        </w:rPr>
      </w:pPr>
      <w:r>
        <w:rPr>
          <w:rFonts w:hint="eastAsia"/>
          <w:color w:val="auto"/>
          <w:sz w:val="28"/>
          <w:szCs w:val="28"/>
          <w:highlight w:val="none"/>
        </w:rPr>
        <w:t>分标3-4：大新县城南小学等3所学校图书</w:t>
      </w:r>
      <w:r>
        <w:rPr>
          <w:rFonts w:hint="eastAsia"/>
          <w:color w:val="auto"/>
          <w:sz w:val="28"/>
          <w:szCs w:val="28"/>
          <w:highlight w:val="none"/>
          <w:lang w:eastAsia="zh-CN"/>
        </w:rPr>
        <w:t>采购</w:t>
      </w:r>
    </w:p>
    <w:tbl>
      <w:tblPr>
        <w:tblStyle w:val="51"/>
        <w:tblW w:w="9148" w:type="dxa"/>
        <w:jc w:val="center"/>
        <w:tblLayout w:type="fixed"/>
        <w:tblCellMar>
          <w:top w:w="0" w:type="dxa"/>
          <w:left w:w="108" w:type="dxa"/>
          <w:bottom w:w="0" w:type="dxa"/>
          <w:right w:w="108" w:type="dxa"/>
        </w:tblCellMar>
      </w:tblPr>
      <w:tblGrid>
        <w:gridCol w:w="620"/>
        <w:gridCol w:w="811"/>
        <w:gridCol w:w="804"/>
        <w:gridCol w:w="5394"/>
        <w:gridCol w:w="675"/>
        <w:gridCol w:w="844"/>
      </w:tblGrid>
      <w:tr w14:paraId="1237CAE1">
        <w:tblPrEx>
          <w:tblCellMar>
            <w:top w:w="0" w:type="dxa"/>
            <w:left w:w="108" w:type="dxa"/>
            <w:bottom w:w="0" w:type="dxa"/>
            <w:right w:w="108" w:type="dxa"/>
          </w:tblCellMar>
        </w:tblPrEx>
        <w:trPr>
          <w:trHeight w:val="619"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687719">
            <w:pPr>
              <w:spacing w:line="340" w:lineRule="exact"/>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8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0DD350">
            <w:pPr>
              <w:spacing w:line="340" w:lineRule="exact"/>
              <w:rPr>
                <w:rFonts w:ascii="宋体" w:hAnsi="宋体" w:cs="宋体"/>
                <w:b/>
                <w:bCs/>
                <w:color w:val="auto"/>
                <w:szCs w:val="21"/>
                <w:highlight w:val="none"/>
              </w:rPr>
            </w:pPr>
            <w:r>
              <w:rPr>
                <w:rFonts w:hint="eastAsia" w:ascii="宋体" w:hAnsi="宋体" w:cs="宋体"/>
                <w:b/>
                <w:bCs/>
                <w:color w:val="auto"/>
                <w:szCs w:val="21"/>
                <w:highlight w:val="none"/>
              </w:rPr>
              <w:t>标的名称</w:t>
            </w:r>
          </w:p>
        </w:tc>
        <w:tc>
          <w:tcPr>
            <w:tcW w:w="6198"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A74C12">
            <w:pPr>
              <w:spacing w:line="340" w:lineRule="exact"/>
              <w:jc w:val="center"/>
              <w:rPr>
                <w:rFonts w:ascii="宋体" w:hAnsi="宋体" w:cs="宋体"/>
                <w:b/>
                <w:bCs/>
                <w:color w:val="auto"/>
                <w:szCs w:val="21"/>
                <w:highlight w:val="none"/>
              </w:rPr>
            </w:pPr>
            <w:r>
              <w:rPr>
                <w:rFonts w:hint="eastAsia" w:ascii="宋体" w:hAnsi="宋体" w:cs="宋体"/>
                <w:b/>
                <w:bCs/>
                <w:color w:val="auto"/>
                <w:szCs w:val="21"/>
                <w:highlight w:val="none"/>
              </w:rPr>
              <w:t>技术参数要求</w:t>
            </w:r>
          </w:p>
        </w:tc>
        <w:tc>
          <w:tcPr>
            <w:tcW w:w="6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1F1528">
            <w:pPr>
              <w:spacing w:line="340" w:lineRule="exact"/>
              <w:rPr>
                <w:rFonts w:ascii="宋体" w:hAnsi="宋体" w:cs="宋体"/>
                <w:b/>
                <w:bCs/>
                <w:color w:val="auto"/>
                <w:szCs w:val="21"/>
                <w:highlight w:val="none"/>
              </w:rPr>
            </w:pPr>
            <w:r>
              <w:rPr>
                <w:rFonts w:hint="eastAsia" w:ascii="宋体" w:hAnsi="宋体" w:cs="宋体"/>
                <w:b/>
                <w:bCs/>
                <w:color w:val="auto"/>
                <w:szCs w:val="21"/>
                <w:highlight w:val="none"/>
              </w:rPr>
              <w:t>单位</w:t>
            </w:r>
          </w:p>
        </w:tc>
        <w:tc>
          <w:tcPr>
            <w:tcW w:w="84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CB6EC2">
            <w:pPr>
              <w:spacing w:line="340" w:lineRule="exact"/>
              <w:rPr>
                <w:rFonts w:ascii="宋体" w:hAnsi="宋体" w:cs="宋体"/>
                <w:b/>
                <w:bCs/>
                <w:color w:val="auto"/>
                <w:szCs w:val="21"/>
                <w:highlight w:val="none"/>
              </w:rPr>
            </w:pPr>
            <w:r>
              <w:rPr>
                <w:rFonts w:hint="eastAsia" w:ascii="宋体" w:hAnsi="宋体" w:cs="宋体"/>
                <w:b/>
                <w:bCs/>
                <w:color w:val="auto"/>
                <w:szCs w:val="21"/>
                <w:highlight w:val="none"/>
              </w:rPr>
              <w:t>数量</w:t>
            </w:r>
          </w:p>
        </w:tc>
      </w:tr>
      <w:tr w14:paraId="74154A5B">
        <w:tblPrEx>
          <w:tblCellMar>
            <w:top w:w="0" w:type="dxa"/>
            <w:left w:w="108" w:type="dxa"/>
            <w:bottom w:w="0" w:type="dxa"/>
            <w:right w:w="108" w:type="dxa"/>
          </w:tblCellMar>
        </w:tblPrEx>
        <w:trPr>
          <w:trHeight w:val="425" w:hRule="atLeast"/>
          <w:jc w:val="center"/>
        </w:trPr>
        <w:tc>
          <w:tcPr>
            <w:tcW w:w="620" w:type="dxa"/>
            <w:tcBorders>
              <w:top w:val="single" w:color="404040" w:sz="4" w:space="0"/>
              <w:left w:val="single" w:color="404040" w:sz="4" w:space="0"/>
              <w:bottom w:val="single" w:color="404040" w:sz="4" w:space="0"/>
              <w:right w:val="nil"/>
            </w:tcBorders>
            <w:shd w:val="clear" w:color="auto" w:fill="FFFFFF"/>
            <w:noWrap w:val="0"/>
            <w:vAlign w:val="center"/>
          </w:tcPr>
          <w:p w14:paraId="272FAE6A">
            <w:pPr>
              <w:spacing w:line="340" w:lineRule="exact"/>
              <w:rPr>
                <w:rFonts w:ascii="宋体" w:hAnsi="宋体" w:cs="宋体"/>
                <w:color w:val="auto"/>
                <w:szCs w:val="21"/>
                <w:highlight w:val="none"/>
              </w:rPr>
            </w:pPr>
            <w:r>
              <w:rPr>
                <w:rFonts w:hint="eastAsia" w:ascii="宋体" w:hAnsi="宋体" w:cs="宋体"/>
                <w:color w:val="auto"/>
                <w:szCs w:val="21"/>
                <w:highlight w:val="none"/>
              </w:rPr>
              <w:t>1</w:t>
            </w:r>
          </w:p>
        </w:tc>
        <w:tc>
          <w:tcPr>
            <w:tcW w:w="8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87C3FE">
            <w:pPr>
              <w:spacing w:line="340" w:lineRule="exact"/>
              <w:rPr>
                <w:rFonts w:ascii="宋体" w:hAnsi="宋体" w:cs="宋体"/>
                <w:color w:val="auto"/>
                <w:szCs w:val="21"/>
                <w:highlight w:val="none"/>
              </w:rPr>
            </w:pPr>
          </w:p>
        </w:tc>
        <w:tc>
          <w:tcPr>
            <w:tcW w:w="6198"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2019BC">
            <w:pPr>
              <w:spacing w:line="340" w:lineRule="exact"/>
              <w:rPr>
                <w:rFonts w:ascii="宋体" w:hAnsi="宋体" w:cs="宋体"/>
                <w:color w:val="auto"/>
                <w:szCs w:val="21"/>
                <w:highlight w:val="none"/>
              </w:rPr>
            </w:pPr>
            <w:r>
              <w:rPr>
                <w:rFonts w:hint="eastAsia" w:ascii="宋体" w:hAnsi="宋体" w:cs="宋体"/>
                <w:color w:val="auto"/>
                <w:szCs w:val="21"/>
                <w:highlight w:val="none"/>
              </w:rPr>
              <w:t>一、图书标准及要求</w:t>
            </w:r>
          </w:p>
          <w:p w14:paraId="176A269C">
            <w:pPr>
              <w:spacing w:line="340" w:lineRule="exact"/>
              <w:rPr>
                <w:rFonts w:ascii="宋体" w:hAnsi="宋体" w:cs="宋体"/>
                <w:color w:val="auto"/>
                <w:szCs w:val="21"/>
                <w:highlight w:val="none"/>
              </w:rPr>
            </w:pPr>
            <w:r>
              <w:rPr>
                <w:rFonts w:hint="eastAsia" w:ascii="宋体" w:hAnsi="宋体" w:cs="宋体"/>
                <w:color w:val="auto"/>
                <w:szCs w:val="21"/>
                <w:highlight w:val="none"/>
              </w:rPr>
              <w:t>1.图书要求：投标人必须按照本招标文件采购目录中所有要求的招标图书进行投标,采购目录详见附件《图书采购目录》。</w:t>
            </w:r>
          </w:p>
          <w:p w14:paraId="24170EB1">
            <w:pPr>
              <w:spacing w:line="340" w:lineRule="exact"/>
              <w:rPr>
                <w:rFonts w:ascii="宋体" w:hAnsi="宋体" w:cs="宋体"/>
                <w:color w:val="auto"/>
                <w:szCs w:val="21"/>
                <w:highlight w:val="none"/>
              </w:rPr>
            </w:pPr>
            <w:r>
              <w:rPr>
                <w:rFonts w:hint="eastAsia" w:ascii="宋体" w:hAnsi="宋体" w:cs="宋体"/>
                <w:color w:val="auto"/>
                <w:szCs w:val="21"/>
                <w:highlight w:val="none"/>
              </w:rPr>
              <w:t>1.图书质量执行标准</w:t>
            </w:r>
          </w:p>
          <w:p w14:paraId="627CB161">
            <w:pPr>
              <w:spacing w:line="340" w:lineRule="exact"/>
              <w:rPr>
                <w:rFonts w:ascii="宋体" w:hAnsi="宋体" w:cs="宋体"/>
                <w:color w:val="auto"/>
                <w:szCs w:val="21"/>
                <w:highlight w:val="none"/>
              </w:rPr>
            </w:pPr>
            <w:r>
              <w:rPr>
                <w:rFonts w:hint="eastAsia" w:ascii="宋体" w:hAnsi="宋体" w:cs="宋体"/>
                <w:color w:val="auto"/>
                <w:szCs w:val="21"/>
                <w:highlight w:val="none"/>
              </w:rPr>
              <w:t>1.1图书印刷质量执行《中华人民共和国产品质量法》和新闻出版总署《图书质量管理规定》（2004年第26号文件）中的规定。</w:t>
            </w:r>
          </w:p>
          <w:p w14:paraId="213D675A">
            <w:pPr>
              <w:spacing w:line="340" w:lineRule="exact"/>
              <w:rPr>
                <w:rFonts w:ascii="宋体" w:hAnsi="宋体" w:cs="宋体"/>
                <w:color w:val="auto"/>
                <w:szCs w:val="21"/>
                <w:highlight w:val="none"/>
              </w:rPr>
            </w:pPr>
            <w:r>
              <w:rPr>
                <w:rFonts w:hint="eastAsia" w:ascii="宋体" w:hAnsi="宋体" w:cs="宋体"/>
                <w:color w:val="auto"/>
                <w:szCs w:val="21"/>
                <w:highlight w:val="none"/>
              </w:rPr>
              <w:t>1.2印刷技术术语依据GB9851标准。</w:t>
            </w:r>
          </w:p>
          <w:p w14:paraId="0C321EB0">
            <w:pPr>
              <w:spacing w:line="340" w:lineRule="exact"/>
              <w:rPr>
                <w:rFonts w:ascii="宋体" w:hAnsi="宋体" w:cs="宋体"/>
                <w:color w:val="auto"/>
                <w:szCs w:val="21"/>
                <w:highlight w:val="none"/>
              </w:rPr>
            </w:pPr>
            <w:r>
              <w:rPr>
                <w:rFonts w:hint="eastAsia" w:ascii="宋体" w:hAnsi="宋体" w:cs="宋体"/>
                <w:color w:val="auto"/>
                <w:szCs w:val="21"/>
                <w:highlight w:val="none"/>
              </w:rPr>
              <w:t>1.3书刊印刷质量评价和分等导则依据CY/T2-1999标准。</w:t>
            </w:r>
          </w:p>
          <w:p w14:paraId="58277691">
            <w:pPr>
              <w:spacing w:line="340" w:lineRule="exact"/>
              <w:rPr>
                <w:rFonts w:ascii="宋体" w:hAnsi="宋体" w:cs="宋体"/>
                <w:color w:val="auto"/>
                <w:szCs w:val="21"/>
                <w:highlight w:val="none"/>
              </w:rPr>
            </w:pPr>
            <w:r>
              <w:rPr>
                <w:rFonts w:hint="eastAsia" w:ascii="宋体" w:hAnsi="宋体" w:cs="宋体"/>
                <w:color w:val="auto"/>
                <w:szCs w:val="21"/>
                <w:highlight w:val="none"/>
              </w:rPr>
              <w:t>1.4图书开本及幅面尺寸符合GB/T788-1999标准。</w:t>
            </w:r>
          </w:p>
          <w:p w14:paraId="613B7B5C">
            <w:pPr>
              <w:spacing w:line="340" w:lineRule="exact"/>
              <w:rPr>
                <w:rFonts w:ascii="宋体" w:hAnsi="宋体" w:cs="宋体"/>
                <w:color w:val="auto"/>
                <w:szCs w:val="21"/>
                <w:highlight w:val="none"/>
              </w:rPr>
            </w:pPr>
            <w:r>
              <w:rPr>
                <w:rFonts w:hint="eastAsia" w:ascii="宋体" w:hAnsi="宋体" w:cs="宋体"/>
                <w:color w:val="auto"/>
                <w:szCs w:val="21"/>
                <w:highlight w:val="none"/>
              </w:rPr>
              <w:t>1.5图书必须是出版机构（经国家批准的）出版有版权的正式出版物。</w:t>
            </w:r>
          </w:p>
          <w:p w14:paraId="1A112642">
            <w:pPr>
              <w:spacing w:line="340" w:lineRule="exact"/>
              <w:rPr>
                <w:rFonts w:ascii="宋体" w:hAnsi="宋体" w:cs="宋体"/>
                <w:color w:val="auto"/>
                <w:szCs w:val="21"/>
                <w:highlight w:val="none"/>
              </w:rPr>
            </w:pPr>
            <w:r>
              <w:rPr>
                <w:rFonts w:hint="eastAsia" w:ascii="宋体" w:hAnsi="宋体" w:cs="宋体"/>
                <w:color w:val="auto"/>
                <w:szCs w:val="21"/>
                <w:highlight w:val="none"/>
              </w:rPr>
              <w:t>2.图书质量要求：</w:t>
            </w:r>
          </w:p>
          <w:p w14:paraId="77280FE8">
            <w:pPr>
              <w:spacing w:line="340" w:lineRule="exact"/>
              <w:rPr>
                <w:rFonts w:ascii="宋体" w:hAnsi="宋体" w:cs="宋体"/>
                <w:color w:val="auto"/>
                <w:szCs w:val="21"/>
                <w:highlight w:val="none"/>
              </w:rPr>
            </w:pPr>
            <w:r>
              <w:rPr>
                <w:rFonts w:hint="eastAsia" w:ascii="宋体" w:hAnsi="宋体" w:cs="宋体"/>
                <w:color w:val="auto"/>
                <w:szCs w:val="21"/>
                <w:highlight w:val="none"/>
              </w:rPr>
              <w:t>（1）封面印刷套印准确，字、图、点、线印迹清楚，不花、不毛、不糊，实地版墨包均匀，无回胶印，背面不脏。</w:t>
            </w:r>
          </w:p>
          <w:p w14:paraId="682558B1">
            <w:pPr>
              <w:spacing w:line="340" w:lineRule="exact"/>
              <w:rPr>
                <w:rFonts w:ascii="宋体" w:hAnsi="宋体" w:cs="宋体"/>
                <w:color w:val="auto"/>
                <w:szCs w:val="21"/>
                <w:highlight w:val="none"/>
              </w:rPr>
            </w:pPr>
            <w:r>
              <w:rPr>
                <w:rFonts w:hint="eastAsia" w:ascii="宋体" w:hAnsi="宋体" w:cs="宋体"/>
                <w:color w:val="auto"/>
                <w:szCs w:val="21"/>
                <w:highlight w:val="none"/>
              </w:rPr>
              <w:t>（2）插图印刷</w:t>
            </w:r>
          </w:p>
          <w:p w14:paraId="38F6AD71">
            <w:pPr>
              <w:spacing w:line="340" w:lineRule="exact"/>
              <w:rPr>
                <w:rFonts w:ascii="宋体" w:hAnsi="宋体" w:cs="宋体"/>
                <w:color w:val="auto"/>
                <w:szCs w:val="21"/>
                <w:highlight w:val="none"/>
              </w:rPr>
            </w:pPr>
            <w:r>
              <w:rPr>
                <w:rFonts w:hint="eastAsia" w:ascii="宋体" w:hAnsi="宋体" w:cs="宋体"/>
                <w:color w:val="auto"/>
                <w:szCs w:val="21"/>
                <w:highlight w:val="none"/>
              </w:rPr>
              <w:t>①套印准确、层次分明、轮廓实，电分制版无浮雕印。</w:t>
            </w:r>
          </w:p>
          <w:p w14:paraId="40694373">
            <w:pPr>
              <w:spacing w:line="340" w:lineRule="exact"/>
              <w:rPr>
                <w:rFonts w:ascii="宋体" w:hAnsi="宋体" w:cs="宋体"/>
                <w:color w:val="auto"/>
                <w:szCs w:val="21"/>
                <w:highlight w:val="none"/>
              </w:rPr>
            </w:pPr>
            <w:r>
              <w:rPr>
                <w:rFonts w:hint="eastAsia" w:ascii="宋体" w:hAnsi="宋体" w:cs="宋体"/>
                <w:color w:val="auto"/>
                <w:szCs w:val="21"/>
                <w:highlight w:val="none"/>
              </w:rPr>
              <w:t>②网点清晰饱满，小点不秃、大点光洁不糊，质感好。</w:t>
            </w:r>
          </w:p>
          <w:p w14:paraId="34B9605B">
            <w:pPr>
              <w:spacing w:line="340" w:lineRule="exact"/>
              <w:rPr>
                <w:rFonts w:ascii="宋体" w:hAnsi="宋体" w:cs="宋体"/>
                <w:color w:val="auto"/>
                <w:szCs w:val="21"/>
                <w:highlight w:val="none"/>
              </w:rPr>
            </w:pPr>
            <w:r>
              <w:rPr>
                <w:rFonts w:hint="eastAsia" w:ascii="宋体" w:hAnsi="宋体" w:cs="宋体"/>
                <w:color w:val="auto"/>
                <w:szCs w:val="21"/>
                <w:highlight w:val="none"/>
              </w:rPr>
              <w:t>③墨色均匀实，色彩鲜艳有光泽，肤色正，接版准确，色调深浅一致。</w:t>
            </w:r>
          </w:p>
          <w:p w14:paraId="29F256C1">
            <w:pPr>
              <w:spacing w:line="340" w:lineRule="exact"/>
              <w:rPr>
                <w:rFonts w:ascii="宋体" w:hAnsi="宋体" w:cs="宋体"/>
                <w:color w:val="auto"/>
                <w:szCs w:val="21"/>
                <w:highlight w:val="none"/>
              </w:rPr>
            </w:pPr>
            <w:r>
              <w:rPr>
                <w:rFonts w:hint="eastAsia" w:ascii="宋体" w:hAnsi="宋体" w:cs="宋体"/>
                <w:color w:val="auto"/>
                <w:szCs w:val="21"/>
                <w:highlight w:val="none"/>
              </w:rPr>
              <w:t>（3）正文印刷</w:t>
            </w:r>
          </w:p>
          <w:p w14:paraId="5DBD412D">
            <w:pPr>
              <w:spacing w:line="340" w:lineRule="exact"/>
              <w:rPr>
                <w:rFonts w:ascii="宋体" w:hAnsi="宋体" w:cs="宋体"/>
                <w:color w:val="auto"/>
                <w:szCs w:val="21"/>
                <w:highlight w:val="none"/>
              </w:rPr>
            </w:pPr>
            <w:r>
              <w:rPr>
                <w:rFonts w:hint="eastAsia" w:ascii="宋体" w:hAnsi="宋体" w:cs="宋体"/>
                <w:color w:val="auto"/>
                <w:szCs w:val="21"/>
                <w:highlight w:val="none"/>
              </w:rPr>
              <w:t>①压力：压力适度，全书前后轻重一致。</w:t>
            </w:r>
          </w:p>
          <w:p w14:paraId="322D25A8">
            <w:pPr>
              <w:spacing w:line="340" w:lineRule="exact"/>
              <w:rPr>
                <w:rFonts w:ascii="宋体" w:hAnsi="宋体" w:cs="宋体"/>
                <w:color w:val="auto"/>
                <w:szCs w:val="21"/>
                <w:highlight w:val="none"/>
              </w:rPr>
            </w:pPr>
            <w:r>
              <w:rPr>
                <w:rFonts w:hint="eastAsia" w:ascii="宋体" w:hAnsi="宋体" w:cs="宋体"/>
                <w:color w:val="auto"/>
                <w:szCs w:val="21"/>
                <w:highlight w:val="none"/>
              </w:rPr>
              <w:t>②墨色：全书前后一致，浓淡适度。</w:t>
            </w:r>
          </w:p>
          <w:p w14:paraId="5C201157">
            <w:pPr>
              <w:spacing w:line="340" w:lineRule="exact"/>
              <w:rPr>
                <w:rFonts w:ascii="宋体" w:hAnsi="宋体" w:cs="宋体"/>
                <w:color w:val="auto"/>
                <w:szCs w:val="21"/>
                <w:highlight w:val="none"/>
              </w:rPr>
            </w:pPr>
            <w:r>
              <w:rPr>
                <w:rFonts w:hint="eastAsia" w:ascii="宋体" w:hAnsi="宋体" w:cs="宋体"/>
                <w:color w:val="auto"/>
                <w:szCs w:val="21"/>
                <w:highlight w:val="none"/>
              </w:rPr>
              <w:t>③套印：版面端正，正反套印准确。</w:t>
            </w:r>
          </w:p>
          <w:p w14:paraId="6FC1FCC3">
            <w:pPr>
              <w:spacing w:line="340" w:lineRule="exact"/>
              <w:rPr>
                <w:rFonts w:ascii="宋体" w:hAnsi="宋体" w:cs="宋体"/>
                <w:color w:val="auto"/>
                <w:szCs w:val="21"/>
                <w:highlight w:val="none"/>
              </w:rPr>
            </w:pPr>
            <w:r>
              <w:rPr>
                <w:rFonts w:hint="eastAsia" w:ascii="宋体" w:hAnsi="宋体" w:cs="宋体"/>
                <w:color w:val="auto"/>
                <w:szCs w:val="21"/>
                <w:highlight w:val="none"/>
              </w:rPr>
              <w:t>④文字：文字、标点清晰，笔锋挺秀，无缺笔断划，标题黑实不花，小字不糊不瞎。</w:t>
            </w:r>
          </w:p>
          <w:p w14:paraId="622DA15D">
            <w:pPr>
              <w:spacing w:line="340" w:lineRule="exact"/>
              <w:rPr>
                <w:rFonts w:ascii="宋体" w:hAnsi="宋体" w:cs="宋体"/>
                <w:color w:val="auto"/>
                <w:szCs w:val="21"/>
                <w:highlight w:val="none"/>
              </w:rPr>
            </w:pPr>
            <w:r>
              <w:rPr>
                <w:rFonts w:hint="eastAsia" w:ascii="宋体" w:hAnsi="宋体" w:cs="宋体"/>
                <w:color w:val="auto"/>
                <w:szCs w:val="21"/>
                <w:highlight w:val="none"/>
              </w:rPr>
              <w:t>⑤书目无脏污，破损，无钉花，野黑。</w:t>
            </w:r>
          </w:p>
          <w:p w14:paraId="4DA748C7">
            <w:pPr>
              <w:spacing w:line="340" w:lineRule="exact"/>
              <w:rPr>
                <w:rFonts w:ascii="宋体" w:hAnsi="宋体" w:cs="宋体"/>
                <w:color w:val="auto"/>
                <w:szCs w:val="21"/>
                <w:highlight w:val="none"/>
              </w:rPr>
            </w:pPr>
            <w:r>
              <w:rPr>
                <w:rFonts w:hint="eastAsia" w:ascii="宋体" w:hAnsi="宋体" w:cs="宋体"/>
                <w:color w:val="auto"/>
                <w:szCs w:val="21"/>
                <w:highlight w:val="none"/>
              </w:rPr>
              <w:t>（5）装订</w:t>
            </w:r>
          </w:p>
          <w:p w14:paraId="2ED1DF4C">
            <w:pPr>
              <w:spacing w:line="340" w:lineRule="exact"/>
              <w:rPr>
                <w:rFonts w:ascii="宋体" w:hAnsi="宋体" w:cs="宋体"/>
                <w:color w:val="auto"/>
                <w:szCs w:val="21"/>
                <w:highlight w:val="none"/>
              </w:rPr>
            </w:pPr>
            <w:r>
              <w:rPr>
                <w:rFonts w:hint="eastAsia" w:ascii="宋体" w:hAnsi="宋体" w:cs="宋体"/>
                <w:color w:val="auto"/>
                <w:szCs w:val="21"/>
                <w:highlight w:val="none"/>
              </w:rPr>
              <w:t>①开本尺寸符合设计要求，套收规格一致，成品切方正，无明显刀花，无连接页、折角、破头。</w:t>
            </w:r>
          </w:p>
          <w:p w14:paraId="4A4E93F2">
            <w:pPr>
              <w:spacing w:line="340" w:lineRule="exact"/>
              <w:rPr>
                <w:rFonts w:ascii="宋体" w:hAnsi="宋体" w:cs="宋体"/>
                <w:color w:val="auto"/>
                <w:szCs w:val="21"/>
                <w:highlight w:val="none"/>
              </w:rPr>
            </w:pPr>
            <w:r>
              <w:rPr>
                <w:rFonts w:hint="eastAsia" w:ascii="宋体" w:hAnsi="宋体" w:cs="宋体"/>
                <w:color w:val="auto"/>
                <w:szCs w:val="21"/>
                <w:highlight w:val="none"/>
              </w:rPr>
              <w:t>②书背平整，无空背、起泡、明显皱纹，书脊字居中封面齐色，边框要色正。</w:t>
            </w:r>
          </w:p>
          <w:p w14:paraId="738FB420">
            <w:pPr>
              <w:spacing w:line="340" w:lineRule="exact"/>
              <w:rPr>
                <w:rFonts w:ascii="宋体" w:hAnsi="宋体" w:cs="宋体"/>
                <w:color w:val="auto"/>
                <w:szCs w:val="21"/>
                <w:highlight w:val="none"/>
              </w:rPr>
            </w:pPr>
            <w:r>
              <w:rPr>
                <w:rFonts w:hint="eastAsia" w:ascii="宋体" w:hAnsi="宋体" w:cs="宋体"/>
                <w:color w:val="auto"/>
                <w:szCs w:val="21"/>
                <w:highlight w:val="none"/>
              </w:rPr>
              <w:t>③全书页码折正，书面平服，无皱折（八字折等）</w:t>
            </w:r>
          </w:p>
          <w:p w14:paraId="0C7936E0">
            <w:pPr>
              <w:spacing w:line="340" w:lineRule="exact"/>
              <w:rPr>
                <w:rFonts w:ascii="宋体" w:hAnsi="宋体" w:cs="宋体"/>
                <w:color w:val="auto"/>
                <w:szCs w:val="21"/>
                <w:highlight w:val="none"/>
              </w:rPr>
            </w:pPr>
            <w:r>
              <w:rPr>
                <w:rFonts w:hint="eastAsia" w:ascii="宋体" w:hAnsi="宋体" w:cs="宋体"/>
                <w:color w:val="auto"/>
                <w:szCs w:val="21"/>
                <w:highlight w:val="none"/>
              </w:rPr>
              <w:t>④骑马钉、平钉的钉脚不翘，无断丝，凸肚，钉距匀称，坚实牢固易翻不脱页.</w:t>
            </w:r>
          </w:p>
          <w:p w14:paraId="347B109B">
            <w:pPr>
              <w:numPr>
                <w:ilvl w:val="0"/>
                <w:numId w:val="3"/>
              </w:num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所提供的图书内容及插图必须健康向上，无负面影响，应具有长期保存及使用价值；具有较强知识性、科学性、趣味性、教育性、可读性。</w:t>
            </w:r>
          </w:p>
          <w:p w14:paraId="21499EC1">
            <w:pPr>
              <w:numPr>
                <w:ilvl w:val="0"/>
                <w:numId w:val="3"/>
              </w:num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图书相关系统要求：</w:t>
            </w:r>
          </w:p>
          <w:p w14:paraId="7397AC37">
            <w:pPr>
              <w:rPr>
                <w:rFonts w:hint="eastAsia" w:ascii="宋体" w:hAnsi="宋体" w:cs="宋体"/>
                <w:color w:val="auto"/>
                <w:sz w:val="22"/>
                <w:szCs w:val="22"/>
                <w:highlight w:val="none"/>
              </w:rPr>
            </w:pPr>
            <w:r>
              <w:rPr>
                <w:rFonts w:hint="eastAsia" w:ascii="宋体" w:hAnsi="宋体" w:cs="宋体"/>
                <w:color w:val="auto"/>
                <w:sz w:val="22"/>
                <w:szCs w:val="22"/>
                <w:highlight w:val="none"/>
              </w:rPr>
              <w:t>（1）系统支持 B/S 、C/S两种架构模式，支持云端SAAS访问模式、本地私有化部署、Windows、Linux 平台、国产化系统部署等;</w:t>
            </w:r>
          </w:p>
          <w:p w14:paraId="137E32D8">
            <w:pPr>
              <w:rPr>
                <w:rFonts w:hint="eastAsia" w:ascii="宋体" w:hAnsi="宋体" w:cs="宋体"/>
                <w:color w:val="auto"/>
                <w:sz w:val="22"/>
                <w:szCs w:val="22"/>
                <w:highlight w:val="none"/>
              </w:rPr>
            </w:pPr>
            <w:r>
              <w:rPr>
                <w:rFonts w:hint="eastAsia" w:ascii="宋体" w:hAnsi="宋体" w:cs="宋体"/>
                <w:color w:val="auto"/>
                <w:sz w:val="22"/>
                <w:szCs w:val="22"/>
                <w:highlight w:val="none"/>
              </w:rPr>
              <w:t>（2）数据库需采用稳定可靠、可弹性伸缩的关系型数据库，具备容灾、备份、恢复、迁移功能，提供高可用、高可靠、高安全的 MySQL 数据库，以保证图书馆相关数据安全存储不丢失;</w:t>
            </w:r>
          </w:p>
          <w:p w14:paraId="05586D3A">
            <w:pPr>
              <w:rPr>
                <w:rFonts w:hint="eastAsia" w:ascii="宋体" w:hAnsi="宋体" w:cs="宋体"/>
                <w:color w:val="auto"/>
                <w:sz w:val="22"/>
                <w:szCs w:val="22"/>
                <w:highlight w:val="none"/>
              </w:rPr>
            </w:pPr>
            <w:r>
              <w:rPr>
                <w:rFonts w:hint="eastAsia" w:ascii="宋体" w:hAnsi="宋体" w:cs="宋体"/>
                <w:color w:val="auto"/>
                <w:sz w:val="22"/>
                <w:szCs w:val="22"/>
                <w:highlight w:val="none"/>
              </w:rPr>
              <w:t>（3）系统包括采访模块、编目模块、流通模块、典藏模块、期刊模块、读者管理、报表模块、OPAC设置、系统设置、帮助中心等;</w:t>
            </w:r>
          </w:p>
          <w:p w14:paraId="5FB19DEB">
            <w:pPr>
              <w:rPr>
                <w:rFonts w:hint="eastAsia" w:ascii="宋体" w:hAnsi="宋体" w:cs="宋体"/>
                <w:color w:val="auto"/>
                <w:sz w:val="22"/>
                <w:szCs w:val="22"/>
                <w:highlight w:val="none"/>
              </w:rPr>
            </w:pPr>
            <w:r>
              <w:rPr>
                <w:rFonts w:hint="eastAsia" w:ascii="宋体" w:hAnsi="宋体" w:cs="宋体"/>
                <w:color w:val="auto"/>
                <w:sz w:val="22"/>
                <w:szCs w:val="22"/>
                <w:highlight w:val="none"/>
              </w:rPr>
              <w:t>（4）系统支持采访征订数据导入，导入文件格式支持MARC、Excel清单，可自定义查重字段，标记重复数据数量;</w:t>
            </w:r>
          </w:p>
          <w:p w14:paraId="3215F163">
            <w:pPr>
              <w:rPr>
                <w:rFonts w:hint="eastAsia" w:ascii="宋体" w:hAnsi="宋体" w:cs="宋体"/>
                <w:color w:val="auto"/>
                <w:sz w:val="22"/>
                <w:szCs w:val="22"/>
                <w:highlight w:val="none"/>
              </w:rPr>
            </w:pPr>
            <w:r>
              <w:rPr>
                <w:rFonts w:hint="eastAsia" w:ascii="宋体" w:hAnsi="宋体" w:cs="宋体"/>
                <w:color w:val="auto"/>
                <w:sz w:val="22"/>
                <w:szCs w:val="22"/>
                <w:highlight w:val="none"/>
              </w:rPr>
              <w:t>（5）支持订购单管理、验收单管理，可对新增、删除、关闭操作;</w:t>
            </w:r>
          </w:p>
          <w:p w14:paraId="178A38D3">
            <w:pPr>
              <w:rPr>
                <w:rFonts w:hint="eastAsia" w:ascii="宋体" w:hAnsi="宋体" w:cs="宋体"/>
                <w:color w:val="auto"/>
                <w:sz w:val="22"/>
                <w:szCs w:val="22"/>
                <w:highlight w:val="none"/>
              </w:rPr>
            </w:pPr>
            <w:r>
              <w:rPr>
                <w:rFonts w:hint="eastAsia" w:ascii="宋体" w:hAnsi="宋体" w:cs="宋体"/>
                <w:color w:val="auto"/>
                <w:sz w:val="22"/>
                <w:szCs w:val="22"/>
                <w:highlight w:val="none"/>
              </w:rPr>
              <w:t>（6）支持图书荐购记录处理，可以记录待审核、通过、驳回、未处理、不订购、已订购、验收中、到馆、采购不到等状态;</w:t>
            </w:r>
          </w:p>
          <w:p w14:paraId="42550E00">
            <w:pPr>
              <w:rPr>
                <w:rFonts w:hint="eastAsia" w:ascii="宋体" w:hAnsi="宋体" w:cs="宋体"/>
                <w:color w:val="auto"/>
                <w:sz w:val="22"/>
                <w:szCs w:val="22"/>
                <w:highlight w:val="none"/>
              </w:rPr>
            </w:pPr>
            <w:r>
              <w:rPr>
                <w:rFonts w:hint="eastAsia" w:ascii="宋体" w:hAnsi="宋体" w:cs="宋体"/>
                <w:color w:val="auto"/>
                <w:sz w:val="22"/>
                <w:szCs w:val="22"/>
                <w:highlight w:val="none"/>
              </w:rPr>
              <w:t>（7）支持审核通过的荐购记录转换成订购单，同步发送到书商对应的邮箱，通过短信形式通知对方;</w:t>
            </w:r>
          </w:p>
          <w:p w14:paraId="3BB9DCE7">
            <w:pPr>
              <w:rPr>
                <w:rFonts w:hint="eastAsia" w:ascii="宋体" w:hAnsi="宋体" w:cs="宋体"/>
                <w:color w:val="auto"/>
                <w:sz w:val="22"/>
                <w:szCs w:val="22"/>
                <w:highlight w:val="none"/>
              </w:rPr>
            </w:pPr>
            <w:r>
              <w:rPr>
                <w:rFonts w:hint="eastAsia" w:ascii="宋体" w:hAnsi="宋体" w:cs="宋体"/>
                <w:color w:val="auto"/>
                <w:sz w:val="22"/>
                <w:szCs w:val="22"/>
                <w:highlight w:val="none"/>
              </w:rPr>
              <w:t>（8）可对已订购到馆图书逐条验收，对未到齐或多出图书做出提示并统计相应信息;</w:t>
            </w:r>
          </w:p>
          <w:p w14:paraId="6DF2DAB2">
            <w:pPr>
              <w:rPr>
                <w:rFonts w:hint="eastAsia" w:ascii="宋体" w:hAnsi="宋体" w:cs="宋体"/>
                <w:color w:val="auto"/>
                <w:sz w:val="22"/>
                <w:szCs w:val="22"/>
                <w:highlight w:val="none"/>
              </w:rPr>
            </w:pPr>
            <w:r>
              <w:rPr>
                <w:rFonts w:hint="eastAsia" w:ascii="宋体" w:hAnsi="宋体" w:cs="宋体"/>
                <w:color w:val="auto"/>
                <w:sz w:val="22"/>
                <w:szCs w:val="22"/>
                <w:highlight w:val="none"/>
              </w:rPr>
              <w:t>（9）支持图书到馆直接验收处理，支持无订购记录的情况下验收、编目、馆藏分配操作;</w:t>
            </w:r>
          </w:p>
          <w:p w14:paraId="66E1A23E">
            <w:pPr>
              <w:rPr>
                <w:rFonts w:hint="eastAsia" w:ascii="宋体" w:hAnsi="宋体" w:cs="宋体"/>
                <w:color w:val="auto"/>
                <w:sz w:val="22"/>
                <w:szCs w:val="22"/>
                <w:highlight w:val="none"/>
              </w:rPr>
            </w:pPr>
            <w:r>
              <w:rPr>
                <w:rFonts w:hint="eastAsia" w:ascii="宋体" w:hAnsi="宋体" w:cs="宋体"/>
                <w:color w:val="auto"/>
                <w:sz w:val="22"/>
                <w:szCs w:val="22"/>
                <w:highlight w:val="none"/>
              </w:rPr>
              <w:t>（10）.采访统计支持按种、册查询，可导出订购单清单、验收单;</w:t>
            </w:r>
          </w:p>
          <w:p w14:paraId="0A764D69">
            <w:pPr>
              <w:rPr>
                <w:rFonts w:hint="eastAsia" w:ascii="宋体" w:hAnsi="宋体" w:cs="宋体"/>
                <w:color w:val="auto"/>
                <w:sz w:val="22"/>
                <w:szCs w:val="22"/>
                <w:highlight w:val="none"/>
              </w:rPr>
            </w:pPr>
            <w:r>
              <w:rPr>
                <w:rFonts w:hint="eastAsia" w:ascii="宋体" w:hAnsi="宋体" w:cs="宋体"/>
                <w:color w:val="auto"/>
                <w:sz w:val="22"/>
                <w:szCs w:val="22"/>
                <w:highlight w:val="none"/>
              </w:rPr>
              <w:t>★（11）为提高编目效率，图书编目参数可以设置条码自动记忆、保存后自动弹出新增查重页面、非中央库数据仅命中一条时直接套录使用、无命中数据直接弹出新增记录弹窗、中央库数据仅命中一条时直接添加复本、MARC实时检测、索书号重复可保存功能的参数设置（投标人需</w:t>
            </w:r>
            <w:r>
              <w:rPr>
                <w:rFonts w:hint="eastAsia" w:ascii="宋体" w:hAnsi="宋体" w:eastAsia="宋体" w:cs="宋体"/>
                <w:color w:val="auto"/>
                <w:sz w:val="22"/>
                <w:szCs w:val="22"/>
                <w:highlight w:val="none"/>
              </w:rPr>
              <w:t>提供国家认可的第三方检验（测）机构出具的检测告复印件加盖投标人公章）</w:t>
            </w:r>
            <w:r>
              <w:rPr>
                <w:rFonts w:hint="eastAsia" w:ascii="宋体" w:hAnsi="宋体" w:cs="宋体"/>
                <w:color w:val="auto"/>
                <w:sz w:val="22"/>
                <w:szCs w:val="22"/>
                <w:highlight w:val="none"/>
              </w:rPr>
              <w:t>;</w:t>
            </w:r>
          </w:p>
          <w:p w14:paraId="3EC465C7">
            <w:pPr>
              <w:rPr>
                <w:rFonts w:hint="eastAsia" w:ascii="宋体" w:hAnsi="宋体" w:cs="宋体"/>
                <w:color w:val="auto"/>
                <w:sz w:val="22"/>
                <w:szCs w:val="22"/>
                <w:highlight w:val="none"/>
              </w:rPr>
            </w:pPr>
            <w:r>
              <w:rPr>
                <w:rFonts w:hint="eastAsia" w:ascii="宋体" w:hAnsi="宋体" w:cs="宋体"/>
                <w:color w:val="auto"/>
                <w:sz w:val="22"/>
                <w:szCs w:val="22"/>
                <w:highlight w:val="none"/>
              </w:rPr>
              <w:t>（12）支持编目录入查重时，重复数据自动添加复本馆藏信息;</w:t>
            </w:r>
          </w:p>
          <w:p w14:paraId="7D4FA00E">
            <w:pPr>
              <w:rPr>
                <w:rFonts w:hint="eastAsia" w:ascii="宋体" w:hAnsi="宋体" w:cs="宋体"/>
                <w:color w:val="auto"/>
                <w:sz w:val="22"/>
                <w:szCs w:val="22"/>
                <w:highlight w:val="none"/>
              </w:rPr>
            </w:pPr>
            <w:r>
              <w:rPr>
                <w:rFonts w:hint="eastAsia" w:ascii="宋体" w:hAnsi="宋体" w:cs="宋体"/>
                <w:color w:val="auto"/>
                <w:sz w:val="22"/>
                <w:szCs w:val="22"/>
                <w:highlight w:val="none"/>
              </w:rPr>
              <w:t>系统支持表单编目、MARC编目两种形式，可设置默认表单编目或MARC编目;</w:t>
            </w:r>
          </w:p>
          <w:p w14:paraId="63CFA8D5">
            <w:pPr>
              <w:rPr>
                <w:rFonts w:hint="eastAsia" w:ascii="宋体" w:hAnsi="宋体" w:cs="宋体"/>
                <w:color w:val="auto"/>
                <w:sz w:val="22"/>
                <w:szCs w:val="22"/>
                <w:highlight w:val="none"/>
              </w:rPr>
            </w:pPr>
            <w:r>
              <w:rPr>
                <w:rFonts w:hint="eastAsia" w:ascii="宋体" w:hAnsi="宋体" w:cs="宋体"/>
                <w:color w:val="auto"/>
                <w:sz w:val="22"/>
                <w:szCs w:val="22"/>
                <w:highlight w:val="none"/>
              </w:rPr>
              <w:t>★（13）在MARC编辑页面，支持新建、插入子字段、插入字段、复制、剪切、粘贴、删除字段、删除子字段、复制整个MARC、粘贴整个MARC、自动生成数据、生成拼音、字段排序、数据校验等功能且支持快捷键操作，保存MARC数据时，系统可实时检测MARC不规范字段（投标人需提供MARC标准格式检测系统著作权复印件）;</w:t>
            </w:r>
          </w:p>
          <w:p w14:paraId="7A3F303A">
            <w:pPr>
              <w:rPr>
                <w:rFonts w:hint="eastAsia" w:ascii="宋体" w:hAnsi="宋体" w:cs="宋体"/>
                <w:color w:val="auto"/>
                <w:sz w:val="22"/>
                <w:szCs w:val="22"/>
                <w:highlight w:val="none"/>
              </w:rPr>
            </w:pPr>
            <w:r>
              <w:rPr>
                <w:rFonts w:hint="eastAsia" w:ascii="宋体" w:hAnsi="宋体" w:cs="宋体"/>
                <w:color w:val="auto"/>
                <w:sz w:val="22"/>
                <w:szCs w:val="22"/>
                <w:highlight w:val="none"/>
              </w:rPr>
              <w:t>（14）系统支持文献条码号打印，可设置模板、单个打印次数、打印预览等;</w:t>
            </w:r>
          </w:p>
          <w:p w14:paraId="07921546">
            <w:pPr>
              <w:rPr>
                <w:rFonts w:hint="eastAsia" w:ascii="宋体" w:hAnsi="宋体" w:cs="宋体"/>
                <w:color w:val="auto"/>
                <w:sz w:val="22"/>
                <w:szCs w:val="22"/>
                <w:highlight w:val="none"/>
              </w:rPr>
            </w:pPr>
            <w:r>
              <w:rPr>
                <w:rFonts w:hint="eastAsia" w:ascii="宋体" w:hAnsi="宋体" w:cs="宋体"/>
                <w:color w:val="auto"/>
                <w:sz w:val="22"/>
                <w:szCs w:val="22"/>
                <w:highlight w:val="none"/>
              </w:rPr>
              <w:t>★（15）系统支持按《中国图书馆分类法》(第五版)详细分类浏览，统计系统数据总种数、总册数，对应分类下，显示此分类号下所有馆藏数据，支持逐级根据分类统计馆藏数据列表（投标人需</w:t>
            </w:r>
            <w:r>
              <w:rPr>
                <w:rFonts w:hint="eastAsia" w:ascii="宋体" w:hAnsi="宋体" w:eastAsia="宋体" w:cs="宋体"/>
                <w:color w:val="auto"/>
                <w:sz w:val="22"/>
                <w:szCs w:val="22"/>
                <w:highlight w:val="none"/>
              </w:rPr>
              <w:t>提供国家认可的第三方检验（测）机构出具的检测告复印件加盖投标人公章）</w:t>
            </w:r>
            <w:r>
              <w:rPr>
                <w:rFonts w:hint="eastAsia" w:ascii="宋体" w:hAnsi="宋体" w:cs="宋体"/>
                <w:color w:val="auto"/>
                <w:sz w:val="22"/>
                <w:szCs w:val="22"/>
                <w:highlight w:val="none"/>
              </w:rPr>
              <w:t>;</w:t>
            </w:r>
          </w:p>
          <w:p w14:paraId="58B2748F">
            <w:pPr>
              <w:rPr>
                <w:rFonts w:hint="eastAsia" w:ascii="宋体" w:hAnsi="宋体" w:cs="宋体"/>
                <w:color w:val="auto"/>
                <w:sz w:val="22"/>
                <w:szCs w:val="22"/>
                <w:highlight w:val="none"/>
              </w:rPr>
            </w:pPr>
            <w:r>
              <w:rPr>
                <w:rFonts w:hint="eastAsia" w:ascii="宋体" w:hAnsi="宋体" w:cs="宋体"/>
                <w:color w:val="auto"/>
                <w:sz w:val="22"/>
                <w:szCs w:val="22"/>
                <w:highlight w:val="none"/>
              </w:rPr>
              <w:t>（16）系统支持图书检索功能，可通过 ISBN、正题名、第一责任者、丛书名、分类号、馆藏地址、批次号、主题词、文献条码号、文献条码范围、入库时间范围、出版时间、文献状态查询图书;</w:t>
            </w:r>
          </w:p>
          <w:p w14:paraId="55C3F99F">
            <w:pPr>
              <w:rPr>
                <w:rFonts w:hint="eastAsia" w:ascii="宋体" w:hAnsi="宋体" w:cs="宋体"/>
                <w:color w:val="auto"/>
                <w:sz w:val="22"/>
                <w:szCs w:val="22"/>
                <w:highlight w:val="none"/>
              </w:rPr>
            </w:pPr>
            <w:r>
              <w:rPr>
                <w:rFonts w:hint="eastAsia" w:ascii="宋体" w:hAnsi="宋体" w:cs="宋体"/>
                <w:color w:val="auto"/>
                <w:sz w:val="22"/>
                <w:szCs w:val="22"/>
                <w:highlight w:val="none"/>
              </w:rPr>
              <w:t>（17）系统可以支持单个条码、多个条码、批量导入形式完成图书盘点、图书注销、条码删除、条码替换功能，可设置是否确认图书信息，“是”则显示对应书目信息及馆藏信息，核对信息无误后，可完成盘点、注销、删除、操作，批量导入条码时，可检查出文件中错误条码号;</w:t>
            </w:r>
          </w:p>
          <w:p w14:paraId="2D8D994B">
            <w:pPr>
              <w:rPr>
                <w:rFonts w:hint="eastAsia" w:ascii="宋体" w:hAnsi="宋体" w:cs="宋体"/>
                <w:color w:val="auto"/>
                <w:sz w:val="22"/>
                <w:szCs w:val="22"/>
                <w:highlight w:val="none"/>
              </w:rPr>
            </w:pPr>
            <w:r>
              <w:rPr>
                <w:rFonts w:hint="eastAsia" w:ascii="宋体" w:hAnsi="宋体" w:cs="宋体"/>
                <w:color w:val="auto"/>
                <w:sz w:val="22"/>
                <w:szCs w:val="22"/>
                <w:highlight w:val="none"/>
              </w:rPr>
              <w:t>（18）系统支持架位号新建、批量设置架位号、架位查询，支持扫描条码入库层架、批量导入条码上架、文献自动定位功能;</w:t>
            </w:r>
          </w:p>
          <w:p w14:paraId="48784937">
            <w:pPr>
              <w:rPr>
                <w:rFonts w:hint="eastAsia" w:ascii="宋体" w:hAnsi="宋体" w:cs="宋体"/>
                <w:color w:val="auto"/>
                <w:sz w:val="22"/>
                <w:szCs w:val="22"/>
                <w:highlight w:val="none"/>
              </w:rPr>
            </w:pPr>
            <w:r>
              <w:rPr>
                <w:rFonts w:hint="eastAsia" w:ascii="宋体" w:hAnsi="宋体" w:cs="宋体"/>
                <w:color w:val="auto"/>
                <w:sz w:val="22"/>
                <w:szCs w:val="22"/>
                <w:highlight w:val="none"/>
              </w:rPr>
              <w:t>（19）支持对接标准SIP2标准接口协议，对接自助借还终端设备、智慧校园系统等</w:t>
            </w:r>
          </w:p>
          <w:p w14:paraId="31EA1619">
            <w:pPr>
              <w:rPr>
                <w:rFonts w:hint="eastAsia"/>
                <w:color w:val="auto"/>
                <w:highlight w:val="none"/>
              </w:rPr>
            </w:pPr>
            <w:r>
              <w:rPr>
                <w:rFonts w:hint="eastAsia" w:ascii="宋体" w:hAnsi="宋体" w:cs="宋体"/>
                <w:color w:val="auto"/>
                <w:szCs w:val="21"/>
                <w:highlight w:val="none"/>
              </w:rPr>
              <w:t>5.图书加工要求：</w:t>
            </w:r>
            <w:r>
              <w:rPr>
                <w:rFonts w:hint="eastAsia" w:ascii="宋体" w:hAnsi="宋体" w:cs="宋体"/>
                <w:color w:val="auto"/>
                <w:szCs w:val="21"/>
                <w:highlight w:val="none"/>
              </w:rPr>
              <w:br w:type="textWrapping"/>
            </w:r>
            <w:r>
              <w:rPr>
                <w:rFonts w:hint="eastAsia" w:ascii="宋体" w:hAnsi="宋体" w:cs="宋体"/>
                <w:color w:val="auto"/>
                <w:szCs w:val="21"/>
                <w:highlight w:val="none"/>
              </w:rPr>
              <w:t>⑴免费上门为各学校进行图书的全套加工和图书上架（不得委托第三方）,要求免费提供贴条形码、粘贴书标等服务。由此发生的所有费用（如材料等）全部由中标供应商承担。</w:t>
            </w:r>
            <w:r>
              <w:rPr>
                <w:rFonts w:hint="eastAsia" w:ascii="宋体" w:hAnsi="宋体" w:cs="宋体"/>
                <w:color w:val="auto"/>
                <w:szCs w:val="21"/>
                <w:highlight w:val="none"/>
              </w:rPr>
              <w:br w:type="textWrapping"/>
            </w:r>
            <w:r>
              <w:rPr>
                <w:rFonts w:hint="eastAsia" w:ascii="宋体" w:hAnsi="宋体" w:cs="宋体"/>
                <w:color w:val="auto"/>
                <w:szCs w:val="21"/>
                <w:highlight w:val="none"/>
              </w:rPr>
              <w:t>⑵每册书须粘贴用激光打印机打印的不干胶书标1枚（要求书标耐磨、粘性好、不掉墨），具体粘贴位置为书名页左上角、书脊下方处，书脊处书标加贴透明胶保护。</w:t>
            </w:r>
            <w:r>
              <w:rPr>
                <w:rFonts w:hint="eastAsia" w:ascii="宋体" w:hAnsi="宋体" w:cs="宋体"/>
                <w:color w:val="auto"/>
                <w:szCs w:val="21"/>
                <w:highlight w:val="none"/>
              </w:rPr>
              <w:br w:type="textWrapping"/>
            </w:r>
            <w:r>
              <w:rPr>
                <w:rFonts w:hint="eastAsia" w:ascii="宋体" w:hAnsi="宋体" w:cs="宋体"/>
                <w:color w:val="auto"/>
                <w:szCs w:val="21"/>
                <w:highlight w:val="none"/>
              </w:rPr>
              <w:t>⑶每册书须粘贴用激光打印机打印的馆藏流水号不干胶条形码1枚（要求条形码耐磨、粘性好、不掉墨），具体起止号由招标方提供，分别粘贴在书名页和书内的中上方(不遮盖文字)；一种书有复本时，条形码号须连续，如有随书附件，亦同样配条形码，号码与所配图书连接。每册书所使用的条形码应能被采购方的条形码阅读器正确读出。</w:t>
            </w:r>
            <w:r>
              <w:rPr>
                <w:rFonts w:hint="eastAsia" w:ascii="宋体" w:hAnsi="宋体" w:cs="宋体"/>
                <w:color w:val="auto"/>
                <w:szCs w:val="21"/>
                <w:highlight w:val="none"/>
              </w:rPr>
              <w:br w:type="textWrapping"/>
            </w:r>
            <w:r>
              <w:rPr>
                <w:rFonts w:hint="eastAsia" w:ascii="宋体" w:hAnsi="宋体" w:cs="宋体"/>
                <w:color w:val="auto"/>
                <w:szCs w:val="21"/>
                <w:highlight w:val="none"/>
              </w:rPr>
              <w:t>⑷所有随书光盘、磁盘、磁带按要求装盒并在盒的左上角粘贴不干胶书标一枚，在盒的正下方贴条形码一枚。</w:t>
            </w:r>
            <w:r>
              <w:rPr>
                <w:rFonts w:hint="eastAsia" w:ascii="宋体" w:hAnsi="宋体" w:cs="宋体"/>
                <w:color w:val="auto"/>
                <w:szCs w:val="21"/>
                <w:highlight w:val="none"/>
              </w:rPr>
              <w:br w:type="textWrapping"/>
            </w:r>
            <w:r>
              <w:rPr>
                <w:rFonts w:hint="eastAsia" w:ascii="宋体" w:hAnsi="宋体" w:cs="宋体"/>
                <w:color w:val="auto"/>
                <w:szCs w:val="21"/>
                <w:highlight w:val="none"/>
              </w:rPr>
              <w:t>⑸采购方可以根据业务需要，临时调整图书加工的具体要求，中标供应商应根据采购方的要求完成图书加工任务。中标供应商应根据采购方的实际工作运行程序，提供高效、优质的服务保障。</w:t>
            </w:r>
          </w:p>
          <w:p w14:paraId="7E8EABB2">
            <w:pPr>
              <w:spacing w:line="340" w:lineRule="exact"/>
              <w:rPr>
                <w:rFonts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eastAsia="zh-CN"/>
              </w:rPr>
              <w:t>《</w:t>
            </w:r>
            <w:r>
              <w:rPr>
                <w:rFonts w:hint="eastAsia" w:ascii="宋体" w:hAnsi="宋体" w:cs="宋体"/>
                <w:color w:val="auto"/>
                <w:szCs w:val="21"/>
                <w:highlight w:val="none"/>
              </w:rPr>
              <w:t>图书目录明细表</w:t>
            </w:r>
            <w:r>
              <w:rPr>
                <w:rFonts w:hint="eastAsia" w:ascii="宋体" w:hAnsi="宋体" w:cs="宋体"/>
                <w:color w:val="auto"/>
                <w:szCs w:val="21"/>
                <w:highlight w:val="none"/>
                <w:lang w:eastAsia="zh-CN"/>
              </w:rPr>
              <w:t>》</w:t>
            </w:r>
            <w:r>
              <w:rPr>
                <w:rFonts w:hint="eastAsia" w:ascii="宋体" w:hAnsi="宋体" w:cs="宋体"/>
                <w:color w:val="auto"/>
                <w:szCs w:val="21"/>
                <w:highlight w:val="none"/>
              </w:rPr>
              <w:t>必须完全响应</w:t>
            </w:r>
            <w:r>
              <w:rPr>
                <w:rFonts w:hint="eastAsia" w:ascii="宋体" w:hAnsi="宋体" w:cs="宋体"/>
                <w:color w:val="auto"/>
                <w:szCs w:val="21"/>
                <w:highlight w:val="none"/>
                <w:lang w:eastAsia="zh-CN"/>
              </w:rPr>
              <w:t>附件分标</w:t>
            </w:r>
            <w:r>
              <w:rPr>
                <w:rFonts w:hint="eastAsia" w:ascii="宋体" w:hAnsi="宋体" w:cs="宋体"/>
                <w:color w:val="auto"/>
                <w:szCs w:val="21"/>
                <w:highlight w:val="none"/>
                <w:lang w:val="en-US" w:eastAsia="zh-CN"/>
              </w:rPr>
              <w:t>3-4：《</w:t>
            </w:r>
            <w:r>
              <w:rPr>
                <w:rFonts w:hint="eastAsia" w:ascii="宋体" w:hAnsi="宋体" w:cs="宋体"/>
                <w:color w:val="auto"/>
                <w:szCs w:val="21"/>
                <w:highlight w:val="none"/>
              </w:rPr>
              <w:t>图书采购目录</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，并提供详细的书目参数信息，包含：书号、书名、定价、出版社、出版日期、数量等详细信息。提供虚假参数报价或参数响应率低于98%其投标报价无效。（提供图书目录</w:t>
            </w:r>
            <w:r>
              <w:rPr>
                <w:rFonts w:hint="eastAsia" w:ascii="宋体" w:hAnsi="宋体" w:cs="宋体"/>
                <w:color w:val="auto"/>
                <w:szCs w:val="21"/>
                <w:highlight w:val="none"/>
                <w:lang w:eastAsia="zh-CN"/>
              </w:rPr>
              <w:t>清单</w:t>
            </w:r>
            <w:r>
              <w:rPr>
                <w:rFonts w:hint="eastAsia" w:ascii="宋体" w:hAnsi="宋体" w:cs="宋体"/>
                <w:color w:val="auto"/>
                <w:szCs w:val="21"/>
                <w:highlight w:val="none"/>
              </w:rPr>
              <w:t>响应承诺函）</w:t>
            </w:r>
          </w:p>
          <w:p w14:paraId="10187457">
            <w:pPr>
              <w:numPr>
                <w:ilvl w:val="0"/>
                <w:numId w:val="4"/>
              </w:numPr>
              <w:spacing w:line="340" w:lineRule="exact"/>
              <w:rPr>
                <w:color w:val="auto"/>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eastAsia="zh-CN"/>
              </w:rPr>
              <w:t>附件分标</w:t>
            </w:r>
            <w:r>
              <w:rPr>
                <w:rFonts w:hint="eastAsia" w:ascii="宋体" w:hAnsi="宋体" w:cs="宋体"/>
                <w:color w:val="auto"/>
                <w:szCs w:val="21"/>
                <w:highlight w:val="none"/>
                <w:lang w:val="en-US" w:eastAsia="zh-CN"/>
              </w:rPr>
              <w:t>3-4：《</w:t>
            </w:r>
            <w:r>
              <w:rPr>
                <w:rFonts w:hint="eastAsia" w:ascii="宋体" w:hAnsi="宋体" w:cs="宋体"/>
                <w:color w:val="auto"/>
                <w:szCs w:val="21"/>
                <w:highlight w:val="none"/>
              </w:rPr>
              <w:t>图书采购目录</w:t>
            </w:r>
            <w:r>
              <w:rPr>
                <w:rFonts w:hint="eastAsia" w:ascii="宋体" w:hAnsi="宋体" w:cs="宋体"/>
                <w:color w:val="auto"/>
                <w:szCs w:val="21"/>
                <w:highlight w:val="none"/>
                <w:lang w:val="en-US" w:eastAsia="zh-CN"/>
              </w:rPr>
              <w:t>》以</w:t>
            </w:r>
            <w:r>
              <w:rPr>
                <w:rFonts w:hint="eastAsia" w:ascii="宋体" w:hAnsi="宋体" w:cs="宋体"/>
                <w:color w:val="auto"/>
                <w:szCs w:val="21"/>
                <w:highlight w:val="none"/>
              </w:rPr>
              <w:t>附件</w:t>
            </w:r>
            <w:r>
              <w:rPr>
                <w:rFonts w:hint="eastAsia" w:ascii="宋体" w:hAnsi="宋体" w:cs="宋体"/>
                <w:color w:val="auto"/>
                <w:szCs w:val="21"/>
                <w:highlight w:val="none"/>
                <w:lang w:eastAsia="zh-CN"/>
              </w:rPr>
              <w:t>形式</w:t>
            </w:r>
            <w:r>
              <w:rPr>
                <w:rFonts w:hint="eastAsia" w:ascii="宋体" w:hAnsi="宋体" w:cs="宋体"/>
                <w:color w:val="auto"/>
                <w:szCs w:val="21"/>
                <w:highlight w:val="none"/>
              </w:rPr>
              <w:t>上传至广西政府采购云平台，投标人自行在广西政府采购云平台下载，投标人所提供的图书信息与</w:t>
            </w:r>
            <w:r>
              <w:rPr>
                <w:rFonts w:hint="eastAsia" w:ascii="宋体" w:hAnsi="宋体" w:cs="宋体"/>
                <w:color w:val="auto"/>
                <w:szCs w:val="21"/>
                <w:highlight w:val="none"/>
                <w:lang w:eastAsia="zh-CN"/>
              </w:rPr>
              <w:t>附件分标</w:t>
            </w:r>
            <w:r>
              <w:rPr>
                <w:rFonts w:hint="eastAsia" w:ascii="宋体" w:hAnsi="宋体" w:cs="宋体"/>
                <w:color w:val="auto"/>
                <w:szCs w:val="21"/>
                <w:highlight w:val="none"/>
                <w:lang w:val="en-US" w:eastAsia="zh-CN"/>
              </w:rPr>
              <w:t>3-4：《</w:t>
            </w:r>
            <w:r>
              <w:rPr>
                <w:rFonts w:hint="eastAsia" w:ascii="宋体" w:hAnsi="宋体" w:cs="宋体"/>
                <w:color w:val="auto"/>
                <w:szCs w:val="21"/>
                <w:highlight w:val="none"/>
              </w:rPr>
              <w:t>图书采购目录</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中书名一致。</w:t>
            </w:r>
          </w:p>
        </w:tc>
        <w:tc>
          <w:tcPr>
            <w:tcW w:w="6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B4C13F">
            <w:pPr>
              <w:spacing w:line="3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册</w:t>
            </w:r>
          </w:p>
        </w:tc>
        <w:tc>
          <w:tcPr>
            <w:tcW w:w="84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5F18E1">
            <w:pPr>
              <w:spacing w:line="340" w:lineRule="exact"/>
              <w:rPr>
                <w:rFonts w:ascii="宋体" w:hAnsi="宋体" w:cs="宋体"/>
                <w:color w:val="auto"/>
                <w:szCs w:val="21"/>
                <w:highlight w:val="none"/>
              </w:rPr>
            </w:pPr>
            <w:r>
              <w:rPr>
                <w:rFonts w:hint="eastAsia" w:ascii="宋体" w:hAnsi="宋体" w:cs="宋体"/>
                <w:color w:val="auto"/>
                <w:szCs w:val="21"/>
                <w:highlight w:val="none"/>
              </w:rPr>
              <w:t>36072</w:t>
            </w:r>
          </w:p>
        </w:tc>
      </w:tr>
      <w:tr w14:paraId="1E27F1E8">
        <w:tblPrEx>
          <w:tblCellMar>
            <w:top w:w="0" w:type="dxa"/>
            <w:left w:w="108" w:type="dxa"/>
            <w:bottom w:w="0" w:type="dxa"/>
            <w:right w:w="108" w:type="dxa"/>
          </w:tblCellMar>
        </w:tblPrEx>
        <w:trPr>
          <w:trHeight w:val="527" w:hRule="atLeast"/>
          <w:jc w:val="center"/>
        </w:trPr>
        <w:tc>
          <w:tcPr>
            <w:tcW w:w="9148" w:type="dxa"/>
            <w:gridSpan w:val="6"/>
            <w:tcBorders>
              <w:top w:val="single" w:color="404040" w:sz="4" w:space="0"/>
              <w:left w:val="single" w:color="404040" w:sz="4" w:space="0"/>
              <w:bottom w:val="single" w:color="404040" w:sz="4" w:space="0"/>
              <w:right w:val="single" w:color="000000" w:sz="4" w:space="0"/>
            </w:tcBorders>
            <w:shd w:val="clear" w:color="auto" w:fill="FFFFFF"/>
            <w:noWrap w:val="0"/>
            <w:vAlign w:val="center"/>
          </w:tcPr>
          <w:p w14:paraId="388FFC38">
            <w:pPr>
              <w:widowControl/>
              <w:jc w:val="left"/>
              <w:textAlignment w:val="center"/>
              <w:rPr>
                <w:rFonts w:hint="eastAsia" w:ascii="宋体" w:hAnsi="宋体" w:cs="宋体"/>
                <w:color w:val="auto"/>
                <w:szCs w:val="21"/>
                <w:highlight w:val="none"/>
              </w:rPr>
            </w:pPr>
            <w:r>
              <w:rPr>
                <w:rFonts w:hint="eastAsia" w:ascii="宋体" w:hAnsi="宋体" w:cs="宋体"/>
                <w:b/>
                <w:bCs/>
                <w:color w:val="auto"/>
                <w:kern w:val="0"/>
                <w:szCs w:val="21"/>
                <w:highlight w:val="none"/>
                <w:lang w:bidi="ar"/>
              </w:rPr>
              <w:t>分标3</w:t>
            </w:r>
            <w:r>
              <w:rPr>
                <w:rFonts w:hint="eastAsia" w:ascii="宋体" w:hAnsi="宋体" w:cs="宋体"/>
                <w:b/>
                <w:bCs/>
                <w:color w:val="auto"/>
                <w:kern w:val="0"/>
                <w:szCs w:val="21"/>
                <w:highlight w:val="none"/>
                <w:lang w:val="en-US" w:eastAsia="zh-CN" w:bidi="ar"/>
              </w:rPr>
              <w:t>-4</w:t>
            </w:r>
            <w:r>
              <w:rPr>
                <w:rFonts w:hint="eastAsia" w:ascii="宋体" w:hAnsi="宋体" w:cs="宋体"/>
                <w:b/>
                <w:bCs/>
                <w:color w:val="auto"/>
                <w:kern w:val="0"/>
                <w:szCs w:val="21"/>
                <w:highlight w:val="none"/>
                <w:lang w:bidi="ar"/>
              </w:rPr>
              <w:t>：大新县城南小学等3所学校图书</w:t>
            </w:r>
            <w:r>
              <w:rPr>
                <w:rFonts w:hint="eastAsia" w:ascii="宋体" w:hAnsi="宋体" w:cs="宋体"/>
                <w:b/>
                <w:bCs/>
                <w:color w:val="auto"/>
                <w:kern w:val="0"/>
                <w:szCs w:val="21"/>
                <w:highlight w:val="none"/>
                <w:lang w:eastAsia="zh-CN" w:bidi="ar"/>
              </w:rPr>
              <w:t>采购</w:t>
            </w:r>
            <w:r>
              <w:rPr>
                <w:rFonts w:hint="eastAsia" w:ascii="宋体" w:hAnsi="宋体" w:cs="宋体"/>
                <w:b/>
                <w:bCs/>
                <w:color w:val="auto"/>
                <w:kern w:val="0"/>
                <w:szCs w:val="21"/>
                <w:highlight w:val="none"/>
                <w:lang w:bidi="ar"/>
              </w:rPr>
              <w:t>商务要求</w:t>
            </w:r>
          </w:p>
        </w:tc>
      </w:tr>
      <w:tr w14:paraId="4CDA9293">
        <w:tblPrEx>
          <w:tblCellMar>
            <w:top w:w="0" w:type="dxa"/>
            <w:left w:w="108" w:type="dxa"/>
            <w:bottom w:w="0" w:type="dxa"/>
            <w:right w:w="108" w:type="dxa"/>
          </w:tblCellMar>
        </w:tblPrEx>
        <w:trPr>
          <w:trHeight w:val="692" w:hRule="atLeast"/>
          <w:jc w:val="center"/>
        </w:trPr>
        <w:tc>
          <w:tcPr>
            <w:tcW w:w="2235" w:type="dxa"/>
            <w:gridSpan w:val="3"/>
            <w:tcBorders>
              <w:top w:val="single" w:color="404040" w:sz="4" w:space="0"/>
              <w:left w:val="single" w:color="404040" w:sz="4" w:space="0"/>
              <w:bottom w:val="single" w:color="404040" w:sz="4" w:space="0"/>
              <w:right w:val="single" w:color="000000" w:sz="4" w:space="0"/>
            </w:tcBorders>
            <w:shd w:val="clear" w:color="auto" w:fill="FFFFFF"/>
            <w:noWrap w:val="0"/>
            <w:vAlign w:val="center"/>
          </w:tcPr>
          <w:p w14:paraId="59E65FBC">
            <w:pPr>
              <w:widowControl/>
              <w:jc w:val="center"/>
              <w:rPr>
                <w:rFonts w:ascii="宋体" w:hAnsi="宋体" w:cs="宋体"/>
                <w:color w:val="auto"/>
                <w:szCs w:val="21"/>
                <w:highlight w:val="none"/>
              </w:rPr>
            </w:pPr>
            <w:r>
              <w:rPr>
                <w:rFonts w:hint="eastAsia" w:ascii="宋体" w:hAnsi="宋体" w:cs="宋体"/>
                <w:color w:val="auto"/>
                <w:kern w:val="0"/>
                <w:szCs w:val="21"/>
                <w:highlight w:val="none"/>
                <w:lang w:bidi="ar"/>
              </w:rPr>
              <w:t>交货时间和地点</w:t>
            </w:r>
          </w:p>
        </w:tc>
        <w:tc>
          <w:tcPr>
            <w:tcW w:w="6913"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C31A4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交付时间：自签订合同之日起45日历日内交付使用并通过验收。</w:t>
            </w:r>
          </w:p>
          <w:p w14:paraId="7B9A5FB1">
            <w:pPr>
              <w:widowControl/>
              <w:jc w:val="left"/>
              <w:rPr>
                <w:rFonts w:hint="eastAsia" w:ascii="宋体" w:hAnsi="宋体" w:cs="宋体"/>
                <w:color w:val="auto"/>
                <w:szCs w:val="21"/>
                <w:highlight w:val="none"/>
              </w:rPr>
            </w:pPr>
            <w:r>
              <w:rPr>
                <w:rFonts w:hint="eastAsia" w:ascii="宋体" w:hAnsi="宋体" w:cs="宋体"/>
                <w:color w:val="auto"/>
                <w:kern w:val="0"/>
                <w:szCs w:val="21"/>
                <w:highlight w:val="none"/>
                <w:lang w:bidi="ar"/>
              </w:rPr>
              <w:t>地点：采购人指定地点。</w:t>
            </w:r>
          </w:p>
        </w:tc>
      </w:tr>
      <w:tr w14:paraId="57DD3A0F">
        <w:tblPrEx>
          <w:tblCellMar>
            <w:top w:w="0" w:type="dxa"/>
            <w:left w:w="108" w:type="dxa"/>
            <w:bottom w:w="0" w:type="dxa"/>
            <w:right w:w="108" w:type="dxa"/>
          </w:tblCellMar>
        </w:tblPrEx>
        <w:trPr>
          <w:trHeight w:val="557" w:hRule="atLeast"/>
          <w:jc w:val="center"/>
        </w:trPr>
        <w:tc>
          <w:tcPr>
            <w:tcW w:w="2235" w:type="dxa"/>
            <w:gridSpan w:val="3"/>
            <w:tcBorders>
              <w:top w:val="single" w:color="404040" w:sz="4" w:space="0"/>
              <w:left w:val="single" w:color="404040" w:sz="4" w:space="0"/>
              <w:bottom w:val="single" w:color="404040" w:sz="4" w:space="0"/>
              <w:right w:val="single" w:color="000000" w:sz="4" w:space="0"/>
            </w:tcBorders>
            <w:shd w:val="clear" w:color="auto" w:fill="FFFFFF"/>
            <w:noWrap w:val="0"/>
            <w:vAlign w:val="center"/>
          </w:tcPr>
          <w:p w14:paraId="7F5F11D6">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合同签订时间</w:t>
            </w:r>
          </w:p>
        </w:tc>
        <w:tc>
          <w:tcPr>
            <w:tcW w:w="6913"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82CE0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自中标通知书发出之日起25日内签订完毕。</w:t>
            </w:r>
          </w:p>
        </w:tc>
      </w:tr>
      <w:tr w14:paraId="655C0AD0">
        <w:tblPrEx>
          <w:tblCellMar>
            <w:top w:w="0" w:type="dxa"/>
            <w:left w:w="108" w:type="dxa"/>
            <w:bottom w:w="0" w:type="dxa"/>
            <w:right w:w="108" w:type="dxa"/>
          </w:tblCellMar>
        </w:tblPrEx>
        <w:trPr>
          <w:trHeight w:val="451" w:hRule="atLeast"/>
          <w:jc w:val="center"/>
        </w:trPr>
        <w:tc>
          <w:tcPr>
            <w:tcW w:w="2235" w:type="dxa"/>
            <w:gridSpan w:val="3"/>
            <w:tcBorders>
              <w:top w:val="single" w:color="404040" w:sz="4" w:space="0"/>
              <w:left w:val="single" w:color="404040" w:sz="4" w:space="0"/>
              <w:bottom w:val="single" w:color="404040" w:sz="4" w:space="0"/>
              <w:right w:val="single" w:color="000000" w:sz="4" w:space="0"/>
            </w:tcBorders>
            <w:shd w:val="clear" w:color="auto" w:fill="FFFFFF"/>
            <w:noWrap w:val="0"/>
            <w:vAlign w:val="center"/>
          </w:tcPr>
          <w:p w14:paraId="1F03D4E3">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付款条件</w:t>
            </w:r>
          </w:p>
        </w:tc>
        <w:tc>
          <w:tcPr>
            <w:tcW w:w="6913"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05C081">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自签订合同之日起十个工作日内采购人向成交供应商支付合同款的 30%作为预付款，货物安装调试完毕并经采购人验收合格后，成交供应商开具发票后，十个工作日内采购人向成交供应商支付剩余合同款。</w:t>
            </w:r>
          </w:p>
        </w:tc>
      </w:tr>
      <w:tr w14:paraId="7E196E49">
        <w:tblPrEx>
          <w:tblCellMar>
            <w:top w:w="0" w:type="dxa"/>
            <w:left w:w="108" w:type="dxa"/>
            <w:bottom w:w="0" w:type="dxa"/>
            <w:right w:w="108" w:type="dxa"/>
          </w:tblCellMar>
        </w:tblPrEx>
        <w:trPr>
          <w:trHeight w:val="460" w:hRule="atLeast"/>
          <w:jc w:val="center"/>
        </w:trPr>
        <w:tc>
          <w:tcPr>
            <w:tcW w:w="2235" w:type="dxa"/>
            <w:gridSpan w:val="3"/>
            <w:tcBorders>
              <w:top w:val="single" w:color="404040" w:sz="4" w:space="0"/>
              <w:left w:val="single" w:color="404040" w:sz="4" w:space="0"/>
              <w:bottom w:val="single" w:color="404040" w:sz="4" w:space="0"/>
              <w:right w:val="single" w:color="000000" w:sz="4" w:space="0"/>
            </w:tcBorders>
            <w:shd w:val="clear" w:color="auto" w:fill="FFFFFF"/>
            <w:noWrap w:val="0"/>
            <w:vAlign w:val="center"/>
          </w:tcPr>
          <w:p w14:paraId="63D153FD">
            <w:pPr>
              <w:widowControl/>
              <w:jc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售后服务要求</w:t>
            </w:r>
          </w:p>
        </w:tc>
        <w:tc>
          <w:tcPr>
            <w:tcW w:w="6913"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9ECB5C">
            <w:pPr>
              <w:widowControl/>
              <w:spacing w:line="370" w:lineRule="exact"/>
              <w:jc w:val="left"/>
              <w:rPr>
                <w:rFonts w:hint="eastAsia" w:ascii="宋体" w:hAnsi="宋体" w:cs="Arial"/>
                <w:color w:val="auto"/>
                <w:kern w:val="0"/>
                <w:szCs w:val="21"/>
                <w:highlight w:val="none"/>
              </w:rPr>
            </w:pPr>
            <w:r>
              <w:rPr>
                <w:rFonts w:hint="eastAsia" w:ascii="宋体" w:hAnsi="宋体" w:cs="Arial"/>
                <w:color w:val="auto"/>
                <w:kern w:val="0"/>
                <w:szCs w:val="21"/>
                <w:highlight w:val="none"/>
              </w:rPr>
              <w:t>1.质保期：按国家有关产品“三包”规定执行“三包”，自交货验收合格之日起按照规定以及招标文件要求为采购人提供售后服务。</w:t>
            </w:r>
          </w:p>
          <w:p w14:paraId="57C66470">
            <w:pPr>
              <w:widowControl/>
              <w:spacing w:line="370" w:lineRule="exact"/>
              <w:jc w:val="left"/>
              <w:rPr>
                <w:rFonts w:hint="eastAsia" w:ascii="宋体" w:hAnsi="宋体" w:cs="Arial"/>
                <w:color w:val="auto"/>
                <w:kern w:val="0"/>
                <w:szCs w:val="21"/>
                <w:highlight w:val="none"/>
              </w:rPr>
            </w:pPr>
            <w:r>
              <w:rPr>
                <w:rFonts w:hint="eastAsia" w:ascii="宋体" w:hAnsi="宋体" w:cs="Arial"/>
                <w:color w:val="auto"/>
                <w:kern w:val="0"/>
                <w:szCs w:val="21"/>
                <w:highlight w:val="none"/>
              </w:rPr>
              <w:t>2.中标人提供的所有图书自验收合格之日起免费质保六个月，在质保期内，中标人应对货物出现的质量及安全问题负责处理解决并承担一切费用。</w:t>
            </w:r>
          </w:p>
          <w:p w14:paraId="46166A00">
            <w:pPr>
              <w:widowControl/>
              <w:spacing w:line="370" w:lineRule="exact"/>
              <w:jc w:val="left"/>
              <w:rPr>
                <w:rFonts w:hint="eastAsia" w:ascii="宋体" w:hAnsi="宋体" w:cs="Arial"/>
                <w:color w:val="auto"/>
                <w:kern w:val="0"/>
                <w:szCs w:val="21"/>
                <w:highlight w:val="none"/>
              </w:rPr>
            </w:pPr>
            <w:r>
              <w:rPr>
                <w:rFonts w:hint="eastAsia" w:ascii="宋体" w:hAnsi="宋体" w:cs="Arial"/>
                <w:color w:val="auto"/>
                <w:kern w:val="0"/>
                <w:szCs w:val="21"/>
                <w:highlight w:val="none"/>
              </w:rPr>
              <w:t>3.免费送货上门，按采购人要求包装并运送至指定地点；</w:t>
            </w:r>
          </w:p>
          <w:p w14:paraId="70BC7577">
            <w:pPr>
              <w:widowControl/>
              <w:spacing w:line="370" w:lineRule="exact"/>
              <w:jc w:val="left"/>
              <w:rPr>
                <w:rFonts w:hint="eastAsia" w:ascii="宋体" w:hAnsi="宋体" w:cs="Arial"/>
                <w:color w:val="auto"/>
                <w:kern w:val="0"/>
                <w:szCs w:val="21"/>
                <w:highlight w:val="none"/>
              </w:rPr>
            </w:pPr>
            <w:r>
              <w:rPr>
                <w:rFonts w:hint="eastAsia" w:ascii="宋体" w:hAnsi="宋体" w:cs="Arial"/>
                <w:color w:val="auto"/>
                <w:kern w:val="0"/>
                <w:szCs w:val="21"/>
                <w:highlight w:val="none"/>
              </w:rPr>
              <w:t>4.中标人必须提供并遵守售后服务承诺；</w:t>
            </w:r>
          </w:p>
          <w:p w14:paraId="0611229A">
            <w:pPr>
              <w:widowControl/>
              <w:spacing w:line="370" w:lineRule="exact"/>
              <w:jc w:val="left"/>
              <w:rPr>
                <w:rFonts w:hint="eastAsia" w:ascii="宋体" w:hAnsi="宋体" w:cs="Arial"/>
                <w:color w:val="auto"/>
                <w:kern w:val="0"/>
                <w:szCs w:val="21"/>
                <w:highlight w:val="none"/>
              </w:rPr>
            </w:pPr>
            <w:r>
              <w:rPr>
                <w:rFonts w:hint="eastAsia" w:ascii="宋体" w:hAnsi="宋体" w:cs="Arial"/>
                <w:color w:val="auto"/>
                <w:kern w:val="0"/>
                <w:szCs w:val="21"/>
                <w:highlight w:val="none"/>
              </w:rPr>
              <w:t>5.遇到质量问题或其他突发情况，中标人在接到采购人通知后，在2小时内需要做出响应，12小时内到达现场；</w:t>
            </w:r>
          </w:p>
          <w:p w14:paraId="5534B4E3">
            <w:pPr>
              <w:widowControl/>
              <w:jc w:val="left"/>
              <w:rPr>
                <w:rFonts w:hint="eastAsia" w:ascii="宋体" w:hAnsi="宋体" w:cs="宋体"/>
                <w:color w:val="auto"/>
                <w:kern w:val="0"/>
                <w:szCs w:val="21"/>
                <w:highlight w:val="none"/>
                <w:lang w:bidi="ar"/>
              </w:rPr>
            </w:pPr>
            <w:r>
              <w:rPr>
                <w:rFonts w:hint="eastAsia" w:ascii="宋体" w:hAnsi="宋体" w:cs="Arial"/>
                <w:color w:val="auto"/>
                <w:kern w:val="0"/>
                <w:szCs w:val="21"/>
                <w:highlight w:val="none"/>
              </w:rPr>
              <w:t>6.货物供应过程中产生的残留物或垃圾，需由中标人自行清理至校外。</w:t>
            </w:r>
          </w:p>
        </w:tc>
      </w:tr>
      <w:tr w14:paraId="171289DB">
        <w:tblPrEx>
          <w:tblCellMar>
            <w:top w:w="0" w:type="dxa"/>
            <w:left w:w="108" w:type="dxa"/>
            <w:bottom w:w="0" w:type="dxa"/>
            <w:right w:w="108" w:type="dxa"/>
          </w:tblCellMar>
        </w:tblPrEx>
        <w:trPr>
          <w:trHeight w:val="527" w:hRule="atLeast"/>
          <w:jc w:val="center"/>
        </w:trPr>
        <w:tc>
          <w:tcPr>
            <w:tcW w:w="2235" w:type="dxa"/>
            <w:gridSpan w:val="3"/>
            <w:tcBorders>
              <w:top w:val="single" w:color="404040" w:sz="4" w:space="0"/>
              <w:left w:val="single" w:color="404040" w:sz="4" w:space="0"/>
              <w:bottom w:val="single" w:color="404040" w:sz="4" w:space="0"/>
              <w:right w:val="single" w:color="000000" w:sz="4" w:space="0"/>
            </w:tcBorders>
            <w:shd w:val="clear" w:color="auto" w:fill="FFFFFF"/>
            <w:noWrap w:val="0"/>
            <w:vAlign w:val="center"/>
          </w:tcPr>
          <w:p w14:paraId="7453C92F">
            <w:pPr>
              <w:widowControl/>
              <w:jc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验收条件及标准：</w:t>
            </w:r>
          </w:p>
        </w:tc>
        <w:tc>
          <w:tcPr>
            <w:tcW w:w="6913"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DDB396">
            <w:pPr>
              <w:widowControl/>
              <w:spacing w:line="370" w:lineRule="exact"/>
              <w:jc w:val="left"/>
              <w:rPr>
                <w:rFonts w:hint="eastAsia" w:ascii="宋体" w:hAnsi="宋体" w:cs="Arial"/>
                <w:color w:val="auto"/>
                <w:kern w:val="0"/>
                <w:szCs w:val="21"/>
                <w:highlight w:val="none"/>
              </w:rPr>
            </w:pPr>
            <w:r>
              <w:rPr>
                <w:rFonts w:hint="eastAsia" w:ascii="宋体" w:hAnsi="宋体" w:cs="Arial"/>
                <w:color w:val="auto"/>
                <w:kern w:val="0"/>
                <w:szCs w:val="21"/>
                <w:highlight w:val="none"/>
              </w:rPr>
              <w:t>1.依据中华人民共和国国标 GB/T18359 图书印制质量标准、印刷行业 CYZ-91 标准进行验收</w:t>
            </w:r>
          </w:p>
          <w:p w14:paraId="5119CE59">
            <w:pPr>
              <w:widowControl/>
              <w:spacing w:line="370" w:lineRule="exact"/>
              <w:jc w:val="left"/>
              <w:rPr>
                <w:rFonts w:hint="eastAsia" w:ascii="宋体" w:hAnsi="宋体" w:cs="Arial"/>
                <w:color w:val="auto"/>
                <w:kern w:val="0"/>
                <w:szCs w:val="21"/>
                <w:highlight w:val="none"/>
              </w:rPr>
            </w:pPr>
            <w:r>
              <w:rPr>
                <w:rFonts w:hint="eastAsia" w:ascii="宋体" w:hAnsi="宋体" w:cs="Arial"/>
                <w:color w:val="auto"/>
                <w:kern w:val="0"/>
                <w:szCs w:val="21"/>
                <w:highlight w:val="none"/>
              </w:rPr>
              <w:t>2.依据招标文件及投标人的投标文件承诺对项目进行验收。</w:t>
            </w:r>
          </w:p>
          <w:p w14:paraId="025BFF81">
            <w:pPr>
              <w:widowControl/>
              <w:spacing w:line="370" w:lineRule="exact"/>
              <w:jc w:val="left"/>
              <w:rPr>
                <w:rFonts w:hint="eastAsia" w:ascii="宋体" w:hAnsi="宋体" w:cs="Arial"/>
                <w:color w:val="auto"/>
                <w:kern w:val="0"/>
                <w:szCs w:val="21"/>
                <w:highlight w:val="none"/>
              </w:rPr>
            </w:pPr>
            <w:r>
              <w:rPr>
                <w:rFonts w:hint="eastAsia" w:ascii="宋体" w:hAnsi="宋体" w:cs="Arial"/>
                <w:color w:val="auto"/>
                <w:kern w:val="0"/>
                <w:szCs w:val="21"/>
                <w:highlight w:val="none"/>
              </w:rPr>
              <w:t xml:space="preserve">3.技术参数与招标文件及投标人的投标文件承诺一致，性能或指标达到规定的标准。 </w:t>
            </w:r>
          </w:p>
          <w:p w14:paraId="19F438F3">
            <w:pPr>
              <w:widowControl/>
              <w:spacing w:line="370" w:lineRule="exact"/>
              <w:jc w:val="left"/>
              <w:rPr>
                <w:rFonts w:hint="eastAsia" w:ascii="宋体" w:hAnsi="宋体" w:cs="Arial"/>
                <w:color w:val="auto"/>
                <w:kern w:val="0"/>
                <w:szCs w:val="21"/>
                <w:highlight w:val="none"/>
              </w:rPr>
            </w:pPr>
            <w:r>
              <w:rPr>
                <w:rFonts w:hint="eastAsia" w:ascii="宋体" w:hAnsi="宋体" w:cs="Arial"/>
                <w:color w:val="auto"/>
                <w:kern w:val="0"/>
                <w:szCs w:val="21"/>
                <w:highlight w:val="none"/>
              </w:rPr>
              <w:t>3.验收时采购人、中标供应商等项目相关方都必须在现场（必要时邀请第三方权威机构进行验收），由采购人对照招标文件的服务目标及服务指标全面核对检验，验收完毕后，如不符合招标文件的技术要求以及提供虚假承诺的，按相关规定做违约处理，中标供应商承担所有责任和费用，采购人保留进一步追究责任的权利。</w:t>
            </w:r>
          </w:p>
          <w:p w14:paraId="41B5ED55">
            <w:pPr>
              <w:widowControl/>
              <w:spacing w:line="370" w:lineRule="exact"/>
              <w:jc w:val="left"/>
              <w:rPr>
                <w:rFonts w:hint="eastAsia" w:ascii="宋体" w:hAnsi="宋体" w:cs="Arial"/>
                <w:color w:val="auto"/>
                <w:kern w:val="0"/>
                <w:szCs w:val="21"/>
                <w:highlight w:val="none"/>
              </w:rPr>
            </w:pPr>
            <w:r>
              <w:rPr>
                <w:rFonts w:hint="eastAsia" w:ascii="宋体" w:hAnsi="宋体" w:cs="Arial"/>
                <w:color w:val="auto"/>
                <w:kern w:val="0"/>
                <w:szCs w:val="21"/>
                <w:highlight w:val="none"/>
              </w:rPr>
              <w:t xml:space="preserve">4.中标供应商提供的图书未达到招标文件规定要求，且对采购人造成损失的，由中标供应商承担一切责任，并赔偿所造成的损失。 </w:t>
            </w:r>
          </w:p>
          <w:p w14:paraId="2EB2999E">
            <w:pPr>
              <w:widowControl/>
              <w:spacing w:line="370" w:lineRule="exact"/>
              <w:jc w:val="left"/>
              <w:rPr>
                <w:rFonts w:hint="eastAsia"/>
                <w:color w:val="auto"/>
                <w:highlight w:val="none"/>
              </w:rPr>
            </w:pPr>
            <w:r>
              <w:rPr>
                <w:rFonts w:hint="eastAsia" w:ascii="宋体" w:hAnsi="宋体" w:cs="Arial"/>
                <w:color w:val="auto"/>
                <w:kern w:val="0"/>
                <w:szCs w:val="21"/>
                <w:highlight w:val="none"/>
              </w:rPr>
              <w:t>5.其他验收要求按《关于印发广西壮族自治区政府采购项目履约验收管理办法的通知》[桂财采〔2015〕22号]以及《财政部关于进一步加强政府采购需求和履约验收管理的指导意见》[财库〔2016〕205号]规定执行。</w:t>
            </w:r>
          </w:p>
        </w:tc>
      </w:tr>
      <w:tr w14:paraId="5F5FE90B">
        <w:tblPrEx>
          <w:tblCellMar>
            <w:top w:w="0" w:type="dxa"/>
            <w:left w:w="108" w:type="dxa"/>
            <w:bottom w:w="0" w:type="dxa"/>
            <w:right w:w="108" w:type="dxa"/>
          </w:tblCellMar>
        </w:tblPrEx>
        <w:trPr>
          <w:trHeight w:val="469" w:hRule="atLeast"/>
          <w:jc w:val="center"/>
        </w:trPr>
        <w:tc>
          <w:tcPr>
            <w:tcW w:w="2235" w:type="dxa"/>
            <w:gridSpan w:val="3"/>
            <w:tcBorders>
              <w:top w:val="single" w:color="404040" w:sz="4" w:space="0"/>
              <w:left w:val="single" w:color="404040" w:sz="4" w:space="0"/>
              <w:bottom w:val="single" w:color="404040" w:sz="4" w:space="0"/>
              <w:right w:val="single" w:color="000000" w:sz="4" w:space="0"/>
            </w:tcBorders>
            <w:shd w:val="clear" w:color="auto" w:fill="FFFFFF"/>
            <w:noWrap w:val="0"/>
            <w:vAlign w:val="center"/>
          </w:tcPr>
          <w:p w14:paraId="7E0C3CE3">
            <w:pPr>
              <w:widowControl/>
              <w:jc w:val="center"/>
              <w:rPr>
                <w:rFonts w:hint="eastAsia" w:ascii="宋体" w:hAnsi="宋体" w:cs="宋体"/>
                <w:color w:val="auto"/>
                <w:kern w:val="0"/>
                <w:szCs w:val="21"/>
                <w:highlight w:val="none"/>
                <w:lang w:bidi="ar"/>
              </w:rPr>
            </w:pPr>
            <w:r>
              <w:rPr>
                <w:rFonts w:hint="eastAsia" w:ascii="宋体" w:hAnsi="宋体" w:cs="宋体"/>
                <w:color w:val="auto"/>
                <w:highlight w:val="none"/>
              </w:rPr>
              <w:t>知识产权</w:t>
            </w:r>
          </w:p>
        </w:tc>
        <w:tc>
          <w:tcPr>
            <w:tcW w:w="6913"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B97DD6">
            <w:pPr>
              <w:widowControl/>
              <w:jc w:val="left"/>
              <w:rPr>
                <w:rFonts w:hint="eastAsia" w:ascii="宋体" w:hAnsi="宋体" w:cs="宋体"/>
                <w:color w:val="auto"/>
                <w:kern w:val="0"/>
                <w:szCs w:val="21"/>
                <w:highlight w:val="none"/>
                <w:lang w:bidi="ar"/>
              </w:rPr>
            </w:pPr>
            <w:r>
              <w:rPr>
                <w:rFonts w:hint="eastAsia" w:ascii="宋体" w:hAnsi="宋体" w:cs="Arial"/>
                <w:color w:val="auto"/>
                <w:kern w:val="0"/>
                <w:szCs w:val="21"/>
                <w:highlight w:val="none"/>
              </w:rPr>
              <w:t>采购人在中华人民共和国境内使用供应商提供的产品及服务时免受第三方提出的侵犯其专利权或其它知识产权的起诉。如果第三方提出侵权指控，中标供应商应承担由此而引起的一切法律责任和费用。</w:t>
            </w:r>
          </w:p>
        </w:tc>
      </w:tr>
      <w:tr w14:paraId="0A0D3A76">
        <w:tblPrEx>
          <w:tblCellMar>
            <w:top w:w="0" w:type="dxa"/>
            <w:left w:w="108" w:type="dxa"/>
            <w:bottom w:w="0" w:type="dxa"/>
            <w:right w:w="108" w:type="dxa"/>
          </w:tblCellMar>
        </w:tblPrEx>
        <w:trPr>
          <w:trHeight w:val="1101" w:hRule="atLeast"/>
          <w:jc w:val="center"/>
        </w:trPr>
        <w:tc>
          <w:tcPr>
            <w:tcW w:w="2235" w:type="dxa"/>
            <w:gridSpan w:val="3"/>
            <w:tcBorders>
              <w:top w:val="single" w:color="404040" w:sz="4" w:space="0"/>
              <w:left w:val="single" w:color="404040" w:sz="4" w:space="0"/>
              <w:bottom w:val="single" w:color="404040" w:sz="4" w:space="0"/>
              <w:right w:val="single" w:color="000000" w:sz="4" w:space="0"/>
            </w:tcBorders>
            <w:shd w:val="clear" w:color="auto" w:fill="FFFFFF"/>
            <w:noWrap w:val="0"/>
            <w:vAlign w:val="center"/>
          </w:tcPr>
          <w:p w14:paraId="7FFB3623">
            <w:pPr>
              <w:widowControl/>
              <w:jc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其他要求</w:t>
            </w:r>
          </w:p>
        </w:tc>
        <w:tc>
          <w:tcPr>
            <w:tcW w:w="6913"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5214AC">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1、产品说明：本项目货物不接受进口产品（即通过中国海关报关验放进入中国境内且产自关境外的产品）参与投标，</w:t>
            </w:r>
            <w:r>
              <w:rPr>
                <w:rFonts w:hint="eastAsia" w:ascii="宋体" w:hAnsi="宋体" w:cs="宋体"/>
                <w:b/>
                <w:color w:val="auto"/>
                <w:szCs w:val="21"/>
                <w:highlight w:val="none"/>
              </w:rPr>
              <w:t>如有此类产品参与投标的做无效标处理</w:t>
            </w:r>
            <w:r>
              <w:rPr>
                <w:rFonts w:hint="eastAsia" w:ascii="宋体" w:hAnsi="宋体" w:cs="宋体"/>
                <w:color w:val="auto"/>
                <w:szCs w:val="21"/>
                <w:highlight w:val="none"/>
              </w:rPr>
              <w:t>。</w:t>
            </w:r>
          </w:p>
        </w:tc>
      </w:tr>
    </w:tbl>
    <w:p w14:paraId="7E14B484">
      <w:pPr>
        <w:rPr>
          <w:color w:val="auto"/>
          <w:highlight w:val="none"/>
        </w:rPr>
      </w:pPr>
      <w:r>
        <w:rPr>
          <w:color w:val="auto"/>
          <w:highlight w:val="none"/>
        </w:rPr>
        <w:br w:type="page"/>
      </w:r>
    </w:p>
    <w:p w14:paraId="4A230A13">
      <w:pPr>
        <w:rPr>
          <w:color w:val="auto"/>
          <w:highlight w:val="none"/>
        </w:rPr>
      </w:pPr>
    </w:p>
    <w:p w14:paraId="6C5552E5">
      <w:pPr>
        <w:rPr>
          <w:color w:val="auto"/>
          <w:highlight w:val="none"/>
        </w:rPr>
      </w:pPr>
    </w:p>
    <w:p w14:paraId="4F913B2C">
      <w:pPr>
        <w:shd w:val="clear" w:color="auto" w:fill="auto"/>
        <w:spacing w:line="528" w:lineRule="exact"/>
        <w:ind w:left="1871"/>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中小微企业划型标准</w:t>
      </w:r>
    </w:p>
    <w:tbl>
      <w:tblPr>
        <w:tblStyle w:val="51"/>
        <w:tblW w:w="9238" w:type="dxa"/>
        <w:tblInd w:w="250" w:type="dxa"/>
        <w:tblLayout w:type="fixed"/>
        <w:tblCellMar>
          <w:top w:w="0" w:type="dxa"/>
          <w:left w:w="108" w:type="dxa"/>
          <w:bottom w:w="0" w:type="dxa"/>
          <w:right w:w="108" w:type="dxa"/>
        </w:tblCellMar>
      </w:tblPr>
      <w:tblGrid>
        <w:gridCol w:w="1969"/>
        <w:gridCol w:w="1601"/>
        <w:gridCol w:w="1057"/>
        <w:gridCol w:w="1874"/>
        <w:gridCol w:w="1666"/>
        <w:gridCol w:w="1071"/>
      </w:tblGrid>
      <w:tr w14:paraId="2196A8B0">
        <w:tblPrEx>
          <w:tblCellMar>
            <w:top w:w="0" w:type="dxa"/>
            <w:left w:w="108" w:type="dxa"/>
            <w:bottom w:w="0" w:type="dxa"/>
            <w:right w:w="108" w:type="dxa"/>
          </w:tblCellMar>
        </w:tblPrEx>
        <w:trPr>
          <w:trHeight w:val="669" w:hRule="atLeast"/>
        </w:trPr>
        <w:tc>
          <w:tcPr>
            <w:tcW w:w="1969" w:type="dxa"/>
            <w:tcBorders>
              <w:top w:val="single" w:color="auto" w:sz="4" w:space="0"/>
              <w:left w:val="single" w:color="auto" w:sz="4" w:space="0"/>
              <w:bottom w:val="single" w:color="auto" w:sz="4" w:space="0"/>
              <w:right w:val="single" w:color="auto" w:sz="4" w:space="0"/>
            </w:tcBorders>
            <w:noWrap w:val="0"/>
            <w:vAlign w:val="center"/>
          </w:tcPr>
          <w:p w14:paraId="7C2DFD22">
            <w:pPr>
              <w:widowControl/>
              <w:shd w:val="clear" w:color="auto" w:fill="auto"/>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行业名称</w:t>
            </w:r>
          </w:p>
        </w:tc>
        <w:tc>
          <w:tcPr>
            <w:tcW w:w="1601" w:type="dxa"/>
            <w:tcBorders>
              <w:top w:val="single" w:color="auto" w:sz="4" w:space="0"/>
              <w:left w:val="nil"/>
              <w:bottom w:val="single" w:color="auto" w:sz="4" w:space="0"/>
              <w:right w:val="single" w:color="auto" w:sz="4" w:space="0"/>
            </w:tcBorders>
            <w:noWrap w:val="0"/>
            <w:vAlign w:val="center"/>
          </w:tcPr>
          <w:p w14:paraId="7DB0D84A">
            <w:pPr>
              <w:widowControl/>
              <w:shd w:val="clear" w:color="auto" w:fill="auto"/>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指标名称</w:t>
            </w:r>
          </w:p>
        </w:tc>
        <w:tc>
          <w:tcPr>
            <w:tcW w:w="1057" w:type="dxa"/>
            <w:tcBorders>
              <w:top w:val="single" w:color="auto" w:sz="4" w:space="0"/>
              <w:left w:val="nil"/>
              <w:bottom w:val="single" w:color="auto" w:sz="4" w:space="0"/>
              <w:right w:val="single" w:color="auto" w:sz="4" w:space="0"/>
            </w:tcBorders>
            <w:noWrap w:val="0"/>
            <w:vAlign w:val="center"/>
          </w:tcPr>
          <w:p w14:paraId="0F50615D">
            <w:pPr>
              <w:widowControl/>
              <w:shd w:val="clear" w:color="auto" w:fill="auto"/>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计量单位</w:t>
            </w:r>
          </w:p>
        </w:tc>
        <w:tc>
          <w:tcPr>
            <w:tcW w:w="1874" w:type="dxa"/>
            <w:tcBorders>
              <w:top w:val="single" w:color="auto" w:sz="4" w:space="0"/>
              <w:left w:val="nil"/>
              <w:bottom w:val="single" w:color="auto" w:sz="4" w:space="0"/>
              <w:right w:val="single" w:color="auto" w:sz="4" w:space="0"/>
            </w:tcBorders>
            <w:noWrap w:val="0"/>
            <w:vAlign w:val="center"/>
          </w:tcPr>
          <w:p w14:paraId="21268CC9">
            <w:pPr>
              <w:widowControl/>
              <w:shd w:val="clear" w:color="auto" w:fill="auto"/>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中型</w:t>
            </w:r>
          </w:p>
        </w:tc>
        <w:tc>
          <w:tcPr>
            <w:tcW w:w="1666" w:type="dxa"/>
            <w:tcBorders>
              <w:top w:val="single" w:color="auto" w:sz="4" w:space="0"/>
              <w:left w:val="nil"/>
              <w:bottom w:val="single" w:color="auto" w:sz="4" w:space="0"/>
              <w:right w:val="single" w:color="auto" w:sz="4" w:space="0"/>
            </w:tcBorders>
            <w:noWrap w:val="0"/>
            <w:vAlign w:val="center"/>
          </w:tcPr>
          <w:p w14:paraId="02719849">
            <w:pPr>
              <w:widowControl/>
              <w:shd w:val="clear" w:color="auto" w:fill="auto"/>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小型</w:t>
            </w:r>
          </w:p>
        </w:tc>
        <w:tc>
          <w:tcPr>
            <w:tcW w:w="1071" w:type="dxa"/>
            <w:tcBorders>
              <w:top w:val="single" w:color="auto" w:sz="4" w:space="0"/>
              <w:left w:val="nil"/>
              <w:bottom w:val="single" w:color="auto" w:sz="4" w:space="0"/>
              <w:right w:val="single" w:color="auto" w:sz="4" w:space="0"/>
            </w:tcBorders>
            <w:noWrap w:val="0"/>
            <w:vAlign w:val="center"/>
          </w:tcPr>
          <w:p w14:paraId="4D517EF0">
            <w:pPr>
              <w:widowControl/>
              <w:shd w:val="clear" w:color="auto" w:fill="auto"/>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微型</w:t>
            </w:r>
          </w:p>
        </w:tc>
      </w:tr>
      <w:tr w14:paraId="72914EDD">
        <w:tblPrEx>
          <w:tblCellMar>
            <w:top w:w="0" w:type="dxa"/>
            <w:left w:w="108" w:type="dxa"/>
            <w:bottom w:w="0" w:type="dxa"/>
            <w:right w:w="108" w:type="dxa"/>
          </w:tblCellMar>
        </w:tblPrEx>
        <w:trPr>
          <w:trHeight w:val="340" w:hRule="atLeast"/>
        </w:trPr>
        <w:tc>
          <w:tcPr>
            <w:tcW w:w="1969" w:type="dxa"/>
            <w:tcBorders>
              <w:top w:val="nil"/>
              <w:left w:val="single" w:color="auto" w:sz="4" w:space="0"/>
              <w:bottom w:val="single" w:color="auto" w:sz="4" w:space="0"/>
              <w:right w:val="single" w:color="auto" w:sz="4" w:space="0"/>
            </w:tcBorders>
            <w:noWrap w:val="0"/>
            <w:vAlign w:val="bottom"/>
          </w:tcPr>
          <w:p w14:paraId="2C4C73B5">
            <w:pPr>
              <w:widowControl/>
              <w:shd w:val="clear" w:color="auto" w:fill="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农、林、牧、渔</w:t>
            </w:r>
          </w:p>
        </w:tc>
        <w:tc>
          <w:tcPr>
            <w:tcW w:w="1601" w:type="dxa"/>
            <w:tcBorders>
              <w:top w:val="nil"/>
              <w:left w:val="nil"/>
              <w:bottom w:val="single" w:color="auto" w:sz="4" w:space="0"/>
              <w:right w:val="single" w:color="auto" w:sz="4" w:space="0"/>
            </w:tcBorders>
            <w:noWrap w:val="0"/>
            <w:vAlign w:val="center"/>
          </w:tcPr>
          <w:p w14:paraId="792291E7">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057" w:type="dxa"/>
            <w:tcBorders>
              <w:top w:val="nil"/>
              <w:left w:val="nil"/>
              <w:bottom w:val="single" w:color="auto" w:sz="4" w:space="0"/>
              <w:right w:val="single" w:color="auto" w:sz="4" w:space="0"/>
            </w:tcBorders>
            <w:noWrap w:val="0"/>
            <w:vAlign w:val="center"/>
          </w:tcPr>
          <w:p w14:paraId="11999A3A">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74" w:type="dxa"/>
            <w:tcBorders>
              <w:top w:val="nil"/>
              <w:left w:val="nil"/>
              <w:bottom w:val="single" w:color="auto" w:sz="4" w:space="0"/>
              <w:right w:val="single" w:color="auto" w:sz="4" w:space="0"/>
            </w:tcBorders>
            <w:noWrap w:val="0"/>
            <w:vAlign w:val="center"/>
          </w:tcPr>
          <w:p w14:paraId="2A9842A9">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666" w:type="dxa"/>
            <w:tcBorders>
              <w:top w:val="nil"/>
              <w:left w:val="nil"/>
              <w:bottom w:val="single" w:color="auto" w:sz="4" w:space="0"/>
              <w:right w:val="single" w:color="auto" w:sz="4" w:space="0"/>
            </w:tcBorders>
            <w:noWrap w:val="0"/>
            <w:vAlign w:val="center"/>
          </w:tcPr>
          <w:p w14:paraId="57525066">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50≤Y＜500</w:t>
            </w:r>
          </w:p>
        </w:tc>
        <w:tc>
          <w:tcPr>
            <w:tcW w:w="1071" w:type="dxa"/>
            <w:tcBorders>
              <w:top w:val="nil"/>
              <w:left w:val="nil"/>
              <w:bottom w:val="single" w:color="auto" w:sz="4" w:space="0"/>
              <w:right w:val="single" w:color="auto" w:sz="4" w:space="0"/>
            </w:tcBorders>
            <w:noWrap w:val="0"/>
            <w:vAlign w:val="center"/>
          </w:tcPr>
          <w:p w14:paraId="5EB41D87">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07A9D3A6">
        <w:tblPrEx>
          <w:tblCellMar>
            <w:top w:w="0" w:type="dxa"/>
            <w:left w:w="108" w:type="dxa"/>
            <w:bottom w:w="0" w:type="dxa"/>
            <w:right w:w="108" w:type="dxa"/>
          </w:tblCellMar>
        </w:tblPrEx>
        <w:trPr>
          <w:trHeight w:val="340"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759D522A">
            <w:pPr>
              <w:widowControl/>
              <w:shd w:val="clear" w:color="auto" w:fill="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工业</w:t>
            </w:r>
          </w:p>
        </w:tc>
        <w:tc>
          <w:tcPr>
            <w:tcW w:w="1601" w:type="dxa"/>
            <w:tcBorders>
              <w:top w:val="nil"/>
              <w:left w:val="nil"/>
              <w:bottom w:val="single" w:color="auto" w:sz="4" w:space="0"/>
              <w:right w:val="single" w:color="auto" w:sz="4" w:space="0"/>
            </w:tcBorders>
            <w:noWrap w:val="0"/>
            <w:vAlign w:val="center"/>
          </w:tcPr>
          <w:p w14:paraId="2479B8A9">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057" w:type="dxa"/>
            <w:tcBorders>
              <w:top w:val="nil"/>
              <w:left w:val="nil"/>
              <w:bottom w:val="single" w:color="auto" w:sz="4" w:space="0"/>
              <w:right w:val="single" w:color="auto" w:sz="4" w:space="0"/>
            </w:tcBorders>
            <w:noWrap w:val="0"/>
            <w:vAlign w:val="center"/>
          </w:tcPr>
          <w:p w14:paraId="0696D9C3">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74" w:type="dxa"/>
            <w:tcBorders>
              <w:top w:val="nil"/>
              <w:left w:val="nil"/>
              <w:bottom w:val="single" w:color="auto" w:sz="4" w:space="0"/>
              <w:right w:val="single" w:color="auto" w:sz="4" w:space="0"/>
            </w:tcBorders>
            <w:noWrap w:val="0"/>
            <w:vAlign w:val="center"/>
          </w:tcPr>
          <w:p w14:paraId="47987A6A">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666" w:type="dxa"/>
            <w:tcBorders>
              <w:top w:val="nil"/>
              <w:left w:val="nil"/>
              <w:bottom w:val="single" w:color="auto" w:sz="4" w:space="0"/>
              <w:right w:val="single" w:color="auto" w:sz="4" w:space="0"/>
            </w:tcBorders>
            <w:noWrap w:val="0"/>
            <w:vAlign w:val="center"/>
          </w:tcPr>
          <w:p w14:paraId="18D049DD">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1071" w:type="dxa"/>
            <w:tcBorders>
              <w:top w:val="nil"/>
              <w:left w:val="nil"/>
              <w:bottom w:val="single" w:color="auto" w:sz="4" w:space="0"/>
              <w:right w:val="single" w:color="auto" w:sz="4" w:space="0"/>
            </w:tcBorders>
            <w:noWrap w:val="0"/>
            <w:vAlign w:val="center"/>
          </w:tcPr>
          <w:p w14:paraId="1B707D04">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14AEBF37">
        <w:tblPrEx>
          <w:tblCellMar>
            <w:top w:w="0" w:type="dxa"/>
            <w:left w:w="108" w:type="dxa"/>
            <w:bottom w:w="0" w:type="dxa"/>
            <w:right w:w="108" w:type="dxa"/>
          </w:tblCellMar>
        </w:tblPrEx>
        <w:trPr>
          <w:trHeight w:val="340"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6BE62667">
            <w:pPr>
              <w:widowControl/>
              <w:shd w:val="clear" w:color="auto" w:fill="auto"/>
              <w:jc w:val="left"/>
              <w:rPr>
                <w:rFonts w:hint="eastAsia" w:ascii="宋体" w:hAnsi="宋体" w:eastAsia="宋体" w:cs="宋体"/>
                <w:b/>
                <w:bCs/>
                <w:color w:val="auto"/>
                <w:kern w:val="0"/>
                <w:sz w:val="18"/>
                <w:szCs w:val="18"/>
                <w:highlight w:val="none"/>
              </w:rPr>
            </w:pPr>
          </w:p>
        </w:tc>
        <w:tc>
          <w:tcPr>
            <w:tcW w:w="1601" w:type="dxa"/>
            <w:tcBorders>
              <w:top w:val="nil"/>
              <w:left w:val="nil"/>
              <w:bottom w:val="single" w:color="auto" w:sz="4" w:space="0"/>
              <w:right w:val="single" w:color="auto" w:sz="4" w:space="0"/>
            </w:tcBorders>
            <w:noWrap w:val="0"/>
            <w:vAlign w:val="center"/>
          </w:tcPr>
          <w:p w14:paraId="34DC3B07">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057" w:type="dxa"/>
            <w:tcBorders>
              <w:top w:val="nil"/>
              <w:left w:val="nil"/>
              <w:bottom w:val="single" w:color="auto" w:sz="4" w:space="0"/>
              <w:right w:val="single" w:color="auto" w:sz="4" w:space="0"/>
            </w:tcBorders>
            <w:noWrap w:val="0"/>
            <w:vAlign w:val="center"/>
          </w:tcPr>
          <w:p w14:paraId="54AF0349">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74" w:type="dxa"/>
            <w:tcBorders>
              <w:top w:val="nil"/>
              <w:left w:val="nil"/>
              <w:bottom w:val="single" w:color="auto" w:sz="4" w:space="0"/>
              <w:right w:val="single" w:color="auto" w:sz="4" w:space="0"/>
            </w:tcBorders>
            <w:noWrap w:val="0"/>
            <w:vAlign w:val="center"/>
          </w:tcPr>
          <w:p w14:paraId="65E10A04">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2000≤Y＜40000</w:t>
            </w:r>
          </w:p>
        </w:tc>
        <w:tc>
          <w:tcPr>
            <w:tcW w:w="1666" w:type="dxa"/>
            <w:tcBorders>
              <w:top w:val="nil"/>
              <w:left w:val="nil"/>
              <w:bottom w:val="single" w:color="auto" w:sz="4" w:space="0"/>
              <w:right w:val="single" w:color="auto" w:sz="4" w:space="0"/>
            </w:tcBorders>
            <w:noWrap w:val="0"/>
            <w:vAlign w:val="center"/>
          </w:tcPr>
          <w:p w14:paraId="7CA4D0E4">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300≤Y＜2000</w:t>
            </w:r>
          </w:p>
        </w:tc>
        <w:tc>
          <w:tcPr>
            <w:tcW w:w="1071" w:type="dxa"/>
            <w:tcBorders>
              <w:top w:val="nil"/>
              <w:left w:val="nil"/>
              <w:bottom w:val="single" w:color="auto" w:sz="4" w:space="0"/>
              <w:right w:val="single" w:color="auto" w:sz="4" w:space="0"/>
            </w:tcBorders>
            <w:noWrap w:val="0"/>
            <w:vAlign w:val="center"/>
          </w:tcPr>
          <w:p w14:paraId="6CF770B4">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776746E5">
        <w:tblPrEx>
          <w:tblCellMar>
            <w:top w:w="0" w:type="dxa"/>
            <w:left w:w="108" w:type="dxa"/>
            <w:bottom w:w="0" w:type="dxa"/>
            <w:right w:w="108" w:type="dxa"/>
          </w:tblCellMar>
        </w:tblPrEx>
        <w:trPr>
          <w:trHeight w:val="340"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5A147452">
            <w:pPr>
              <w:widowControl/>
              <w:shd w:val="clear" w:color="auto" w:fill="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建筑业</w:t>
            </w:r>
          </w:p>
        </w:tc>
        <w:tc>
          <w:tcPr>
            <w:tcW w:w="1601" w:type="dxa"/>
            <w:tcBorders>
              <w:top w:val="nil"/>
              <w:left w:val="nil"/>
              <w:bottom w:val="single" w:color="auto" w:sz="4" w:space="0"/>
              <w:right w:val="single" w:color="auto" w:sz="4" w:space="0"/>
            </w:tcBorders>
            <w:noWrap w:val="0"/>
            <w:vAlign w:val="center"/>
          </w:tcPr>
          <w:p w14:paraId="544E4516">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057" w:type="dxa"/>
            <w:tcBorders>
              <w:top w:val="nil"/>
              <w:left w:val="nil"/>
              <w:bottom w:val="single" w:color="auto" w:sz="4" w:space="0"/>
              <w:right w:val="single" w:color="auto" w:sz="4" w:space="0"/>
            </w:tcBorders>
            <w:noWrap w:val="0"/>
            <w:vAlign w:val="center"/>
          </w:tcPr>
          <w:p w14:paraId="51FA4134">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74" w:type="dxa"/>
            <w:tcBorders>
              <w:top w:val="nil"/>
              <w:left w:val="nil"/>
              <w:bottom w:val="single" w:color="auto" w:sz="4" w:space="0"/>
              <w:right w:val="single" w:color="auto" w:sz="4" w:space="0"/>
            </w:tcBorders>
            <w:noWrap w:val="0"/>
            <w:vAlign w:val="center"/>
          </w:tcPr>
          <w:p w14:paraId="0BEC9ED2">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6000≤Y＜80000</w:t>
            </w:r>
          </w:p>
        </w:tc>
        <w:tc>
          <w:tcPr>
            <w:tcW w:w="1666" w:type="dxa"/>
            <w:tcBorders>
              <w:top w:val="nil"/>
              <w:left w:val="nil"/>
              <w:bottom w:val="single" w:color="auto" w:sz="4" w:space="0"/>
              <w:right w:val="single" w:color="auto" w:sz="4" w:space="0"/>
            </w:tcBorders>
            <w:noWrap w:val="0"/>
            <w:vAlign w:val="center"/>
          </w:tcPr>
          <w:p w14:paraId="131D78E1">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300≤Y＜6000</w:t>
            </w:r>
          </w:p>
        </w:tc>
        <w:tc>
          <w:tcPr>
            <w:tcW w:w="1071" w:type="dxa"/>
            <w:tcBorders>
              <w:top w:val="nil"/>
              <w:left w:val="nil"/>
              <w:bottom w:val="single" w:color="auto" w:sz="4" w:space="0"/>
              <w:right w:val="single" w:color="auto" w:sz="4" w:space="0"/>
            </w:tcBorders>
            <w:noWrap w:val="0"/>
            <w:vAlign w:val="center"/>
          </w:tcPr>
          <w:p w14:paraId="5180DD94">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77CC7591">
        <w:tblPrEx>
          <w:tblCellMar>
            <w:top w:w="0" w:type="dxa"/>
            <w:left w:w="108" w:type="dxa"/>
            <w:bottom w:w="0" w:type="dxa"/>
            <w:right w:w="108" w:type="dxa"/>
          </w:tblCellMar>
        </w:tblPrEx>
        <w:trPr>
          <w:trHeight w:val="340"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6009DBE9">
            <w:pPr>
              <w:widowControl/>
              <w:shd w:val="clear" w:color="auto" w:fill="auto"/>
              <w:jc w:val="left"/>
              <w:rPr>
                <w:rFonts w:hint="eastAsia" w:ascii="宋体" w:hAnsi="宋体" w:eastAsia="宋体" w:cs="宋体"/>
                <w:b/>
                <w:bCs/>
                <w:color w:val="auto"/>
                <w:kern w:val="0"/>
                <w:sz w:val="18"/>
                <w:szCs w:val="18"/>
                <w:highlight w:val="none"/>
              </w:rPr>
            </w:pPr>
          </w:p>
        </w:tc>
        <w:tc>
          <w:tcPr>
            <w:tcW w:w="1601" w:type="dxa"/>
            <w:tcBorders>
              <w:top w:val="nil"/>
              <w:left w:val="nil"/>
              <w:bottom w:val="single" w:color="auto" w:sz="4" w:space="0"/>
              <w:right w:val="single" w:color="auto" w:sz="4" w:space="0"/>
            </w:tcBorders>
            <w:noWrap w:val="0"/>
            <w:vAlign w:val="center"/>
          </w:tcPr>
          <w:p w14:paraId="538EC7C4">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1057" w:type="dxa"/>
            <w:tcBorders>
              <w:top w:val="nil"/>
              <w:left w:val="nil"/>
              <w:bottom w:val="single" w:color="auto" w:sz="4" w:space="0"/>
              <w:right w:val="single" w:color="auto" w:sz="4" w:space="0"/>
            </w:tcBorders>
            <w:noWrap w:val="0"/>
            <w:vAlign w:val="center"/>
          </w:tcPr>
          <w:p w14:paraId="12A141A2">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74" w:type="dxa"/>
            <w:tcBorders>
              <w:top w:val="nil"/>
              <w:left w:val="nil"/>
              <w:bottom w:val="single" w:color="auto" w:sz="4" w:space="0"/>
              <w:right w:val="single" w:color="auto" w:sz="4" w:space="0"/>
            </w:tcBorders>
            <w:noWrap w:val="0"/>
            <w:vAlign w:val="center"/>
          </w:tcPr>
          <w:p w14:paraId="01A62407">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5000≤Z＜80000</w:t>
            </w:r>
          </w:p>
        </w:tc>
        <w:tc>
          <w:tcPr>
            <w:tcW w:w="1666" w:type="dxa"/>
            <w:tcBorders>
              <w:top w:val="nil"/>
              <w:left w:val="nil"/>
              <w:bottom w:val="single" w:color="auto" w:sz="4" w:space="0"/>
              <w:right w:val="single" w:color="auto" w:sz="4" w:space="0"/>
            </w:tcBorders>
            <w:noWrap w:val="0"/>
            <w:vAlign w:val="center"/>
          </w:tcPr>
          <w:p w14:paraId="1DC81A6B">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300≤Z＜5000</w:t>
            </w:r>
          </w:p>
        </w:tc>
        <w:tc>
          <w:tcPr>
            <w:tcW w:w="1071" w:type="dxa"/>
            <w:tcBorders>
              <w:top w:val="nil"/>
              <w:left w:val="nil"/>
              <w:bottom w:val="single" w:color="auto" w:sz="4" w:space="0"/>
              <w:right w:val="single" w:color="auto" w:sz="4" w:space="0"/>
            </w:tcBorders>
            <w:noWrap w:val="0"/>
            <w:vAlign w:val="center"/>
          </w:tcPr>
          <w:p w14:paraId="3751BD61">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Z＜300</w:t>
            </w:r>
          </w:p>
        </w:tc>
      </w:tr>
      <w:tr w14:paraId="1785F371">
        <w:tblPrEx>
          <w:tblCellMar>
            <w:top w:w="0" w:type="dxa"/>
            <w:left w:w="108" w:type="dxa"/>
            <w:bottom w:w="0" w:type="dxa"/>
            <w:right w:w="108" w:type="dxa"/>
          </w:tblCellMar>
        </w:tblPrEx>
        <w:trPr>
          <w:trHeight w:val="340"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655385A0">
            <w:pPr>
              <w:widowControl/>
              <w:shd w:val="clear" w:color="auto" w:fill="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批发业</w:t>
            </w:r>
          </w:p>
        </w:tc>
        <w:tc>
          <w:tcPr>
            <w:tcW w:w="1601" w:type="dxa"/>
            <w:tcBorders>
              <w:top w:val="nil"/>
              <w:left w:val="nil"/>
              <w:bottom w:val="single" w:color="auto" w:sz="4" w:space="0"/>
              <w:right w:val="single" w:color="auto" w:sz="4" w:space="0"/>
            </w:tcBorders>
            <w:noWrap w:val="0"/>
            <w:vAlign w:val="center"/>
          </w:tcPr>
          <w:p w14:paraId="1D6F251B">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057" w:type="dxa"/>
            <w:tcBorders>
              <w:top w:val="nil"/>
              <w:left w:val="nil"/>
              <w:bottom w:val="single" w:color="auto" w:sz="4" w:space="0"/>
              <w:right w:val="single" w:color="auto" w:sz="4" w:space="0"/>
            </w:tcBorders>
            <w:noWrap w:val="0"/>
            <w:vAlign w:val="center"/>
          </w:tcPr>
          <w:p w14:paraId="2838C62A">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74" w:type="dxa"/>
            <w:tcBorders>
              <w:top w:val="nil"/>
              <w:left w:val="nil"/>
              <w:bottom w:val="single" w:color="auto" w:sz="4" w:space="0"/>
              <w:right w:val="single" w:color="auto" w:sz="4" w:space="0"/>
            </w:tcBorders>
            <w:noWrap w:val="0"/>
            <w:vAlign w:val="center"/>
          </w:tcPr>
          <w:p w14:paraId="7A6FF315">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20≤X＜200</w:t>
            </w:r>
          </w:p>
        </w:tc>
        <w:tc>
          <w:tcPr>
            <w:tcW w:w="1666" w:type="dxa"/>
            <w:tcBorders>
              <w:top w:val="nil"/>
              <w:left w:val="nil"/>
              <w:bottom w:val="single" w:color="auto" w:sz="4" w:space="0"/>
              <w:right w:val="single" w:color="auto" w:sz="4" w:space="0"/>
            </w:tcBorders>
            <w:noWrap w:val="0"/>
            <w:vAlign w:val="center"/>
          </w:tcPr>
          <w:p w14:paraId="39320F95">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5≤X＜20</w:t>
            </w:r>
          </w:p>
        </w:tc>
        <w:tc>
          <w:tcPr>
            <w:tcW w:w="1071" w:type="dxa"/>
            <w:tcBorders>
              <w:top w:val="nil"/>
              <w:left w:val="nil"/>
              <w:bottom w:val="single" w:color="auto" w:sz="4" w:space="0"/>
              <w:right w:val="single" w:color="auto" w:sz="4" w:space="0"/>
            </w:tcBorders>
            <w:noWrap w:val="0"/>
            <w:vAlign w:val="center"/>
          </w:tcPr>
          <w:p w14:paraId="55DEE10B">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X＜5</w:t>
            </w:r>
          </w:p>
        </w:tc>
      </w:tr>
      <w:tr w14:paraId="7B079EDE">
        <w:tblPrEx>
          <w:tblCellMar>
            <w:top w:w="0" w:type="dxa"/>
            <w:left w:w="108" w:type="dxa"/>
            <w:bottom w:w="0" w:type="dxa"/>
            <w:right w:w="108" w:type="dxa"/>
          </w:tblCellMar>
        </w:tblPrEx>
        <w:trPr>
          <w:trHeight w:val="340"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12E3A7C3">
            <w:pPr>
              <w:widowControl/>
              <w:shd w:val="clear" w:color="auto" w:fill="auto"/>
              <w:jc w:val="left"/>
              <w:rPr>
                <w:rFonts w:hint="eastAsia" w:ascii="宋体" w:hAnsi="宋体" w:eastAsia="宋体" w:cs="宋体"/>
                <w:b/>
                <w:bCs/>
                <w:color w:val="auto"/>
                <w:kern w:val="0"/>
                <w:sz w:val="18"/>
                <w:szCs w:val="18"/>
                <w:highlight w:val="none"/>
              </w:rPr>
            </w:pPr>
          </w:p>
        </w:tc>
        <w:tc>
          <w:tcPr>
            <w:tcW w:w="1601" w:type="dxa"/>
            <w:tcBorders>
              <w:top w:val="nil"/>
              <w:left w:val="nil"/>
              <w:bottom w:val="single" w:color="auto" w:sz="4" w:space="0"/>
              <w:right w:val="single" w:color="auto" w:sz="4" w:space="0"/>
            </w:tcBorders>
            <w:noWrap w:val="0"/>
            <w:vAlign w:val="center"/>
          </w:tcPr>
          <w:p w14:paraId="094438E6">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057" w:type="dxa"/>
            <w:tcBorders>
              <w:top w:val="nil"/>
              <w:left w:val="nil"/>
              <w:bottom w:val="single" w:color="auto" w:sz="4" w:space="0"/>
              <w:right w:val="single" w:color="auto" w:sz="4" w:space="0"/>
            </w:tcBorders>
            <w:noWrap w:val="0"/>
            <w:vAlign w:val="center"/>
          </w:tcPr>
          <w:p w14:paraId="2B04058E">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74" w:type="dxa"/>
            <w:tcBorders>
              <w:top w:val="nil"/>
              <w:left w:val="nil"/>
              <w:bottom w:val="single" w:color="auto" w:sz="4" w:space="0"/>
              <w:right w:val="single" w:color="auto" w:sz="4" w:space="0"/>
            </w:tcBorders>
            <w:noWrap w:val="0"/>
            <w:vAlign w:val="center"/>
          </w:tcPr>
          <w:p w14:paraId="5AEE360A">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5000≤Y＜40000</w:t>
            </w:r>
          </w:p>
        </w:tc>
        <w:tc>
          <w:tcPr>
            <w:tcW w:w="1666" w:type="dxa"/>
            <w:tcBorders>
              <w:top w:val="nil"/>
              <w:left w:val="nil"/>
              <w:bottom w:val="single" w:color="auto" w:sz="4" w:space="0"/>
              <w:right w:val="single" w:color="auto" w:sz="4" w:space="0"/>
            </w:tcBorders>
            <w:noWrap w:val="0"/>
            <w:vAlign w:val="center"/>
          </w:tcPr>
          <w:p w14:paraId="626174B5">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071" w:type="dxa"/>
            <w:tcBorders>
              <w:top w:val="nil"/>
              <w:left w:val="nil"/>
              <w:bottom w:val="single" w:color="auto" w:sz="4" w:space="0"/>
              <w:right w:val="single" w:color="auto" w:sz="4" w:space="0"/>
            </w:tcBorders>
            <w:noWrap w:val="0"/>
            <w:vAlign w:val="center"/>
          </w:tcPr>
          <w:p w14:paraId="4D793F34">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w:t>
            </w:r>
          </w:p>
        </w:tc>
      </w:tr>
      <w:tr w14:paraId="161F4424">
        <w:tblPrEx>
          <w:tblCellMar>
            <w:top w:w="0" w:type="dxa"/>
            <w:left w:w="108" w:type="dxa"/>
            <w:bottom w:w="0" w:type="dxa"/>
            <w:right w:w="108" w:type="dxa"/>
          </w:tblCellMar>
        </w:tblPrEx>
        <w:trPr>
          <w:trHeight w:val="340"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634CDA4C">
            <w:pPr>
              <w:widowControl/>
              <w:shd w:val="clear" w:color="auto" w:fill="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零售业</w:t>
            </w:r>
          </w:p>
        </w:tc>
        <w:tc>
          <w:tcPr>
            <w:tcW w:w="1601" w:type="dxa"/>
            <w:tcBorders>
              <w:top w:val="nil"/>
              <w:left w:val="nil"/>
              <w:bottom w:val="single" w:color="auto" w:sz="4" w:space="0"/>
              <w:right w:val="single" w:color="auto" w:sz="4" w:space="0"/>
            </w:tcBorders>
            <w:noWrap w:val="0"/>
            <w:vAlign w:val="center"/>
          </w:tcPr>
          <w:p w14:paraId="2F1C9964">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057" w:type="dxa"/>
            <w:tcBorders>
              <w:top w:val="nil"/>
              <w:left w:val="nil"/>
              <w:bottom w:val="single" w:color="auto" w:sz="4" w:space="0"/>
              <w:right w:val="single" w:color="auto" w:sz="4" w:space="0"/>
            </w:tcBorders>
            <w:noWrap w:val="0"/>
            <w:vAlign w:val="center"/>
          </w:tcPr>
          <w:p w14:paraId="7986B542">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74" w:type="dxa"/>
            <w:tcBorders>
              <w:top w:val="nil"/>
              <w:left w:val="nil"/>
              <w:bottom w:val="single" w:color="auto" w:sz="4" w:space="0"/>
              <w:right w:val="single" w:color="auto" w:sz="4" w:space="0"/>
            </w:tcBorders>
            <w:noWrap w:val="0"/>
            <w:vAlign w:val="center"/>
          </w:tcPr>
          <w:p w14:paraId="79216031">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50≤X＜300</w:t>
            </w:r>
          </w:p>
        </w:tc>
        <w:tc>
          <w:tcPr>
            <w:tcW w:w="1666" w:type="dxa"/>
            <w:tcBorders>
              <w:top w:val="nil"/>
              <w:left w:val="nil"/>
              <w:bottom w:val="single" w:color="auto" w:sz="4" w:space="0"/>
              <w:right w:val="single" w:color="auto" w:sz="4" w:space="0"/>
            </w:tcBorders>
            <w:noWrap w:val="0"/>
            <w:vAlign w:val="center"/>
          </w:tcPr>
          <w:p w14:paraId="68443729">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10≤X＜50</w:t>
            </w:r>
          </w:p>
        </w:tc>
        <w:tc>
          <w:tcPr>
            <w:tcW w:w="1071" w:type="dxa"/>
            <w:tcBorders>
              <w:top w:val="nil"/>
              <w:left w:val="nil"/>
              <w:bottom w:val="single" w:color="auto" w:sz="4" w:space="0"/>
              <w:right w:val="single" w:color="auto" w:sz="4" w:space="0"/>
            </w:tcBorders>
            <w:noWrap w:val="0"/>
            <w:vAlign w:val="center"/>
          </w:tcPr>
          <w:p w14:paraId="49C9D3D7">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25D8BD89">
        <w:tblPrEx>
          <w:tblCellMar>
            <w:top w:w="0" w:type="dxa"/>
            <w:left w:w="108" w:type="dxa"/>
            <w:bottom w:w="0" w:type="dxa"/>
            <w:right w:w="108" w:type="dxa"/>
          </w:tblCellMar>
        </w:tblPrEx>
        <w:trPr>
          <w:trHeight w:val="340"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48BA6FC4">
            <w:pPr>
              <w:widowControl/>
              <w:shd w:val="clear" w:color="auto" w:fill="auto"/>
              <w:jc w:val="left"/>
              <w:rPr>
                <w:rFonts w:hint="eastAsia" w:ascii="宋体" w:hAnsi="宋体" w:eastAsia="宋体" w:cs="宋体"/>
                <w:b/>
                <w:bCs/>
                <w:color w:val="auto"/>
                <w:kern w:val="0"/>
                <w:sz w:val="18"/>
                <w:szCs w:val="18"/>
                <w:highlight w:val="none"/>
              </w:rPr>
            </w:pPr>
          </w:p>
        </w:tc>
        <w:tc>
          <w:tcPr>
            <w:tcW w:w="1601" w:type="dxa"/>
            <w:tcBorders>
              <w:top w:val="nil"/>
              <w:left w:val="nil"/>
              <w:bottom w:val="single" w:color="auto" w:sz="4" w:space="0"/>
              <w:right w:val="single" w:color="auto" w:sz="4" w:space="0"/>
            </w:tcBorders>
            <w:noWrap w:val="0"/>
            <w:vAlign w:val="center"/>
          </w:tcPr>
          <w:p w14:paraId="69D8734E">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057" w:type="dxa"/>
            <w:tcBorders>
              <w:top w:val="nil"/>
              <w:left w:val="nil"/>
              <w:bottom w:val="single" w:color="auto" w:sz="4" w:space="0"/>
              <w:right w:val="single" w:color="auto" w:sz="4" w:space="0"/>
            </w:tcBorders>
            <w:noWrap w:val="0"/>
            <w:vAlign w:val="center"/>
          </w:tcPr>
          <w:p w14:paraId="6C6D206D">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74" w:type="dxa"/>
            <w:tcBorders>
              <w:top w:val="nil"/>
              <w:left w:val="nil"/>
              <w:bottom w:val="single" w:color="auto" w:sz="4" w:space="0"/>
              <w:right w:val="single" w:color="auto" w:sz="4" w:space="0"/>
            </w:tcBorders>
            <w:noWrap w:val="0"/>
            <w:vAlign w:val="center"/>
          </w:tcPr>
          <w:p w14:paraId="19C0D477">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666" w:type="dxa"/>
            <w:tcBorders>
              <w:top w:val="nil"/>
              <w:left w:val="nil"/>
              <w:bottom w:val="single" w:color="auto" w:sz="4" w:space="0"/>
              <w:right w:val="single" w:color="auto" w:sz="4" w:space="0"/>
            </w:tcBorders>
            <w:noWrap w:val="0"/>
            <w:vAlign w:val="center"/>
          </w:tcPr>
          <w:p w14:paraId="015CFA54">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100≤Y＜500</w:t>
            </w:r>
          </w:p>
        </w:tc>
        <w:tc>
          <w:tcPr>
            <w:tcW w:w="1071" w:type="dxa"/>
            <w:tcBorders>
              <w:top w:val="nil"/>
              <w:left w:val="nil"/>
              <w:bottom w:val="single" w:color="auto" w:sz="4" w:space="0"/>
              <w:right w:val="single" w:color="auto" w:sz="4" w:space="0"/>
            </w:tcBorders>
            <w:noWrap w:val="0"/>
            <w:vAlign w:val="center"/>
          </w:tcPr>
          <w:p w14:paraId="657ED49F">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610D1C0">
        <w:tblPrEx>
          <w:tblCellMar>
            <w:top w:w="0" w:type="dxa"/>
            <w:left w:w="108" w:type="dxa"/>
            <w:bottom w:w="0" w:type="dxa"/>
            <w:right w:w="108" w:type="dxa"/>
          </w:tblCellMar>
        </w:tblPrEx>
        <w:trPr>
          <w:trHeight w:val="340"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15B76C7F">
            <w:pPr>
              <w:widowControl/>
              <w:shd w:val="clear" w:color="auto" w:fill="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交通运输业</w:t>
            </w:r>
          </w:p>
        </w:tc>
        <w:tc>
          <w:tcPr>
            <w:tcW w:w="1601" w:type="dxa"/>
            <w:tcBorders>
              <w:top w:val="nil"/>
              <w:left w:val="nil"/>
              <w:bottom w:val="single" w:color="auto" w:sz="4" w:space="0"/>
              <w:right w:val="single" w:color="auto" w:sz="4" w:space="0"/>
            </w:tcBorders>
            <w:noWrap w:val="0"/>
            <w:vAlign w:val="center"/>
          </w:tcPr>
          <w:p w14:paraId="1D31DDDF">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057" w:type="dxa"/>
            <w:tcBorders>
              <w:top w:val="nil"/>
              <w:left w:val="nil"/>
              <w:bottom w:val="single" w:color="auto" w:sz="4" w:space="0"/>
              <w:right w:val="single" w:color="auto" w:sz="4" w:space="0"/>
            </w:tcBorders>
            <w:noWrap w:val="0"/>
            <w:vAlign w:val="center"/>
          </w:tcPr>
          <w:p w14:paraId="2BF2EB8E">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74" w:type="dxa"/>
            <w:tcBorders>
              <w:top w:val="nil"/>
              <w:left w:val="nil"/>
              <w:bottom w:val="single" w:color="auto" w:sz="4" w:space="0"/>
              <w:right w:val="single" w:color="auto" w:sz="4" w:space="0"/>
            </w:tcBorders>
            <w:noWrap w:val="0"/>
            <w:vAlign w:val="center"/>
          </w:tcPr>
          <w:p w14:paraId="2A420646">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666" w:type="dxa"/>
            <w:tcBorders>
              <w:top w:val="nil"/>
              <w:left w:val="nil"/>
              <w:bottom w:val="single" w:color="auto" w:sz="4" w:space="0"/>
              <w:right w:val="single" w:color="auto" w:sz="4" w:space="0"/>
            </w:tcBorders>
            <w:noWrap w:val="0"/>
            <w:vAlign w:val="center"/>
          </w:tcPr>
          <w:p w14:paraId="20A6AF2D">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1071" w:type="dxa"/>
            <w:tcBorders>
              <w:top w:val="nil"/>
              <w:left w:val="nil"/>
              <w:bottom w:val="single" w:color="auto" w:sz="4" w:space="0"/>
              <w:right w:val="single" w:color="auto" w:sz="4" w:space="0"/>
            </w:tcBorders>
            <w:noWrap w:val="0"/>
            <w:vAlign w:val="center"/>
          </w:tcPr>
          <w:p w14:paraId="4CF6A472">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533B0E30">
        <w:tblPrEx>
          <w:tblCellMar>
            <w:top w:w="0" w:type="dxa"/>
            <w:left w:w="108" w:type="dxa"/>
            <w:bottom w:w="0" w:type="dxa"/>
            <w:right w:w="108" w:type="dxa"/>
          </w:tblCellMar>
        </w:tblPrEx>
        <w:trPr>
          <w:trHeight w:val="340"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4EE77C1B">
            <w:pPr>
              <w:widowControl/>
              <w:shd w:val="clear" w:color="auto" w:fill="auto"/>
              <w:jc w:val="left"/>
              <w:rPr>
                <w:rFonts w:hint="eastAsia" w:ascii="宋体" w:hAnsi="宋体" w:eastAsia="宋体" w:cs="宋体"/>
                <w:b/>
                <w:bCs/>
                <w:color w:val="auto"/>
                <w:kern w:val="0"/>
                <w:sz w:val="18"/>
                <w:szCs w:val="18"/>
                <w:highlight w:val="none"/>
              </w:rPr>
            </w:pPr>
          </w:p>
        </w:tc>
        <w:tc>
          <w:tcPr>
            <w:tcW w:w="1601" w:type="dxa"/>
            <w:tcBorders>
              <w:top w:val="nil"/>
              <w:left w:val="nil"/>
              <w:bottom w:val="single" w:color="auto" w:sz="4" w:space="0"/>
              <w:right w:val="single" w:color="auto" w:sz="4" w:space="0"/>
            </w:tcBorders>
            <w:noWrap w:val="0"/>
            <w:vAlign w:val="center"/>
          </w:tcPr>
          <w:p w14:paraId="74F6626F">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057" w:type="dxa"/>
            <w:tcBorders>
              <w:top w:val="nil"/>
              <w:left w:val="nil"/>
              <w:bottom w:val="single" w:color="auto" w:sz="4" w:space="0"/>
              <w:right w:val="single" w:color="auto" w:sz="4" w:space="0"/>
            </w:tcBorders>
            <w:noWrap w:val="0"/>
            <w:vAlign w:val="center"/>
          </w:tcPr>
          <w:p w14:paraId="24724613">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74" w:type="dxa"/>
            <w:tcBorders>
              <w:top w:val="nil"/>
              <w:left w:val="nil"/>
              <w:bottom w:val="single" w:color="auto" w:sz="4" w:space="0"/>
              <w:right w:val="single" w:color="auto" w:sz="4" w:space="0"/>
            </w:tcBorders>
            <w:noWrap w:val="0"/>
            <w:vAlign w:val="center"/>
          </w:tcPr>
          <w:p w14:paraId="49D0B392">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3000≤Y＜30000</w:t>
            </w:r>
          </w:p>
        </w:tc>
        <w:tc>
          <w:tcPr>
            <w:tcW w:w="1666" w:type="dxa"/>
            <w:tcBorders>
              <w:top w:val="nil"/>
              <w:left w:val="nil"/>
              <w:bottom w:val="single" w:color="auto" w:sz="4" w:space="0"/>
              <w:right w:val="single" w:color="auto" w:sz="4" w:space="0"/>
            </w:tcBorders>
            <w:noWrap w:val="0"/>
            <w:vAlign w:val="center"/>
          </w:tcPr>
          <w:p w14:paraId="66416148">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200≤Y＜3000</w:t>
            </w:r>
          </w:p>
        </w:tc>
        <w:tc>
          <w:tcPr>
            <w:tcW w:w="1071" w:type="dxa"/>
            <w:tcBorders>
              <w:top w:val="nil"/>
              <w:left w:val="nil"/>
              <w:bottom w:val="single" w:color="auto" w:sz="4" w:space="0"/>
              <w:right w:val="single" w:color="auto" w:sz="4" w:space="0"/>
            </w:tcBorders>
            <w:noWrap w:val="0"/>
            <w:vAlign w:val="center"/>
          </w:tcPr>
          <w:p w14:paraId="6F3987F0">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w:t>
            </w:r>
          </w:p>
        </w:tc>
      </w:tr>
      <w:tr w14:paraId="79A07477">
        <w:tblPrEx>
          <w:tblCellMar>
            <w:top w:w="0" w:type="dxa"/>
            <w:left w:w="108" w:type="dxa"/>
            <w:bottom w:w="0" w:type="dxa"/>
            <w:right w:w="108" w:type="dxa"/>
          </w:tblCellMar>
        </w:tblPrEx>
        <w:trPr>
          <w:trHeight w:val="340"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417339DC">
            <w:pPr>
              <w:widowControl/>
              <w:shd w:val="clear" w:color="auto" w:fill="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仓储业</w:t>
            </w:r>
          </w:p>
        </w:tc>
        <w:tc>
          <w:tcPr>
            <w:tcW w:w="1601" w:type="dxa"/>
            <w:tcBorders>
              <w:top w:val="nil"/>
              <w:left w:val="nil"/>
              <w:bottom w:val="single" w:color="auto" w:sz="4" w:space="0"/>
              <w:right w:val="single" w:color="auto" w:sz="4" w:space="0"/>
            </w:tcBorders>
            <w:noWrap w:val="0"/>
            <w:vAlign w:val="center"/>
          </w:tcPr>
          <w:p w14:paraId="54764A23">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057" w:type="dxa"/>
            <w:tcBorders>
              <w:top w:val="nil"/>
              <w:left w:val="nil"/>
              <w:bottom w:val="single" w:color="auto" w:sz="4" w:space="0"/>
              <w:right w:val="single" w:color="auto" w:sz="4" w:space="0"/>
            </w:tcBorders>
            <w:noWrap w:val="0"/>
            <w:vAlign w:val="center"/>
          </w:tcPr>
          <w:p w14:paraId="2BB87844">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74" w:type="dxa"/>
            <w:tcBorders>
              <w:top w:val="nil"/>
              <w:left w:val="nil"/>
              <w:bottom w:val="single" w:color="auto" w:sz="4" w:space="0"/>
              <w:right w:val="single" w:color="auto" w:sz="4" w:space="0"/>
            </w:tcBorders>
            <w:noWrap w:val="0"/>
            <w:vAlign w:val="center"/>
          </w:tcPr>
          <w:p w14:paraId="656B4F77">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w:t>
            </w:r>
          </w:p>
        </w:tc>
        <w:tc>
          <w:tcPr>
            <w:tcW w:w="1666" w:type="dxa"/>
            <w:tcBorders>
              <w:top w:val="nil"/>
              <w:left w:val="nil"/>
              <w:bottom w:val="single" w:color="auto" w:sz="4" w:space="0"/>
              <w:right w:val="single" w:color="auto" w:sz="4" w:space="0"/>
            </w:tcBorders>
            <w:noWrap w:val="0"/>
            <w:vAlign w:val="center"/>
          </w:tcPr>
          <w:p w14:paraId="6566EC05">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20≤X＜100</w:t>
            </w:r>
          </w:p>
        </w:tc>
        <w:tc>
          <w:tcPr>
            <w:tcW w:w="1071" w:type="dxa"/>
            <w:tcBorders>
              <w:top w:val="nil"/>
              <w:left w:val="nil"/>
              <w:bottom w:val="single" w:color="auto" w:sz="4" w:space="0"/>
              <w:right w:val="single" w:color="auto" w:sz="4" w:space="0"/>
            </w:tcBorders>
            <w:noWrap w:val="0"/>
            <w:vAlign w:val="center"/>
          </w:tcPr>
          <w:p w14:paraId="5A502970">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16F5DA98">
        <w:tblPrEx>
          <w:tblCellMar>
            <w:top w:w="0" w:type="dxa"/>
            <w:left w:w="108" w:type="dxa"/>
            <w:bottom w:w="0" w:type="dxa"/>
            <w:right w:w="108" w:type="dxa"/>
          </w:tblCellMar>
        </w:tblPrEx>
        <w:trPr>
          <w:trHeight w:val="340"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7BFCB6D5">
            <w:pPr>
              <w:widowControl/>
              <w:shd w:val="clear" w:color="auto" w:fill="auto"/>
              <w:jc w:val="left"/>
              <w:rPr>
                <w:rFonts w:hint="eastAsia" w:ascii="宋体" w:hAnsi="宋体" w:eastAsia="宋体" w:cs="宋体"/>
                <w:b/>
                <w:bCs/>
                <w:color w:val="auto"/>
                <w:kern w:val="0"/>
                <w:sz w:val="18"/>
                <w:szCs w:val="18"/>
                <w:highlight w:val="none"/>
              </w:rPr>
            </w:pPr>
          </w:p>
        </w:tc>
        <w:tc>
          <w:tcPr>
            <w:tcW w:w="1601" w:type="dxa"/>
            <w:tcBorders>
              <w:top w:val="nil"/>
              <w:left w:val="nil"/>
              <w:bottom w:val="single" w:color="auto" w:sz="4" w:space="0"/>
              <w:right w:val="single" w:color="auto" w:sz="4" w:space="0"/>
            </w:tcBorders>
            <w:noWrap w:val="0"/>
            <w:vAlign w:val="center"/>
          </w:tcPr>
          <w:p w14:paraId="2878373C">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057" w:type="dxa"/>
            <w:tcBorders>
              <w:top w:val="nil"/>
              <w:left w:val="nil"/>
              <w:bottom w:val="single" w:color="auto" w:sz="4" w:space="0"/>
              <w:right w:val="single" w:color="auto" w:sz="4" w:space="0"/>
            </w:tcBorders>
            <w:noWrap w:val="0"/>
            <w:vAlign w:val="center"/>
          </w:tcPr>
          <w:p w14:paraId="31EF9A65">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74" w:type="dxa"/>
            <w:tcBorders>
              <w:top w:val="nil"/>
              <w:left w:val="nil"/>
              <w:bottom w:val="single" w:color="auto" w:sz="4" w:space="0"/>
              <w:right w:val="single" w:color="auto" w:sz="4" w:space="0"/>
            </w:tcBorders>
            <w:noWrap w:val="0"/>
            <w:vAlign w:val="center"/>
          </w:tcPr>
          <w:p w14:paraId="725C6ADF">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1000≤Y＜30000</w:t>
            </w:r>
          </w:p>
        </w:tc>
        <w:tc>
          <w:tcPr>
            <w:tcW w:w="1666" w:type="dxa"/>
            <w:tcBorders>
              <w:top w:val="nil"/>
              <w:left w:val="nil"/>
              <w:bottom w:val="single" w:color="auto" w:sz="4" w:space="0"/>
              <w:right w:val="single" w:color="auto" w:sz="4" w:space="0"/>
            </w:tcBorders>
            <w:noWrap w:val="0"/>
            <w:vAlign w:val="center"/>
          </w:tcPr>
          <w:p w14:paraId="649B4AC8">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1071" w:type="dxa"/>
            <w:tcBorders>
              <w:top w:val="nil"/>
              <w:left w:val="nil"/>
              <w:bottom w:val="single" w:color="auto" w:sz="4" w:space="0"/>
              <w:right w:val="single" w:color="auto" w:sz="4" w:space="0"/>
            </w:tcBorders>
            <w:noWrap w:val="0"/>
            <w:vAlign w:val="center"/>
          </w:tcPr>
          <w:p w14:paraId="40BDE39B">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216EC1AE">
        <w:tblPrEx>
          <w:tblCellMar>
            <w:top w:w="0" w:type="dxa"/>
            <w:left w:w="108" w:type="dxa"/>
            <w:bottom w:w="0" w:type="dxa"/>
            <w:right w:w="108" w:type="dxa"/>
          </w:tblCellMar>
        </w:tblPrEx>
        <w:trPr>
          <w:trHeight w:val="340"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2C73465E">
            <w:pPr>
              <w:widowControl/>
              <w:shd w:val="clear" w:color="auto" w:fill="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邮政业</w:t>
            </w:r>
          </w:p>
        </w:tc>
        <w:tc>
          <w:tcPr>
            <w:tcW w:w="1601" w:type="dxa"/>
            <w:tcBorders>
              <w:top w:val="nil"/>
              <w:left w:val="nil"/>
              <w:bottom w:val="single" w:color="auto" w:sz="4" w:space="0"/>
              <w:right w:val="single" w:color="auto" w:sz="4" w:space="0"/>
            </w:tcBorders>
            <w:noWrap w:val="0"/>
            <w:vAlign w:val="center"/>
          </w:tcPr>
          <w:p w14:paraId="31C594D1">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057" w:type="dxa"/>
            <w:tcBorders>
              <w:top w:val="nil"/>
              <w:left w:val="nil"/>
              <w:bottom w:val="single" w:color="auto" w:sz="4" w:space="0"/>
              <w:right w:val="single" w:color="auto" w:sz="4" w:space="0"/>
            </w:tcBorders>
            <w:noWrap w:val="0"/>
            <w:vAlign w:val="center"/>
          </w:tcPr>
          <w:p w14:paraId="47C4EE43">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74" w:type="dxa"/>
            <w:tcBorders>
              <w:top w:val="nil"/>
              <w:left w:val="nil"/>
              <w:bottom w:val="single" w:color="auto" w:sz="4" w:space="0"/>
              <w:right w:val="single" w:color="auto" w:sz="4" w:space="0"/>
            </w:tcBorders>
            <w:noWrap w:val="0"/>
            <w:vAlign w:val="center"/>
          </w:tcPr>
          <w:p w14:paraId="21734CFA">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666" w:type="dxa"/>
            <w:tcBorders>
              <w:top w:val="nil"/>
              <w:left w:val="nil"/>
              <w:bottom w:val="single" w:color="auto" w:sz="4" w:space="0"/>
              <w:right w:val="single" w:color="auto" w:sz="4" w:space="0"/>
            </w:tcBorders>
            <w:noWrap w:val="0"/>
            <w:vAlign w:val="center"/>
          </w:tcPr>
          <w:p w14:paraId="32802C8E">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1071" w:type="dxa"/>
            <w:tcBorders>
              <w:top w:val="nil"/>
              <w:left w:val="nil"/>
              <w:bottom w:val="single" w:color="auto" w:sz="4" w:space="0"/>
              <w:right w:val="single" w:color="auto" w:sz="4" w:space="0"/>
            </w:tcBorders>
            <w:noWrap w:val="0"/>
            <w:vAlign w:val="center"/>
          </w:tcPr>
          <w:p w14:paraId="3AD03D10">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1EBA6330">
        <w:tblPrEx>
          <w:tblCellMar>
            <w:top w:w="0" w:type="dxa"/>
            <w:left w:w="108" w:type="dxa"/>
            <w:bottom w:w="0" w:type="dxa"/>
            <w:right w:w="108" w:type="dxa"/>
          </w:tblCellMar>
        </w:tblPrEx>
        <w:trPr>
          <w:trHeight w:val="340"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131C873B">
            <w:pPr>
              <w:widowControl/>
              <w:shd w:val="clear" w:color="auto" w:fill="auto"/>
              <w:jc w:val="left"/>
              <w:rPr>
                <w:rFonts w:hint="eastAsia" w:ascii="宋体" w:hAnsi="宋体" w:eastAsia="宋体" w:cs="宋体"/>
                <w:b/>
                <w:bCs/>
                <w:color w:val="auto"/>
                <w:kern w:val="0"/>
                <w:sz w:val="18"/>
                <w:szCs w:val="18"/>
                <w:highlight w:val="none"/>
              </w:rPr>
            </w:pPr>
          </w:p>
        </w:tc>
        <w:tc>
          <w:tcPr>
            <w:tcW w:w="1601" w:type="dxa"/>
            <w:tcBorders>
              <w:top w:val="nil"/>
              <w:left w:val="nil"/>
              <w:bottom w:val="single" w:color="auto" w:sz="4" w:space="0"/>
              <w:right w:val="single" w:color="auto" w:sz="4" w:space="0"/>
            </w:tcBorders>
            <w:noWrap w:val="0"/>
            <w:vAlign w:val="center"/>
          </w:tcPr>
          <w:p w14:paraId="2BD70816">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057" w:type="dxa"/>
            <w:tcBorders>
              <w:top w:val="nil"/>
              <w:left w:val="nil"/>
              <w:bottom w:val="single" w:color="auto" w:sz="4" w:space="0"/>
              <w:right w:val="single" w:color="auto" w:sz="4" w:space="0"/>
            </w:tcBorders>
            <w:noWrap w:val="0"/>
            <w:vAlign w:val="center"/>
          </w:tcPr>
          <w:p w14:paraId="1C8D5BA4">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74" w:type="dxa"/>
            <w:tcBorders>
              <w:top w:val="nil"/>
              <w:left w:val="nil"/>
              <w:bottom w:val="single" w:color="auto" w:sz="4" w:space="0"/>
              <w:right w:val="single" w:color="auto" w:sz="4" w:space="0"/>
            </w:tcBorders>
            <w:noWrap w:val="0"/>
            <w:vAlign w:val="center"/>
          </w:tcPr>
          <w:p w14:paraId="47D8F79F">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2000≤Y＜30000</w:t>
            </w:r>
          </w:p>
        </w:tc>
        <w:tc>
          <w:tcPr>
            <w:tcW w:w="1666" w:type="dxa"/>
            <w:tcBorders>
              <w:top w:val="nil"/>
              <w:left w:val="nil"/>
              <w:bottom w:val="single" w:color="auto" w:sz="4" w:space="0"/>
              <w:right w:val="single" w:color="auto" w:sz="4" w:space="0"/>
            </w:tcBorders>
            <w:noWrap w:val="0"/>
            <w:vAlign w:val="center"/>
          </w:tcPr>
          <w:p w14:paraId="63A70D38">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1071" w:type="dxa"/>
            <w:tcBorders>
              <w:top w:val="nil"/>
              <w:left w:val="nil"/>
              <w:bottom w:val="single" w:color="auto" w:sz="4" w:space="0"/>
              <w:right w:val="single" w:color="auto" w:sz="4" w:space="0"/>
            </w:tcBorders>
            <w:noWrap w:val="0"/>
            <w:vAlign w:val="center"/>
          </w:tcPr>
          <w:p w14:paraId="070214B9">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21546C65">
        <w:tblPrEx>
          <w:tblCellMar>
            <w:top w:w="0" w:type="dxa"/>
            <w:left w:w="108" w:type="dxa"/>
            <w:bottom w:w="0" w:type="dxa"/>
            <w:right w:w="108" w:type="dxa"/>
          </w:tblCellMar>
        </w:tblPrEx>
        <w:trPr>
          <w:trHeight w:val="340"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4E316A6F">
            <w:pPr>
              <w:widowControl/>
              <w:shd w:val="clear" w:color="auto" w:fill="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住宿业</w:t>
            </w:r>
          </w:p>
        </w:tc>
        <w:tc>
          <w:tcPr>
            <w:tcW w:w="1601" w:type="dxa"/>
            <w:tcBorders>
              <w:top w:val="nil"/>
              <w:left w:val="nil"/>
              <w:bottom w:val="single" w:color="auto" w:sz="4" w:space="0"/>
              <w:right w:val="single" w:color="auto" w:sz="4" w:space="0"/>
            </w:tcBorders>
            <w:noWrap w:val="0"/>
            <w:vAlign w:val="center"/>
          </w:tcPr>
          <w:p w14:paraId="4931B3D2">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057" w:type="dxa"/>
            <w:tcBorders>
              <w:top w:val="nil"/>
              <w:left w:val="nil"/>
              <w:bottom w:val="single" w:color="auto" w:sz="4" w:space="0"/>
              <w:right w:val="single" w:color="auto" w:sz="4" w:space="0"/>
            </w:tcBorders>
            <w:noWrap w:val="0"/>
            <w:vAlign w:val="center"/>
          </w:tcPr>
          <w:p w14:paraId="3A109302">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74" w:type="dxa"/>
            <w:tcBorders>
              <w:top w:val="nil"/>
              <w:left w:val="nil"/>
              <w:bottom w:val="single" w:color="auto" w:sz="4" w:space="0"/>
              <w:right w:val="single" w:color="auto" w:sz="4" w:space="0"/>
            </w:tcBorders>
            <w:noWrap w:val="0"/>
            <w:vAlign w:val="center"/>
          </w:tcPr>
          <w:p w14:paraId="67DE22C9">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666" w:type="dxa"/>
            <w:tcBorders>
              <w:top w:val="nil"/>
              <w:left w:val="nil"/>
              <w:bottom w:val="single" w:color="auto" w:sz="4" w:space="0"/>
              <w:right w:val="single" w:color="auto" w:sz="4" w:space="0"/>
            </w:tcBorders>
            <w:noWrap w:val="0"/>
            <w:vAlign w:val="center"/>
          </w:tcPr>
          <w:p w14:paraId="2F8BE8A7">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071" w:type="dxa"/>
            <w:tcBorders>
              <w:top w:val="nil"/>
              <w:left w:val="nil"/>
              <w:bottom w:val="single" w:color="auto" w:sz="4" w:space="0"/>
              <w:right w:val="single" w:color="auto" w:sz="4" w:space="0"/>
            </w:tcBorders>
            <w:noWrap w:val="0"/>
            <w:vAlign w:val="center"/>
          </w:tcPr>
          <w:p w14:paraId="43570176">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774D03BF">
        <w:tblPrEx>
          <w:tblCellMar>
            <w:top w:w="0" w:type="dxa"/>
            <w:left w:w="108" w:type="dxa"/>
            <w:bottom w:w="0" w:type="dxa"/>
            <w:right w:w="108" w:type="dxa"/>
          </w:tblCellMar>
        </w:tblPrEx>
        <w:trPr>
          <w:trHeight w:val="340"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2EBC2BB1">
            <w:pPr>
              <w:widowControl/>
              <w:shd w:val="clear" w:color="auto" w:fill="auto"/>
              <w:jc w:val="left"/>
              <w:rPr>
                <w:rFonts w:hint="eastAsia" w:ascii="宋体" w:hAnsi="宋体" w:eastAsia="宋体" w:cs="宋体"/>
                <w:b/>
                <w:bCs/>
                <w:color w:val="auto"/>
                <w:kern w:val="0"/>
                <w:sz w:val="18"/>
                <w:szCs w:val="18"/>
                <w:highlight w:val="none"/>
              </w:rPr>
            </w:pPr>
          </w:p>
        </w:tc>
        <w:tc>
          <w:tcPr>
            <w:tcW w:w="1601" w:type="dxa"/>
            <w:tcBorders>
              <w:top w:val="nil"/>
              <w:left w:val="nil"/>
              <w:bottom w:val="single" w:color="auto" w:sz="4" w:space="0"/>
              <w:right w:val="single" w:color="auto" w:sz="4" w:space="0"/>
            </w:tcBorders>
            <w:noWrap w:val="0"/>
            <w:vAlign w:val="center"/>
          </w:tcPr>
          <w:p w14:paraId="7BAA074C">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057" w:type="dxa"/>
            <w:tcBorders>
              <w:top w:val="nil"/>
              <w:left w:val="nil"/>
              <w:bottom w:val="single" w:color="auto" w:sz="4" w:space="0"/>
              <w:right w:val="single" w:color="auto" w:sz="4" w:space="0"/>
            </w:tcBorders>
            <w:noWrap w:val="0"/>
            <w:vAlign w:val="center"/>
          </w:tcPr>
          <w:p w14:paraId="49249F19">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74" w:type="dxa"/>
            <w:tcBorders>
              <w:top w:val="nil"/>
              <w:left w:val="nil"/>
              <w:bottom w:val="single" w:color="auto" w:sz="4" w:space="0"/>
              <w:right w:val="single" w:color="auto" w:sz="4" w:space="0"/>
            </w:tcBorders>
            <w:noWrap w:val="0"/>
            <w:vAlign w:val="center"/>
          </w:tcPr>
          <w:p w14:paraId="2F0F55F5">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666" w:type="dxa"/>
            <w:tcBorders>
              <w:top w:val="nil"/>
              <w:left w:val="nil"/>
              <w:bottom w:val="single" w:color="auto" w:sz="4" w:space="0"/>
              <w:right w:val="single" w:color="auto" w:sz="4" w:space="0"/>
            </w:tcBorders>
            <w:noWrap w:val="0"/>
            <w:vAlign w:val="center"/>
          </w:tcPr>
          <w:p w14:paraId="554A82FF">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1071" w:type="dxa"/>
            <w:tcBorders>
              <w:top w:val="nil"/>
              <w:left w:val="nil"/>
              <w:bottom w:val="single" w:color="auto" w:sz="4" w:space="0"/>
              <w:right w:val="single" w:color="auto" w:sz="4" w:space="0"/>
            </w:tcBorders>
            <w:noWrap w:val="0"/>
            <w:vAlign w:val="center"/>
          </w:tcPr>
          <w:p w14:paraId="079010DF">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754ACC95">
        <w:tblPrEx>
          <w:tblCellMar>
            <w:top w:w="0" w:type="dxa"/>
            <w:left w:w="108" w:type="dxa"/>
            <w:bottom w:w="0" w:type="dxa"/>
            <w:right w:w="108" w:type="dxa"/>
          </w:tblCellMar>
        </w:tblPrEx>
        <w:trPr>
          <w:trHeight w:val="340"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039DF2CD">
            <w:pPr>
              <w:widowControl/>
              <w:shd w:val="clear" w:color="auto" w:fill="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餐饮业</w:t>
            </w:r>
          </w:p>
        </w:tc>
        <w:tc>
          <w:tcPr>
            <w:tcW w:w="1601" w:type="dxa"/>
            <w:tcBorders>
              <w:top w:val="nil"/>
              <w:left w:val="nil"/>
              <w:bottom w:val="single" w:color="auto" w:sz="4" w:space="0"/>
              <w:right w:val="single" w:color="auto" w:sz="4" w:space="0"/>
            </w:tcBorders>
            <w:noWrap w:val="0"/>
            <w:vAlign w:val="center"/>
          </w:tcPr>
          <w:p w14:paraId="5EC971EC">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057" w:type="dxa"/>
            <w:tcBorders>
              <w:top w:val="nil"/>
              <w:left w:val="nil"/>
              <w:bottom w:val="single" w:color="auto" w:sz="4" w:space="0"/>
              <w:right w:val="single" w:color="auto" w:sz="4" w:space="0"/>
            </w:tcBorders>
            <w:noWrap w:val="0"/>
            <w:vAlign w:val="center"/>
          </w:tcPr>
          <w:p w14:paraId="7F50CC4A">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74" w:type="dxa"/>
            <w:tcBorders>
              <w:top w:val="nil"/>
              <w:left w:val="nil"/>
              <w:bottom w:val="single" w:color="auto" w:sz="4" w:space="0"/>
              <w:right w:val="single" w:color="auto" w:sz="4" w:space="0"/>
            </w:tcBorders>
            <w:noWrap w:val="0"/>
            <w:vAlign w:val="center"/>
          </w:tcPr>
          <w:p w14:paraId="76985CC6">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666" w:type="dxa"/>
            <w:tcBorders>
              <w:top w:val="nil"/>
              <w:left w:val="nil"/>
              <w:bottom w:val="single" w:color="auto" w:sz="4" w:space="0"/>
              <w:right w:val="single" w:color="auto" w:sz="4" w:space="0"/>
            </w:tcBorders>
            <w:noWrap w:val="0"/>
            <w:vAlign w:val="center"/>
          </w:tcPr>
          <w:p w14:paraId="28B6B3C5">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071" w:type="dxa"/>
            <w:tcBorders>
              <w:top w:val="nil"/>
              <w:left w:val="nil"/>
              <w:bottom w:val="single" w:color="auto" w:sz="4" w:space="0"/>
              <w:right w:val="single" w:color="auto" w:sz="4" w:space="0"/>
            </w:tcBorders>
            <w:noWrap w:val="0"/>
            <w:vAlign w:val="center"/>
          </w:tcPr>
          <w:p w14:paraId="423964FC">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5305811D">
        <w:tblPrEx>
          <w:tblCellMar>
            <w:top w:w="0" w:type="dxa"/>
            <w:left w:w="108" w:type="dxa"/>
            <w:bottom w:w="0" w:type="dxa"/>
            <w:right w:w="108" w:type="dxa"/>
          </w:tblCellMar>
        </w:tblPrEx>
        <w:trPr>
          <w:trHeight w:val="340"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6B5ABB65">
            <w:pPr>
              <w:widowControl/>
              <w:shd w:val="clear" w:color="auto" w:fill="auto"/>
              <w:jc w:val="left"/>
              <w:rPr>
                <w:rFonts w:hint="eastAsia" w:ascii="宋体" w:hAnsi="宋体" w:eastAsia="宋体" w:cs="宋体"/>
                <w:b/>
                <w:bCs/>
                <w:color w:val="auto"/>
                <w:kern w:val="0"/>
                <w:sz w:val="18"/>
                <w:szCs w:val="18"/>
                <w:highlight w:val="none"/>
              </w:rPr>
            </w:pPr>
          </w:p>
        </w:tc>
        <w:tc>
          <w:tcPr>
            <w:tcW w:w="1601" w:type="dxa"/>
            <w:tcBorders>
              <w:top w:val="nil"/>
              <w:left w:val="nil"/>
              <w:bottom w:val="single" w:color="auto" w:sz="4" w:space="0"/>
              <w:right w:val="single" w:color="auto" w:sz="4" w:space="0"/>
            </w:tcBorders>
            <w:noWrap w:val="0"/>
            <w:vAlign w:val="center"/>
          </w:tcPr>
          <w:p w14:paraId="722D49FE">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057" w:type="dxa"/>
            <w:tcBorders>
              <w:top w:val="nil"/>
              <w:left w:val="nil"/>
              <w:bottom w:val="single" w:color="auto" w:sz="4" w:space="0"/>
              <w:right w:val="single" w:color="auto" w:sz="4" w:space="0"/>
            </w:tcBorders>
            <w:noWrap w:val="0"/>
            <w:vAlign w:val="center"/>
          </w:tcPr>
          <w:p w14:paraId="08DEE293">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74" w:type="dxa"/>
            <w:tcBorders>
              <w:top w:val="nil"/>
              <w:left w:val="nil"/>
              <w:bottom w:val="single" w:color="auto" w:sz="4" w:space="0"/>
              <w:right w:val="single" w:color="auto" w:sz="4" w:space="0"/>
            </w:tcBorders>
            <w:noWrap w:val="0"/>
            <w:vAlign w:val="center"/>
          </w:tcPr>
          <w:p w14:paraId="6080D92C">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666" w:type="dxa"/>
            <w:tcBorders>
              <w:top w:val="nil"/>
              <w:left w:val="nil"/>
              <w:bottom w:val="single" w:color="auto" w:sz="4" w:space="0"/>
              <w:right w:val="single" w:color="auto" w:sz="4" w:space="0"/>
            </w:tcBorders>
            <w:noWrap w:val="0"/>
            <w:vAlign w:val="center"/>
          </w:tcPr>
          <w:p w14:paraId="74210A0C">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1071" w:type="dxa"/>
            <w:tcBorders>
              <w:top w:val="nil"/>
              <w:left w:val="nil"/>
              <w:bottom w:val="single" w:color="auto" w:sz="4" w:space="0"/>
              <w:right w:val="single" w:color="auto" w:sz="4" w:space="0"/>
            </w:tcBorders>
            <w:noWrap w:val="0"/>
            <w:vAlign w:val="center"/>
          </w:tcPr>
          <w:p w14:paraId="08077D72">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2CAE8BDB">
        <w:tblPrEx>
          <w:tblCellMar>
            <w:top w:w="0" w:type="dxa"/>
            <w:left w:w="108" w:type="dxa"/>
            <w:bottom w:w="0" w:type="dxa"/>
            <w:right w:w="108" w:type="dxa"/>
          </w:tblCellMar>
        </w:tblPrEx>
        <w:trPr>
          <w:trHeight w:val="340"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327674CA">
            <w:pPr>
              <w:widowControl/>
              <w:shd w:val="clear" w:color="auto" w:fill="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信息传输业</w:t>
            </w:r>
          </w:p>
        </w:tc>
        <w:tc>
          <w:tcPr>
            <w:tcW w:w="1601" w:type="dxa"/>
            <w:tcBorders>
              <w:top w:val="nil"/>
              <w:left w:val="nil"/>
              <w:bottom w:val="single" w:color="auto" w:sz="4" w:space="0"/>
              <w:right w:val="single" w:color="auto" w:sz="4" w:space="0"/>
            </w:tcBorders>
            <w:noWrap w:val="0"/>
            <w:vAlign w:val="center"/>
          </w:tcPr>
          <w:p w14:paraId="52EBA1A2">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057" w:type="dxa"/>
            <w:tcBorders>
              <w:top w:val="nil"/>
              <w:left w:val="nil"/>
              <w:bottom w:val="single" w:color="auto" w:sz="4" w:space="0"/>
              <w:right w:val="single" w:color="auto" w:sz="4" w:space="0"/>
            </w:tcBorders>
            <w:noWrap w:val="0"/>
            <w:vAlign w:val="center"/>
          </w:tcPr>
          <w:p w14:paraId="52A2852F">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74" w:type="dxa"/>
            <w:tcBorders>
              <w:top w:val="nil"/>
              <w:left w:val="nil"/>
              <w:bottom w:val="single" w:color="auto" w:sz="4" w:space="0"/>
              <w:right w:val="single" w:color="auto" w:sz="4" w:space="0"/>
            </w:tcBorders>
            <w:noWrap w:val="0"/>
            <w:vAlign w:val="center"/>
          </w:tcPr>
          <w:p w14:paraId="4C9A0044">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100≤X＜2000</w:t>
            </w:r>
          </w:p>
        </w:tc>
        <w:tc>
          <w:tcPr>
            <w:tcW w:w="1666" w:type="dxa"/>
            <w:tcBorders>
              <w:top w:val="nil"/>
              <w:left w:val="nil"/>
              <w:bottom w:val="single" w:color="auto" w:sz="4" w:space="0"/>
              <w:right w:val="single" w:color="auto" w:sz="4" w:space="0"/>
            </w:tcBorders>
            <w:noWrap w:val="0"/>
            <w:vAlign w:val="center"/>
          </w:tcPr>
          <w:p w14:paraId="27A61335">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071" w:type="dxa"/>
            <w:tcBorders>
              <w:top w:val="nil"/>
              <w:left w:val="nil"/>
              <w:bottom w:val="single" w:color="auto" w:sz="4" w:space="0"/>
              <w:right w:val="single" w:color="auto" w:sz="4" w:space="0"/>
            </w:tcBorders>
            <w:noWrap w:val="0"/>
            <w:vAlign w:val="center"/>
          </w:tcPr>
          <w:p w14:paraId="08B32DCD">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53B2A672">
        <w:tblPrEx>
          <w:tblCellMar>
            <w:top w:w="0" w:type="dxa"/>
            <w:left w:w="108" w:type="dxa"/>
            <w:bottom w:w="0" w:type="dxa"/>
            <w:right w:w="108" w:type="dxa"/>
          </w:tblCellMar>
        </w:tblPrEx>
        <w:trPr>
          <w:trHeight w:val="340"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26F4D2BD">
            <w:pPr>
              <w:widowControl/>
              <w:shd w:val="clear" w:color="auto" w:fill="auto"/>
              <w:jc w:val="left"/>
              <w:rPr>
                <w:rFonts w:hint="eastAsia" w:ascii="宋体" w:hAnsi="宋体" w:eastAsia="宋体" w:cs="宋体"/>
                <w:b/>
                <w:bCs/>
                <w:color w:val="auto"/>
                <w:kern w:val="0"/>
                <w:sz w:val="18"/>
                <w:szCs w:val="18"/>
                <w:highlight w:val="none"/>
              </w:rPr>
            </w:pPr>
          </w:p>
        </w:tc>
        <w:tc>
          <w:tcPr>
            <w:tcW w:w="1601" w:type="dxa"/>
            <w:tcBorders>
              <w:top w:val="nil"/>
              <w:left w:val="nil"/>
              <w:bottom w:val="single" w:color="auto" w:sz="4" w:space="0"/>
              <w:right w:val="single" w:color="auto" w:sz="4" w:space="0"/>
            </w:tcBorders>
            <w:noWrap w:val="0"/>
            <w:vAlign w:val="center"/>
          </w:tcPr>
          <w:p w14:paraId="247B08C5">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057" w:type="dxa"/>
            <w:tcBorders>
              <w:top w:val="nil"/>
              <w:left w:val="nil"/>
              <w:bottom w:val="single" w:color="auto" w:sz="4" w:space="0"/>
              <w:right w:val="single" w:color="auto" w:sz="4" w:space="0"/>
            </w:tcBorders>
            <w:noWrap w:val="0"/>
            <w:vAlign w:val="center"/>
          </w:tcPr>
          <w:p w14:paraId="2BFD3CDF">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74" w:type="dxa"/>
            <w:tcBorders>
              <w:top w:val="nil"/>
              <w:left w:val="nil"/>
              <w:bottom w:val="single" w:color="auto" w:sz="4" w:space="0"/>
              <w:right w:val="single" w:color="auto" w:sz="4" w:space="0"/>
            </w:tcBorders>
            <w:noWrap w:val="0"/>
            <w:vAlign w:val="center"/>
          </w:tcPr>
          <w:p w14:paraId="686CD49C">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1000≤Y＜100000</w:t>
            </w:r>
          </w:p>
        </w:tc>
        <w:tc>
          <w:tcPr>
            <w:tcW w:w="1666" w:type="dxa"/>
            <w:tcBorders>
              <w:top w:val="nil"/>
              <w:left w:val="nil"/>
              <w:bottom w:val="single" w:color="auto" w:sz="4" w:space="0"/>
              <w:right w:val="single" w:color="auto" w:sz="4" w:space="0"/>
            </w:tcBorders>
            <w:noWrap w:val="0"/>
            <w:vAlign w:val="center"/>
          </w:tcPr>
          <w:p w14:paraId="226748CF">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1071" w:type="dxa"/>
            <w:tcBorders>
              <w:top w:val="nil"/>
              <w:left w:val="nil"/>
              <w:bottom w:val="single" w:color="auto" w:sz="4" w:space="0"/>
              <w:right w:val="single" w:color="auto" w:sz="4" w:space="0"/>
            </w:tcBorders>
            <w:noWrap w:val="0"/>
            <w:vAlign w:val="center"/>
          </w:tcPr>
          <w:p w14:paraId="5DC8CF20">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2E52FAD6">
        <w:tblPrEx>
          <w:tblCellMar>
            <w:top w:w="0" w:type="dxa"/>
            <w:left w:w="108" w:type="dxa"/>
            <w:bottom w:w="0" w:type="dxa"/>
            <w:right w:w="108" w:type="dxa"/>
          </w:tblCellMar>
        </w:tblPrEx>
        <w:trPr>
          <w:trHeight w:val="340"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68CE55DD">
            <w:pPr>
              <w:widowControl/>
              <w:shd w:val="clear" w:color="auto" w:fill="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软件和信息技术服务业</w:t>
            </w:r>
          </w:p>
        </w:tc>
        <w:tc>
          <w:tcPr>
            <w:tcW w:w="1601" w:type="dxa"/>
            <w:tcBorders>
              <w:top w:val="nil"/>
              <w:left w:val="nil"/>
              <w:bottom w:val="single" w:color="auto" w:sz="4" w:space="0"/>
              <w:right w:val="single" w:color="auto" w:sz="4" w:space="0"/>
            </w:tcBorders>
            <w:noWrap w:val="0"/>
            <w:vAlign w:val="center"/>
          </w:tcPr>
          <w:p w14:paraId="5AB22934">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057" w:type="dxa"/>
            <w:tcBorders>
              <w:top w:val="nil"/>
              <w:left w:val="nil"/>
              <w:bottom w:val="single" w:color="auto" w:sz="4" w:space="0"/>
              <w:right w:val="single" w:color="auto" w:sz="4" w:space="0"/>
            </w:tcBorders>
            <w:noWrap w:val="0"/>
            <w:vAlign w:val="center"/>
          </w:tcPr>
          <w:p w14:paraId="31A073CE">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74" w:type="dxa"/>
            <w:tcBorders>
              <w:top w:val="nil"/>
              <w:left w:val="nil"/>
              <w:bottom w:val="single" w:color="auto" w:sz="4" w:space="0"/>
              <w:right w:val="single" w:color="auto" w:sz="4" w:space="0"/>
            </w:tcBorders>
            <w:noWrap w:val="0"/>
            <w:vAlign w:val="center"/>
          </w:tcPr>
          <w:p w14:paraId="1F82499F">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666" w:type="dxa"/>
            <w:tcBorders>
              <w:top w:val="nil"/>
              <w:left w:val="nil"/>
              <w:bottom w:val="single" w:color="auto" w:sz="4" w:space="0"/>
              <w:right w:val="single" w:color="auto" w:sz="4" w:space="0"/>
            </w:tcBorders>
            <w:noWrap w:val="0"/>
            <w:vAlign w:val="center"/>
          </w:tcPr>
          <w:p w14:paraId="4A40BE81">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071" w:type="dxa"/>
            <w:tcBorders>
              <w:top w:val="nil"/>
              <w:left w:val="nil"/>
              <w:bottom w:val="single" w:color="auto" w:sz="4" w:space="0"/>
              <w:right w:val="single" w:color="auto" w:sz="4" w:space="0"/>
            </w:tcBorders>
            <w:noWrap w:val="0"/>
            <w:vAlign w:val="center"/>
          </w:tcPr>
          <w:p w14:paraId="7B87E2E0">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19D04FAD">
        <w:tblPrEx>
          <w:tblCellMar>
            <w:top w:w="0" w:type="dxa"/>
            <w:left w:w="108" w:type="dxa"/>
            <w:bottom w:w="0" w:type="dxa"/>
            <w:right w:w="108" w:type="dxa"/>
          </w:tblCellMar>
        </w:tblPrEx>
        <w:trPr>
          <w:trHeight w:val="340"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056A58C1">
            <w:pPr>
              <w:widowControl/>
              <w:shd w:val="clear" w:color="auto" w:fill="auto"/>
              <w:jc w:val="left"/>
              <w:rPr>
                <w:rFonts w:hint="eastAsia" w:ascii="宋体" w:hAnsi="宋体" w:eastAsia="宋体" w:cs="宋体"/>
                <w:b/>
                <w:bCs/>
                <w:color w:val="auto"/>
                <w:kern w:val="0"/>
                <w:sz w:val="18"/>
                <w:szCs w:val="18"/>
                <w:highlight w:val="none"/>
              </w:rPr>
            </w:pPr>
          </w:p>
        </w:tc>
        <w:tc>
          <w:tcPr>
            <w:tcW w:w="1601" w:type="dxa"/>
            <w:tcBorders>
              <w:top w:val="nil"/>
              <w:left w:val="nil"/>
              <w:bottom w:val="single" w:color="auto" w:sz="4" w:space="0"/>
              <w:right w:val="single" w:color="auto" w:sz="4" w:space="0"/>
            </w:tcBorders>
            <w:noWrap w:val="0"/>
            <w:vAlign w:val="center"/>
          </w:tcPr>
          <w:p w14:paraId="2414A1D1">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057" w:type="dxa"/>
            <w:tcBorders>
              <w:top w:val="nil"/>
              <w:left w:val="nil"/>
              <w:bottom w:val="single" w:color="auto" w:sz="4" w:space="0"/>
              <w:right w:val="single" w:color="auto" w:sz="4" w:space="0"/>
            </w:tcBorders>
            <w:noWrap w:val="0"/>
            <w:vAlign w:val="center"/>
          </w:tcPr>
          <w:p w14:paraId="380F1B3E">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74" w:type="dxa"/>
            <w:tcBorders>
              <w:top w:val="nil"/>
              <w:left w:val="nil"/>
              <w:bottom w:val="single" w:color="auto" w:sz="4" w:space="0"/>
              <w:right w:val="single" w:color="auto" w:sz="4" w:space="0"/>
            </w:tcBorders>
            <w:noWrap w:val="0"/>
            <w:vAlign w:val="center"/>
          </w:tcPr>
          <w:p w14:paraId="6E60DD03">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w:t>
            </w:r>
          </w:p>
        </w:tc>
        <w:tc>
          <w:tcPr>
            <w:tcW w:w="1666" w:type="dxa"/>
            <w:tcBorders>
              <w:top w:val="nil"/>
              <w:left w:val="nil"/>
              <w:bottom w:val="single" w:color="auto" w:sz="4" w:space="0"/>
              <w:right w:val="single" w:color="auto" w:sz="4" w:space="0"/>
            </w:tcBorders>
            <w:noWrap w:val="0"/>
            <w:vAlign w:val="center"/>
          </w:tcPr>
          <w:p w14:paraId="6AEF9E74">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50≤Y＜1000</w:t>
            </w:r>
          </w:p>
        </w:tc>
        <w:tc>
          <w:tcPr>
            <w:tcW w:w="1071" w:type="dxa"/>
            <w:tcBorders>
              <w:top w:val="nil"/>
              <w:left w:val="nil"/>
              <w:bottom w:val="single" w:color="auto" w:sz="4" w:space="0"/>
              <w:right w:val="single" w:color="auto" w:sz="4" w:space="0"/>
            </w:tcBorders>
            <w:noWrap w:val="0"/>
            <w:vAlign w:val="center"/>
          </w:tcPr>
          <w:p w14:paraId="770FAC8F">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19375488">
        <w:tblPrEx>
          <w:tblCellMar>
            <w:top w:w="0" w:type="dxa"/>
            <w:left w:w="108" w:type="dxa"/>
            <w:bottom w:w="0" w:type="dxa"/>
            <w:right w:w="108" w:type="dxa"/>
          </w:tblCellMar>
        </w:tblPrEx>
        <w:trPr>
          <w:trHeight w:val="340"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514F4C46">
            <w:pPr>
              <w:widowControl/>
              <w:shd w:val="clear" w:color="auto" w:fill="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房地产开发经营</w:t>
            </w:r>
          </w:p>
        </w:tc>
        <w:tc>
          <w:tcPr>
            <w:tcW w:w="1601" w:type="dxa"/>
            <w:tcBorders>
              <w:top w:val="nil"/>
              <w:left w:val="nil"/>
              <w:bottom w:val="single" w:color="auto" w:sz="4" w:space="0"/>
              <w:right w:val="single" w:color="auto" w:sz="4" w:space="0"/>
            </w:tcBorders>
            <w:noWrap w:val="0"/>
            <w:vAlign w:val="center"/>
          </w:tcPr>
          <w:p w14:paraId="36313590">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057" w:type="dxa"/>
            <w:tcBorders>
              <w:top w:val="nil"/>
              <w:left w:val="nil"/>
              <w:bottom w:val="single" w:color="auto" w:sz="4" w:space="0"/>
              <w:right w:val="single" w:color="auto" w:sz="4" w:space="0"/>
            </w:tcBorders>
            <w:noWrap w:val="0"/>
            <w:vAlign w:val="center"/>
          </w:tcPr>
          <w:p w14:paraId="39A5A6DC">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74" w:type="dxa"/>
            <w:tcBorders>
              <w:top w:val="nil"/>
              <w:left w:val="nil"/>
              <w:bottom w:val="single" w:color="auto" w:sz="4" w:space="0"/>
              <w:right w:val="single" w:color="auto" w:sz="4" w:space="0"/>
            </w:tcBorders>
            <w:noWrap w:val="0"/>
            <w:vAlign w:val="center"/>
          </w:tcPr>
          <w:p w14:paraId="36650C3B">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1000≤Y＜200000</w:t>
            </w:r>
          </w:p>
        </w:tc>
        <w:tc>
          <w:tcPr>
            <w:tcW w:w="1666" w:type="dxa"/>
            <w:tcBorders>
              <w:top w:val="nil"/>
              <w:left w:val="nil"/>
              <w:bottom w:val="single" w:color="auto" w:sz="4" w:space="0"/>
              <w:right w:val="single" w:color="auto" w:sz="4" w:space="0"/>
            </w:tcBorders>
            <w:noWrap w:val="0"/>
            <w:vAlign w:val="center"/>
          </w:tcPr>
          <w:p w14:paraId="57677FDF">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100≤X＜1000</w:t>
            </w:r>
          </w:p>
        </w:tc>
        <w:tc>
          <w:tcPr>
            <w:tcW w:w="1071" w:type="dxa"/>
            <w:tcBorders>
              <w:top w:val="nil"/>
              <w:left w:val="nil"/>
              <w:bottom w:val="single" w:color="auto" w:sz="4" w:space="0"/>
              <w:right w:val="single" w:color="auto" w:sz="4" w:space="0"/>
            </w:tcBorders>
            <w:noWrap w:val="0"/>
            <w:vAlign w:val="center"/>
          </w:tcPr>
          <w:p w14:paraId="2DD2C9DA">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079A6A23">
        <w:tblPrEx>
          <w:tblCellMar>
            <w:top w:w="0" w:type="dxa"/>
            <w:left w:w="108" w:type="dxa"/>
            <w:bottom w:w="0" w:type="dxa"/>
            <w:right w:w="108" w:type="dxa"/>
          </w:tblCellMar>
        </w:tblPrEx>
        <w:trPr>
          <w:trHeight w:val="340"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56EAE03C">
            <w:pPr>
              <w:widowControl/>
              <w:shd w:val="clear" w:color="auto" w:fill="auto"/>
              <w:jc w:val="left"/>
              <w:rPr>
                <w:rFonts w:hint="eastAsia" w:ascii="宋体" w:hAnsi="宋体" w:eastAsia="宋体" w:cs="宋体"/>
                <w:b/>
                <w:bCs/>
                <w:color w:val="auto"/>
                <w:kern w:val="0"/>
                <w:sz w:val="18"/>
                <w:szCs w:val="18"/>
                <w:highlight w:val="none"/>
              </w:rPr>
            </w:pPr>
          </w:p>
        </w:tc>
        <w:tc>
          <w:tcPr>
            <w:tcW w:w="1601" w:type="dxa"/>
            <w:tcBorders>
              <w:top w:val="nil"/>
              <w:left w:val="nil"/>
              <w:bottom w:val="single" w:color="auto" w:sz="4" w:space="0"/>
              <w:right w:val="single" w:color="auto" w:sz="4" w:space="0"/>
            </w:tcBorders>
            <w:noWrap w:val="0"/>
            <w:vAlign w:val="center"/>
          </w:tcPr>
          <w:p w14:paraId="65E1D799">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1057" w:type="dxa"/>
            <w:tcBorders>
              <w:top w:val="nil"/>
              <w:left w:val="nil"/>
              <w:bottom w:val="single" w:color="auto" w:sz="4" w:space="0"/>
              <w:right w:val="single" w:color="auto" w:sz="4" w:space="0"/>
            </w:tcBorders>
            <w:noWrap w:val="0"/>
            <w:vAlign w:val="center"/>
          </w:tcPr>
          <w:p w14:paraId="03C1A6A4">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74" w:type="dxa"/>
            <w:tcBorders>
              <w:top w:val="nil"/>
              <w:left w:val="nil"/>
              <w:bottom w:val="single" w:color="auto" w:sz="4" w:space="0"/>
              <w:right w:val="single" w:color="auto" w:sz="4" w:space="0"/>
            </w:tcBorders>
            <w:noWrap w:val="0"/>
            <w:vAlign w:val="center"/>
          </w:tcPr>
          <w:p w14:paraId="4206159D">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5000≤Z＜10000</w:t>
            </w:r>
          </w:p>
        </w:tc>
        <w:tc>
          <w:tcPr>
            <w:tcW w:w="1666" w:type="dxa"/>
            <w:tcBorders>
              <w:top w:val="nil"/>
              <w:left w:val="nil"/>
              <w:bottom w:val="single" w:color="auto" w:sz="4" w:space="0"/>
              <w:right w:val="single" w:color="auto" w:sz="4" w:space="0"/>
            </w:tcBorders>
            <w:noWrap w:val="0"/>
            <w:vAlign w:val="center"/>
          </w:tcPr>
          <w:p w14:paraId="5310EC65">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2000≤Y＜5000</w:t>
            </w:r>
          </w:p>
        </w:tc>
        <w:tc>
          <w:tcPr>
            <w:tcW w:w="1071" w:type="dxa"/>
            <w:tcBorders>
              <w:top w:val="nil"/>
              <w:left w:val="nil"/>
              <w:bottom w:val="single" w:color="auto" w:sz="4" w:space="0"/>
              <w:right w:val="single" w:color="auto" w:sz="4" w:space="0"/>
            </w:tcBorders>
            <w:noWrap w:val="0"/>
            <w:vAlign w:val="center"/>
          </w:tcPr>
          <w:p w14:paraId="0DF9E9BC">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w:t>
            </w:r>
          </w:p>
        </w:tc>
      </w:tr>
      <w:tr w14:paraId="307490A7">
        <w:tblPrEx>
          <w:tblCellMar>
            <w:top w:w="0" w:type="dxa"/>
            <w:left w:w="108" w:type="dxa"/>
            <w:bottom w:w="0" w:type="dxa"/>
            <w:right w:w="108" w:type="dxa"/>
          </w:tblCellMar>
        </w:tblPrEx>
        <w:trPr>
          <w:trHeight w:val="340"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41020692">
            <w:pPr>
              <w:widowControl/>
              <w:shd w:val="clear" w:color="auto" w:fill="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物业管理</w:t>
            </w:r>
          </w:p>
        </w:tc>
        <w:tc>
          <w:tcPr>
            <w:tcW w:w="1601" w:type="dxa"/>
            <w:tcBorders>
              <w:top w:val="nil"/>
              <w:left w:val="nil"/>
              <w:bottom w:val="single" w:color="auto" w:sz="4" w:space="0"/>
              <w:right w:val="single" w:color="auto" w:sz="4" w:space="0"/>
            </w:tcBorders>
            <w:noWrap w:val="0"/>
            <w:vAlign w:val="center"/>
          </w:tcPr>
          <w:p w14:paraId="6F6F275D">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057" w:type="dxa"/>
            <w:tcBorders>
              <w:top w:val="nil"/>
              <w:left w:val="nil"/>
              <w:bottom w:val="single" w:color="auto" w:sz="4" w:space="0"/>
              <w:right w:val="single" w:color="auto" w:sz="4" w:space="0"/>
            </w:tcBorders>
            <w:noWrap w:val="0"/>
            <w:vAlign w:val="center"/>
          </w:tcPr>
          <w:p w14:paraId="27058700">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74" w:type="dxa"/>
            <w:tcBorders>
              <w:top w:val="nil"/>
              <w:left w:val="nil"/>
              <w:bottom w:val="single" w:color="auto" w:sz="4" w:space="0"/>
              <w:right w:val="single" w:color="auto" w:sz="4" w:space="0"/>
            </w:tcBorders>
            <w:noWrap w:val="0"/>
            <w:vAlign w:val="center"/>
          </w:tcPr>
          <w:p w14:paraId="6E293B2C">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666" w:type="dxa"/>
            <w:tcBorders>
              <w:top w:val="nil"/>
              <w:left w:val="nil"/>
              <w:bottom w:val="single" w:color="auto" w:sz="4" w:space="0"/>
              <w:right w:val="single" w:color="auto" w:sz="4" w:space="0"/>
            </w:tcBorders>
            <w:noWrap w:val="0"/>
            <w:vAlign w:val="center"/>
          </w:tcPr>
          <w:p w14:paraId="6947E9E2">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071" w:type="dxa"/>
            <w:tcBorders>
              <w:top w:val="nil"/>
              <w:left w:val="nil"/>
              <w:bottom w:val="single" w:color="auto" w:sz="4" w:space="0"/>
              <w:right w:val="single" w:color="auto" w:sz="4" w:space="0"/>
            </w:tcBorders>
            <w:noWrap w:val="0"/>
            <w:vAlign w:val="center"/>
          </w:tcPr>
          <w:p w14:paraId="15C8AD49">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5F079E20">
        <w:tblPrEx>
          <w:tblCellMar>
            <w:top w:w="0" w:type="dxa"/>
            <w:left w:w="108" w:type="dxa"/>
            <w:bottom w:w="0" w:type="dxa"/>
            <w:right w:w="108" w:type="dxa"/>
          </w:tblCellMar>
        </w:tblPrEx>
        <w:trPr>
          <w:trHeight w:val="340"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3E9527EC">
            <w:pPr>
              <w:widowControl/>
              <w:shd w:val="clear" w:color="auto" w:fill="auto"/>
              <w:jc w:val="left"/>
              <w:rPr>
                <w:rFonts w:hint="eastAsia" w:ascii="宋体" w:hAnsi="宋体" w:eastAsia="宋体" w:cs="宋体"/>
                <w:b/>
                <w:bCs/>
                <w:color w:val="auto"/>
                <w:kern w:val="0"/>
                <w:sz w:val="18"/>
                <w:szCs w:val="18"/>
                <w:highlight w:val="none"/>
              </w:rPr>
            </w:pPr>
          </w:p>
        </w:tc>
        <w:tc>
          <w:tcPr>
            <w:tcW w:w="1601" w:type="dxa"/>
            <w:tcBorders>
              <w:top w:val="nil"/>
              <w:left w:val="nil"/>
              <w:bottom w:val="single" w:color="auto" w:sz="4" w:space="0"/>
              <w:right w:val="single" w:color="auto" w:sz="4" w:space="0"/>
            </w:tcBorders>
            <w:noWrap w:val="0"/>
            <w:vAlign w:val="center"/>
          </w:tcPr>
          <w:p w14:paraId="3FD06DEA">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057" w:type="dxa"/>
            <w:tcBorders>
              <w:top w:val="nil"/>
              <w:left w:val="nil"/>
              <w:bottom w:val="single" w:color="auto" w:sz="4" w:space="0"/>
              <w:right w:val="single" w:color="auto" w:sz="4" w:space="0"/>
            </w:tcBorders>
            <w:noWrap w:val="0"/>
            <w:vAlign w:val="center"/>
          </w:tcPr>
          <w:p w14:paraId="28214D0B">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74" w:type="dxa"/>
            <w:tcBorders>
              <w:top w:val="nil"/>
              <w:left w:val="nil"/>
              <w:bottom w:val="single" w:color="auto" w:sz="4" w:space="0"/>
              <w:right w:val="single" w:color="auto" w:sz="4" w:space="0"/>
            </w:tcBorders>
            <w:noWrap w:val="0"/>
            <w:vAlign w:val="center"/>
          </w:tcPr>
          <w:p w14:paraId="0837A8A5">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666" w:type="dxa"/>
            <w:tcBorders>
              <w:top w:val="nil"/>
              <w:left w:val="nil"/>
              <w:bottom w:val="single" w:color="auto" w:sz="4" w:space="0"/>
              <w:right w:val="single" w:color="auto" w:sz="4" w:space="0"/>
            </w:tcBorders>
            <w:noWrap w:val="0"/>
            <w:vAlign w:val="center"/>
          </w:tcPr>
          <w:p w14:paraId="65A9C32D">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500≤Y＜1000</w:t>
            </w:r>
          </w:p>
        </w:tc>
        <w:tc>
          <w:tcPr>
            <w:tcW w:w="1071" w:type="dxa"/>
            <w:tcBorders>
              <w:top w:val="nil"/>
              <w:left w:val="nil"/>
              <w:bottom w:val="single" w:color="auto" w:sz="4" w:space="0"/>
              <w:right w:val="single" w:color="auto" w:sz="4" w:space="0"/>
            </w:tcBorders>
            <w:noWrap w:val="0"/>
            <w:vAlign w:val="center"/>
          </w:tcPr>
          <w:p w14:paraId="6BDA3E38">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w:t>
            </w:r>
          </w:p>
        </w:tc>
      </w:tr>
      <w:tr w14:paraId="0F37045D">
        <w:tblPrEx>
          <w:tblCellMar>
            <w:top w:w="0" w:type="dxa"/>
            <w:left w:w="108" w:type="dxa"/>
            <w:bottom w:w="0" w:type="dxa"/>
            <w:right w:w="108" w:type="dxa"/>
          </w:tblCellMar>
        </w:tblPrEx>
        <w:trPr>
          <w:trHeight w:val="340"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3387751D">
            <w:pPr>
              <w:widowControl/>
              <w:shd w:val="clear" w:color="auto" w:fill="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租赁和商务服务业</w:t>
            </w:r>
          </w:p>
        </w:tc>
        <w:tc>
          <w:tcPr>
            <w:tcW w:w="1601" w:type="dxa"/>
            <w:tcBorders>
              <w:top w:val="nil"/>
              <w:left w:val="nil"/>
              <w:bottom w:val="single" w:color="auto" w:sz="4" w:space="0"/>
              <w:right w:val="single" w:color="auto" w:sz="4" w:space="0"/>
            </w:tcBorders>
            <w:noWrap w:val="0"/>
            <w:vAlign w:val="center"/>
          </w:tcPr>
          <w:p w14:paraId="1C03B1E6">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057" w:type="dxa"/>
            <w:tcBorders>
              <w:top w:val="nil"/>
              <w:left w:val="nil"/>
              <w:bottom w:val="single" w:color="auto" w:sz="4" w:space="0"/>
              <w:right w:val="single" w:color="auto" w:sz="4" w:space="0"/>
            </w:tcBorders>
            <w:noWrap w:val="0"/>
            <w:vAlign w:val="center"/>
          </w:tcPr>
          <w:p w14:paraId="16E38509">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74" w:type="dxa"/>
            <w:tcBorders>
              <w:top w:val="nil"/>
              <w:left w:val="nil"/>
              <w:bottom w:val="single" w:color="auto" w:sz="4" w:space="0"/>
              <w:right w:val="single" w:color="auto" w:sz="4" w:space="0"/>
            </w:tcBorders>
            <w:noWrap w:val="0"/>
            <w:vAlign w:val="center"/>
          </w:tcPr>
          <w:p w14:paraId="7BDB4D10">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666" w:type="dxa"/>
            <w:tcBorders>
              <w:top w:val="nil"/>
              <w:left w:val="nil"/>
              <w:bottom w:val="single" w:color="auto" w:sz="4" w:space="0"/>
              <w:right w:val="single" w:color="auto" w:sz="4" w:space="0"/>
            </w:tcBorders>
            <w:noWrap w:val="0"/>
            <w:vAlign w:val="center"/>
          </w:tcPr>
          <w:p w14:paraId="2B5F97F7">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071" w:type="dxa"/>
            <w:tcBorders>
              <w:top w:val="nil"/>
              <w:left w:val="nil"/>
              <w:bottom w:val="single" w:color="auto" w:sz="4" w:space="0"/>
              <w:right w:val="single" w:color="auto" w:sz="4" w:space="0"/>
            </w:tcBorders>
            <w:noWrap w:val="0"/>
            <w:vAlign w:val="center"/>
          </w:tcPr>
          <w:p w14:paraId="3D167998">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3BE9572E">
        <w:tblPrEx>
          <w:tblCellMar>
            <w:top w:w="0" w:type="dxa"/>
            <w:left w:w="108" w:type="dxa"/>
            <w:bottom w:w="0" w:type="dxa"/>
            <w:right w:w="108" w:type="dxa"/>
          </w:tblCellMar>
        </w:tblPrEx>
        <w:trPr>
          <w:trHeight w:val="340"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1E08AA84">
            <w:pPr>
              <w:widowControl/>
              <w:shd w:val="clear" w:color="auto" w:fill="auto"/>
              <w:jc w:val="left"/>
              <w:rPr>
                <w:rFonts w:hint="eastAsia" w:ascii="宋体" w:hAnsi="宋体" w:eastAsia="宋体" w:cs="宋体"/>
                <w:b/>
                <w:bCs/>
                <w:color w:val="auto"/>
                <w:kern w:val="0"/>
                <w:sz w:val="18"/>
                <w:szCs w:val="18"/>
                <w:highlight w:val="none"/>
              </w:rPr>
            </w:pPr>
          </w:p>
        </w:tc>
        <w:tc>
          <w:tcPr>
            <w:tcW w:w="1601" w:type="dxa"/>
            <w:tcBorders>
              <w:top w:val="nil"/>
              <w:left w:val="nil"/>
              <w:bottom w:val="single" w:color="auto" w:sz="4" w:space="0"/>
              <w:right w:val="single" w:color="auto" w:sz="4" w:space="0"/>
            </w:tcBorders>
            <w:noWrap w:val="0"/>
            <w:vAlign w:val="center"/>
          </w:tcPr>
          <w:p w14:paraId="3C7EB00A">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1057" w:type="dxa"/>
            <w:tcBorders>
              <w:top w:val="nil"/>
              <w:left w:val="nil"/>
              <w:bottom w:val="single" w:color="auto" w:sz="4" w:space="0"/>
              <w:right w:val="single" w:color="auto" w:sz="4" w:space="0"/>
            </w:tcBorders>
            <w:noWrap w:val="0"/>
            <w:vAlign w:val="center"/>
          </w:tcPr>
          <w:p w14:paraId="4D3A9A02">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74" w:type="dxa"/>
            <w:tcBorders>
              <w:top w:val="nil"/>
              <w:left w:val="nil"/>
              <w:bottom w:val="single" w:color="auto" w:sz="4" w:space="0"/>
              <w:right w:val="single" w:color="auto" w:sz="4" w:space="0"/>
            </w:tcBorders>
            <w:noWrap w:val="0"/>
            <w:vAlign w:val="center"/>
          </w:tcPr>
          <w:p w14:paraId="5214333A">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8000≤Z＜120000</w:t>
            </w:r>
          </w:p>
        </w:tc>
        <w:tc>
          <w:tcPr>
            <w:tcW w:w="1666" w:type="dxa"/>
            <w:tcBorders>
              <w:top w:val="nil"/>
              <w:left w:val="nil"/>
              <w:bottom w:val="single" w:color="auto" w:sz="4" w:space="0"/>
              <w:right w:val="single" w:color="auto" w:sz="4" w:space="0"/>
            </w:tcBorders>
            <w:noWrap w:val="0"/>
            <w:vAlign w:val="center"/>
          </w:tcPr>
          <w:p w14:paraId="080AE20C">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100≤Z＜8000</w:t>
            </w:r>
          </w:p>
        </w:tc>
        <w:tc>
          <w:tcPr>
            <w:tcW w:w="1071" w:type="dxa"/>
            <w:tcBorders>
              <w:top w:val="nil"/>
              <w:left w:val="nil"/>
              <w:bottom w:val="single" w:color="auto" w:sz="4" w:space="0"/>
              <w:right w:val="single" w:color="auto" w:sz="4" w:space="0"/>
            </w:tcBorders>
            <w:noWrap w:val="0"/>
            <w:vAlign w:val="center"/>
          </w:tcPr>
          <w:p w14:paraId="68334A11">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C3CF022">
        <w:tblPrEx>
          <w:tblCellMar>
            <w:top w:w="0" w:type="dxa"/>
            <w:left w:w="108" w:type="dxa"/>
            <w:bottom w:w="0" w:type="dxa"/>
            <w:right w:w="108" w:type="dxa"/>
          </w:tblCellMar>
        </w:tblPrEx>
        <w:trPr>
          <w:trHeight w:val="350" w:hRule="atLeast"/>
        </w:trPr>
        <w:tc>
          <w:tcPr>
            <w:tcW w:w="1969" w:type="dxa"/>
            <w:tcBorders>
              <w:top w:val="nil"/>
              <w:left w:val="single" w:color="auto" w:sz="4" w:space="0"/>
              <w:bottom w:val="single" w:color="auto" w:sz="4" w:space="0"/>
              <w:right w:val="single" w:color="auto" w:sz="4" w:space="0"/>
            </w:tcBorders>
            <w:noWrap w:val="0"/>
            <w:vAlign w:val="bottom"/>
          </w:tcPr>
          <w:p w14:paraId="3C00D2E2">
            <w:pPr>
              <w:widowControl/>
              <w:shd w:val="clear" w:color="auto" w:fill="auto"/>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其他未列明行业</w:t>
            </w:r>
          </w:p>
        </w:tc>
        <w:tc>
          <w:tcPr>
            <w:tcW w:w="1601" w:type="dxa"/>
            <w:tcBorders>
              <w:top w:val="nil"/>
              <w:left w:val="nil"/>
              <w:bottom w:val="single" w:color="auto" w:sz="4" w:space="0"/>
              <w:right w:val="single" w:color="auto" w:sz="4" w:space="0"/>
            </w:tcBorders>
            <w:noWrap w:val="0"/>
            <w:vAlign w:val="center"/>
          </w:tcPr>
          <w:p w14:paraId="170AA721">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057" w:type="dxa"/>
            <w:tcBorders>
              <w:top w:val="nil"/>
              <w:left w:val="nil"/>
              <w:bottom w:val="single" w:color="auto" w:sz="4" w:space="0"/>
              <w:right w:val="single" w:color="auto" w:sz="4" w:space="0"/>
            </w:tcBorders>
            <w:noWrap w:val="0"/>
            <w:vAlign w:val="center"/>
          </w:tcPr>
          <w:p w14:paraId="1DADD0BC">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74" w:type="dxa"/>
            <w:tcBorders>
              <w:top w:val="nil"/>
              <w:left w:val="nil"/>
              <w:bottom w:val="single" w:color="auto" w:sz="4" w:space="0"/>
              <w:right w:val="single" w:color="auto" w:sz="4" w:space="0"/>
            </w:tcBorders>
            <w:noWrap w:val="0"/>
            <w:vAlign w:val="center"/>
          </w:tcPr>
          <w:p w14:paraId="1C9EF9A5">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666" w:type="dxa"/>
            <w:tcBorders>
              <w:top w:val="nil"/>
              <w:left w:val="nil"/>
              <w:bottom w:val="single" w:color="auto" w:sz="4" w:space="0"/>
              <w:right w:val="single" w:color="auto" w:sz="4" w:space="0"/>
            </w:tcBorders>
            <w:noWrap w:val="0"/>
            <w:vAlign w:val="center"/>
          </w:tcPr>
          <w:p w14:paraId="1CA19961">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071" w:type="dxa"/>
            <w:tcBorders>
              <w:top w:val="nil"/>
              <w:left w:val="nil"/>
              <w:bottom w:val="single" w:color="auto" w:sz="4" w:space="0"/>
              <w:right w:val="single" w:color="auto" w:sz="4" w:space="0"/>
            </w:tcBorders>
            <w:noWrap w:val="0"/>
            <w:vAlign w:val="center"/>
          </w:tcPr>
          <w:p w14:paraId="0FCCEB0B">
            <w:pPr>
              <w:widowControl/>
              <w:shd w:val="clear" w:color="auto" w:fill="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bl>
    <w:p w14:paraId="0B375799">
      <w:pPr>
        <w:shd w:val="clear" w:color="auto" w:fill="auto"/>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75E99B9">
      <w:pPr>
        <w:widowControl/>
        <w:shd w:val="clear" w:color="auto" w:fill="auto"/>
        <w:jc w:val="left"/>
        <w:rPr>
          <w:rFonts w:hint="eastAsia" w:ascii="宋体" w:hAnsi="宋体" w:eastAsia="宋体" w:cs="宋体"/>
          <w:color w:val="auto"/>
          <w:szCs w:val="20"/>
          <w:highlight w:val="none"/>
        </w:rPr>
        <w:sectPr>
          <w:pgSz w:w="11906" w:h="16838"/>
          <w:pgMar w:top="1134" w:right="1134" w:bottom="1134" w:left="1134" w:header="720" w:footer="720" w:gutter="0"/>
          <w:pgNumType w:fmt="decimal"/>
          <w:cols w:space="720" w:num="1"/>
          <w:docGrid w:type="lines" w:linePitch="331" w:charSpace="0"/>
        </w:sectPr>
      </w:pPr>
    </w:p>
    <w:p w14:paraId="4D2E2176">
      <w:pPr>
        <w:shd w:val="clear" w:color="auto" w:fill="auto"/>
        <w:spacing w:before="7"/>
        <w:rPr>
          <w:rFonts w:hint="eastAsia" w:ascii="宋体" w:hAnsi="宋体" w:eastAsia="宋体" w:cs="宋体"/>
          <w:color w:val="auto"/>
          <w:sz w:val="17"/>
          <w:szCs w:val="17"/>
          <w:highlight w:val="none"/>
        </w:rPr>
      </w:pPr>
    </w:p>
    <w:p w14:paraId="08F2E1AD">
      <w:pPr>
        <w:shd w:val="clear" w:color="auto" w:fill="auto"/>
        <w:spacing w:line="528" w:lineRule="exact"/>
        <w:ind w:left="1871"/>
        <w:rPr>
          <w:rFonts w:hint="eastAsia" w:ascii="宋体" w:hAnsi="宋体" w:eastAsia="宋体" w:cs="宋体"/>
          <w:color w:val="auto"/>
          <w:sz w:val="40"/>
          <w:szCs w:val="40"/>
          <w:highlight w:val="none"/>
        </w:rPr>
      </w:pPr>
    </w:p>
    <w:p w14:paraId="3258793F">
      <w:pPr>
        <w:shd w:val="clear" w:color="auto" w:fill="auto"/>
        <w:spacing w:line="528" w:lineRule="exact"/>
        <w:ind w:left="1871"/>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节能产品政府采购品目清单</w:t>
      </w:r>
    </w:p>
    <w:p w14:paraId="22DE0B37">
      <w:pPr>
        <w:shd w:val="clear" w:color="auto" w:fill="auto"/>
        <w:spacing w:line="528" w:lineRule="exact"/>
        <w:ind w:left="1871"/>
        <w:rPr>
          <w:rFonts w:hint="eastAsia" w:ascii="宋体" w:hAnsi="宋体" w:eastAsia="宋体" w:cs="宋体"/>
          <w:color w:val="auto"/>
          <w:sz w:val="40"/>
          <w:szCs w:val="40"/>
          <w:highlight w:val="none"/>
        </w:rPr>
      </w:pPr>
    </w:p>
    <w:tbl>
      <w:tblPr>
        <w:tblStyle w:val="51"/>
        <w:tblW w:w="9220" w:type="dxa"/>
        <w:tblInd w:w="93" w:type="dxa"/>
        <w:tblLayout w:type="autofit"/>
        <w:tblCellMar>
          <w:top w:w="0" w:type="dxa"/>
          <w:left w:w="108" w:type="dxa"/>
          <w:bottom w:w="0" w:type="dxa"/>
          <w:right w:w="108" w:type="dxa"/>
        </w:tblCellMar>
      </w:tblPr>
      <w:tblGrid>
        <w:gridCol w:w="641"/>
        <w:gridCol w:w="1116"/>
        <w:gridCol w:w="1516"/>
        <w:gridCol w:w="1612"/>
        <w:gridCol w:w="4335"/>
      </w:tblGrid>
      <w:tr w14:paraId="037F6692">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nil"/>
              <w:right w:val="single" w:color="000000" w:sz="8" w:space="0"/>
            </w:tcBorders>
            <w:noWrap w:val="0"/>
            <w:vAlign w:val="top"/>
          </w:tcPr>
          <w:p w14:paraId="45D5A506">
            <w:pPr>
              <w:widowControl/>
              <w:shd w:val="clear" w:color="auto" w:fill="auto"/>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品目序号</w:t>
            </w:r>
          </w:p>
        </w:tc>
        <w:tc>
          <w:tcPr>
            <w:tcW w:w="4020" w:type="dxa"/>
            <w:gridSpan w:val="3"/>
            <w:tcBorders>
              <w:top w:val="single" w:color="000000" w:sz="8" w:space="0"/>
              <w:left w:val="nil"/>
              <w:bottom w:val="single" w:color="000000" w:sz="8" w:space="0"/>
              <w:right w:val="single" w:color="000000" w:sz="8" w:space="0"/>
            </w:tcBorders>
            <w:noWrap w:val="0"/>
            <w:vAlign w:val="center"/>
          </w:tcPr>
          <w:p w14:paraId="5B1CA8EF">
            <w:pPr>
              <w:widowControl/>
              <w:shd w:val="clear" w:color="auto" w:fill="auto"/>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名称</w:t>
            </w:r>
          </w:p>
        </w:tc>
        <w:tc>
          <w:tcPr>
            <w:tcW w:w="4540" w:type="dxa"/>
            <w:tcBorders>
              <w:top w:val="single" w:color="000000" w:sz="8" w:space="0"/>
              <w:left w:val="nil"/>
              <w:bottom w:val="single" w:color="000000" w:sz="8" w:space="0"/>
              <w:right w:val="single" w:color="000000" w:sz="8" w:space="0"/>
            </w:tcBorders>
            <w:noWrap w:val="0"/>
            <w:vAlign w:val="center"/>
          </w:tcPr>
          <w:p w14:paraId="57B4DA29">
            <w:pPr>
              <w:widowControl/>
              <w:shd w:val="clear" w:color="auto" w:fill="auto"/>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依据的标准</w:t>
            </w:r>
          </w:p>
        </w:tc>
      </w:tr>
      <w:tr w14:paraId="57319193">
        <w:tblPrEx>
          <w:tblCellMar>
            <w:top w:w="0" w:type="dxa"/>
            <w:left w:w="108" w:type="dxa"/>
            <w:bottom w:w="0" w:type="dxa"/>
            <w:right w:w="108" w:type="dxa"/>
          </w:tblCellMar>
        </w:tblPrEx>
        <w:trPr>
          <w:trHeight w:val="495" w:hRule="atLeast"/>
        </w:trPr>
        <w:tc>
          <w:tcPr>
            <w:tcW w:w="660" w:type="dxa"/>
            <w:vMerge w:val="restart"/>
            <w:tcBorders>
              <w:top w:val="single" w:color="000000" w:sz="8" w:space="0"/>
              <w:left w:val="single" w:color="000000" w:sz="8" w:space="0"/>
              <w:bottom w:val="single" w:color="000000" w:sz="8" w:space="0"/>
              <w:right w:val="single" w:color="000000" w:sz="8" w:space="0"/>
            </w:tcBorders>
            <w:noWrap w:val="0"/>
            <w:vAlign w:val="center"/>
          </w:tcPr>
          <w:p w14:paraId="6463BBCC">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48A0A9C4">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A020101计算机设备</w:t>
            </w:r>
          </w:p>
        </w:tc>
        <w:tc>
          <w:tcPr>
            <w:tcW w:w="1320" w:type="dxa"/>
            <w:tcBorders>
              <w:top w:val="nil"/>
              <w:left w:val="nil"/>
              <w:bottom w:val="single" w:color="000000" w:sz="8" w:space="0"/>
              <w:right w:val="single" w:color="000000" w:sz="8" w:space="0"/>
            </w:tcBorders>
            <w:noWrap w:val="0"/>
            <w:vAlign w:val="center"/>
          </w:tcPr>
          <w:p w14:paraId="3BF5D628">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★A02010104台式计算机</w:t>
            </w:r>
          </w:p>
        </w:tc>
        <w:tc>
          <w:tcPr>
            <w:tcW w:w="1620" w:type="dxa"/>
            <w:tcBorders>
              <w:top w:val="nil"/>
              <w:left w:val="nil"/>
              <w:bottom w:val="single" w:color="000000" w:sz="8" w:space="0"/>
              <w:right w:val="single" w:color="000000" w:sz="8" w:space="0"/>
            </w:tcBorders>
            <w:noWrap w:val="0"/>
            <w:vAlign w:val="center"/>
          </w:tcPr>
          <w:p w14:paraId="61D158EF">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0C5E8D81">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604AA011">
        <w:tblPrEx>
          <w:tblCellMar>
            <w:top w:w="0" w:type="dxa"/>
            <w:left w:w="108" w:type="dxa"/>
            <w:bottom w:w="0" w:type="dxa"/>
            <w:right w:w="108" w:type="dxa"/>
          </w:tblCellMar>
        </w:tblPrEx>
        <w:trPr>
          <w:trHeight w:val="495" w:hRule="atLeast"/>
        </w:trPr>
        <w:tc>
          <w:tcPr>
            <w:tcW w:w="0" w:type="auto"/>
            <w:vMerge w:val="continue"/>
            <w:tcBorders>
              <w:top w:val="single" w:color="000000" w:sz="8" w:space="0"/>
              <w:left w:val="single" w:color="000000" w:sz="8" w:space="0"/>
              <w:bottom w:val="single" w:color="000000" w:sz="8" w:space="0"/>
              <w:right w:val="single" w:color="000000" w:sz="8" w:space="0"/>
            </w:tcBorders>
            <w:noWrap w:val="0"/>
            <w:vAlign w:val="center"/>
          </w:tcPr>
          <w:p w14:paraId="76B205E2">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558C490">
            <w:pPr>
              <w:widowControl/>
              <w:shd w:val="clear" w:color="auto" w:fill="auto"/>
              <w:jc w:val="left"/>
              <w:rPr>
                <w:rFonts w:hint="eastAsia" w:ascii="宋体" w:hAnsi="宋体" w:eastAsia="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6C5CF91F">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★A02010105便携式计算机</w:t>
            </w:r>
          </w:p>
        </w:tc>
        <w:tc>
          <w:tcPr>
            <w:tcW w:w="1620" w:type="dxa"/>
            <w:tcBorders>
              <w:top w:val="nil"/>
              <w:left w:val="nil"/>
              <w:bottom w:val="single" w:color="000000" w:sz="8" w:space="0"/>
              <w:right w:val="single" w:color="000000" w:sz="8" w:space="0"/>
            </w:tcBorders>
            <w:noWrap w:val="0"/>
            <w:vAlign w:val="center"/>
          </w:tcPr>
          <w:p w14:paraId="3D889A31">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74E76017">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324F9589">
        <w:tblPrEx>
          <w:tblCellMar>
            <w:top w:w="0" w:type="dxa"/>
            <w:left w:w="108" w:type="dxa"/>
            <w:bottom w:w="0" w:type="dxa"/>
            <w:right w:w="108" w:type="dxa"/>
          </w:tblCellMar>
        </w:tblPrEx>
        <w:trPr>
          <w:trHeight w:val="735" w:hRule="atLeast"/>
        </w:trPr>
        <w:tc>
          <w:tcPr>
            <w:tcW w:w="0" w:type="auto"/>
            <w:vMerge w:val="continue"/>
            <w:tcBorders>
              <w:top w:val="single" w:color="000000" w:sz="8" w:space="0"/>
              <w:left w:val="single" w:color="000000" w:sz="8" w:space="0"/>
              <w:bottom w:val="single" w:color="000000" w:sz="8" w:space="0"/>
              <w:right w:val="single" w:color="000000" w:sz="8" w:space="0"/>
            </w:tcBorders>
            <w:noWrap w:val="0"/>
            <w:vAlign w:val="center"/>
          </w:tcPr>
          <w:p w14:paraId="0BEAD53A">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5DB1060">
            <w:pPr>
              <w:widowControl/>
              <w:shd w:val="clear" w:color="auto" w:fill="auto"/>
              <w:jc w:val="left"/>
              <w:rPr>
                <w:rFonts w:hint="eastAsia" w:ascii="宋体" w:hAnsi="宋体" w:eastAsia="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4F01E0F7">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★A02010107平板式微型计算机</w:t>
            </w:r>
          </w:p>
        </w:tc>
        <w:tc>
          <w:tcPr>
            <w:tcW w:w="1620" w:type="dxa"/>
            <w:tcBorders>
              <w:top w:val="nil"/>
              <w:left w:val="nil"/>
              <w:bottom w:val="single" w:color="000000" w:sz="8" w:space="0"/>
              <w:right w:val="single" w:color="000000" w:sz="8" w:space="0"/>
            </w:tcBorders>
            <w:noWrap w:val="0"/>
            <w:vAlign w:val="center"/>
          </w:tcPr>
          <w:p w14:paraId="3BA1635B">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31C6A3E1">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75E25825">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7D085BE6">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03D10A8C">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A020106输入输出设备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13CD91B2">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A02010601打印设备</w:t>
            </w:r>
          </w:p>
        </w:tc>
        <w:tc>
          <w:tcPr>
            <w:tcW w:w="1620" w:type="dxa"/>
            <w:tcBorders>
              <w:top w:val="nil"/>
              <w:left w:val="nil"/>
              <w:bottom w:val="single" w:color="000000" w:sz="8" w:space="0"/>
              <w:right w:val="single" w:color="000000" w:sz="8" w:space="0"/>
            </w:tcBorders>
            <w:noWrap w:val="0"/>
            <w:vAlign w:val="center"/>
          </w:tcPr>
          <w:p w14:paraId="33CA016D">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A0201060101喷墨打印机</w:t>
            </w:r>
          </w:p>
        </w:tc>
        <w:tc>
          <w:tcPr>
            <w:tcW w:w="4540" w:type="dxa"/>
            <w:tcBorders>
              <w:top w:val="nil"/>
              <w:left w:val="nil"/>
              <w:bottom w:val="single" w:color="000000" w:sz="8" w:space="0"/>
              <w:right w:val="single" w:color="000000" w:sz="8" w:space="0"/>
            </w:tcBorders>
            <w:noWrap w:val="0"/>
            <w:vAlign w:val="center"/>
          </w:tcPr>
          <w:p w14:paraId="6D54277F">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75B9C922">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5A8A84B">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A8797C4">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8A75387">
            <w:pPr>
              <w:widowControl/>
              <w:shd w:val="clear" w:color="auto" w:fill="auto"/>
              <w:jc w:val="left"/>
              <w:rPr>
                <w:rFonts w:hint="eastAsia" w:ascii="宋体" w:hAnsi="宋体" w:eastAsia="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5EA745D6">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★A0201060102激光打印机</w:t>
            </w:r>
          </w:p>
        </w:tc>
        <w:tc>
          <w:tcPr>
            <w:tcW w:w="4540" w:type="dxa"/>
            <w:tcBorders>
              <w:top w:val="nil"/>
              <w:left w:val="nil"/>
              <w:bottom w:val="single" w:color="000000" w:sz="8" w:space="0"/>
              <w:right w:val="single" w:color="000000" w:sz="8" w:space="0"/>
            </w:tcBorders>
            <w:noWrap w:val="0"/>
            <w:vAlign w:val="center"/>
          </w:tcPr>
          <w:p w14:paraId="35E051EC">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6239947A">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6F6F964">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7E8A339">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0EC8E61">
            <w:pPr>
              <w:widowControl/>
              <w:shd w:val="clear" w:color="auto" w:fill="auto"/>
              <w:jc w:val="left"/>
              <w:rPr>
                <w:rFonts w:hint="eastAsia" w:ascii="宋体" w:hAnsi="宋体" w:eastAsia="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4D959EDB">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★A0201060104针式打印机</w:t>
            </w:r>
          </w:p>
        </w:tc>
        <w:tc>
          <w:tcPr>
            <w:tcW w:w="4540" w:type="dxa"/>
            <w:tcBorders>
              <w:top w:val="nil"/>
              <w:left w:val="nil"/>
              <w:bottom w:val="single" w:color="000000" w:sz="8" w:space="0"/>
              <w:right w:val="single" w:color="000000" w:sz="8" w:space="0"/>
            </w:tcBorders>
            <w:noWrap w:val="0"/>
            <w:vAlign w:val="center"/>
          </w:tcPr>
          <w:p w14:paraId="2EE3241D">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6B86FC78">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2DB80F6">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B12CA2A">
            <w:pPr>
              <w:widowControl/>
              <w:shd w:val="clear" w:color="auto" w:fill="auto"/>
              <w:jc w:val="left"/>
              <w:rPr>
                <w:rFonts w:hint="eastAsia" w:ascii="宋体" w:hAnsi="宋体" w:eastAsia="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2EE033B6">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A02010604显示设备</w:t>
            </w:r>
          </w:p>
        </w:tc>
        <w:tc>
          <w:tcPr>
            <w:tcW w:w="1620" w:type="dxa"/>
            <w:tcBorders>
              <w:top w:val="nil"/>
              <w:left w:val="nil"/>
              <w:bottom w:val="single" w:color="000000" w:sz="8" w:space="0"/>
              <w:right w:val="single" w:color="000000" w:sz="8" w:space="0"/>
            </w:tcBorders>
            <w:noWrap w:val="0"/>
            <w:vAlign w:val="center"/>
          </w:tcPr>
          <w:p w14:paraId="322C6A4D">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★A0201060401液晶显示器</w:t>
            </w:r>
          </w:p>
        </w:tc>
        <w:tc>
          <w:tcPr>
            <w:tcW w:w="4540" w:type="dxa"/>
            <w:tcBorders>
              <w:top w:val="nil"/>
              <w:left w:val="nil"/>
              <w:bottom w:val="single" w:color="000000" w:sz="8" w:space="0"/>
              <w:right w:val="single" w:color="000000" w:sz="8" w:space="0"/>
            </w:tcBorders>
            <w:noWrap w:val="0"/>
            <w:vAlign w:val="center"/>
          </w:tcPr>
          <w:p w14:paraId="4D5684BC">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《计算机显示器能效限定值及能效等级》（GB21520）</w:t>
            </w:r>
          </w:p>
        </w:tc>
      </w:tr>
      <w:tr w14:paraId="337F9FC1">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D3F704F">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9168AD8">
            <w:pPr>
              <w:widowControl/>
              <w:shd w:val="clear" w:color="auto" w:fill="auto"/>
              <w:jc w:val="left"/>
              <w:rPr>
                <w:rFonts w:hint="eastAsia" w:ascii="宋体" w:hAnsi="宋体" w:eastAsia="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379BA9DE">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A02010609图形图像输入设备</w:t>
            </w:r>
          </w:p>
        </w:tc>
        <w:tc>
          <w:tcPr>
            <w:tcW w:w="1620" w:type="dxa"/>
            <w:tcBorders>
              <w:top w:val="nil"/>
              <w:left w:val="nil"/>
              <w:bottom w:val="single" w:color="000000" w:sz="8" w:space="0"/>
              <w:right w:val="single" w:color="000000" w:sz="8" w:space="0"/>
            </w:tcBorders>
            <w:noWrap w:val="0"/>
            <w:vAlign w:val="center"/>
          </w:tcPr>
          <w:p w14:paraId="1E3195C4">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A0201060901扫描仪</w:t>
            </w:r>
          </w:p>
        </w:tc>
        <w:tc>
          <w:tcPr>
            <w:tcW w:w="4540" w:type="dxa"/>
            <w:tcBorders>
              <w:top w:val="nil"/>
              <w:left w:val="nil"/>
              <w:bottom w:val="single" w:color="000000" w:sz="8" w:space="0"/>
              <w:right w:val="single" w:color="000000" w:sz="8" w:space="0"/>
            </w:tcBorders>
            <w:noWrap w:val="0"/>
            <w:vAlign w:val="center"/>
          </w:tcPr>
          <w:p w14:paraId="01DF9893">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2FBCE7BB">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3853AB7F">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w:t>
            </w:r>
          </w:p>
        </w:tc>
        <w:tc>
          <w:tcPr>
            <w:tcW w:w="1080" w:type="dxa"/>
            <w:tcBorders>
              <w:top w:val="nil"/>
              <w:left w:val="nil"/>
              <w:bottom w:val="single" w:color="000000" w:sz="8" w:space="0"/>
              <w:right w:val="single" w:color="000000" w:sz="8" w:space="0"/>
            </w:tcBorders>
            <w:noWrap w:val="0"/>
            <w:vAlign w:val="center"/>
          </w:tcPr>
          <w:p w14:paraId="69E5E519">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A020202投影仪</w:t>
            </w:r>
          </w:p>
        </w:tc>
        <w:tc>
          <w:tcPr>
            <w:tcW w:w="1320" w:type="dxa"/>
            <w:tcBorders>
              <w:top w:val="nil"/>
              <w:left w:val="nil"/>
              <w:bottom w:val="single" w:color="000000" w:sz="8" w:space="0"/>
              <w:right w:val="single" w:color="000000" w:sz="8" w:space="0"/>
            </w:tcBorders>
            <w:noWrap w:val="0"/>
            <w:vAlign w:val="center"/>
          </w:tcPr>
          <w:p w14:paraId="05270528">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36034FB8">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2F8CC34D">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《投影机能效限定值及能效等级》（GB32028）</w:t>
            </w:r>
          </w:p>
        </w:tc>
      </w:tr>
      <w:tr w14:paraId="56A22B38">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22C3EBF6">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4</w:t>
            </w:r>
          </w:p>
        </w:tc>
        <w:tc>
          <w:tcPr>
            <w:tcW w:w="1080" w:type="dxa"/>
            <w:tcBorders>
              <w:top w:val="nil"/>
              <w:left w:val="nil"/>
              <w:bottom w:val="single" w:color="000000" w:sz="8" w:space="0"/>
              <w:right w:val="single" w:color="000000" w:sz="8" w:space="0"/>
            </w:tcBorders>
            <w:noWrap w:val="0"/>
            <w:vAlign w:val="center"/>
          </w:tcPr>
          <w:p w14:paraId="0743387B">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A020204多功能一体机</w:t>
            </w:r>
          </w:p>
        </w:tc>
        <w:tc>
          <w:tcPr>
            <w:tcW w:w="1320" w:type="dxa"/>
            <w:tcBorders>
              <w:top w:val="nil"/>
              <w:left w:val="nil"/>
              <w:bottom w:val="single" w:color="000000" w:sz="8" w:space="0"/>
              <w:right w:val="single" w:color="000000" w:sz="8" w:space="0"/>
            </w:tcBorders>
            <w:noWrap w:val="0"/>
            <w:vAlign w:val="center"/>
          </w:tcPr>
          <w:p w14:paraId="379FE310">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5F90363B">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21F3A0DA">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2F4A8A24">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5B9438DD">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w:t>
            </w:r>
          </w:p>
        </w:tc>
        <w:tc>
          <w:tcPr>
            <w:tcW w:w="1080" w:type="dxa"/>
            <w:tcBorders>
              <w:top w:val="nil"/>
              <w:left w:val="nil"/>
              <w:bottom w:val="single" w:color="000000" w:sz="8" w:space="0"/>
              <w:right w:val="single" w:color="000000" w:sz="8" w:space="0"/>
            </w:tcBorders>
            <w:noWrap w:val="0"/>
            <w:vAlign w:val="center"/>
          </w:tcPr>
          <w:p w14:paraId="106C67EA">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A020519泵</w:t>
            </w:r>
          </w:p>
        </w:tc>
        <w:tc>
          <w:tcPr>
            <w:tcW w:w="1320" w:type="dxa"/>
            <w:tcBorders>
              <w:top w:val="nil"/>
              <w:left w:val="nil"/>
              <w:bottom w:val="single" w:color="000000" w:sz="8" w:space="0"/>
              <w:right w:val="single" w:color="000000" w:sz="8" w:space="0"/>
            </w:tcBorders>
            <w:noWrap w:val="0"/>
            <w:vAlign w:val="center"/>
          </w:tcPr>
          <w:p w14:paraId="3E2D2763">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A02051901离心泵</w:t>
            </w:r>
          </w:p>
        </w:tc>
        <w:tc>
          <w:tcPr>
            <w:tcW w:w="1620" w:type="dxa"/>
            <w:tcBorders>
              <w:top w:val="nil"/>
              <w:left w:val="nil"/>
              <w:bottom w:val="single" w:color="000000" w:sz="8" w:space="0"/>
              <w:right w:val="single" w:color="000000" w:sz="8" w:space="0"/>
            </w:tcBorders>
            <w:noWrap w:val="0"/>
            <w:vAlign w:val="center"/>
          </w:tcPr>
          <w:p w14:paraId="03388205">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015C1DB1">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《清水离心泵能效限定值及节能评价值》（GB19762）</w:t>
            </w:r>
          </w:p>
        </w:tc>
      </w:tr>
      <w:tr w14:paraId="58E8CBBB">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603670A5">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6</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2E3D0F7C">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A020523制冷空调设备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36E7375C">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★A02052301制冷压缩机</w:t>
            </w:r>
          </w:p>
        </w:tc>
        <w:tc>
          <w:tcPr>
            <w:tcW w:w="1620" w:type="dxa"/>
            <w:tcBorders>
              <w:top w:val="nil"/>
              <w:left w:val="nil"/>
              <w:bottom w:val="single" w:color="000000" w:sz="8" w:space="0"/>
              <w:right w:val="single" w:color="000000" w:sz="8" w:space="0"/>
            </w:tcBorders>
            <w:noWrap w:val="0"/>
            <w:vAlign w:val="center"/>
          </w:tcPr>
          <w:p w14:paraId="6DD4BA83">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冷水机组</w:t>
            </w:r>
          </w:p>
        </w:tc>
        <w:tc>
          <w:tcPr>
            <w:tcW w:w="4540" w:type="dxa"/>
            <w:tcBorders>
              <w:top w:val="nil"/>
              <w:left w:val="nil"/>
              <w:bottom w:val="single" w:color="000000" w:sz="8" w:space="0"/>
              <w:right w:val="single" w:color="000000" w:sz="8" w:space="0"/>
            </w:tcBorders>
            <w:noWrap w:val="0"/>
            <w:vAlign w:val="center"/>
          </w:tcPr>
          <w:p w14:paraId="2FB8D708">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《冷水机组能效限定值及能效等级》（GB19577），《低环境温度空气源热泵（冷水）机组能效限定值及能效等级》（GB37480）</w:t>
            </w:r>
          </w:p>
        </w:tc>
      </w:tr>
      <w:tr w14:paraId="5409C2C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EC3272C">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592481E">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F51B092">
            <w:pPr>
              <w:widowControl/>
              <w:shd w:val="clear" w:color="auto" w:fill="auto"/>
              <w:jc w:val="left"/>
              <w:rPr>
                <w:rFonts w:hint="eastAsia" w:ascii="宋体" w:hAnsi="宋体" w:eastAsia="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327A8580">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水源热泵机组</w:t>
            </w:r>
          </w:p>
        </w:tc>
        <w:tc>
          <w:tcPr>
            <w:tcW w:w="4540" w:type="dxa"/>
            <w:tcBorders>
              <w:top w:val="nil"/>
              <w:left w:val="nil"/>
              <w:bottom w:val="single" w:color="000000" w:sz="8" w:space="0"/>
              <w:right w:val="single" w:color="000000" w:sz="8" w:space="0"/>
            </w:tcBorders>
            <w:noWrap w:val="0"/>
            <w:vAlign w:val="center"/>
          </w:tcPr>
          <w:p w14:paraId="06E32DB1">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《水（地）源热泵机组能效限定值及能效等级》（GB30721）</w:t>
            </w:r>
          </w:p>
        </w:tc>
      </w:tr>
      <w:tr w14:paraId="4BB43BC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9B1FD8F">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9C9356A">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FEB247B">
            <w:pPr>
              <w:widowControl/>
              <w:shd w:val="clear" w:color="auto" w:fill="auto"/>
              <w:jc w:val="left"/>
              <w:rPr>
                <w:rFonts w:hint="eastAsia" w:ascii="宋体" w:hAnsi="宋体" w:eastAsia="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3B155184">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溴化锂吸收式冷水机组</w:t>
            </w:r>
          </w:p>
        </w:tc>
        <w:tc>
          <w:tcPr>
            <w:tcW w:w="4540" w:type="dxa"/>
            <w:tcBorders>
              <w:top w:val="nil"/>
              <w:left w:val="nil"/>
              <w:bottom w:val="single" w:color="000000" w:sz="8" w:space="0"/>
              <w:right w:val="single" w:color="000000" w:sz="8" w:space="0"/>
            </w:tcBorders>
            <w:noWrap w:val="0"/>
            <w:vAlign w:val="center"/>
          </w:tcPr>
          <w:p w14:paraId="639D17D0">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《溴化锂吸收式冷水机组能效限定值及能效等级》（GB29540）</w:t>
            </w:r>
          </w:p>
        </w:tc>
      </w:tr>
      <w:tr w14:paraId="03B36FC0">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9DD0DD0">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2F61920">
            <w:pPr>
              <w:widowControl/>
              <w:shd w:val="clear" w:color="auto" w:fill="auto"/>
              <w:jc w:val="left"/>
              <w:rPr>
                <w:rFonts w:hint="eastAsia" w:ascii="宋体" w:hAnsi="宋体" w:eastAsia="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1F9D9FF6">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★A02052305空调机组</w:t>
            </w:r>
          </w:p>
        </w:tc>
        <w:tc>
          <w:tcPr>
            <w:tcW w:w="1620" w:type="dxa"/>
            <w:tcBorders>
              <w:top w:val="nil"/>
              <w:left w:val="nil"/>
              <w:bottom w:val="single" w:color="000000" w:sz="8" w:space="0"/>
              <w:right w:val="single" w:color="000000" w:sz="8" w:space="0"/>
            </w:tcBorders>
            <w:noWrap w:val="0"/>
            <w:vAlign w:val="center"/>
          </w:tcPr>
          <w:p w14:paraId="51A363A4">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多联式空调（热泵）机组(制冷量&gt;14000W)</w:t>
            </w:r>
          </w:p>
        </w:tc>
        <w:tc>
          <w:tcPr>
            <w:tcW w:w="4540" w:type="dxa"/>
            <w:tcBorders>
              <w:top w:val="nil"/>
              <w:left w:val="nil"/>
              <w:bottom w:val="single" w:color="000000" w:sz="8" w:space="0"/>
              <w:right w:val="single" w:color="000000" w:sz="8" w:space="0"/>
            </w:tcBorders>
            <w:noWrap w:val="0"/>
            <w:vAlign w:val="center"/>
          </w:tcPr>
          <w:p w14:paraId="4CF995E1">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《多联式空调（热泵）机组能效限定值及能源效率等级》（GB21454）</w:t>
            </w:r>
          </w:p>
        </w:tc>
      </w:tr>
      <w:tr w14:paraId="1AD4F4A2">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F73FE2E">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183915E">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546B4CE">
            <w:pPr>
              <w:widowControl/>
              <w:shd w:val="clear" w:color="auto" w:fill="auto"/>
              <w:jc w:val="left"/>
              <w:rPr>
                <w:rFonts w:hint="eastAsia" w:ascii="宋体" w:hAnsi="宋体" w:eastAsia="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7FDA0F5D">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单元式空气调节机(制冷量&gt;14000W</w:t>
            </w:r>
          </w:p>
        </w:tc>
        <w:tc>
          <w:tcPr>
            <w:tcW w:w="4540" w:type="dxa"/>
            <w:tcBorders>
              <w:top w:val="nil"/>
              <w:left w:val="nil"/>
              <w:bottom w:val="single" w:color="000000" w:sz="8" w:space="0"/>
              <w:right w:val="single" w:color="000000" w:sz="8" w:space="0"/>
            </w:tcBorders>
            <w:noWrap w:val="0"/>
            <w:vAlign w:val="center"/>
          </w:tcPr>
          <w:p w14:paraId="4629D19F">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《单元式空气调节机能效限定值及能效等级》（GB19576）《风管送风式空调机组能效限定值及能效等级》（GB37479）</w:t>
            </w:r>
          </w:p>
        </w:tc>
      </w:tr>
      <w:tr w14:paraId="41BE4F00">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F88E430">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3D68795">
            <w:pPr>
              <w:widowControl/>
              <w:shd w:val="clear" w:color="auto" w:fill="auto"/>
              <w:jc w:val="left"/>
              <w:rPr>
                <w:rFonts w:hint="eastAsia" w:ascii="宋体" w:hAnsi="宋体" w:eastAsia="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71C4442F">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★A02052309专用制冷、空调设备</w:t>
            </w:r>
          </w:p>
        </w:tc>
        <w:tc>
          <w:tcPr>
            <w:tcW w:w="1620" w:type="dxa"/>
            <w:tcBorders>
              <w:top w:val="nil"/>
              <w:left w:val="nil"/>
              <w:bottom w:val="single" w:color="000000" w:sz="8" w:space="0"/>
              <w:right w:val="single" w:color="000000" w:sz="8" w:space="0"/>
            </w:tcBorders>
            <w:noWrap w:val="0"/>
            <w:vAlign w:val="center"/>
          </w:tcPr>
          <w:p w14:paraId="4C438F9C">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机房空调</w:t>
            </w:r>
          </w:p>
        </w:tc>
        <w:tc>
          <w:tcPr>
            <w:tcW w:w="4540" w:type="dxa"/>
            <w:tcBorders>
              <w:top w:val="nil"/>
              <w:left w:val="nil"/>
              <w:bottom w:val="single" w:color="000000" w:sz="8" w:space="0"/>
              <w:right w:val="single" w:color="000000" w:sz="8" w:space="0"/>
            </w:tcBorders>
            <w:noWrap w:val="0"/>
            <w:vAlign w:val="center"/>
          </w:tcPr>
          <w:p w14:paraId="2E564403">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《单元式空气调节机能效限定值及能效等级》（GB19576）</w:t>
            </w:r>
          </w:p>
        </w:tc>
      </w:tr>
      <w:tr w14:paraId="4A44F44D">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982D590">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A97E6CE">
            <w:pPr>
              <w:widowControl/>
              <w:shd w:val="clear" w:color="auto" w:fill="auto"/>
              <w:jc w:val="left"/>
              <w:rPr>
                <w:rFonts w:hint="eastAsia" w:ascii="宋体" w:hAnsi="宋体" w:eastAsia="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14CF8EF6">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A02052399其他制冷空调设备</w:t>
            </w:r>
          </w:p>
        </w:tc>
        <w:tc>
          <w:tcPr>
            <w:tcW w:w="1620" w:type="dxa"/>
            <w:tcBorders>
              <w:top w:val="nil"/>
              <w:left w:val="nil"/>
              <w:bottom w:val="single" w:color="000000" w:sz="8" w:space="0"/>
              <w:right w:val="single" w:color="000000" w:sz="8" w:space="0"/>
            </w:tcBorders>
            <w:noWrap w:val="0"/>
            <w:vAlign w:val="center"/>
          </w:tcPr>
          <w:p w14:paraId="342B4EAA">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冷却塔</w:t>
            </w:r>
          </w:p>
        </w:tc>
        <w:tc>
          <w:tcPr>
            <w:tcW w:w="4540" w:type="dxa"/>
            <w:tcBorders>
              <w:top w:val="nil"/>
              <w:left w:val="nil"/>
              <w:bottom w:val="single" w:color="000000" w:sz="8" w:space="0"/>
              <w:right w:val="single" w:color="000000" w:sz="8" w:space="0"/>
            </w:tcBorders>
            <w:noWrap w:val="0"/>
            <w:vAlign w:val="center"/>
          </w:tcPr>
          <w:p w14:paraId="539B3F55">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《机械通风冷却塔第1部分：中小型开式冷却塔》（GB/T7190.1）；《机械通风冷却塔第2部分：大型开式冷却塔》（GB/T7190.2）</w:t>
            </w:r>
          </w:p>
        </w:tc>
      </w:tr>
      <w:tr w14:paraId="49A9DEC4">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49664A96">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7</w:t>
            </w:r>
          </w:p>
        </w:tc>
        <w:tc>
          <w:tcPr>
            <w:tcW w:w="1080" w:type="dxa"/>
            <w:tcBorders>
              <w:top w:val="nil"/>
              <w:left w:val="nil"/>
              <w:bottom w:val="single" w:color="000000" w:sz="8" w:space="0"/>
              <w:right w:val="single" w:color="000000" w:sz="8" w:space="0"/>
            </w:tcBorders>
            <w:noWrap w:val="0"/>
            <w:vAlign w:val="center"/>
          </w:tcPr>
          <w:p w14:paraId="1DAE43BC">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A020601电机</w:t>
            </w:r>
          </w:p>
        </w:tc>
        <w:tc>
          <w:tcPr>
            <w:tcW w:w="1320" w:type="dxa"/>
            <w:tcBorders>
              <w:top w:val="nil"/>
              <w:left w:val="nil"/>
              <w:bottom w:val="single" w:color="000000" w:sz="8" w:space="0"/>
              <w:right w:val="single" w:color="000000" w:sz="8" w:space="0"/>
            </w:tcBorders>
            <w:noWrap w:val="0"/>
            <w:vAlign w:val="center"/>
          </w:tcPr>
          <w:p w14:paraId="05F0084F">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560054C4">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3C430360">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《中小型三相异步电动机能效限定值及能效等级》（GB18613）</w:t>
            </w:r>
          </w:p>
        </w:tc>
      </w:tr>
      <w:tr w14:paraId="6A6AA4B1">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608B84BA">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8</w:t>
            </w:r>
          </w:p>
        </w:tc>
        <w:tc>
          <w:tcPr>
            <w:tcW w:w="1080" w:type="dxa"/>
            <w:tcBorders>
              <w:top w:val="nil"/>
              <w:left w:val="nil"/>
              <w:bottom w:val="single" w:color="000000" w:sz="8" w:space="0"/>
              <w:right w:val="single" w:color="000000" w:sz="8" w:space="0"/>
            </w:tcBorders>
            <w:noWrap w:val="0"/>
            <w:vAlign w:val="center"/>
          </w:tcPr>
          <w:p w14:paraId="07E8B49B">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A020602变压器</w:t>
            </w:r>
          </w:p>
        </w:tc>
        <w:tc>
          <w:tcPr>
            <w:tcW w:w="1320" w:type="dxa"/>
            <w:tcBorders>
              <w:top w:val="nil"/>
              <w:left w:val="nil"/>
              <w:bottom w:val="single" w:color="000000" w:sz="8" w:space="0"/>
              <w:right w:val="single" w:color="000000" w:sz="8" w:space="0"/>
            </w:tcBorders>
            <w:noWrap w:val="0"/>
            <w:vAlign w:val="center"/>
          </w:tcPr>
          <w:p w14:paraId="0D2EDBEE">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配电变压器</w:t>
            </w:r>
          </w:p>
        </w:tc>
        <w:tc>
          <w:tcPr>
            <w:tcW w:w="1620" w:type="dxa"/>
            <w:tcBorders>
              <w:top w:val="nil"/>
              <w:left w:val="nil"/>
              <w:bottom w:val="single" w:color="000000" w:sz="8" w:space="0"/>
              <w:right w:val="single" w:color="000000" w:sz="8" w:space="0"/>
            </w:tcBorders>
            <w:noWrap w:val="0"/>
            <w:vAlign w:val="center"/>
          </w:tcPr>
          <w:p w14:paraId="7E16E702">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4BE280F9">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《三相配电变压器能效限定值及能效等级》（GB20052）</w:t>
            </w:r>
          </w:p>
        </w:tc>
      </w:tr>
      <w:tr w14:paraId="1B52EEF4">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361DEC05">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9</w:t>
            </w:r>
          </w:p>
        </w:tc>
        <w:tc>
          <w:tcPr>
            <w:tcW w:w="1080" w:type="dxa"/>
            <w:tcBorders>
              <w:top w:val="nil"/>
              <w:left w:val="nil"/>
              <w:bottom w:val="single" w:color="000000" w:sz="8" w:space="0"/>
              <w:right w:val="single" w:color="000000" w:sz="8" w:space="0"/>
            </w:tcBorders>
            <w:noWrap w:val="0"/>
            <w:vAlign w:val="center"/>
          </w:tcPr>
          <w:p w14:paraId="057A4E3C">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★A020609镇流器</w:t>
            </w:r>
          </w:p>
        </w:tc>
        <w:tc>
          <w:tcPr>
            <w:tcW w:w="1320" w:type="dxa"/>
            <w:tcBorders>
              <w:top w:val="nil"/>
              <w:left w:val="nil"/>
              <w:bottom w:val="single" w:color="000000" w:sz="8" w:space="0"/>
              <w:right w:val="single" w:color="000000" w:sz="8" w:space="0"/>
            </w:tcBorders>
            <w:noWrap w:val="0"/>
            <w:vAlign w:val="center"/>
          </w:tcPr>
          <w:p w14:paraId="61F003D7">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管型荧光灯镇流器</w:t>
            </w:r>
          </w:p>
        </w:tc>
        <w:tc>
          <w:tcPr>
            <w:tcW w:w="1620" w:type="dxa"/>
            <w:tcBorders>
              <w:top w:val="nil"/>
              <w:left w:val="nil"/>
              <w:bottom w:val="single" w:color="000000" w:sz="8" w:space="0"/>
              <w:right w:val="single" w:color="000000" w:sz="8" w:space="0"/>
            </w:tcBorders>
            <w:noWrap w:val="0"/>
            <w:vAlign w:val="center"/>
          </w:tcPr>
          <w:p w14:paraId="4895444F">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2A6F6437">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《管形荧光灯镇流器能效限定值及能效等级》（GB17896）</w:t>
            </w:r>
          </w:p>
        </w:tc>
      </w:tr>
      <w:tr w14:paraId="68BD8331">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520A619E">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73EAD606">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A020618生活用电器</w:t>
            </w:r>
          </w:p>
        </w:tc>
        <w:tc>
          <w:tcPr>
            <w:tcW w:w="1320" w:type="dxa"/>
            <w:tcBorders>
              <w:top w:val="nil"/>
              <w:left w:val="nil"/>
              <w:bottom w:val="single" w:color="000000" w:sz="8" w:space="0"/>
              <w:right w:val="single" w:color="000000" w:sz="8" w:space="0"/>
            </w:tcBorders>
            <w:noWrap w:val="0"/>
            <w:vAlign w:val="center"/>
          </w:tcPr>
          <w:p w14:paraId="2F5DFB91">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A0206180101电冰箱</w:t>
            </w:r>
          </w:p>
        </w:tc>
        <w:tc>
          <w:tcPr>
            <w:tcW w:w="1620" w:type="dxa"/>
            <w:tcBorders>
              <w:top w:val="nil"/>
              <w:left w:val="nil"/>
              <w:bottom w:val="single" w:color="000000" w:sz="8" w:space="0"/>
              <w:right w:val="single" w:color="000000" w:sz="8" w:space="0"/>
            </w:tcBorders>
            <w:noWrap w:val="0"/>
            <w:vAlign w:val="center"/>
          </w:tcPr>
          <w:p w14:paraId="04BCB582">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1D5CA8A1">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《家用电冰箱耗电量限定值及能效等级》（GB 12021.2）</w:t>
            </w:r>
          </w:p>
        </w:tc>
      </w:tr>
      <w:tr w14:paraId="77D46659">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4BB5201">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9EB7F29">
            <w:pPr>
              <w:widowControl/>
              <w:shd w:val="clear" w:color="auto" w:fill="auto"/>
              <w:jc w:val="left"/>
              <w:rPr>
                <w:rFonts w:hint="eastAsia" w:ascii="宋体" w:hAnsi="宋体" w:eastAsia="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0BFFA0FF">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★A0206180203空调机</w:t>
            </w:r>
          </w:p>
        </w:tc>
        <w:tc>
          <w:tcPr>
            <w:tcW w:w="1620" w:type="dxa"/>
            <w:tcBorders>
              <w:top w:val="nil"/>
              <w:left w:val="nil"/>
              <w:bottom w:val="single" w:color="000000" w:sz="8" w:space="0"/>
              <w:right w:val="single" w:color="000000" w:sz="8" w:space="0"/>
            </w:tcBorders>
            <w:noWrap w:val="0"/>
            <w:vAlign w:val="center"/>
          </w:tcPr>
          <w:p w14:paraId="73344CE8">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房间空气调节器</w:t>
            </w:r>
          </w:p>
        </w:tc>
        <w:tc>
          <w:tcPr>
            <w:tcW w:w="4540" w:type="dxa"/>
            <w:tcBorders>
              <w:top w:val="nil"/>
              <w:left w:val="nil"/>
              <w:bottom w:val="single" w:color="000000" w:sz="8" w:space="0"/>
              <w:right w:val="single" w:color="000000" w:sz="8" w:space="0"/>
            </w:tcBorders>
            <w:noWrap w:val="0"/>
            <w:vAlign w:val="center"/>
          </w:tcPr>
          <w:p w14:paraId="0C2FEE6A">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4BBA13F2">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709C96C">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BA2D21D">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C84D491">
            <w:pPr>
              <w:widowControl/>
              <w:shd w:val="clear" w:color="auto" w:fill="auto"/>
              <w:jc w:val="left"/>
              <w:rPr>
                <w:rFonts w:hint="eastAsia" w:ascii="宋体" w:hAnsi="宋体" w:eastAsia="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41AEDF22">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多联式空调（热泵）机组（制冷量≤ 14000W）</w:t>
            </w:r>
          </w:p>
        </w:tc>
        <w:tc>
          <w:tcPr>
            <w:tcW w:w="4540" w:type="dxa"/>
            <w:tcBorders>
              <w:top w:val="nil"/>
              <w:left w:val="nil"/>
              <w:bottom w:val="single" w:color="000000" w:sz="8" w:space="0"/>
              <w:right w:val="single" w:color="000000" w:sz="8" w:space="0"/>
            </w:tcBorders>
            <w:noWrap w:val="0"/>
            <w:vAlign w:val="center"/>
          </w:tcPr>
          <w:p w14:paraId="6E653134">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《多联式空调（热泵）机组能效限定值及能源效率等级》（GB21454）</w:t>
            </w:r>
          </w:p>
        </w:tc>
      </w:tr>
      <w:tr w14:paraId="28C6C647">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589E199">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F6A260E">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60B4555">
            <w:pPr>
              <w:widowControl/>
              <w:shd w:val="clear" w:color="auto" w:fill="auto"/>
              <w:jc w:val="left"/>
              <w:rPr>
                <w:rFonts w:hint="eastAsia" w:ascii="宋体" w:hAnsi="宋体" w:eastAsia="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475B3749">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单元式空气调节机(制冷量≤14000W)</w:t>
            </w:r>
          </w:p>
        </w:tc>
        <w:tc>
          <w:tcPr>
            <w:tcW w:w="4540" w:type="dxa"/>
            <w:tcBorders>
              <w:top w:val="nil"/>
              <w:left w:val="nil"/>
              <w:bottom w:val="single" w:color="000000" w:sz="8" w:space="0"/>
              <w:right w:val="single" w:color="000000" w:sz="8" w:space="0"/>
            </w:tcBorders>
            <w:noWrap w:val="0"/>
            <w:vAlign w:val="center"/>
          </w:tcPr>
          <w:p w14:paraId="703F412F">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《单元式空气调节机能效限定值及能源效率等级》（GB19576）《风管送风式空调机组能效限定值及能效等级》（GB37479）</w:t>
            </w:r>
          </w:p>
        </w:tc>
      </w:tr>
      <w:tr w14:paraId="354C8E53">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BDA09E5">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12B3F00">
            <w:pPr>
              <w:widowControl/>
              <w:shd w:val="clear" w:color="auto" w:fill="auto"/>
              <w:jc w:val="left"/>
              <w:rPr>
                <w:rFonts w:hint="eastAsia" w:ascii="宋体" w:hAnsi="宋体" w:eastAsia="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0"/>
            <w:vAlign w:val="center"/>
          </w:tcPr>
          <w:p w14:paraId="41E59DCA">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A0206180301洗衣机</w:t>
            </w:r>
          </w:p>
        </w:tc>
        <w:tc>
          <w:tcPr>
            <w:tcW w:w="1620" w:type="dxa"/>
            <w:tcBorders>
              <w:top w:val="nil"/>
              <w:left w:val="nil"/>
              <w:bottom w:val="single" w:color="000000" w:sz="8" w:space="0"/>
              <w:right w:val="single" w:color="000000" w:sz="8" w:space="0"/>
            </w:tcBorders>
            <w:noWrap w:val="0"/>
            <w:vAlign w:val="center"/>
          </w:tcPr>
          <w:p w14:paraId="5D6A9089">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311B5460">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《电动洗衣机能效水效限定值及等级》（GB12021.4）</w:t>
            </w:r>
          </w:p>
        </w:tc>
      </w:tr>
      <w:tr w14:paraId="57005601">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464F0AC">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51EFC8D">
            <w:pPr>
              <w:widowControl/>
              <w:shd w:val="clear" w:color="auto" w:fill="auto"/>
              <w:jc w:val="left"/>
              <w:rPr>
                <w:rFonts w:hint="eastAsia" w:ascii="宋体" w:hAnsi="宋体" w:eastAsia="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04689E20">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A02061808热水器</w:t>
            </w:r>
          </w:p>
        </w:tc>
        <w:tc>
          <w:tcPr>
            <w:tcW w:w="1620" w:type="dxa"/>
            <w:tcBorders>
              <w:top w:val="nil"/>
              <w:left w:val="nil"/>
              <w:bottom w:val="single" w:color="000000" w:sz="8" w:space="0"/>
              <w:right w:val="single" w:color="000000" w:sz="8" w:space="0"/>
            </w:tcBorders>
            <w:noWrap w:val="0"/>
            <w:vAlign w:val="center"/>
          </w:tcPr>
          <w:p w14:paraId="733F4213">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★电热水器</w:t>
            </w:r>
          </w:p>
        </w:tc>
        <w:tc>
          <w:tcPr>
            <w:tcW w:w="4540" w:type="dxa"/>
            <w:tcBorders>
              <w:top w:val="nil"/>
              <w:left w:val="nil"/>
              <w:bottom w:val="single" w:color="000000" w:sz="8" w:space="0"/>
              <w:right w:val="single" w:color="000000" w:sz="8" w:space="0"/>
            </w:tcBorders>
            <w:noWrap w:val="0"/>
            <w:vAlign w:val="center"/>
          </w:tcPr>
          <w:p w14:paraId="5434C5FA">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《储水式电热水器能效限定值及能效等级》（GB21519）</w:t>
            </w:r>
          </w:p>
        </w:tc>
      </w:tr>
      <w:tr w14:paraId="7CF13DA7">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D6F8FC4">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34EDE1B">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D3A37BD">
            <w:pPr>
              <w:widowControl/>
              <w:shd w:val="clear" w:color="auto" w:fill="auto"/>
              <w:jc w:val="left"/>
              <w:rPr>
                <w:rFonts w:hint="eastAsia" w:ascii="宋体" w:hAnsi="宋体" w:eastAsia="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1C5AE36A">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燃气热水器</w:t>
            </w:r>
          </w:p>
        </w:tc>
        <w:tc>
          <w:tcPr>
            <w:tcW w:w="4540" w:type="dxa"/>
            <w:tcBorders>
              <w:top w:val="nil"/>
              <w:left w:val="nil"/>
              <w:bottom w:val="single" w:color="000000" w:sz="8" w:space="0"/>
              <w:right w:val="single" w:color="000000" w:sz="8" w:space="0"/>
            </w:tcBorders>
            <w:noWrap w:val="0"/>
            <w:vAlign w:val="center"/>
          </w:tcPr>
          <w:p w14:paraId="57906523">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《家用燃气快速热水器和燃气采暖热水炉能效限定值及能效等级》（GB20665）</w:t>
            </w:r>
          </w:p>
        </w:tc>
      </w:tr>
      <w:tr w14:paraId="32BF8B98">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156BA2A">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1F5B740">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DB51023">
            <w:pPr>
              <w:widowControl/>
              <w:shd w:val="clear" w:color="auto" w:fill="auto"/>
              <w:jc w:val="left"/>
              <w:rPr>
                <w:rFonts w:hint="eastAsia" w:ascii="宋体" w:hAnsi="宋体" w:eastAsia="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576584E5">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热泵热水器</w:t>
            </w:r>
          </w:p>
        </w:tc>
        <w:tc>
          <w:tcPr>
            <w:tcW w:w="4540" w:type="dxa"/>
            <w:tcBorders>
              <w:top w:val="nil"/>
              <w:left w:val="nil"/>
              <w:bottom w:val="single" w:color="000000" w:sz="8" w:space="0"/>
              <w:right w:val="single" w:color="000000" w:sz="8" w:space="0"/>
            </w:tcBorders>
            <w:noWrap w:val="0"/>
            <w:vAlign w:val="center"/>
          </w:tcPr>
          <w:p w14:paraId="2DC6C49A">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《热泵热水机（器）能效限定值及能效等级》（GB29541）</w:t>
            </w:r>
          </w:p>
        </w:tc>
      </w:tr>
      <w:tr w14:paraId="0A61B348">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DEB2615">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4AC956B">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9C3B058">
            <w:pPr>
              <w:widowControl/>
              <w:shd w:val="clear" w:color="auto" w:fill="auto"/>
              <w:jc w:val="left"/>
              <w:rPr>
                <w:rFonts w:hint="eastAsia" w:ascii="宋体" w:hAnsi="宋体" w:eastAsia="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0"/>
            <w:vAlign w:val="center"/>
          </w:tcPr>
          <w:p w14:paraId="611086CD">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太阳能热水系统</w:t>
            </w:r>
          </w:p>
        </w:tc>
        <w:tc>
          <w:tcPr>
            <w:tcW w:w="4540" w:type="dxa"/>
            <w:tcBorders>
              <w:top w:val="nil"/>
              <w:left w:val="nil"/>
              <w:bottom w:val="single" w:color="000000" w:sz="8" w:space="0"/>
              <w:right w:val="single" w:color="000000" w:sz="8" w:space="0"/>
            </w:tcBorders>
            <w:noWrap w:val="0"/>
            <w:vAlign w:val="center"/>
          </w:tcPr>
          <w:p w14:paraId="5C039D5C">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《家用太阳能热水系统能效限定值及能效等级》（GB26969）</w:t>
            </w:r>
          </w:p>
        </w:tc>
      </w:tr>
      <w:tr w14:paraId="24B68660">
        <w:tblPrEx>
          <w:tblCellMar>
            <w:top w:w="0" w:type="dxa"/>
            <w:left w:w="108" w:type="dxa"/>
            <w:bottom w:w="0" w:type="dxa"/>
            <w:right w:w="108" w:type="dxa"/>
          </w:tblCellMar>
        </w:tblPrEx>
        <w:trPr>
          <w:trHeight w:val="495" w:hRule="atLeast"/>
        </w:trPr>
        <w:tc>
          <w:tcPr>
            <w:tcW w:w="660" w:type="dxa"/>
            <w:vMerge w:val="restart"/>
            <w:tcBorders>
              <w:top w:val="nil"/>
              <w:left w:val="single" w:color="auto" w:sz="8" w:space="0"/>
              <w:bottom w:val="single" w:color="auto" w:sz="8" w:space="0"/>
              <w:right w:val="single" w:color="auto" w:sz="8" w:space="0"/>
            </w:tcBorders>
            <w:noWrap w:val="0"/>
            <w:vAlign w:val="center"/>
          </w:tcPr>
          <w:p w14:paraId="3069F63A">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11</w:t>
            </w:r>
          </w:p>
        </w:tc>
        <w:tc>
          <w:tcPr>
            <w:tcW w:w="1080" w:type="dxa"/>
            <w:vMerge w:val="restart"/>
            <w:tcBorders>
              <w:top w:val="nil"/>
              <w:left w:val="single" w:color="auto" w:sz="8" w:space="0"/>
              <w:bottom w:val="single" w:color="auto" w:sz="8" w:space="0"/>
              <w:right w:val="single" w:color="auto" w:sz="8" w:space="0"/>
            </w:tcBorders>
            <w:noWrap w:val="0"/>
            <w:vAlign w:val="center"/>
          </w:tcPr>
          <w:p w14:paraId="2C99F069">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A020619照明设备</w:t>
            </w:r>
          </w:p>
        </w:tc>
        <w:tc>
          <w:tcPr>
            <w:tcW w:w="1320" w:type="dxa"/>
            <w:tcBorders>
              <w:top w:val="nil"/>
              <w:left w:val="nil"/>
              <w:bottom w:val="single" w:color="auto" w:sz="8" w:space="0"/>
              <w:right w:val="single" w:color="auto" w:sz="8" w:space="0"/>
            </w:tcBorders>
            <w:noWrap w:val="0"/>
            <w:vAlign w:val="center"/>
          </w:tcPr>
          <w:p w14:paraId="7DBFE6CF">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★普通照明用双端荧光灯</w:t>
            </w:r>
          </w:p>
        </w:tc>
        <w:tc>
          <w:tcPr>
            <w:tcW w:w="1620" w:type="dxa"/>
            <w:tcBorders>
              <w:top w:val="nil"/>
              <w:left w:val="nil"/>
              <w:bottom w:val="single" w:color="auto" w:sz="8" w:space="0"/>
              <w:right w:val="single" w:color="auto" w:sz="8" w:space="0"/>
            </w:tcBorders>
            <w:noWrap w:val="0"/>
            <w:vAlign w:val="center"/>
          </w:tcPr>
          <w:p w14:paraId="3A277D95">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2724CB13">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《普通照明用双端荧光灯能效限定值及能效等级》（GB19043）</w:t>
            </w:r>
          </w:p>
        </w:tc>
      </w:tr>
      <w:tr w14:paraId="69E9E45F">
        <w:tblPrEx>
          <w:tblCellMar>
            <w:top w:w="0" w:type="dxa"/>
            <w:left w:w="108" w:type="dxa"/>
            <w:bottom w:w="0" w:type="dxa"/>
            <w:right w:w="108" w:type="dxa"/>
          </w:tblCellMar>
        </w:tblPrEx>
        <w:trPr>
          <w:trHeight w:val="495" w:hRule="atLeast"/>
        </w:trPr>
        <w:tc>
          <w:tcPr>
            <w:tcW w:w="0" w:type="auto"/>
            <w:vMerge w:val="continue"/>
            <w:tcBorders>
              <w:top w:val="nil"/>
              <w:left w:val="single" w:color="auto" w:sz="8" w:space="0"/>
              <w:bottom w:val="single" w:color="auto" w:sz="8" w:space="0"/>
              <w:right w:val="single" w:color="auto" w:sz="8" w:space="0"/>
            </w:tcBorders>
            <w:noWrap w:val="0"/>
            <w:vAlign w:val="center"/>
          </w:tcPr>
          <w:p w14:paraId="579C5538">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auto" w:sz="8" w:space="0"/>
              <w:bottom w:val="single" w:color="auto" w:sz="8" w:space="0"/>
              <w:right w:val="single" w:color="auto" w:sz="8" w:space="0"/>
            </w:tcBorders>
            <w:noWrap w:val="0"/>
            <w:vAlign w:val="center"/>
          </w:tcPr>
          <w:p w14:paraId="5BCD8031">
            <w:pPr>
              <w:widowControl/>
              <w:shd w:val="clear" w:color="auto" w:fill="auto"/>
              <w:jc w:val="left"/>
              <w:rPr>
                <w:rFonts w:hint="eastAsia" w:ascii="宋体" w:hAnsi="宋体" w:eastAsia="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0"/>
            <w:vAlign w:val="center"/>
          </w:tcPr>
          <w:p w14:paraId="6DEDD59F">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LED道路/隧道照明产品</w:t>
            </w:r>
          </w:p>
        </w:tc>
        <w:tc>
          <w:tcPr>
            <w:tcW w:w="1620" w:type="dxa"/>
            <w:tcBorders>
              <w:top w:val="nil"/>
              <w:left w:val="nil"/>
              <w:bottom w:val="single" w:color="auto" w:sz="8" w:space="0"/>
              <w:right w:val="single" w:color="auto" w:sz="8" w:space="0"/>
            </w:tcBorders>
            <w:noWrap w:val="0"/>
            <w:vAlign w:val="center"/>
          </w:tcPr>
          <w:p w14:paraId="15B59DE4">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7EE60A82">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《道路和隧道照明用LED灯具能效限定值及能效等级》（GB37478）</w:t>
            </w:r>
          </w:p>
        </w:tc>
      </w:tr>
      <w:tr w14:paraId="23858BBA">
        <w:tblPrEx>
          <w:tblCellMar>
            <w:top w:w="0" w:type="dxa"/>
            <w:left w:w="108" w:type="dxa"/>
            <w:bottom w:w="0" w:type="dxa"/>
            <w:right w:w="108" w:type="dxa"/>
          </w:tblCellMar>
        </w:tblPrEx>
        <w:trPr>
          <w:trHeight w:val="495" w:hRule="atLeast"/>
        </w:trPr>
        <w:tc>
          <w:tcPr>
            <w:tcW w:w="0" w:type="auto"/>
            <w:vMerge w:val="continue"/>
            <w:tcBorders>
              <w:top w:val="nil"/>
              <w:left w:val="single" w:color="auto" w:sz="8" w:space="0"/>
              <w:bottom w:val="single" w:color="auto" w:sz="8" w:space="0"/>
              <w:right w:val="single" w:color="auto" w:sz="8" w:space="0"/>
            </w:tcBorders>
            <w:noWrap w:val="0"/>
            <w:vAlign w:val="center"/>
          </w:tcPr>
          <w:p w14:paraId="3E2A70A7">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auto" w:sz="8" w:space="0"/>
              <w:bottom w:val="single" w:color="auto" w:sz="8" w:space="0"/>
              <w:right w:val="single" w:color="auto" w:sz="8" w:space="0"/>
            </w:tcBorders>
            <w:noWrap w:val="0"/>
            <w:vAlign w:val="center"/>
          </w:tcPr>
          <w:p w14:paraId="1DCD33F0">
            <w:pPr>
              <w:widowControl/>
              <w:shd w:val="clear" w:color="auto" w:fill="auto"/>
              <w:jc w:val="left"/>
              <w:rPr>
                <w:rFonts w:hint="eastAsia" w:ascii="宋体" w:hAnsi="宋体" w:eastAsia="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0"/>
            <w:vAlign w:val="center"/>
          </w:tcPr>
          <w:p w14:paraId="1FC68C58">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LED筒灯</w:t>
            </w:r>
          </w:p>
        </w:tc>
        <w:tc>
          <w:tcPr>
            <w:tcW w:w="1620" w:type="dxa"/>
            <w:tcBorders>
              <w:top w:val="nil"/>
              <w:left w:val="nil"/>
              <w:bottom w:val="single" w:color="auto" w:sz="8" w:space="0"/>
              <w:right w:val="single" w:color="auto" w:sz="8" w:space="0"/>
            </w:tcBorders>
            <w:noWrap w:val="0"/>
            <w:vAlign w:val="center"/>
          </w:tcPr>
          <w:p w14:paraId="777347C6">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6DD56B0C">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《室内照明用LED产品能效限定值及能效等级》（GB30255）</w:t>
            </w:r>
          </w:p>
        </w:tc>
      </w:tr>
      <w:tr w14:paraId="54255BBE">
        <w:tblPrEx>
          <w:tblCellMar>
            <w:top w:w="0" w:type="dxa"/>
            <w:left w:w="108" w:type="dxa"/>
            <w:bottom w:w="0" w:type="dxa"/>
            <w:right w:w="108" w:type="dxa"/>
          </w:tblCellMar>
        </w:tblPrEx>
        <w:trPr>
          <w:trHeight w:val="735" w:hRule="atLeast"/>
        </w:trPr>
        <w:tc>
          <w:tcPr>
            <w:tcW w:w="0" w:type="auto"/>
            <w:vMerge w:val="continue"/>
            <w:tcBorders>
              <w:top w:val="nil"/>
              <w:left w:val="single" w:color="auto" w:sz="8" w:space="0"/>
              <w:bottom w:val="single" w:color="auto" w:sz="8" w:space="0"/>
              <w:right w:val="single" w:color="auto" w:sz="8" w:space="0"/>
            </w:tcBorders>
            <w:noWrap w:val="0"/>
            <w:vAlign w:val="center"/>
          </w:tcPr>
          <w:p w14:paraId="03C27F65">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auto" w:sz="8" w:space="0"/>
              <w:bottom w:val="single" w:color="auto" w:sz="8" w:space="0"/>
              <w:right w:val="single" w:color="auto" w:sz="8" w:space="0"/>
            </w:tcBorders>
            <w:noWrap w:val="0"/>
            <w:vAlign w:val="center"/>
          </w:tcPr>
          <w:p w14:paraId="65ABFD83">
            <w:pPr>
              <w:widowControl/>
              <w:shd w:val="clear" w:color="auto" w:fill="auto"/>
              <w:jc w:val="left"/>
              <w:rPr>
                <w:rFonts w:hint="eastAsia" w:ascii="宋体" w:hAnsi="宋体" w:eastAsia="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0"/>
            <w:vAlign w:val="center"/>
          </w:tcPr>
          <w:p w14:paraId="3DF360F0">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普通照明用非定向自镇流LED灯</w:t>
            </w:r>
          </w:p>
        </w:tc>
        <w:tc>
          <w:tcPr>
            <w:tcW w:w="1620" w:type="dxa"/>
            <w:tcBorders>
              <w:top w:val="nil"/>
              <w:left w:val="nil"/>
              <w:bottom w:val="single" w:color="auto" w:sz="8" w:space="0"/>
              <w:right w:val="single" w:color="auto" w:sz="8" w:space="0"/>
            </w:tcBorders>
            <w:noWrap w:val="0"/>
            <w:vAlign w:val="center"/>
          </w:tcPr>
          <w:p w14:paraId="65244FB5">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7394D8D2">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《室内照明用LED产品能效限定值及能效等级》（GB30255）</w:t>
            </w:r>
          </w:p>
        </w:tc>
      </w:tr>
      <w:tr w14:paraId="640E3C4D">
        <w:tblPrEx>
          <w:tblCellMar>
            <w:top w:w="0" w:type="dxa"/>
            <w:left w:w="108" w:type="dxa"/>
            <w:bottom w:w="0" w:type="dxa"/>
            <w:right w:w="108" w:type="dxa"/>
          </w:tblCellMar>
        </w:tblPrEx>
        <w:trPr>
          <w:trHeight w:val="735" w:hRule="atLeast"/>
        </w:trPr>
        <w:tc>
          <w:tcPr>
            <w:tcW w:w="660" w:type="dxa"/>
            <w:tcBorders>
              <w:top w:val="nil"/>
              <w:left w:val="single" w:color="auto" w:sz="8" w:space="0"/>
              <w:bottom w:val="single" w:color="auto" w:sz="8" w:space="0"/>
              <w:right w:val="single" w:color="auto" w:sz="8" w:space="0"/>
            </w:tcBorders>
            <w:noWrap w:val="0"/>
            <w:vAlign w:val="center"/>
          </w:tcPr>
          <w:p w14:paraId="30CA154D">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12</w:t>
            </w:r>
          </w:p>
        </w:tc>
        <w:tc>
          <w:tcPr>
            <w:tcW w:w="1080" w:type="dxa"/>
            <w:tcBorders>
              <w:top w:val="nil"/>
              <w:left w:val="nil"/>
              <w:bottom w:val="single" w:color="auto" w:sz="8" w:space="0"/>
              <w:right w:val="single" w:color="auto" w:sz="8" w:space="0"/>
            </w:tcBorders>
            <w:noWrap w:val="0"/>
            <w:vAlign w:val="center"/>
          </w:tcPr>
          <w:p w14:paraId="57047318">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★A020910电视设备</w:t>
            </w:r>
          </w:p>
        </w:tc>
        <w:tc>
          <w:tcPr>
            <w:tcW w:w="1320" w:type="dxa"/>
            <w:tcBorders>
              <w:top w:val="nil"/>
              <w:left w:val="nil"/>
              <w:bottom w:val="single" w:color="auto" w:sz="8" w:space="0"/>
              <w:right w:val="single" w:color="auto" w:sz="8" w:space="0"/>
            </w:tcBorders>
            <w:noWrap w:val="0"/>
            <w:vAlign w:val="center"/>
          </w:tcPr>
          <w:p w14:paraId="3F33C1E7">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A02091001普通电视设备（电视机）</w:t>
            </w:r>
          </w:p>
        </w:tc>
        <w:tc>
          <w:tcPr>
            <w:tcW w:w="1620" w:type="dxa"/>
            <w:tcBorders>
              <w:top w:val="nil"/>
              <w:left w:val="nil"/>
              <w:bottom w:val="single" w:color="auto" w:sz="8" w:space="0"/>
              <w:right w:val="single" w:color="auto" w:sz="8" w:space="0"/>
            </w:tcBorders>
            <w:noWrap w:val="0"/>
            <w:vAlign w:val="center"/>
          </w:tcPr>
          <w:p w14:paraId="4C090AE1">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338FF040">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《平板电视能效限定值及能效等级》（GB24850）</w:t>
            </w:r>
          </w:p>
        </w:tc>
      </w:tr>
      <w:tr w14:paraId="6B65EE29">
        <w:tblPrEx>
          <w:tblCellMar>
            <w:top w:w="0" w:type="dxa"/>
            <w:left w:w="108" w:type="dxa"/>
            <w:bottom w:w="0" w:type="dxa"/>
            <w:right w:w="108" w:type="dxa"/>
          </w:tblCellMar>
        </w:tblPrEx>
        <w:trPr>
          <w:trHeight w:val="975" w:hRule="atLeast"/>
        </w:trPr>
        <w:tc>
          <w:tcPr>
            <w:tcW w:w="660" w:type="dxa"/>
            <w:tcBorders>
              <w:top w:val="nil"/>
              <w:left w:val="single" w:color="auto" w:sz="8" w:space="0"/>
              <w:bottom w:val="single" w:color="auto" w:sz="8" w:space="0"/>
              <w:right w:val="single" w:color="auto" w:sz="8" w:space="0"/>
            </w:tcBorders>
            <w:noWrap w:val="0"/>
            <w:vAlign w:val="center"/>
          </w:tcPr>
          <w:p w14:paraId="219A2D22">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13</w:t>
            </w:r>
          </w:p>
        </w:tc>
        <w:tc>
          <w:tcPr>
            <w:tcW w:w="1080" w:type="dxa"/>
            <w:tcBorders>
              <w:top w:val="nil"/>
              <w:left w:val="nil"/>
              <w:bottom w:val="single" w:color="auto" w:sz="8" w:space="0"/>
              <w:right w:val="single" w:color="auto" w:sz="8" w:space="0"/>
            </w:tcBorders>
            <w:noWrap w:val="0"/>
            <w:vAlign w:val="center"/>
          </w:tcPr>
          <w:p w14:paraId="1AF4E571">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★A020911视频设备</w:t>
            </w:r>
          </w:p>
        </w:tc>
        <w:tc>
          <w:tcPr>
            <w:tcW w:w="1320" w:type="dxa"/>
            <w:tcBorders>
              <w:top w:val="nil"/>
              <w:left w:val="nil"/>
              <w:bottom w:val="single" w:color="auto" w:sz="8" w:space="0"/>
              <w:right w:val="single" w:color="auto" w:sz="8" w:space="0"/>
            </w:tcBorders>
            <w:noWrap w:val="0"/>
            <w:vAlign w:val="center"/>
          </w:tcPr>
          <w:p w14:paraId="525951A0">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A02091107视频监控设备</w:t>
            </w:r>
          </w:p>
        </w:tc>
        <w:tc>
          <w:tcPr>
            <w:tcW w:w="1620" w:type="dxa"/>
            <w:tcBorders>
              <w:top w:val="nil"/>
              <w:left w:val="nil"/>
              <w:bottom w:val="single" w:color="auto" w:sz="8" w:space="0"/>
              <w:right w:val="single" w:color="auto" w:sz="8" w:space="0"/>
            </w:tcBorders>
            <w:noWrap w:val="0"/>
            <w:vAlign w:val="center"/>
          </w:tcPr>
          <w:p w14:paraId="7F3616C1">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监视器</w:t>
            </w:r>
          </w:p>
        </w:tc>
        <w:tc>
          <w:tcPr>
            <w:tcW w:w="4540" w:type="dxa"/>
            <w:tcBorders>
              <w:top w:val="nil"/>
              <w:left w:val="nil"/>
              <w:bottom w:val="single" w:color="auto" w:sz="8" w:space="0"/>
              <w:right w:val="single" w:color="auto" w:sz="8" w:space="0"/>
            </w:tcBorders>
            <w:noWrap w:val="0"/>
            <w:vAlign w:val="center"/>
          </w:tcPr>
          <w:p w14:paraId="3EE4F652">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338F9E34">
        <w:tblPrEx>
          <w:tblCellMar>
            <w:top w:w="0" w:type="dxa"/>
            <w:left w:w="108" w:type="dxa"/>
            <w:bottom w:w="0" w:type="dxa"/>
            <w:right w:w="108" w:type="dxa"/>
          </w:tblCellMar>
        </w:tblPrEx>
        <w:trPr>
          <w:trHeight w:val="495" w:hRule="atLeast"/>
        </w:trPr>
        <w:tc>
          <w:tcPr>
            <w:tcW w:w="660" w:type="dxa"/>
            <w:tcBorders>
              <w:top w:val="nil"/>
              <w:left w:val="single" w:color="auto" w:sz="8" w:space="0"/>
              <w:bottom w:val="single" w:color="auto" w:sz="8" w:space="0"/>
              <w:right w:val="single" w:color="auto" w:sz="8" w:space="0"/>
            </w:tcBorders>
            <w:noWrap w:val="0"/>
            <w:vAlign w:val="center"/>
          </w:tcPr>
          <w:p w14:paraId="415BD838">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14</w:t>
            </w:r>
          </w:p>
        </w:tc>
        <w:tc>
          <w:tcPr>
            <w:tcW w:w="1080" w:type="dxa"/>
            <w:tcBorders>
              <w:top w:val="nil"/>
              <w:left w:val="nil"/>
              <w:bottom w:val="single" w:color="auto" w:sz="8" w:space="0"/>
              <w:right w:val="single" w:color="auto" w:sz="8" w:space="0"/>
            </w:tcBorders>
            <w:noWrap w:val="0"/>
            <w:vAlign w:val="center"/>
          </w:tcPr>
          <w:p w14:paraId="255AC332">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A031210饮食炊事机械</w:t>
            </w:r>
          </w:p>
        </w:tc>
        <w:tc>
          <w:tcPr>
            <w:tcW w:w="1320" w:type="dxa"/>
            <w:tcBorders>
              <w:top w:val="nil"/>
              <w:left w:val="nil"/>
              <w:bottom w:val="single" w:color="auto" w:sz="8" w:space="0"/>
              <w:right w:val="single" w:color="auto" w:sz="8" w:space="0"/>
            </w:tcBorders>
            <w:noWrap w:val="0"/>
            <w:vAlign w:val="center"/>
          </w:tcPr>
          <w:p w14:paraId="328FF3ED">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商用燃气灶具</w:t>
            </w:r>
          </w:p>
        </w:tc>
        <w:tc>
          <w:tcPr>
            <w:tcW w:w="1620" w:type="dxa"/>
            <w:tcBorders>
              <w:top w:val="nil"/>
              <w:left w:val="nil"/>
              <w:bottom w:val="single" w:color="auto" w:sz="8" w:space="0"/>
              <w:right w:val="single" w:color="auto" w:sz="8" w:space="0"/>
            </w:tcBorders>
            <w:noWrap w:val="0"/>
            <w:vAlign w:val="center"/>
          </w:tcPr>
          <w:p w14:paraId="1D07B849">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66BB0FB1">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《商用燃气灶具能效限定值及能效等级》（GB30531）</w:t>
            </w:r>
          </w:p>
        </w:tc>
      </w:tr>
      <w:tr w14:paraId="5AE67DA0">
        <w:tblPrEx>
          <w:tblCellMar>
            <w:top w:w="0" w:type="dxa"/>
            <w:left w:w="108" w:type="dxa"/>
            <w:bottom w:w="0" w:type="dxa"/>
            <w:right w:w="108" w:type="dxa"/>
          </w:tblCellMar>
        </w:tblPrEx>
        <w:trPr>
          <w:trHeight w:val="285" w:hRule="atLeast"/>
        </w:trPr>
        <w:tc>
          <w:tcPr>
            <w:tcW w:w="660" w:type="dxa"/>
            <w:vMerge w:val="restart"/>
            <w:tcBorders>
              <w:top w:val="nil"/>
              <w:left w:val="single" w:color="auto" w:sz="8" w:space="0"/>
              <w:bottom w:val="single" w:color="auto" w:sz="8" w:space="0"/>
              <w:right w:val="single" w:color="auto" w:sz="8" w:space="0"/>
            </w:tcBorders>
            <w:noWrap w:val="0"/>
            <w:vAlign w:val="center"/>
          </w:tcPr>
          <w:p w14:paraId="53785266">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15</w:t>
            </w:r>
          </w:p>
        </w:tc>
        <w:tc>
          <w:tcPr>
            <w:tcW w:w="1080" w:type="dxa"/>
            <w:vMerge w:val="restart"/>
            <w:tcBorders>
              <w:top w:val="nil"/>
              <w:left w:val="single" w:color="auto" w:sz="8" w:space="0"/>
              <w:bottom w:val="single" w:color="000000" w:sz="8" w:space="0"/>
              <w:right w:val="single" w:color="auto" w:sz="8" w:space="0"/>
            </w:tcBorders>
            <w:noWrap w:val="0"/>
            <w:vAlign w:val="center"/>
          </w:tcPr>
          <w:p w14:paraId="3545E261">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★A060805便器</w:t>
            </w:r>
          </w:p>
        </w:tc>
        <w:tc>
          <w:tcPr>
            <w:tcW w:w="1320" w:type="dxa"/>
            <w:tcBorders>
              <w:top w:val="nil"/>
              <w:left w:val="nil"/>
              <w:bottom w:val="single" w:color="auto" w:sz="8" w:space="0"/>
              <w:right w:val="single" w:color="auto" w:sz="8" w:space="0"/>
            </w:tcBorders>
            <w:noWrap w:val="0"/>
            <w:vAlign w:val="center"/>
          </w:tcPr>
          <w:p w14:paraId="61A3EAFE">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坐便器</w:t>
            </w:r>
          </w:p>
        </w:tc>
        <w:tc>
          <w:tcPr>
            <w:tcW w:w="1620" w:type="dxa"/>
            <w:tcBorders>
              <w:top w:val="nil"/>
              <w:left w:val="nil"/>
              <w:bottom w:val="single" w:color="auto" w:sz="8" w:space="0"/>
              <w:right w:val="single" w:color="auto" w:sz="8" w:space="0"/>
            </w:tcBorders>
            <w:noWrap w:val="0"/>
            <w:vAlign w:val="center"/>
          </w:tcPr>
          <w:p w14:paraId="5918D455">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64010E7C">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《坐便器水效限定值及水效等级》（GB25502）</w:t>
            </w:r>
          </w:p>
        </w:tc>
      </w:tr>
      <w:tr w14:paraId="2EEDA3B0">
        <w:tblPrEx>
          <w:tblCellMar>
            <w:top w:w="0" w:type="dxa"/>
            <w:left w:w="108" w:type="dxa"/>
            <w:bottom w:w="0" w:type="dxa"/>
            <w:right w:w="108" w:type="dxa"/>
          </w:tblCellMar>
        </w:tblPrEx>
        <w:trPr>
          <w:trHeight w:val="495" w:hRule="atLeast"/>
        </w:trPr>
        <w:tc>
          <w:tcPr>
            <w:tcW w:w="0" w:type="auto"/>
            <w:vMerge w:val="continue"/>
            <w:tcBorders>
              <w:top w:val="nil"/>
              <w:left w:val="single" w:color="auto" w:sz="8" w:space="0"/>
              <w:bottom w:val="single" w:color="auto" w:sz="8" w:space="0"/>
              <w:right w:val="single" w:color="auto" w:sz="8" w:space="0"/>
            </w:tcBorders>
            <w:noWrap w:val="0"/>
            <w:vAlign w:val="center"/>
          </w:tcPr>
          <w:p w14:paraId="766B57BC">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auto" w:sz="8" w:space="0"/>
              <w:bottom w:val="single" w:color="000000" w:sz="8" w:space="0"/>
              <w:right w:val="single" w:color="auto" w:sz="8" w:space="0"/>
            </w:tcBorders>
            <w:noWrap w:val="0"/>
            <w:vAlign w:val="center"/>
          </w:tcPr>
          <w:p w14:paraId="7821C2DC">
            <w:pPr>
              <w:widowControl/>
              <w:shd w:val="clear" w:color="auto" w:fill="auto"/>
              <w:jc w:val="left"/>
              <w:rPr>
                <w:rFonts w:hint="eastAsia" w:ascii="宋体" w:hAnsi="宋体" w:eastAsia="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0"/>
            <w:vAlign w:val="center"/>
          </w:tcPr>
          <w:p w14:paraId="6A8FADA8">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蹲便器</w:t>
            </w:r>
          </w:p>
        </w:tc>
        <w:tc>
          <w:tcPr>
            <w:tcW w:w="1620" w:type="dxa"/>
            <w:tcBorders>
              <w:top w:val="nil"/>
              <w:left w:val="nil"/>
              <w:bottom w:val="single" w:color="auto" w:sz="8" w:space="0"/>
              <w:right w:val="single" w:color="auto" w:sz="8" w:space="0"/>
            </w:tcBorders>
            <w:noWrap w:val="0"/>
            <w:vAlign w:val="center"/>
          </w:tcPr>
          <w:p w14:paraId="27E78155">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326899F9">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《蹲便器用水效率限定值及用水效率等级》（GB30717）</w:t>
            </w:r>
          </w:p>
        </w:tc>
      </w:tr>
      <w:tr w14:paraId="2CBCA615">
        <w:tblPrEx>
          <w:tblCellMar>
            <w:top w:w="0" w:type="dxa"/>
            <w:left w:w="108" w:type="dxa"/>
            <w:bottom w:w="0" w:type="dxa"/>
            <w:right w:w="108" w:type="dxa"/>
          </w:tblCellMar>
        </w:tblPrEx>
        <w:trPr>
          <w:trHeight w:val="495" w:hRule="atLeast"/>
        </w:trPr>
        <w:tc>
          <w:tcPr>
            <w:tcW w:w="0" w:type="auto"/>
            <w:vMerge w:val="continue"/>
            <w:tcBorders>
              <w:top w:val="nil"/>
              <w:left w:val="single" w:color="auto" w:sz="8" w:space="0"/>
              <w:bottom w:val="single" w:color="auto" w:sz="8" w:space="0"/>
              <w:right w:val="single" w:color="auto" w:sz="8" w:space="0"/>
            </w:tcBorders>
            <w:noWrap w:val="0"/>
            <w:vAlign w:val="center"/>
          </w:tcPr>
          <w:p w14:paraId="52404B76">
            <w:pPr>
              <w:widowControl/>
              <w:shd w:val="clear" w:color="auto" w:fill="auto"/>
              <w:jc w:val="left"/>
              <w:rPr>
                <w:rFonts w:hint="eastAsia" w:ascii="宋体" w:hAnsi="宋体" w:eastAsia="宋体" w:cs="宋体"/>
                <w:color w:val="auto"/>
                <w:kern w:val="0"/>
                <w:sz w:val="20"/>
                <w:szCs w:val="20"/>
                <w:highlight w:val="none"/>
              </w:rPr>
            </w:pPr>
          </w:p>
        </w:tc>
        <w:tc>
          <w:tcPr>
            <w:tcW w:w="0" w:type="auto"/>
            <w:vMerge w:val="continue"/>
            <w:tcBorders>
              <w:top w:val="nil"/>
              <w:left w:val="single" w:color="auto" w:sz="8" w:space="0"/>
              <w:bottom w:val="single" w:color="000000" w:sz="8" w:space="0"/>
              <w:right w:val="single" w:color="auto" w:sz="8" w:space="0"/>
            </w:tcBorders>
            <w:noWrap w:val="0"/>
            <w:vAlign w:val="center"/>
          </w:tcPr>
          <w:p w14:paraId="0980887A">
            <w:pPr>
              <w:widowControl/>
              <w:shd w:val="clear" w:color="auto" w:fill="auto"/>
              <w:jc w:val="left"/>
              <w:rPr>
                <w:rFonts w:hint="eastAsia" w:ascii="宋体" w:hAnsi="宋体" w:eastAsia="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0"/>
            <w:vAlign w:val="center"/>
          </w:tcPr>
          <w:p w14:paraId="328B406E">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小便器</w:t>
            </w:r>
          </w:p>
        </w:tc>
        <w:tc>
          <w:tcPr>
            <w:tcW w:w="1620" w:type="dxa"/>
            <w:tcBorders>
              <w:top w:val="nil"/>
              <w:left w:val="nil"/>
              <w:bottom w:val="single" w:color="auto" w:sz="8" w:space="0"/>
              <w:right w:val="single" w:color="auto" w:sz="8" w:space="0"/>
            </w:tcBorders>
            <w:noWrap w:val="0"/>
            <w:vAlign w:val="center"/>
          </w:tcPr>
          <w:p w14:paraId="5CB52EA0">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0"/>
            <w:vAlign w:val="center"/>
          </w:tcPr>
          <w:p w14:paraId="3CA59368">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《小便器用水效率限定值及用水效率等级》（GB28377）</w:t>
            </w:r>
          </w:p>
        </w:tc>
      </w:tr>
      <w:tr w14:paraId="01F55390">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35AD60EE">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16</w:t>
            </w:r>
          </w:p>
        </w:tc>
        <w:tc>
          <w:tcPr>
            <w:tcW w:w="1080" w:type="dxa"/>
            <w:tcBorders>
              <w:top w:val="nil"/>
              <w:left w:val="nil"/>
              <w:bottom w:val="single" w:color="000000" w:sz="8" w:space="0"/>
              <w:right w:val="single" w:color="000000" w:sz="8" w:space="0"/>
            </w:tcBorders>
            <w:noWrap w:val="0"/>
            <w:vAlign w:val="center"/>
          </w:tcPr>
          <w:p w14:paraId="459101D6">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★A060806水嘴</w:t>
            </w:r>
          </w:p>
        </w:tc>
        <w:tc>
          <w:tcPr>
            <w:tcW w:w="1320" w:type="dxa"/>
            <w:tcBorders>
              <w:top w:val="nil"/>
              <w:left w:val="nil"/>
              <w:bottom w:val="single" w:color="000000" w:sz="8" w:space="0"/>
              <w:right w:val="single" w:color="000000" w:sz="8" w:space="0"/>
            </w:tcBorders>
            <w:noWrap w:val="0"/>
            <w:vAlign w:val="center"/>
          </w:tcPr>
          <w:p w14:paraId="731B627B">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290C6D11">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7250CADC">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《水嘴用水效率限定值及用水效率等级》（GB 25501）</w:t>
            </w:r>
          </w:p>
        </w:tc>
      </w:tr>
      <w:tr w14:paraId="615BC174">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4D418DBF">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17</w:t>
            </w:r>
          </w:p>
        </w:tc>
        <w:tc>
          <w:tcPr>
            <w:tcW w:w="1080" w:type="dxa"/>
            <w:tcBorders>
              <w:top w:val="nil"/>
              <w:left w:val="nil"/>
              <w:bottom w:val="single" w:color="000000" w:sz="8" w:space="0"/>
              <w:right w:val="single" w:color="000000" w:sz="8" w:space="0"/>
            </w:tcBorders>
            <w:noWrap w:val="0"/>
            <w:vAlign w:val="center"/>
          </w:tcPr>
          <w:p w14:paraId="1DD14F23">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A060807便器冲洗阀</w:t>
            </w:r>
          </w:p>
        </w:tc>
        <w:tc>
          <w:tcPr>
            <w:tcW w:w="1320" w:type="dxa"/>
            <w:tcBorders>
              <w:top w:val="nil"/>
              <w:left w:val="nil"/>
              <w:bottom w:val="single" w:color="000000" w:sz="8" w:space="0"/>
              <w:right w:val="single" w:color="000000" w:sz="8" w:space="0"/>
            </w:tcBorders>
            <w:noWrap w:val="0"/>
            <w:vAlign w:val="center"/>
          </w:tcPr>
          <w:p w14:paraId="485C6994">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17A314C8">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47AD2D18">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《便器冲洗阀用水效率限定值及用水效率等级》（GB28379）</w:t>
            </w:r>
          </w:p>
        </w:tc>
      </w:tr>
      <w:tr w14:paraId="2C4B7ED8">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2DE86AB4">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18</w:t>
            </w:r>
          </w:p>
        </w:tc>
        <w:tc>
          <w:tcPr>
            <w:tcW w:w="1080" w:type="dxa"/>
            <w:tcBorders>
              <w:top w:val="nil"/>
              <w:left w:val="nil"/>
              <w:bottom w:val="single" w:color="000000" w:sz="8" w:space="0"/>
              <w:right w:val="single" w:color="000000" w:sz="8" w:space="0"/>
            </w:tcBorders>
            <w:noWrap w:val="0"/>
            <w:vAlign w:val="center"/>
          </w:tcPr>
          <w:p w14:paraId="078F680F">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A060810淋浴器</w:t>
            </w:r>
          </w:p>
        </w:tc>
        <w:tc>
          <w:tcPr>
            <w:tcW w:w="1320" w:type="dxa"/>
            <w:tcBorders>
              <w:top w:val="nil"/>
              <w:left w:val="nil"/>
              <w:bottom w:val="single" w:color="000000" w:sz="8" w:space="0"/>
              <w:right w:val="single" w:color="000000" w:sz="8" w:space="0"/>
            </w:tcBorders>
            <w:noWrap w:val="0"/>
            <w:vAlign w:val="center"/>
          </w:tcPr>
          <w:p w14:paraId="6340AFFB">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0"/>
            <w:vAlign w:val="center"/>
          </w:tcPr>
          <w:p w14:paraId="410752B2">
            <w:pPr>
              <w:widowControl/>
              <w:shd w:val="clear" w:color="auto" w:fill="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0"/>
            <w:vAlign w:val="center"/>
          </w:tcPr>
          <w:p w14:paraId="2CB75EE1">
            <w:pPr>
              <w:widowControl/>
              <w:shd w:val="clear" w:color="auto" w:fill="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《淋浴器用水效率限定值及用水效率等级》（GB28378）</w:t>
            </w:r>
          </w:p>
        </w:tc>
      </w:tr>
    </w:tbl>
    <w:p w14:paraId="3E4BA340">
      <w:pPr>
        <w:widowControl/>
        <w:shd w:val="clear" w:color="auto" w:fill="auto"/>
        <w:rPr>
          <w:rFonts w:hint="eastAsia" w:ascii="宋体" w:hAnsi="宋体" w:eastAsia="宋体" w:cs="宋体"/>
          <w:color w:val="auto"/>
          <w:sz w:val="20"/>
          <w:szCs w:val="20"/>
          <w:highlight w:val="none"/>
        </w:rPr>
      </w:pPr>
    </w:p>
    <w:p w14:paraId="49C92C73">
      <w:pPr>
        <w:pStyle w:val="19"/>
        <w:shd w:val="clear" w:color="auto" w:fill="auto"/>
        <w:spacing w:line="360" w:lineRule="auto"/>
        <w:rPr>
          <w:rFonts w:hint="eastAsia" w:ascii="宋体" w:hAnsi="宋体" w:eastAsia="宋体" w:cs="宋体"/>
          <w:color w:val="auto"/>
          <w:szCs w:val="21"/>
          <w:highlight w:val="none"/>
        </w:rPr>
      </w:pPr>
      <w:r>
        <w:rPr>
          <w:rFonts w:hint="eastAsia" w:ascii="宋体" w:hAnsi="宋体" w:eastAsia="宋体" w:cs="宋体"/>
          <w:color w:val="auto"/>
          <w:spacing w:val="-3"/>
          <w:szCs w:val="21"/>
          <w:highlight w:val="none"/>
        </w:rPr>
        <w:t>注：1.节能产品认证应依据相关国家标准的最新版本，依据国家标准中二级能效（水效）</w:t>
      </w:r>
      <w:r>
        <w:rPr>
          <w:rFonts w:hint="eastAsia" w:ascii="宋体" w:hAnsi="宋体" w:eastAsia="宋体" w:cs="宋体"/>
          <w:color w:val="auto"/>
          <w:szCs w:val="21"/>
          <w:highlight w:val="none"/>
        </w:rPr>
        <w:t>指标。</w:t>
      </w:r>
    </w:p>
    <w:p w14:paraId="26CA25EC">
      <w:pPr>
        <w:pStyle w:val="19"/>
        <w:shd w:val="clear" w:color="auto" w:fill="auto"/>
        <w:spacing w:line="360" w:lineRule="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 xml:space="preserve">    2</w:t>
      </w:r>
      <w:r>
        <w:rPr>
          <w:rFonts w:hint="eastAsia" w:ascii="宋体" w:hAnsi="宋体" w:eastAsia="宋体" w:cs="宋体"/>
          <w:b/>
          <w:bCs/>
          <w:color w:val="auto"/>
          <w:szCs w:val="21"/>
          <w:highlight w:val="none"/>
        </w:rPr>
        <w:t>.以“★”标注的为政府强制采购产品。</w:t>
      </w:r>
    </w:p>
    <w:p w14:paraId="0C60024D">
      <w:pPr>
        <w:widowControl/>
        <w:ind w:firstLine="500"/>
        <w:jc w:val="left"/>
        <w:rPr>
          <w:rFonts w:ascii="宋体" w:hAnsi="宋体" w:cs="宋体"/>
          <w:color w:val="auto"/>
          <w:sz w:val="20"/>
          <w:szCs w:val="20"/>
          <w:highlight w:val="none"/>
        </w:rPr>
      </w:pPr>
    </w:p>
    <w:p w14:paraId="1EA9B454">
      <w:pPr>
        <w:widowControl/>
        <w:ind w:firstLine="500"/>
        <w:jc w:val="left"/>
        <w:rPr>
          <w:rFonts w:ascii="宋体" w:hAnsi="宋体" w:cs="宋体"/>
          <w:color w:val="auto"/>
          <w:sz w:val="20"/>
          <w:szCs w:val="20"/>
          <w:highlight w:val="none"/>
        </w:rPr>
      </w:pPr>
    </w:p>
    <w:p w14:paraId="68982D88">
      <w:pPr>
        <w:widowControl/>
        <w:ind w:firstLine="500"/>
        <w:jc w:val="left"/>
        <w:rPr>
          <w:rFonts w:ascii="宋体" w:hAnsi="宋体" w:cs="宋体"/>
          <w:color w:val="auto"/>
          <w:sz w:val="20"/>
          <w:szCs w:val="20"/>
          <w:highlight w:val="none"/>
        </w:rPr>
      </w:pPr>
    </w:p>
    <w:p w14:paraId="5F6B9656">
      <w:pPr>
        <w:pStyle w:val="2"/>
        <w:spacing w:before="0" w:after="0" w:line="360" w:lineRule="auto"/>
        <w:ind w:firstLine="1104"/>
        <w:jc w:val="center"/>
        <w:rPr>
          <w:rFonts w:ascii="宋体" w:hAnsi="宋体" w:cs="宋体"/>
          <w:color w:val="auto"/>
          <w:highlight w:val="none"/>
        </w:rPr>
        <w:sectPr>
          <w:headerReference r:id="rId8" w:type="default"/>
          <w:footerReference r:id="rId9" w:type="default"/>
          <w:pgSz w:w="11906" w:h="16839"/>
          <w:pgMar w:top="1140" w:right="1094" w:bottom="1168" w:left="1143" w:header="0" w:footer="720" w:gutter="0"/>
          <w:cols w:space="720" w:num="1"/>
        </w:sectPr>
      </w:pPr>
    </w:p>
    <w:p w14:paraId="00202AE0">
      <w:pPr>
        <w:pStyle w:val="2"/>
        <w:spacing w:before="0" w:after="0" w:line="360" w:lineRule="auto"/>
        <w:ind w:firstLine="1104"/>
        <w:jc w:val="center"/>
        <w:rPr>
          <w:rFonts w:ascii="宋体" w:hAnsi="宋体" w:cs="宋体"/>
          <w:color w:val="auto"/>
          <w:highlight w:val="none"/>
        </w:rPr>
      </w:pPr>
      <w:bookmarkStart w:id="41" w:name="_Toc7718"/>
    </w:p>
    <w:p w14:paraId="383A2752">
      <w:pPr>
        <w:pStyle w:val="2"/>
        <w:spacing w:before="0" w:after="0" w:line="360" w:lineRule="auto"/>
        <w:ind w:firstLine="1104"/>
        <w:jc w:val="center"/>
        <w:rPr>
          <w:rFonts w:ascii="宋体" w:hAnsi="宋体" w:cs="宋体"/>
          <w:color w:val="auto"/>
          <w:highlight w:val="none"/>
        </w:rPr>
      </w:pPr>
      <w:r>
        <w:rPr>
          <w:rFonts w:hint="eastAsia" w:ascii="宋体" w:hAnsi="宋体" w:cs="宋体"/>
          <w:color w:val="auto"/>
          <w:highlight w:val="none"/>
        </w:rPr>
        <w:t>第三章  投标人须知</w:t>
      </w:r>
      <w:bookmarkEnd w:id="41"/>
    </w:p>
    <w:p w14:paraId="51B8DD8B">
      <w:pPr>
        <w:ind w:firstLine="900"/>
        <w:jc w:val="center"/>
        <w:rPr>
          <w:rFonts w:ascii="宋体" w:hAnsi="宋体" w:cs="宋体"/>
          <w:color w:val="auto"/>
          <w:sz w:val="36"/>
          <w:szCs w:val="36"/>
          <w:highlight w:val="none"/>
        </w:rPr>
      </w:pPr>
      <w:bookmarkStart w:id="42" w:name="_Toc254970526"/>
      <w:bookmarkStart w:id="43" w:name="_Toc254970667"/>
      <w:r>
        <w:rPr>
          <w:rFonts w:hint="eastAsia" w:ascii="宋体" w:hAnsi="宋体" w:cs="宋体"/>
          <w:color w:val="auto"/>
          <w:sz w:val="36"/>
          <w:szCs w:val="36"/>
          <w:highlight w:val="none"/>
        </w:rPr>
        <w:t>投标人须知前附表</w:t>
      </w:r>
      <w:bookmarkEnd w:id="42"/>
      <w:bookmarkEnd w:id="43"/>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01"/>
        <w:gridCol w:w="7512"/>
      </w:tblGrid>
      <w:tr w14:paraId="4C48C1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vAlign w:val="center"/>
          </w:tcPr>
          <w:p w14:paraId="20617DF8">
            <w:pPr>
              <w:snapToGrid w:val="0"/>
              <w:spacing w:line="360" w:lineRule="exact"/>
              <w:jc w:val="left"/>
              <w:rPr>
                <w:rFonts w:ascii="宋体" w:hAnsi="宋体" w:cs="宋体"/>
                <w:color w:val="auto"/>
                <w:szCs w:val="21"/>
                <w:highlight w:val="none"/>
              </w:rPr>
            </w:pPr>
            <w:r>
              <w:rPr>
                <w:rFonts w:hint="eastAsia" w:ascii="宋体" w:hAnsi="宋体" w:cs="宋体"/>
                <w:color w:val="auto"/>
                <w:szCs w:val="21"/>
                <w:highlight w:val="none"/>
              </w:rPr>
              <w:t>条款号</w:t>
            </w:r>
          </w:p>
        </w:tc>
        <w:tc>
          <w:tcPr>
            <w:tcW w:w="7512" w:type="dxa"/>
            <w:tcBorders>
              <w:top w:val="single" w:color="auto" w:sz="4" w:space="0"/>
              <w:left w:val="single" w:color="auto" w:sz="4" w:space="0"/>
              <w:bottom w:val="single" w:color="auto" w:sz="4" w:space="0"/>
              <w:right w:val="single" w:color="auto" w:sz="4" w:space="0"/>
            </w:tcBorders>
            <w:vAlign w:val="center"/>
          </w:tcPr>
          <w:p w14:paraId="7B5894C9">
            <w:pPr>
              <w:snapToGrid w:val="0"/>
              <w:spacing w:line="360" w:lineRule="exact"/>
              <w:jc w:val="center"/>
              <w:rPr>
                <w:rFonts w:ascii="宋体" w:hAnsi="宋体" w:cs="宋体"/>
                <w:color w:val="auto"/>
                <w:szCs w:val="21"/>
                <w:highlight w:val="none"/>
              </w:rPr>
            </w:pPr>
            <w:r>
              <w:rPr>
                <w:rFonts w:hint="eastAsia" w:ascii="宋体" w:hAnsi="宋体" w:cs="宋体"/>
                <w:color w:val="auto"/>
                <w:szCs w:val="21"/>
                <w:highlight w:val="none"/>
              </w:rPr>
              <w:t>编列内容</w:t>
            </w:r>
          </w:p>
        </w:tc>
      </w:tr>
      <w:tr w14:paraId="617B2E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vAlign w:val="center"/>
          </w:tcPr>
          <w:p w14:paraId="3FAF2663">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w:t>
            </w:r>
          </w:p>
        </w:tc>
        <w:tc>
          <w:tcPr>
            <w:tcW w:w="7512" w:type="dxa"/>
            <w:tcBorders>
              <w:top w:val="single" w:color="auto" w:sz="4" w:space="0"/>
              <w:left w:val="single" w:color="auto" w:sz="4" w:space="0"/>
              <w:bottom w:val="single" w:color="auto" w:sz="4" w:space="0"/>
              <w:right w:val="single" w:color="auto" w:sz="4" w:space="0"/>
            </w:tcBorders>
            <w:vAlign w:val="center"/>
          </w:tcPr>
          <w:p w14:paraId="1ED323DC">
            <w:pPr>
              <w:snapToGrid w:val="0"/>
              <w:spacing w:line="360" w:lineRule="exact"/>
              <w:jc w:val="left"/>
              <w:rPr>
                <w:rFonts w:ascii="宋体" w:hAnsi="宋体" w:cs="宋体"/>
                <w:color w:val="auto"/>
                <w:szCs w:val="21"/>
                <w:highlight w:val="none"/>
              </w:rPr>
            </w:pPr>
            <w:r>
              <w:rPr>
                <w:rFonts w:hint="eastAsia" w:ascii="宋体" w:hAnsi="宋体" w:cs="宋体"/>
                <w:color w:val="auto"/>
                <w:szCs w:val="21"/>
                <w:highlight w:val="none"/>
              </w:rPr>
              <w:t>1.投标人的资格要求详见招标公告。</w:t>
            </w:r>
          </w:p>
          <w:p w14:paraId="581168B6">
            <w:pPr>
              <w:snapToGrid w:val="0"/>
              <w:spacing w:line="360" w:lineRule="exact"/>
              <w:jc w:val="left"/>
              <w:rPr>
                <w:rFonts w:ascii="宋体" w:hAnsi="宋体" w:cs="宋体"/>
                <w:color w:val="auto"/>
                <w:szCs w:val="21"/>
                <w:highlight w:val="none"/>
              </w:rPr>
            </w:pPr>
            <w:r>
              <w:rPr>
                <w:rFonts w:hint="eastAsia" w:ascii="宋体" w:hAnsi="宋体" w:cs="宋体"/>
                <w:color w:val="auto"/>
                <w:szCs w:val="21"/>
                <w:highlight w:val="none"/>
              </w:rPr>
              <w:t>2.投标人出现下列情形之一的，不得参加政府采购活动：</w:t>
            </w:r>
          </w:p>
          <w:p w14:paraId="3E07E2F8">
            <w:pPr>
              <w:snapToGrid w:val="0"/>
              <w:spacing w:line="360" w:lineRule="exact"/>
              <w:jc w:val="left"/>
              <w:rPr>
                <w:rFonts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07FC33F">
            <w:pPr>
              <w:snapToGrid w:val="0"/>
              <w:spacing w:line="360" w:lineRule="exact"/>
              <w:jc w:val="left"/>
              <w:rPr>
                <w:rFonts w:ascii="宋体" w:hAnsi="宋体" w:cs="宋体"/>
                <w:color w:val="auto"/>
                <w:szCs w:val="21"/>
                <w:highlight w:val="none"/>
              </w:rPr>
            </w:pPr>
            <w:r>
              <w:rPr>
                <w:rFonts w:hint="eastAsia" w:ascii="宋体" w:hAnsi="宋体" w:cs="宋体"/>
                <w:color w:val="auto"/>
                <w:szCs w:val="21"/>
                <w:highlight w:val="none"/>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3935F7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vAlign w:val="center"/>
          </w:tcPr>
          <w:p w14:paraId="203B4E36">
            <w:pPr>
              <w:spacing w:line="360" w:lineRule="exact"/>
              <w:jc w:val="center"/>
              <w:rPr>
                <w:rFonts w:ascii="宋体" w:hAnsi="宋体" w:cs="宋体"/>
                <w:color w:val="auto"/>
                <w:szCs w:val="21"/>
                <w:highlight w:val="none"/>
              </w:rPr>
            </w:pPr>
            <w:bookmarkStart w:id="44" w:name="_8.1"/>
            <w:bookmarkEnd w:id="44"/>
            <w:bookmarkStart w:id="45" w:name="_9.2"/>
            <w:bookmarkEnd w:id="45"/>
            <w:bookmarkStart w:id="46" w:name="_5"/>
            <w:bookmarkEnd w:id="46"/>
            <w:r>
              <w:rPr>
                <w:rFonts w:hint="eastAsia" w:ascii="宋体" w:hAnsi="宋体" w:cs="宋体"/>
                <w:color w:val="auto"/>
                <w:szCs w:val="21"/>
                <w:highlight w:val="none"/>
              </w:rPr>
              <w:t>6.1</w:t>
            </w:r>
          </w:p>
        </w:tc>
        <w:tc>
          <w:tcPr>
            <w:tcW w:w="7512" w:type="dxa"/>
            <w:tcBorders>
              <w:top w:val="single" w:color="auto" w:sz="4" w:space="0"/>
              <w:left w:val="single" w:color="auto" w:sz="4" w:space="0"/>
              <w:bottom w:val="single" w:color="auto" w:sz="4" w:space="0"/>
              <w:right w:val="single" w:color="auto" w:sz="4" w:space="0"/>
            </w:tcBorders>
            <w:vAlign w:val="center"/>
          </w:tcPr>
          <w:p w14:paraId="079AE783">
            <w:pPr>
              <w:pStyle w:val="17"/>
              <w:spacing w:line="360" w:lineRule="exact"/>
              <w:rPr>
                <w:rFonts w:ascii="宋体" w:hAnsi="宋体" w:cs="宋体"/>
                <w:color w:val="auto"/>
                <w:szCs w:val="21"/>
                <w:highlight w:val="none"/>
                <w:lang w:val="en-US"/>
              </w:rPr>
            </w:pPr>
            <w:r>
              <w:rPr>
                <w:rFonts w:hint="eastAsia" w:ascii="宋体" w:hAnsi="宋体" w:cs="宋体"/>
                <w:color w:val="auto"/>
                <w:szCs w:val="21"/>
                <w:highlight w:val="none"/>
                <w:lang w:val="en-US"/>
              </w:rPr>
              <w:t>本项目是否接受联合体投标：详见招标公告。</w:t>
            </w:r>
          </w:p>
        </w:tc>
      </w:tr>
      <w:tr w14:paraId="04F446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vAlign w:val="center"/>
          </w:tcPr>
          <w:p w14:paraId="503239AE">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6.2</w:t>
            </w:r>
          </w:p>
        </w:tc>
        <w:tc>
          <w:tcPr>
            <w:tcW w:w="7512" w:type="dxa"/>
            <w:tcBorders>
              <w:top w:val="single" w:color="auto" w:sz="4" w:space="0"/>
              <w:left w:val="single" w:color="auto" w:sz="4" w:space="0"/>
              <w:bottom w:val="single" w:color="auto" w:sz="4" w:space="0"/>
              <w:right w:val="single" w:color="auto" w:sz="4" w:space="0"/>
            </w:tcBorders>
            <w:vAlign w:val="center"/>
          </w:tcPr>
          <w:p w14:paraId="4D2FE0BD">
            <w:pPr>
              <w:pStyle w:val="17"/>
              <w:spacing w:line="360" w:lineRule="exact"/>
              <w:rPr>
                <w:rFonts w:ascii="宋体" w:hAnsi="宋体" w:cs="宋体"/>
                <w:color w:val="auto"/>
                <w:szCs w:val="21"/>
                <w:highlight w:val="none"/>
                <w:lang w:val="en-US"/>
              </w:rPr>
            </w:pPr>
            <w:bookmarkStart w:id="47" w:name="_Hlk54105293"/>
            <w:r>
              <w:rPr>
                <w:rFonts w:hint="eastAsia" w:ascii="宋体" w:hAnsi="宋体" w:cs="宋体"/>
                <w:color w:val="auto"/>
                <w:szCs w:val="21"/>
                <w:highlight w:val="none"/>
                <w:lang w:val="en-US"/>
              </w:rPr>
              <w:t>如接受联合体投标，</w:t>
            </w:r>
            <w:bookmarkEnd w:id="47"/>
            <w:r>
              <w:rPr>
                <w:rFonts w:hint="eastAsia" w:ascii="宋体" w:hAnsi="宋体" w:cs="宋体"/>
                <w:color w:val="auto"/>
                <w:szCs w:val="21"/>
                <w:highlight w:val="none"/>
                <w:lang w:val="en-US"/>
              </w:rPr>
              <w:t>联合体投标要求如下：</w:t>
            </w:r>
          </w:p>
          <w:p w14:paraId="709E5D30">
            <w:pPr>
              <w:pStyle w:val="17"/>
              <w:spacing w:line="360" w:lineRule="exact"/>
              <w:rPr>
                <w:rFonts w:ascii="宋体" w:hAnsi="宋体" w:cs="宋体"/>
                <w:color w:val="auto"/>
                <w:szCs w:val="21"/>
                <w:highlight w:val="none"/>
                <w:lang w:val="en-US"/>
              </w:rPr>
            </w:pPr>
            <w:r>
              <w:rPr>
                <w:rFonts w:hint="eastAsia" w:ascii="宋体" w:hAnsi="宋体" w:cs="宋体"/>
                <w:color w:val="auto"/>
                <w:szCs w:val="21"/>
                <w:highlight w:val="none"/>
                <w:lang w:val="en-US"/>
              </w:rPr>
              <w:t>1.两个以上投标人可以组成一个投标联合体，以一个投标人的身份共同参加投标。联合体投标的，须提供《联合体投标协议书》（格式后附）。</w:t>
            </w:r>
          </w:p>
          <w:p w14:paraId="6E8148FA">
            <w:pPr>
              <w:pStyle w:val="17"/>
              <w:spacing w:line="360" w:lineRule="exact"/>
              <w:rPr>
                <w:rFonts w:ascii="宋体" w:hAnsi="宋体" w:cs="宋体"/>
                <w:color w:val="auto"/>
                <w:szCs w:val="21"/>
                <w:highlight w:val="none"/>
                <w:lang w:val="en-US"/>
              </w:rPr>
            </w:pPr>
            <w:r>
              <w:rPr>
                <w:rFonts w:hint="eastAsia" w:ascii="宋体" w:hAnsi="宋体" w:cs="宋体"/>
                <w:color w:val="auto"/>
                <w:szCs w:val="21"/>
                <w:highlight w:val="none"/>
                <w:lang w:val="en-US"/>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4D4C36B7">
            <w:pPr>
              <w:pStyle w:val="17"/>
              <w:spacing w:line="360" w:lineRule="exact"/>
              <w:rPr>
                <w:rFonts w:ascii="宋体" w:hAnsi="宋体" w:cs="宋体"/>
                <w:color w:val="auto"/>
                <w:szCs w:val="21"/>
                <w:highlight w:val="none"/>
                <w:lang w:val="en-US"/>
              </w:rPr>
            </w:pPr>
            <w:r>
              <w:rPr>
                <w:rFonts w:hint="eastAsia" w:ascii="宋体" w:hAnsi="宋体" w:cs="宋体"/>
                <w:color w:val="auto"/>
                <w:szCs w:val="21"/>
                <w:highlight w:val="none"/>
                <w:lang w:val="en-US"/>
              </w:rPr>
              <w:t>3.联合体各方之间必须签订联合投标协议，协议书必须明确主体方（或者牵头方）并明确约定联合体各方承担的工作和相应的责任（各方承担责任与义务的分工必须符合采购需求，否则，</w:t>
            </w:r>
            <w:r>
              <w:rPr>
                <w:rFonts w:hint="eastAsia" w:ascii="宋体" w:hAnsi="宋体" w:cs="宋体"/>
                <w:b/>
                <w:bCs/>
                <w:color w:val="auto"/>
                <w:szCs w:val="21"/>
                <w:highlight w:val="none"/>
                <w:lang w:val="en-US"/>
              </w:rPr>
              <w:t>联合体投标无效</w:t>
            </w:r>
            <w:r>
              <w:rPr>
                <w:rFonts w:hint="eastAsia" w:ascii="宋体" w:hAnsi="宋体" w:cs="宋体"/>
                <w:color w:val="auto"/>
                <w:szCs w:val="21"/>
                <w:highlight w:val="none"/>
                <w:lang w:val="en-US"/>
              </w:rPr>
              <w:t>），并将联合投标协议放入投标文件。联合体各方必须共同与采购人签订采购合同，就采购合同约定的事项对采购人承担连带责任。</w:t>
            </w:r>
          </w:p>
          <w:p w14:paraId="0043F63F">
            <w:pPr>
              <w:pStyle w:val="17"/>
              <w:spacing w:line="360" w:lineRule="exact"/>
              <w:rPr>
                <w:rFonts w:ascii="宋体" w:hAnsi="宋体" w:cs="宋体"/>
                <w:color w:val="auto"/>
                <w:szCs w:val="21"/>
                <w:highlight w:val="none"/>
                <w:lang w:val="en-US"/>
              </w:rPr>
            </w:pPr>
            <w:r>
              <w:rPr>
                <w:rFonts w:hint="eastAsia" w:ascii="宋体" w:hAnsi="宋体" w:cs="宋体"/>
                <w:color w:val="auto"/>
                <w:szCs w:val="21"/>
                <w:highlight w:val="none"/>
                <w:lang w:val="en-US"/>
              </w:rPr>
              <w:t>4.以联合体形式参加政府采购活动的，联合体各方不得再单独参加或者与其他投标人另外组成联合体参加同一合同项下的政府采购活动。</w:t>
            </w:r>
          </w:p>
          <w:p w14:paraId="461572BE">
            <w:pPr>
              <w:pStyle w:val="17"/>
              <w:spacing w:line="360" w:lineRule="exact"/>
              <w:rPr>
                <w:rFonts w:ascii="宋体" w:hAnsi="宋体" w:cs="宋体"/>
                <w:color w:val="auto"/>
                <w:szCs w:val="21"/>
                <w:highlight w:val="none"/>
                <w:lang w:val="en-US"/>
              </w:rPr>
            </w:pPr>
            <w:r>
              <w:rPr>
                <w:rFonts w:hint="eastAsia" w:ascii="宋体" w:hAnsi="宋体" w:cs="宋体"/>
                <w:color w:val="auto"/>
                <w:szCs w:val="21"/>
                <w:highlight w:val="none"/>
                <w:lang w:val="en-US"/>
              </w:rPr>
              <w:t>5.联合体中有同类资质的投标人按照联合体分工承担相同工作的，应当按照资质等级较低的投标人确定资质等级。</w:t>
            </w:r>
          </w:p>
          <w:p w14:paraId="24F56673">
            <w:pPr>
              <w:pStyle w:val="17"/>
              <w:spacing w:line="360" w:lineRule="exact"/>
              <w:rPr>
                <w:rFonts w:ascii="宋体" w:hAnsi="宋体" w:cs="宋体"/>
                <w:color w:val="auto"/>
                <w:szCs w:val="21"/>
                <w:highlight w:val="none"/>
                <w:lang w:val="en-US"/>
              </w:rPr>
            </w:pPr>
            <w:r>
              <w:rPr>
                <w:rFonts w:hint="eastAsia" w:ascii="宋体" w:hAnsi="宋体" w:cs="宋体"/>
                <w:color w:val="auto"/>
                <w:szCs w:val="21"/>
                <w:highlight w:val="none"/>
                <w:lang w:val="en-US"/>
              </w:rPr>
              <w:t>6.联合体投标业绩、履约能力按照联合体各方其中较高的一方认定并计算（招标文件另有规定的除外）。</w:t>
            </w:r>
          </w:p>
          <w:p w14:paraId="32201D55">
            <w:pPr>
              <w:pStyle w:val="17"/>
              <w:spacing w:line="360" w:lineRule="exact"/>
              <w:rPr>
                <w:rFonts w:ascii="宋体" w:hAnsi="宋体" w:cs="宋体"/>
                <w:color w:val="auto"/>
                <w:szCs w:val="21"/>
                <w:highlight w:val="none"/>
                <w:lang w:val="en-US"/>
              </w:rPr>
            </w:pPr>
            <w:r>
              <w:rPr>
                <w:rFonts w:hint="eastAsia" w:ascii="宋体" w:hAnsi="宋体" w:cs="宋体"/>
                <w:color w:val="auto"/>
                <w:szCs w:val="21"/>
                <w:highlight w:val="none"/>
                <w:lang w:val="en-US"/>
              </w:rPr>
              <w:t>7.投标人为联合体的，可以由联合体中的一方或者多方共同交纳投标保证金，其交纳的保证金对联合体各方均具有约束力。</w:t>
            </w:r>
          </w:p>
          <w:p w14:paraId="5C4E756F">
            <w:pPr>
              <w:pStyle w:val="17"/>
              <w:spacing w:line="360" w:lineRule="exact"/>
              <w:rPr>
                <w:rFonts w:ascii="宋体" w:hAnsi="宋体" w:cs="宋体"/>
                <w:color w:val="auto"/>
                <w:szCs w:val="21"/>
                <w:highlight w:val="none"/>
                <w:lang w:val="en-US"/>
              </w:rPr>
            </w:pPr>
            <w:r>
              <w:rPr>
                <w:rFonts w:hint="eastAsia" w:ascii="宋体" w:hAnsi="宋体" w:cs="宋体"/>
                <w:color w:val="auto"/>
                <w:szCs w:val="21"/>
                <w:highlight w:val="none"/>
                <w:lang w:val="en-US"/>
              </w:rPr>
              <w:t>8.联合体各方均应按照招标文件的规定提交资格证明文件。</w:t>
            </w:r>
          </w:p>
        </w:tc>
      </w:tr>
      <w:tr w14:paraId="58AD58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vAlign w:val="center"/>
          </w:tcPr>
          <w:p w14:paraId="38968287">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7.2</w:t>
            </w:r>
          </w:p>
        </w:tc>
        <w:tc>
          <w:tcPr>
            <w:tcW w:w="7512" w:type="dxa"/>
            <w:tcBorders>
              <w:top w:val="single" w:color="auto" w:sz="4" w:space="0"/>
              <w:left w:val="single" w:color="auto" w:sz="4" w:space="0"/>
              <w:bottom w:val="single" w:color="auto" w:sz="4" w:space="0"/>
              <w:right w:val="single" w:color="auto" w:sz="4" w:space="0"/>
            </w:tcBorders>
            <w:vAlign w:val="center"/>
          </w:tcPr>
          <w:p w14:paraId="1C4EB18F">
            <w:pPr>
              <w:pStyle w:val="17"/>
              <w:spacing w:line="360" w:lineRule="exact"/>
              <w:rPr>
                <w:rFonts w:ascii="宋体" w:hAnsi="宋体" w:cs="宋体"/>
                <w:color w:val="auto"/>
                <w:szCs w:val="21"/>
                <w:highlight w:val="none"/>
                <w:lang w:val="en-US"/>
              </w:rPr>
            </w:pPr>
            <w:r>
              <w:rPr>
                <w:rFonts w:hint="eastAsia" w:ascii="Segoe UI Symbol" w:hAnsi="Segoe UI Symbol" w:cs="Segoe UI Symbol"/>
                <w:color w:val="auto"/>
                <w:szCs w:val="21"/>
                <w:highlight w:val="none"/>
                <w:lang w:val="en-US" w:eastAsia="zh-CN"/>
              </w:rPr>
              <w:t>□</w:t>
            </w:r>
            <w:r>
              <w:rPr>
                <w:rFonts w:hint="eastAsia" w:ascii="宋体" w:hAnsi="宋体" w:cs="宋体"/>
                <w:color w:val="auto"/>
                <w:szCs w:val="21"/>
                <w:highlight w:val="none"/>
                <w:lang w:val="en-US"/>
              </w:rPr>
              <w:t>不允许分包</w:t>
            </w:r>
          </w:p>
          <w:p w14:paraId="47692A17">
            <w:pPr>
              <w:pStyle w:val="17"/>
              <w:spacing w:line="360" w:lineRule="exact"/>
              <w:rPr>
                <w:rFonts w:ascii="宋体" w:hAnsi="宋体" w:cs="宋体"/>
                <w:color w:val="auto"/>
                <w:szCs w:val="21"/>
                <w:highlight w:val="none"/>
                <w:u w:val="single"/>
                <w:lang w:val="en-US"/>
              </w:rPr>
            </w:pP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val="en-US"/>
              </w:rPr>
              <w:t>允许分包</w:t>
            </w:r>
          </w:p>
        </w:tc>
      </w:tr>
      <w:tr w14:paraId="28642D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vAlign w:val="center"/>
          </w:tcPr>
          <w:p w14:paraId="5D1E8314">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8.1</w:t>
            </w:r>
          </w:p>
        </w:tc>
        <w:tc>
          <w:tcPr>
            <w:tcW w:w="7512" w:type="dxa"/>
            <w:tcBorders>
              <w:top w:val="single" w:color="auto" w:sz="4" w:space="0"/>
              <w:left w:val="single" w:color="auto" w:sz="4" w:space="0"/>
              <w:bottom w:val="single" w:color="auto" w:sz="4" w:space="0"/>
              <w:right w:val="single" w:color="auto" w:sz="4" w:space="0"/>
            </w:tcBorders>
            <w:vAlign w:val="center"/>
          </w:tcPr>
          <w:p w14:paraId="13402BBD">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color w:val="auto"/>
                <w:szCs w:val="21"/>
                <w:highlight w:val="none"/>
              </w:rPr>
              <w:t>采用综合评分法的采购项目，提供相同品牌产品（非单一产品采购项目的，指核心产品）的不同投标人评审得分相同时，按照下列方式确定一个投标人获得中标人推荐资格：</w:t>
            </w:r>
          </w:p>
          <w:p w14:paraId="69011CCD">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color w:val="auto"/>
                <w:szCs w:val="21"/>
                <w:highlight w:val="none"/>
                <w:bdr w:val="single" w:color="auto" w:sz="4" w:space="0"/>
              </w:rPr>
              <w:t>√</w:t>
            </w:r>
            <w:r>
              <w:rPr>
                <w:rFonts w:hint="eastAsia" w:ascii="宋体" w:hAnsi="宋体" w:cs="宋体"/>
                <w:color w:val="auto"/>
                <w:szCs w:val="21"/>
                <w:highlight w:val="none"/>
              </w:rPr>
              <w:t>依次按投标报价低的优先、技术评分高的优先、政策分得分高的优先、商务评分高的优先、质量保证期长优先、交货期短优先、故障响应时间短优先的顺序推荐；</w:t>
            </w:r>
          </w:p>
          <w:p w14:paraId="1637EDC7">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color w:val="auto"/>
                <w:szCs w:val="21"/>
                <w:highlight w:val="none"/>
              </w:rPr>
              <w:t>□随机抽取；</w:t>
            </w:r>
          </w:p>
        </w:tc>
      </w:tr>
      <w:tr w14:paraId="205818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35" w:hRule="atLeast"/>
          <w:jc w:val="center"/>
        </w:trPr>
        <w:tc>
          <w:tcPr>
            <w:tcW w:w="1101" w:type="dxa"/>
            <w:vMerge w:val="restart"/>
            <w:tcBorders>
              <w:top w:val="single" w:color="auto" w:sz="4" w:space="0"/>
              <w:left w:val="single" w:color="auto" w:sz="4" w:space="0"/>
              <w:right w:val="single" w:color="auto" w:sz="4" w:space="0"/>
            </w:tcBorders>
            <w:vAlign w:val="center"/>
          </w:tcPr>
          <w:p w14:paraId="761E9DD7">
            <w:pPr>
              <w:spacing w:line="360" w:lineRule="exact"/>
              <w:rPr>
                <w:rFonts w:ascii="宋体" w:hAnsi="宋体" w:cs="宋体"/>
                <w:color w:val="auto"/>
                <w:szCs w:val="21"/>
                <w:highlight w:val="none"/>
              </w:rPr>
            </w:pPr>
            <w:r>
              <w:rPr>
                <w:rFonts w:hint="eastAsia" w:ascii="宋体" w:hAnsi="宋体" w:cs="宋体"/>
                <w:color w:val="auto"/>
                <w:szCs w:val="21"/>
                <w:highlight w:val="none"/>
              </w:rPr>
              <w:t>11.2</w:t>
            </w:r>
          </w:p>
        </w:tc>
        <w:tc>
          <w:tcPr>
            <w:tcW w:w="7512" w:type="dxa"/>
            <w:tcBorders>
              <w:top w:val="single" w:color="auto" w:sz="4" w:space="0"/>
              <w:left w:val="single" w:color="auto" w:sz="4" w:space="0"/>
              <w:bottom w:val="single" w:color="auto" w:sz="4" w:space="0"/>
              <w:right w:val="single" w:color="auto" w:sz="4" w:space="0"/>
            </w:tcBorders>
            <w:vAlign w:val="center"/>
          </w:tcPr>
          <w:p w14:paraId="1E9BE5CC">
            <w:pPr>
              <w:snapToGrid w:val="0"/>
              <w:spacing w:line="360" w:lineRule="exact"/>
              <w:rPr>
                <w:rFonts w:ascii="宋体" w:hAnsi="宋体" w:cs="宋体"/>
                <w:color w:val="auto"/>
                <w:szCs w:val="21"/>
                <w:highlight w:val="none"/>
              </w:rPr>
            </w:pPr>
            <w:r>
              <w:rPr>
                <w:rFonts w:ascii="Segoe UI Symbol" w:hAnsi="Segoe UI Symbol" w:cs="Segoe UI Symbol"/>
                <w:color w:val="auto"/>
                <w:szCs w:val="21"/>
                <w:highlight w:val="none"/>
              </w:rPr>
              <w:t>☑</w:t>
            </w:r>
            <w:r>
              <w:rPr>
                <w:rFonts w:hint="eastAsia" w:ascii="宋体" w:hAnsi="宋体" w:cs="宋体"/>
                <w:color w:val="auto"/>
                <w:szCs w:val="21"/>
                <w:highlight w:val="none"/>
              </w:rPr>
              <w:t>不组织现场考察</w:t>
            </w:r>
          </w:p>
          <w:p w14:paraId="04DCE4B1">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□组织现场考察：</w:t>
            </w:r>
          </w:p>
        </w:tc>
      </w:tr>
      <w:tr w14:paraId="0AEB61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58" w:hRule="atLeast"/>
          <w:jc w:val="center"/>
        </w:trPr>
        <w:tc>
          <w:tcPr>
            <w:tcW w:w="1101" w:type="dxa"/>
            <w:vMerge w:val="continue"/>
            <w:tcBorders>
              <w:left w:val="single" w:color="auto" w:sz="4" w:space="0"/>
              <w:bottom w:val="single" w:color="auto" w:sz="4" w:space="0"/>
              <w:right w:val="single" w:color="auto" w:sz="4" w:space="0"/>
            </w:tcBorders>
            <w:vAlign w:val="center"/>
          </w:tcPr>
          <w:p w14:paraId="65AA7861">
            <w:pPr>
              <w:spacing w:line="360" w:lineRule="exact"/>
              <w:jc w:val="center"/>
              <w:rPr>
                <w:rFonts w:ascii="宋体" w:hAnsi="宋体" w:cs="宋体"/>
                <w:color w:val="auto"/>
                <w:szCs w:val="21"/>
                <w:highlight w:val="none"/>
              </w:rPr>
            </w:pPr>
          </w:p>
        </w:tc>
        <w:tc>
          <w:tcPr>
            <w:tcW w:w="7512" w:type="dxa"/>
            <w:tcBorders>
              <w:top w:val="single" w:color="auto" w:sz="4" w:space="0"/>
              <w:left w:val="single" w:color="auto" w:sz="4" w:space="0"/>
              <w:bottom w:val="single" w:color="auto" w:sz="4" w:space="0"/>
              <w:right w:val="single" w:color="auto" w:sz="4" w:space="0"/>
            </w:tcBorders>
            <w:vAlign w:val="center"/>
          </w:tcPr>
          <w:p w14:paraId="0C6DCE4A">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bdr w:val="single" w:color="auto" w:sz="4" w:space="0"/>
              </w:rPr>
              <w:t>√</w:t>
            </w:r>
            <w:r>
              <w:rPr>
                <w:rFonts w:hint="eastAsia" w:ascii="宋体" w:hAnsi="宋体" w:cs="宋体"/>
                <w:color w:val="auto"/>
                <w:szCs w:val="21"/>
                <w:highlight w:val="none"/>
              </w:rPr>
              <w:t>不组织召开开标前答疑会</w:t>
            </w:r>
          </w:p>
          <w:p w14:paraId="398AC393">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□组织召开开标前答疑会</w:t>
            </w:r>
          </w:p>
          <w:p w14:paraId="331FFB13">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会议开始时间：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时</w:t>
            </w:r>
            <w:r>
              <w:rPr>
                <w:rFonts w:hint="eastAsia" w:ascii="宋体" w:hAnsi="宋体" w:cs="宋体"/>
                <w:color w:val="auto"/>
                <w:szCs w:val="21"/>
                <w:highlight w:val="none"/>
                <w:u w:val="single"/>
              </w:rPr>
              <w:t xml:space="preserve">  分</w:t>
            </w:r>
            <w:r>
              <w:rPr>
                <w:rFonts w:hint="eastAsia" w:ascii="宋体" w:hAnsi="宋体" w:cs="宋体"/>
                <w:color w:val="auto"/>
                <w:szCs w:val="21"/>
                <w:highlight w:val="none"/>
              </w:rPr>
              <w:t>，逾期后果自负。会议地点：</w:t>
            </w:r>
            <w:r>
              <w:rPr>
                <w:rFonts w:hint="eastAsia" w:ascii="宋体" w:hAnsi="宋体" w:cs="宋体"/>
                <w:color w:val="auto"/>
                <w:szCs w:val="21"/>
                <w:highlight w:val="none"/>
                <w:u w:val="single"/>
              </w:rPr>
              <w:t xml:space="preserve">              </w:t>
            </w:r>
          </w:p>
        </w:tc>
      </w:tr>
      <w:tr w14:paraId="4B51AD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01" w:type="dxa"/>
            <w:vMerge w:val="restart"/>
            <w:tcBorders>
              <w:top w:val="single" w:color="auto" w:sz="4" w:space="0"/>
              <w:left w:val="single" w:color="auto" w:sz="4" w:space="0"/>
              <w:right w:val="single" w:color="auto" w:sz="4" w:space="0"/>
            </w:tcBorders>
            <w:vAlign w:val="center"/>
          </w:tcPr>
          <w:p w14:paraId="5ADC158D">
            <w:pPr>
              <w:spacing w:line="360" w:lineRule="exact"/>
              <w:jc w:val="center"/>
              <w:rPr>
                <w:rFonts w:ascii="宋体" w:hAnsi="宋体" w:cs="宋体"/>
                <w:color w:val="auto"/>
                <w:szCs w:val="21"/>
                <w:highlight w:val="none"/>
              </w:rPr>
            </w:pPr>
            <w:bookmarkStart w:id="48" w:name="_13.1"/>
            <w:bookmarkEnd w:id="48"/>
            <w:r>
              <w:rPr>
                <w:rFonts w:hint="eastAsia" w:ascii="宋体" w:hAnsi="宋体" w:cs="宋体"/>
                <w:color w:val="auto"/>
                <w:szCs w:val="21"/>
                <w:highlight w:val="none"/>
              </w:rPr>
              <w:t>13</w:t>
            </w:r>
          </w:p>
        </w:tc>
        <w:tc>
          <w:tcPr>
            <w:tcW w:w="7512" w:type="dxa"/>
            <w:tcBorders>
              <w:top w:val="single" w:color="auto" w:sz="4" w:space="0"/>
              <w:left w:val="single" w:color="auto" w:sz="4" w:space="0"/>
              <w:bottom w:val="single" w:color="auto" w:sz="4" w:space="0"/>
              <w:right w:val="single" w:color="auto" w:sz="4" w:space="0"/>
            </w:tcBorders>
            <w:vAlign w:val="center"/>
          </w:tcPr>
          <w:p w14:paraId="49256B40">
            <w:pPr>
              <w:snapToGrid w:val="0"/>
              <w:spacing w:line="360" w:lineRule="exact"/>
              <w:jc w:val="left"/>
              <w:rPr>
                <w:rFonts w:ascii="宋体" w:hAnsi="宋体" w:cs="宋体"/>
                <w:b/>
                <w:color w:val="auto"/>
                <w:szCs w:val="21"/>
                <w:highlight w:val="none"/>
              </w:rPr>
            </w:pPr>
            <w:r>
              <w:rPr>
                <w:rFonts w:hint="eastAsia" w:ascii="宋体" w:hAnsi="宋体" w:cs="宋体"/>
                <w:b/>
                <w:color w:val="auto"/>
                <w:szCs w:val="21"/>
                <w:highlight w:val="none"/>
              </w:rPr>
              <w:t>报价文件：</w:t>
            </w:r>
          </w:p>
          <w:p w14:paraId="36750E6B">
            <w:pPr>
              <w:snapToGrid w:val="0"/>
              <w:spacing w:line="360" w:lineRule="exact"/>
              <w:jc w:val="left"/>
              <w:rPr>
                <w:rFonts w:hint="eastAsia" w:ascii="宋体" w:hAnsi="宋体" w:cs="宋体"/>
                <w:b/>
                <w:bCs/>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投标函（格式后附）；</w:t>
            </w:r>
            <w:r>
              <w:rPr>
                <w:rFonts w:hint="eastAsia" w:ascii="宋体" w:hAnsi="宋体" w:cs="宋体"/>
                <w:b/>
                <w:bCs/>
                <w:color w:val="auto"/>
                <w:szCs w:val="21"/>
                <w:highlight w:val="none"/>
              </w:rPr>
              <w:t>（必须提供，否则按无效投标处理）</w:t>
            </w:r>
          </w:p>
          <w:p w14:paraId="2B995C4B">
            <w:pPr>
              <w:snapToGrid w:val="0"/>
              <w:spacing w:line="360" w:lineRule="exact"/>
              <w:jc w:val="left"/>
              <w:rPr>
                <w:rFonts w:hint="eastAsia" w:ascii="宋体" w:hAnsi="宋体" w:cs="宋体"/>
                <w:b/>
                <w:bCs/>
                <w:color w:val="auto"/>
                <w:szCs w:val="21"/>
                <w:highlight w:val="none"/>
              </w:rPr>
            </w:pPr>
            <w:bookmarkStart w:id="49" w:name="_Hlk71299233"/>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开标一览表</w:t>
            </w:r>
            <w:bookmarkEnd w:id="49"/>
            <w:r>
              <w:rPr>
                <w:rFonts w:hint="eastAsia" w:ascii="宋体" w:hAnsi="宋体" w:cs="宋体"/>
                <w:color w:val="auto"/>
                <w:szCs w:val="21"/>
                <w:highlight w:val="none"/>
              </w:rPr>
              <w:t xml:space="preserve">（格式后附）； </w:t>
            </w:r>
            <w:r>
              <w:rPr>
                <w:rFonts w:hint="eastAsia" w:ascii="宋体" w:hAnsi="宋体" w:cs="宋体"/>
                <w:b/>
                <w:bCs/>
                <w:color w:val="auto"/>
                <w:szCs w:val="21"/>
                <w:highlight w:val="none"/>
              </w:rPr>
              <w:t>（必须提供，否则按无效投标处理）</w:t>
            </w:r>
          </w:p>
          <w:p w14:paraId="3696866C">
            <w:pPr>
              <w:snapToGrid w:val="0"/>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投标人针对报价需要说明的其他文件和说明（格式自拟）。</w:t>
            </w:r>
          </w:p>
          <w:p w14:paraId="0A1F8B13">
            <w:pPr>
              <w:snapToGrid w:val="0"/>
              <w:spacing w:line="360" w:lineRule="exact"/>
              <w:jc w:val="left"/>
              <w:rPr>
                <w:rFonts w:ascii="宋体" w:hAnsi="宋体" w:cs="宋体"/>
                <w:color w:val="auto"/>
                <w:szCs w:val="21"/>
                <w:highlight w:val="none"/>
              </w:rPr>
            </w:pPr>
            <w:r>
              <w:rPr>
                <w:rFonts w:hint="eastAsia" w:ascii="宋体" w:hAnsi="宋体" w:cs="宋体"/>
                <w:color w:val="auto"/>
                <w:szCs w:val="21"/>
                <w:highlight w:val="none"/>
              </w:rPr>
              <w:t>注：投标函、开标一览表必须由法定代表人或者委托代理人在规定签章处逐一签字或者电子签名并加盖投标人公章，否则按无效投标处理。</w:t>
            </w:r>
          </w:p>
        </w:tc>
      </w:tr>
      <w:tr w14:paraId="60A324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01" w:type="dxa"/>
            <w:vMerge w:val="continue"/>
            <w:tcBorders>
              <w:left w:val="single" w:color="auto" w:sz="4" w:space="0"/>
              <w:right w:val="single" w:color="auto" w:sz="4" w:space="0"/>
            </w:tcBorders>
            <w:vAlign w:val="center"/>
          </w:tcPr>
          <w:p w14:paraId="5934C364">
            <w:pPr>
              <w:spacing w:line="360" w:lineRule="exact"/>
              <w:rPr>
                <w:rFonts w:ascii="宋体" w:hAnsi="宋体" w:cs="宋体"/>
                <w:color w:val="auto"/>
                <w:szCs w:val="21"/>
                <w:highlight w:val="none"/>
              </w:rPr>
            </w:pPr>
            <w:bookmarkStart w:id="50" w:name="_13.2"/>
            <w:bookmarkEnd w:id="50"/>
          </w:p>
        </w:tc>
        <w:tc>
          <w:tcPr>
            <w:tcW w:w="7512" w:type="dxa"/>
            <w:tcBorders>
              <w:top w:val="single" w:color="auto" w:sz="4" w:space="0"/>
              <w:left w:val="single" w:color="auto" w:sz="4" w:space="0"/>
              <w:bottom w:val="single" w:color="auto" w:sz="4" w:space="0"/>
              <w:right w:val="single" w:color="auto" w:sz="4" w:space="0"/>
            </w:tcBorders>
            <w:vAlign w:val="center"/>
          </w:tcPr>
          <w:p w14:paraId="5820C4B2">
            <w:pPr>
              <w:snapToGrid w:val="0"/>
              <w:spacing w:line="360" w:lineRule="exact"/>
              <w:jc w:val="left"/>
              <w:rPr>
                <w:rFonts w:ascii="宋体" w:hAnsi="宋体" w:cs="宋体"/>
                <w:b/>
                <w:color w:val="auto"/>
                <w:szCs w:val="21"/>
                <w:highlight w:val="none"/>
              </w:rPr>
            </w:pPr>
            <w:r>
              <w:rPr>
                <w:rFonts w:hint="eastAsia" w:ascii="宋体" w:hAnsi="宋体" w:cs="宋体"/>
                <w:b/>
                <w:color w:val="auto"/>
                <w:szCs w:val="21"/>
                <w:highlight w:val="none"/>
              </w:rPr>
              <w:t>资格证明文件</w:t>
            </w:r>
          </w:p>
          <w:p w14:paraId="4A147931">
            <w:pPr>
              <w:snapToGrid w:val="0"/>
              <w:spacing w:line="360" w:lineRule="exact"/>
              <w:jc w:val="left"/>
              <w:rPr>
                <w:rFonts w:ascii="宋体" w:hAnsi="宋体" w:cs="宋体"/>
                <w:color w:val="auto"/>
                <w:szCs w:val="21"/>
                <w:highlight w:val="none"/>
              </w:rPr>
            </w:pPr>
            <w:r>
              <w:rPr>
                <w:rFonts w:hint="eastAsia" w:ascii="宋体" w:hAnsi="宋体" w:cs="宋体"/>
                <w:color w:val="auto"/>
                <w:szCs w:val="21"/>
                <w:highlight w:val="none"/>
              </w:rPr>
              <w:t>1.崇左市政府采购供应商信用承诺函（格式后附）（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CEE2E81">
            <w:pPr>
              <w:snapToGrid w:val="0"/>
              <w:spacing w:line="360" w:lineRule="exact"/>
              <w:jc w:val="left"/>
              <w:rPr>
                <w:rFonts w:ascii="宋体" w:hAnsi="宋体" w:cs="宋体"/>
                <w:color w:val="auto"/>
                <w:szCs w:val="21"/>
                <w:highlight w:val="none"/>
              </w:rPr>
            </w:pPr>
            <w:r>
              <w:rPr>
                <w:rFonts w:hint="eastAsia" w:ascii="宋体" w:hAnsi="宋体" w:cs="宋体"/>
                <w:color w:val="auto"/>
                <w:szCs w:val="21"/>
                <w:highlight w:val="none"/>
              </w:rPr>
              <w:t>2.投标人直接控股、管理关系信息表（格式后附）；（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3B92DA25">
            <w:pPr>
              <w:snapToGrid w:val="0"/>
              <w:spacing w:line="360" w:lineRule="exact"/>
              <w:jc w:val="left"/>
              <w:rPr>
                <w:rFonts w:ascii="宋体" w:hAnsi="宋体" w:cs="宋体"/>
                <w:b/>
                <w:color w:val="auto"/>
                <w:szCs w:val="21"/>
                <w:highlight w:val="none"/>
              </w:rPr>
            </w:pPr>
            <w:r>
              <w:rPr>
                <w:rFonts w:hint="eastAsia" w:ascii="宋体" w:hAnsi="宋体" w:cs="宋体"/>
                <w:color w:val="auto"/>
                <w:szCs w:val="21"/>
                <w:highlight w:val="none"/>
              </w:rPr>
              <w:t>3.投标声明（格式后附）；（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511B7E6F">
            <w:pPr>
              <w:pStyle w:val="33"/>
              <w:spacing w:line="360" w:lineRule="exact"/>
              <w:rPr>
                <w:rFonts w:hint="eastAsia" w:ascii="宋体" w:hAnsi="宋体" w:cs="宋体"/>
                <w:b/>
                <w:color w:val="auto"/>
                <w:kern w:val="2"/>
                <w:sz w:val="21"/>
                <w:szCs w:val="21"/>
                <w:highlight w:val="none"/>
                <w:lang w:val="en-US"/>
              </w:rPr>
            </w:pPr>
            <w:r>
              <w:rPr>
                <w:rFonts w:hint="eastAsia" w:ascii="宋体" w:hAnsi="宋体" w:cs="宋体"/>
                <w:color w:val="auto"/>
                <w:kern w:val="2"/>
                <w:sz w:val="21"/>
                <w:szCs w:val="21"/>
                <w:highlight w:val="none"/>
                <w:lang w:val="en-US"/>
              </w:rPr>
              <w:t>4.中小企业声明函或者残疾人福利性单位声明函或者供应商属于监狱企业的证明材料</w:t>
            </w:r>
            <w:r>
              <w:rPr>
                <w:rFonts w:hint="eastAsia" w:ascii="宋体" w:hAnsi="宋体" w:cs="宋体"/>
                <w:color w:val="auto"/>
                <w:sz w:val="21"/>
                <w:szCs w:val="21"/>
                <w:highlight w:val="none"/>
              </w:rPr>
              <w:t>（格式后附）</w:t>
            </w:r>
            <w:r>
              <w:rPr>
                <w:rFonts w:hint="eastAsia" w:ascii="宋体" w:hAnsi="宋体" w:cs="宋体"/>
                <w:b/>
                <w:color w:val="auto"/>
                <w:kern w:val="2"/>
                <w:sz w:val="21"/>
                <w:szCs w:val="21"/>
                <w:highlight w:val="none"/>
                <w:lang w:val="en-US"/>
              </w:rPr>
              <w:t>（</w:t>
            </w:r>
            <w:r>
              <w:rPr>
                <w:rFonts w:hint="eastAsia" w:ascii="宋体" w:hAnsi="宋体" w:cs="宋体"/>
                <w:b/>
                <w:color w:val="auto"/>
                <w:kern w:val="2"/>
                <w:sz w:val="21"/>
                <w:szCs w:val="21"/>
                <w:highlight w:val="none"/>
                <w:lang w:val="en-US" w:eastAsia="zh-CN"/>
              </w:rPr>
              <w:t>中小企业投标时</w:t>
            </w:r>
            <w:r>
              <w:rPr>
                <w:rFonts w:hint="eastAsia" w:ascii="宋体" w:hAnsi="宋体" w:cs="宋体"/>
                <w:b/>
                <w:color w:val="auto"/>
                <w:kern w:val="2"/>
                <w:sz w:val="21"/>
                <w:szCs w:val="21"/>
                <w:highlight w:val="none"/>
                <w:lang w:val="en-US"/>
              </w:rPr>
              <w:t>必须提供，否则按无效投标处理）；</w:t>
            </w:r>
          </w:p>
          <w:p w14:paraId="6CD4FC7D">
            <w:pPr>
              <w:pStyle w:val="7"/>
              <w:overflowPunct w:val="0"/>
              <w:ind w:left="0" w:leftChars="0" w:firstLine="0" w:firstLineChars="0"/>
              <w:jc w:val="both"/>
              <w:rPr>
                <w:rFonts w:hint="eastAsia" w:ascii="宋体" w:hAnsi="宋体" w:cs="宋体"/>
                <w:b/>
                <w:color w:val="auto"/>
                <w:kern w:val="2"/>
                <w:sz w:val="21"/>
                <w:szCs w:val="21"/>
                <w:highlight w:val="none"/>
                <w:lang w:val="en-US"/>
              </w:rPr>
            </w:pPr>
            <w:r>
              <w:rPr>
                <w:rFonts w:hint="eastAsia" w:ascii="宋体" w:hAnsi="宋体" w:eastAsia="宋体" w:cs="宋体"/>
                <w:color w:val="auto"/>
                <w:kern w:val="2"/>
                <w:sz w:val="21"/>
                <w:szCs w:val="21"/>
                <w:highlight w:val="none"/>
                <w:lang w:val="en-US" w:eastAsia="zh-CN" w:bidi="ar-SA"/>
              </w:rPr>
              <w:t>5.联合体协议书</w:t>
            </w:r>
            <w:r>
              <w:rPr>
                <w:rFonts w:hint="eastAsia" w:ascii="宋体" w:hAnsi="宋体" w:cs="宋体"/>
                <w:b/>
                <w:color w:val="auto"/>
                <w:kern w:val="2"/>
                <w:sz w:val="21"/>
                <w:szCs w:val="21"/>
                <w:highlight w:val="none"/>
                <w:lang w:val="en-US"/>
              </w:rPr>
              <w:t>（</w:t>
            </w:r>
            <w:r>
              <w:rPr>
                <w:rFonts w:hint="eastAsia" w:ascii="宋体" w:hAnsi="宋体" w:cs="宋体"/>
                <w:b/>
                <w:color w:val="auto"/>
                <w:kern w:val="2"/>
                <w:sz w:val="21"/>
                <w:szCs w:val="21"/>
                <w:highlight w:val="none"/>
                <w:lang w:val="en-US" w:eastAsia="zh-CN"/>
              </w:rPr>
              <w:t>联合体投标时</w:t>
            </w:r>
            <w:r>
              <w:rPr>
                <w:rFonts w:hint="eastAsia" w:ascii="宋体" w:hAnsi="宋体" w:cs="宋体"/>
                <w:b/>
                <w:color w:val="auto"/>
                <w:kern w:val="2"/>
                <w:sz w:val="21"/>
                <w:szCs w:val="21"/>
                <w:highlight w:val="none"/>
                <w:lang w:val="en-US"/>
              </w:rPr>
              <w:t>必须提供，否则按无效投标处理）</w:t>
            </w:r>
          </w:p>
          <w:p w14:paraId="5C19F358">
            <w:pPr>
              <w:pStyle w:val="7"/>
              <w:overflowPunct w:val="0"/>
              <w:ind w:left="0" w:leftChars="0" w:firstLine="0" w:firstLineChars="0"/>
              <w:jc w:val="both"/>
              <w:rPr>
                <w:rFonts w:hint="default" w:ascii="宋体" w:hAnsi="宋体" w:eastAsia="宋体" w:cs="宋体"/>
                <w:b/>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6.分包意向协议（格式自拟）</w:t>
            </w:r>
            <w:r>
              <w:rPr>
                <w:rFonts w:hint="eastAsia" w:ascii="宋体" w:hAnsi="宋体" w:cs="宋体"/>
                <w:b/>
                <w:color w:val="auto"/>
                <w:kern w:val="2"/>
                <w:sz w:val="21"/>
                <w:szCs w:val="21"/>
                <w:highlight w:val="none"/>
                <w:lang w:val="en-US" w:eastAsia="zh-CN"/>
              </w:rPr>
              <w:t>（分包时必须提供，</w:t>
            </w:r>
            <w:r>
              <w:rPr>
                <w:rFonts w:hint="eastAsia" w:ascii="宋体" w:hAnsi="宋体" w:cs="宋体"/>
                <w:b/>
                <w:color w:val="auto"/>
                <w:kern w:val="2"/>
                <w:sz w:val="21"/>
                <w:szCs w:val="21"/>
                <w:highlight w:val="none"/>
                <w:lang w:val="en-US"/>
              </w:rPr>
              <w:t>否则按无效投标处理</w:t>
            </w:r>
            <w:r>
              <w:rPr>
                <w:rFonts w:hint="eastAsia" w:ascii="宋体" w:hAnsi="宋体" w:cs="宋体"/>
                <w:b/>
                <w:color w:val="auto"/>
                <w:kern w:val="2"/>
                <w:sz w:val="21"/>
                <w:szCs w:val="21"/>
                <w:highlight w:val="none"/>
                <w:lang w:val="en-US" w:eastAsia="zh-CN"/>
              </w:rPr>
              <w:t>，）</w:t>
            </w:r>
          </w:p>
          <w:p w14:paraId="4CE4FA0E">
            <w:pPr>
              <w:snapToGrid w:val="0"/>
              <w:spacing w:line="36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7</w:t>
            </w:r>
            <w:r>
              <w:rPr>
                <w:rFonts w:hint="eastAsia" w:ascii="宋体" w:hAnsi="宋体" w:eastAsia="宋体" w:cs="宋体"/>
                <w:color w:val="auto"/>
                <w:kern w:val="2"/>
                <w:sz w:val="21"/>
                <w:szCs w:val="21"/>
                <w:highlight w:val="none"/>
                <w:lang w:val="en-US" w:eastAsia="zh-CN" w:bidi="ar-SA"/>
              </w:rPr>
              <w:t>.除招标文件规定必须提供以外，投标人认为需要提供的其他证明材料。</w:t>
            </w:r>
          </w:p>
          <w:p w14:paraId="3427FF41">
            <w:pPr>
              <w:tabs>
                <w:tab w:val="left" w:pos="0"/>
              </w:tabs>
              <w:snapToGrid w:val="0"/>
              <w:spacing w:line="36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注：</w:t>
            </w:r>
          </w:p>
          <w:p w14:paraId="5D8BE27E">
            <w:pPr>
              <w:tabs>
                <w:tab w:val="left" w:pos="0"/>
              </w:tabs>
              <w:snapToGrid w:val="0"/>
              <w:spacing w:line="360" w:lineRule="exact"/>
              <w:jc w:val="left"/>
              <w:rPr>
                <w:rFonts w:ascii="宋体" w:hAnsi="宋体" w:cs="宋体"/>
                <w:b/>
                <w:color w:val="auto"/>
                <w:szCs w:val="21"/>
                <w:highlight w:val="none"/>
              </w:rPr>
            </w:pPr>
            <w:r>
              <w:rPr>
                <w:rFonts w:hint="eastAsia" w:ascii="宋体" w:hAnsi="宋体" w:cs="宋体"/>
                <w:b/>
                <w:bCs/>
                <w:color w:val="auto"/>
                <w:szCs w:val="21"/>
                <w:highlight w:val="none"/>
              </w:rPr>
              <w:t>1.</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以上标明“必须提供”的材料属于复印件的，必须加盖投标人公章，否则按无效投标</w:t>
            </w:r>
            <w:r>
              <w:rPr>
                <w:rFonts w:hint="eastAsia" w:ascii="宋体" w:hAnsi="宋体" w:cs="宋体"/>
                <w:b/>
                <w:color w:val="auto"/>
                <w:szCs w:val="21"/>
                <w:highlight w:val="none"/>
              </w:rPr>
              <w:t>处理。</w:t>
            </w:r>
          </w:p>
          <w:p w14:paraId="5569C9FD">
            <w:pPr>
              <w:tabs>
                <w:tab w:val="left" w:pos="0"/>
              </w:tabs>
              <w:snapToGrid w:val="0"/>
              <w:spacing w:line="360" w:lineRule="exact"/>
              <w:ind w:firstLine="32" w:firstLineChars="15"/>
              <w:jc w:val="left"/>
              <w:rPr>
                <w:rFonts w:ascii="宋体" w:hAnsi="宋体" w:cs="宋体"/>
                <w:b/>
                <w:bCs/>
                <w:color w:val="auto"/>
                <w:szCs w:val="21"/>
                <w:highlight w:val="none"/>
              </w:rPr>
            </w:pPr>
            <w:r>
              <w:rPr>
                <w:rFonts w:hint="eastAsia" w:ascii="宋体" w:hAnsi="宋体" w:cs="宋体"/>
                <w:b/>
                <w:color w:val="auto"/>
                <w:szCs w:val="21"/>
                <w:highlight w:val="none"/>
              </w:rPr>
              <w:t>2.</w:t>
            </w:r>
            <w:r>
              <w:rPr>
                <w:rFonts w:hint="eastAsia" w:ascii="宋体" w:hAnsi="宋体" w:cs="宋体"/>
                <w:b/>
                <w:bCs/>
                <w:color w:val="auto"/>
                <w:szCs w:val="21"/>
                <w:highlight w:val="none"/>
              </w:rPr>
              <w:t>投标声明必须由法定代表人在规定签章处签字或者电子签名并加盖投标人公章，否则按无效投标处理。</w:t>
            </w:r>
          </w:p>
          <w:p w14:paraId="78D73540">
            <w:pPr>
              <w:tabs>
                <w:tab w:val="left" w:pos="0"/>
              </w:tabs>
              <w:snapToGrid w:val="0"/>
              <w:spacing w:line="360" w:lineRule="exact"/>
              <w:ind w:firstLine="32" w:firstLineChars="15"/>
              <w:jc w:val="left"/>
              <w:rPr>
                <w:rFonts w:ascii="宋体" w:hAnsi="宋体" w:cs="宋体"/>
                <w:b/>
                <w:bCs/>
                <w:color w:val="auto"/>
                <w:szCs w:val="21"/>
                <w:highlight w:val="none"/>
              </w:rPr>
            </w:pPr>
            <w:r>
              <w:rPr>
                <w:rFonts w:hint="eastAsia" w:ascii="宋体" w:hAnsi="宋体" w:cs="宋体"/>
                <w:b/>
                <w:bCs/>
                <w:color w:val="auto"/>
                <w:szCs w:val="21"/>
                <w:highlight w:val="none"/>
              </w:rPr>
              <w:t>3.投标人直接控股、管理关系信息表必须由法定代表人或者委托代理人在规定签章处签字或者电子签名并加盖投标人公章，否则按无效投标</w:t>
            </w:r>
            <w:r>
              <w:rPr>
                <w:rFonts w:hint="eastAsia" w:ascii="宋体" w:hAnsi="宋体" w:cs="宋体"/>
                <w:b/>
                <w:color w:val="auto"/>
                <w:szCs w:val="21"/>
                <w:highlight w:val="none"/>
              </w:rPr>
              <w:t>处理</w:t>
            </w:r>
            <w:r>
              <w:rPr>
                <w:rFonts w:hint="eastAsia" w:ascii="宋体" w:hAnsi="宋体" w:cs="宋体"/>
                <w:b/>
                <w:bCs/>
                <w:color w:val="auto"/>
                <w:szCs w:val="21"/>
                <w:highlight w:val="none"/>
              </w:rPr>
              <w:t>。</w:t>
            </w:r>
          </w:p>
        </w:tc>
      </w:tr>
      <w:tr w14:paraId="437A4C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70" w:hRule="atLeast"/>
          <w:jc w:val="center"/>
        </w:trPr>
        <w:tc>
          <w:tcPr>
            <w:tcW w:w="1101" w:type="dxa"/>
            <w:vMerge w:val="continue"/>
            <w:tcBorders>
              <w:left w:val="single" w:color="auto" w:sz="4" w:space="0"/>
              <w:right w:val="single" w:color="auto" w:sz="4" w:space="0"/>
            </w:tcBorders>
            <w:vAlign w:val="center"/>
          </w:tcPr>
          <w:p w14:paraId="3288CABB">
            <w:pPr>
              <w:spacing w:line="360" w:lineRule="exact"/>
              <w:rPr>
                <w:rFonts w:ascii="宋体" w:hAnsi="宋体" w:cs="宋体"/>
                <w:color w:val="auto"/>
                <w:szCs w:val="21"/>
                <w:highlight w:val="none"/>
              </w:rPr>
            </w:pPr>
            <w:bookmarkStart w:id="51" w:name="_13.3"/>
            <w:bookmarkEnd w:id="51"/>
          </w:p>
        </w:tc>
        <w:tc>
          <w:tcPr>
            <w:tcW w:w="7512" w:type="dxa"/>
            <w:tcBorders>
              <w:top w:val="single" w:color="auto" w:sz="4" w:space="0"/>
              <w:left w:val="single" w:color="auto" w:sz="4" w:space="0"/>
              <w:right w:val="single" w:color="auto" w:sz="4" w:space="0"/>
            </w:tcBorders>
            <w:vAlign w:val="center"/>
          </w:tcPr>
          <w:p w14:paraId="53770E02">
            <w:pPr>
              <w:snapToGrid w:val="0"/>
              <w:spacing w:line="360" w:lineRule="exact"/>
              <w:ind w:firstLine="527"/>
              <w:jc w:val="left"/>
              <w:rPr>
                <w:rFonts w:ascii="宋体" w:hAnsi="宋体" w:cs="宋体"/>
                <w:b/>
                <w:color w:val="auto"/>
                <w:szCs w:val="21"/>
                <w:highlight w:val="none"/>
              </w:rPr>
            </w:pPr>
            <w:r>
              <w:rPr>
                <w:rFonts w:hint="eastAsia" w:ascii="宋体" w:hAnsi="宋体" w:cs="宋体"/>
                <w:b/>
                <w:color w:val="auto"/>
                <w:szCs w:val="21"/>
                <w:highlight w:val="none"/>
              </w:rPr>
              <w:t>商务及技术文件：</w:t>
            </w:r>
          </w:p>
          <w:p w14:paraId="7B805315">
            <w:pPr>
              <w:snapToGrid w:val="0"/>
              <w:spacing w:line="36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1.无串通投标行为的承诺函（格式后附）；</w:t>
            </w:r>
            <w:r>
              <w:rPr>
                <w:rFonts w:hint="eastAsia" w:ascii="宋体" w:hAnsi="宋体" w:cs="宋体"/>
                <w:b/>
                <w:bCs/>
                <w:color w:val="auto"/>
                <w:szCs w:val="21"/>
                <w:highlight w:val="none"/>
                <w:lang w:val="en-US" w:eastAsia="zh-CN"/>
              </w:rPr>
              <w:t>（必须提供，否则按无效投标处理）</w:t>
            </w:r>
          </w:p>
          <w:p w14:paraId="730239BF">
            <w:pPr>
              <w:snapToGrid w:val="0"/>
              <w:spacing w:line="360" w:lineRule="exact"/>
              <w:jc w:val="left"/>
              <w:rPr>
                <w:rFonts w:hint="eastAsia" w:ascii="宋体" w:hAnsi="宋体" w:cs="宋体"/>
                <w:b/>
                <w:bCs/>
                <w:color w:val="auto"/>
                <w:szCs w:val="21"/>
                <w:highlight w:val="none"/>
                <w:lang w:val="en-US" w:eastAsia="zh-CN"/>
              </w:rPr>
            </w:pPr>
            <w:r>
              <w:rPr>
                <w:rFonts w:hint="eastAsia" w:ascii="宋体" w:hAnsi="宋体" w:cs="宋体"/>
                <w:color w:val="auto"/>
                <w:szCs w:val="21"/>
                <w:highlight w:val="none"/>
                <w:lang w:val="en-US" w:eastAsia="zh-CN"/>
              </w:rPr>
              <w:t>2.法定代表人身份证明及法定代表人有效身份证正反面复印件（格式后附）；</w:t>
            </w:r>
            <w:r>
              <w:rPr>
                <w:rFonts w:hint="eastAsia" w:ascii="宋体" w:hAnsi="宋体" w:cs="宋体"/>
                <w:b/>
                <w:bCs/>
                <w:color w:val="auto"/>
                <w:szCs w:val="21"/>
                <w:highlight w:val="none"/>
                <w:lang w:val="en-US" w:eastAsia="zh-CN"/>
              </w:rPr>
              <w:t>（除自然人投标外必须提供，否则按无效投标处理）</w:t>
            </w:r>
          </w:p>
          <w:p w14:paraId="04352602">
            <w:pPr>
              <w:snapToGrid w:val="0"/>
              <w:spacing w:line="360" w:lineRule="exact"/>
              <w:jc w:val="left"/>
              <w:rPr>
                <w:rFonts w:hint="eastAsia" w:ascii="宋体" w:hAnsi="宋体" w:cs="宋体"/>
                <w:b/>
                <w:bCs/>
                <w:color w:val="auto"/>
                <w:szCs w:val="21"/>
                <w:highlight w:val="none"/>
                <w:lang w:val="en-US" w:eastAsia="zh-CN"/>
              </w:rPr>
            </w:pPr>
            <w:r>
              <w:rPr>
                <w:rFonts w:hint="eastAsia" w:ascii="宋体" w:hAnsi="宋体" w:cs="宋体"/>
                <w:color w:val="auto"/>
                <w:szCs w:val="21"/>
                <w:highlight w:val="none"/>
                <w:lang w:val="en-US" w:eastAsia="zh-CN"/>
              </w:rPr>
              <w:t>3.授权委托书及委托代理人有效身份证正反面复印件（格式后附）；</w:t>
            </w:r>
            <w:r>
              <w:rPr>
                <w:rFonts w:hint="eastAsia" w:ascii="宋体" w:hAnsi="宋体" w:cs="宋体"/>
                <w:b/>
                <w:bCs/>
                <w:color w:val="auto"/>
                <w:szCs w:val="21"/>
                <w:highlight w:val="none"/>
                <w:lang w:val="en-US" w:eastAsia="zh-CN"/>
              </w:rPr>
              <w:t>（委托时必须提供，否则按无效投标处理）</w:t>
            </w:r>
          </w:p>
          <w:p w14:paraId="30A3F4F6">
            <w:pPr>
              <w:snapToGrid w:val="0"/>
              <w:spacing w:line="36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4.商务要求偏离表（格式后附）；</w:t>
            </w:r>
            <w:r>
              <w:rPr>
                <w:rFonts w:hint="eastAsia" w:ascii="宋体" w:hAnsi="宋体" w:cs="宋体"/>
                <w:b/>
                <w:bCs/>
                <w:color w:val="auto"/>
                <w:szCs w:val="21"/>
                <w:highlight w:val="none"/>
                <w:lang w:val="en-US" w:eastAsia="zh-CN"/>
              </w:rPr>
              <w:t>（必须提供，否则按无效投标处理）</w:t>
            </w:r>
          </w:p>
          <w:p w14:paraId="734434C3">
            <w:pPr>
              <w:snapToGrid w:val="0"/>
              <w:spacing w:line="36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5.售后服务承诺（格式自拟）；</w:t>
            </w:r>
            <w:r>
              <w:rPr>
                <w:rFonts w:hint="eastAsia" w:ascii="宋体" w:hAnsi="宋体" w:cs="宋体"/>
                <w:b/>
                <w:bCs/>
                <w:color w:val="auto"/>
                <w:szCs w:val="21"/>
                <w:highlight w:val="none"/>
                <w:lang w:val="en-US" w:eastAsia="zh-CN"/>
              </w:rPr>
              <w:t>（必须提供，否则按无效投标处理）</w:t>
            </w:r>
          </w:p>
          <w:p w14:paraId="391526E6">
            <w:pPr>
              <w:snapToGrid w:val="0"/>
              <w:spacing w:line="36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6.投标人情况介绍（格式自拟）；</w:t>
            </w:r>
          </w:p>
          <w:p w14:paraId="3DAB1BF8">
            <w:pPr>
              <w:snapToGrid w:val="0"/>
              <w:spacing w:line="360" w:lineRule="exact"/>
              <w:jc w:val="left"/>
              <w:rPr>
                <w:rFonts w:hint="eastAsia" w:ascii="宋体" w:hAnsi="宋体" w:cs="宋体"/>
                <w:b/>
                <w:bCs/>
                <w:color w:val="auto"/>
                <w:szCs w:val="21"/>
                <w:highlight w:val="none"/>
                <w:lang w:val="en-US" w:eastAsia="zh-CN"/>
              </w:rPr>
            </w:pPr>
            <w:r>
              <w:rPr>
                <w:rFonts w:hint="eastAsia" w:ascii="宋体" w:hAnsi="宋体" w:cs="宋体"/>
                <w:color w:val="auto"/>
                <w:szCs w:val="21"/>
                <w:highlight w:val="none"/>
                <w:lang w:val="en-US" w:eastAsia="zh-CN"/>
              </w:rPr>
              <w:t>7.设备性能配置清单（格式后附）；</w:t>
            </w:r>
            <w:r>
              <w:rPr>
                <w:rFonts w:hint="eastAsia" w:ascii="宋体" w:hAnsi="宋体" w:cs="宋体"/>
                <w:b/>
                <w:bCs/>
                <w:color w:val="auto"/>
                <w:szCs w:val="21"/>
                <w:highlight w:val="none"/>
                <w:lang w:val="en-US" w:eastAsia="zh-CN"/>
              </w:rPr>
              <w:t>（必须提供，否则按无效投标处理）</w:t>
            </w:r>
          </w:p>
          <w:p w14:paraId="04C6AFC2">
            <w:pPr>
              <w:snapToGrid w:val="0"/>
              <w:spacing w:line="36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8.技术要求偏离表（格式后附）；</w:t>
            </w:r>
            <w:r>
              <w:rPr>
                <w:rFonts w:hint="eastAsia" w:ascii="宋体" w:hAnsi="宋体" w:cs="宋体"/>
                <w:b/>
                <w:bCs/>
                <w:color w:val="auto"/>
                <w:szCs w:val="21"/>
                <w:highlight w:val="none"/>
                <w:lang w:val="en-US" w:eastAsia="zh-CN"/>
              </w:rPr>
              <w:t>（必须提供，否则按无效投标处理）</w:t>
            </w:r>
          </w:p>
          <w:p w14:paraId="2A7A9A68">
            <w:pPr>
              <w:snapToGrid w:val="0"/>
              <w:spacing w:line="36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9.技术及项目实施方案、售后服务方案等（格式自拟）；</w:t>
            </w:r>
          </w:p>
          <w:p w14:paraId="65EA9348">
            <w:pPr>
              <w:snapToGrid w:val="0"/>
              <w:spacing w:line="36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10.对本项目系统总体要求的理解。包括：功能说明、性能指标及设备选型说明（质量、性能、价格、外观、体积等方面进行比较和选择的理由及过程，格式自拟）；</w:t>
            </w:r>
          </w:p>
          <w:p w14:paraId="3BF3FE99">
            <w:pPr>
              <w:snapToGrid w:val="0"/>
              <w:spacing w:line="36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11.产品出厂标准、质量检测报告【其中有精度要求的仪器设备类政府采购项目，应当要求投标人提供精度数据（国家认可的有资质的第三方检测机构出具的检测报告复印件或者由采购人在投标前组织的实测获得）】</w:t>
            </w:r>
          </w:p>
          <w:p w14:paraId="64462BA1">
            <w:pPr>
              <w:snapToGrid w:val="0"/>
              <w:spacing w:line="36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12.优惠条件：投标人承诺给予采购人的各种优惠条件，包括售后服务、备品备件、专用耗材等方面的优惠；投标人不得给予赠品或者与采购无关的其他商品、服务；</w:t>
            </w:r>
          </w:p>
          <w:p w14:paraId="48D434DC">
            <w:pPr>
              <w:snapToGrid w:val="0"/>
              <w:spacing w:line="36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13.投标人对本项目的合理化建议和改进措施（格式自拟）；</w:t>
            </w:r>
          </w:p>
          <w:p w14:paraId="6E85DC77">
            <w:pPr>
              <w:snapToGrid w:val="0"/>
              <w:spacing w:line="36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14.除招标文件规定必须提供以外，投标人认为需要提供的其他证明材料（格式自拟）。（投标人根据“第二章 采购需求”及“第四章 评标方法及评标标准”提供有关证明材料）。</w:t>
            </w:r>
          </w:p>
          <w:p w14:paraId="5827F3AF">
            <w:pPr>
              <w:snapToGrid w:val="0"/>
              <w:spacing w:line="360" w:lineRule="exact"/>
              <w:ind w:firstLine="527"/>
              <w:jc w:val="left"/>
              <w:rPr>
                <w:rFonts w:ascii="宋体" w:hAnsi="宋体" w:cs="宋体"/>
                <w:b/>
                <w:bCs/>
                <w:color w:val="auto"/>
                <w:szCs w:val="21"/>
                <w:highlight w:val="none"/>
              </w:rPr>
            </w:pPr>
            <w:r>
              <w:rPr>
                <w:rFonts w:hint="eastAsia" w:ascii="宋体" w:hAnsi="宋体" w:cs="宋体"/>
                <w:b/>
                <w:bCs/>
                <w:color w:val="auto"/>
                <w:szCs w:val="21"/>
                <w:highlight w:val="none"/>
              </w:rPr>
              <w:t>注：1.以上标明“必须提供”的材料属于复印件的，必须加盖投标人公章，否则按无效投标</w:t>
            </w:r>
            <w:r>
              <w:rPr>
                <w:rFonts w:hint="eastAsia" w:ascii="宋体" w:hAnsi="宋体" w:cs="宋体"/>
                <w:b/>
                <w:color w:val="auto"/>
                <w:szCs w:val="21"/>
                <w:highlight w:val="none"/>
              </w:rPr>
              <w:t>处理</w:t>
            </w:r>
            <w:r>
              <w:rPr>
                <w:rFonts w:hint="eastAsia" w:ascii="宋体" w:hAnsi="宋体" w:cs="宋体"/>
                <w:b/>
                <w:bCs/>
                <w:color w:val="auto"/>
                <w:szCs w:val="21"/>
                <w:highlight w:val="none"/>
              </w:rPr>
              <w:t>。</w:t>
            </w:r>
          </w:p>
          <w:p w14:paraId="37706CDF">
            <w:pPr>
              <w:pStyle w:val="19"/>
              <w:ind w:firstLine="527"/>
              <w:rPr>
                <w:rFonts w:ascii="宋体" w:hAnsi="宋体" w:cs="宋体"/>
                <w:color w:val="auto"/>
                <w:sz w:val="21"/>
                <w:szCs w:val="21"/>
                <w:highlight w:val="none"/>
                <w:lang w:val="en-US"/>
              </w:rPr>
            </w:pPr>
            <w:r>
              <w:rPr>
                <w:rFonts w:hint="eastAsia" w:ascii="宋体" w:hAnsi="宋体" w:cs="宋体"/>
                <w:b/>
                <w:bCs/>
                <w:color w:val="auto"/>
                <w:sz w:val="21"/>
                <w:szCs w:val="21"/>
                <w:highlight w:val="none"/>
                <w:lang w:val="en-US"/>
              </w:rPr>
              <w:t>2.中标人在领取中标通知书时提供两套投标文件，做为纸质存档资料。</w:t>
            </w:r>
          </w:p>
        </w:tc>
      </w:tr>
      <w:tr w14:paraId="274BA6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vAlign w:val="center"/>
          </w:tcPr>
          <w:p w14:paraId="6B393F4F">
            <w:pPr>
              <w:spacing w:line="360" w:lineRule="exact"/>
              <w:rPr>
                <w:rFonts w:ascii="宋体" w:hAnsi="宋体" w:cs="宋体"/>
                <w:color w:val="auto"/>
                <w:szCs w:val="21"/>
                <w:highlight w:val="none"/>
              </w:rPr>
            </w:pPr>
            <w:bookmarkStart w:id="52" w:name="_16.2"/>
            <w:bookmarkEnd w:id="52"/>
            <w:bookmarkStart w:id="53" w:name="_13.5"/>
            <w:bookmarkEnd w:id="53"/>
            <w:r>
              <w:rPr>
                <w:rFonts w:hint="eastAsia" w:ascii="宋体" w:hAnsi="宋体" w:cs="宋体"/>
                <w:color w:val="auto"/>
                <w:szCs w:val="21"/>
                <w:highlight w:val="none"/>
              </w:rPr>
              <w:t xml:space="preserve">                                      16</w:t>
            </w:r>
            <w:bookmarkStart w:id="54" w:name="_Hlt19693758"/>
            <w:bookmarkStart w:id="55" w:name="_Hlt19693759"/>
            <w:bookmarkStart w:id="56" w:name="_Hlt19194067"/>
            <w:bookmarkStart w:id="57" w:name="_Hlt19194066"/>
            <w:r>
              <w:rPr>
                <w:rFonts w:hint="eastAsia" w:ascii="宋体" w:hAnsi="宋体" w:cs="宋体"/>
                <w:color w:val="auto"/>
                <w:szCs w:val="21"/>
                <w:highlight w:val="none"/>
              </w:rPr>
              <w:t>.</w:t>
            </w:r>
            <w:bookmarkEnd w:id="54"/>
            <w:bookmarkEnd w:id="55"/>
            <w:bookmarkEnd w:id="56"/>
            <w:bookmarkEnd w:id="57"/>
            <w:r>
              <w:rPr>
                <w:rFonts w:hint="eastAsia" w:ascii="宋体" w:hAnsi="宋体" w:cs="宋体"/>
                <w:color w:val="auto"/>
                <w:szCs w:val="21"/>
                <w:highlight w:val="none"/>
              </w:rPr>
              <w:t>2</w:t>
            </w:r>
          </w:p>
        </w:tc>
        <w:tc>
          <w:tcPr>
            <w:tcW w:w="7512" w:type="dxa"/>
            <w:tcBorders>
              <w:top w:val="single" w:color="auto" w:sz="4" w:space="0"/>
              <w:left w:val="single" w:color="auto" w:sz="4" w:space="0"/>
              <w:bottom w:val="single" w:color="auto" w:sz="4" w:space="0"/>
              <w:right w:val="single" w:color="auto" w:sz="4" w:space="0"/>
            </w:tcBorders>
            <w:vAlign w:val="center"/>
          </w:tcPr>
          <w:p w14:paraId="04457D4D">
            <w:pPr>
              <w:snapToGrid w:val="0"/>
              <w:spacing w:line="360" w:lineRule="exact"/>
              <w:rPr>
                <w:rFonts w:ascii="宋体" w:hAnsi="宋体" w:cs="宋体"/>
                <w:b/>
                <w:color w:val="auto"/>
                <w:szCs w:val="21"/>
                <w:highlight w:val="none"/>
              </w:rPr>
            </w:pPr>
            <w:r>
              <w:rPr>
                <w:rFonts w:hint="eastAsia" w:ascii="宋体" w:hAnsi="宋体" w:cs="宋体"/>
                <w:color w:val="auto"/>
                <w:szCs w:val="21"/>
                <w:highlight w:val="none"/>
              </w:rPr>
              <w:t>投标报价包含货物、货物标准附件、备品备件、专用工具、设备安装辅材、施工辅材、包装、运输、装卸、保险、货到就位的各种费用以及安装、调试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明示或暗示的所有责任、义务和一般风险等一切费用。</w:t>
            </w:r>
          </w:p>
        </w:tc>
      </w:tr>
      <w:tr w14:paraId="2888C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vAlign w:val="center"/>
          </w:tcPr>
          <w:p w14:paraId="667E644D">
            <w:pPr>
              <w:spacing w:line="360" w:lineRule="exact"/>
              <w:jc w:val="center"/>
              <w:rPr>
                <w:rFonts w:ascii="宋体" w:hAnsi="宋体" w:cs="宋体"/>
                <w:color w:val="auto"/>
                <w:szCs w:val="21"/>
                <w:highlight w:val="none"/>
              </w:rPr>
            </w:pPr>
            <w:bookmarkStart w:id="58" w:name="_17.1"/>
            <w:bookmarkEnd w:id="58"/>
            <w:r>
              <w:rPr>
                <w:rFonts w:hint="eastAsia" w:ascii="宋体" w:hAnsi="宋体" w:cs="宋体"/>
                <w:color w:val="auto"/>
                <w:szCs w:val="21"/>
                <w:highlight w:val="none"/>
              </w:rPr>
              <w:t>17.2</w:t>
            </w:r>
          </w:p>
        </w:tc>
        <w:tc>
          <w:tcPr>
            <w:tcW w:w="7512" w:type="dxa"/>
            <w:tcBorders>
              <w:top w:val="single" w:color="auto" w:sz="4" w:space="0"/>
              <w:left w:val="single" w:color="auto" w:sz="4" w:space="0"/>
              <w:bottom w:val="single" w:color="auto" w:sz="4" w:space="0"/>
              <w:right w:val="single" w:color="auto" w:sz="4" w:space="0"/>
            </w:tcBorders>
            <w:vAlign w:val="center"/>
          </w:tcPr>
          <w:p w14:paraId="1027BA13">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投标有效期：自投标截止之日起60日。</w:t>
            </w:r>
          </w:p>
        </w:tc>
      </w:tr>
      <w:tr w14:paraId="74BCC4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vAlign w:val="center"/>
          </w:tcPr>
          <w:p w14:paraId="62BEEEEE">
            <w:pPr>
              <w:spacing w:line="360" w:lineRule="exact"/>
              <w:jc w:val="center"/>
              <w:rPr>
                <w:rFonts w:ascii="宋体" w:hAnsi="宋体" w:cs="宋体"/>
                <w:color w:val="auto"/>
                <w:szCs w:val="21"/>
                <w:highlight w:val="none"/>
              </w:rPr>
            </w:pPr>
            <w:bookmarkStart w:id="59" w:name="_18"/>
            <w:bookmarkEnd w:id="59"/>
            <w:r>
              <w:rPr>
                <w:rFonts w:hint="eastAsia" w:ascii="宋体" w:hAnsi="宋体" w:cs="宋体"/>
                <w:color w:val="auto"/>
                <w:szCs w:val="21"/>
                <w:highlight w:val="none"/>
              </w:rPr>
              <w:t>18.1</w:t>
            </w:r>
          </w:p>
        </w:tc>
        <w:tc>
          <w:tcPr>
            <w:tcW w:w="7512" w:type="dxa"/>
            <w:tcBorders>
              <w:top w:val="single" w:color="auto" w:sz="4" w:space="0"/>
              <w:left w:val="single" w:color="auto" w:sz="4" w:space="0"/>
              <w:bottom w:val="single" w:color="auto" w:sz="4" w:space="0"/>
              <w:right w:val="single" w:color="auto" w:sz="4" w:space="0"/>
            </w:tcBorders>
            <w:vAlign w:val="center"/>
          </w:tcPr>
          <w:p w14:paraId="015278E4">
            <w:pPr>
              <w:autoSpaceDE w:val="0"/>
              <w:autoSpaceDN w:val="0"/>
              <w:snapToGrid w:val="0"/>
              <w:spacing w:line="360" w:lineRule="exact"/>
              <w:textAlignment w:val="bottom"/>
              <w:rPr>
                <w:rFonts w:ascii="宋体" w:hAnsi="宋体" w:cs="宋体"/>
                <w:color w:val="auto"/>
                <w:szCs w:val="21"/>
                <w:highlight w:val="none"/>
              </w:rPr>
            </w:pPr>
            <w:r>
              <w:rPr>
                <w:rFonts w:ascii="Segoe UI Symbol" w:hAnsi="Segoe UI Symbol" w:cs="Segoe UI Symbol"/>
                <w:color w:val="auto"/>
                <w:szCs w:val="21"/>
                <w:highlight w:val="none"/>
              </w:rPr>
              <w:t>☑</w:t>
            </w:r>
            <w:r>
              <w:rPr>
                <w:rFonts w:hint="eastAsia" w:ascii="宋体" w:hAnsi="宋体" w:cs="宋体"/>
                <w:color w:val="auto"/>
                <w:szCs w:val="21"/>
                <w:highlight w:val="none"/>
              </w:rPr>
              <w:t>本项目不收取投标保证金。</w:t>
            </w:r>
          </w:p>
          <w:p w14:paraId="4791B234">
            <w:pPr>
              <w:pStyle w:val="19"/>
              <w:spacing w:line="360" w:lineRule="exact"/>
              <w:rPr>
                <w:rFonts w:ascii="宋体" w:hAnsi="宋体" w:cs="宋体"/>
                <w:color w:val="auto"/>
                <w:sz w:val="21"/>
                <w:szCs w:val="21"/>
                <w:highlight w:val="none"/>
                <w:lang w:val="en-US"/>
              </w:rPr>
            </w:pPr>
            <w:r>
              <w:rPr>
                <w:rFonts w:hint="eastAsia" w:ascii="宋体" w:hAnsi="宋体" w:cs="宋体"/>
                <w:color w:val="auto"/>
                <w:kern w:val="2"/>
                <w:sz w:val="21"/>
                <w:szCs w:val="21"/>
                <w:highlight w:val="none"/>
                <w:lang w:val="en-US"/>
              </w:rPr>
              <w:t>□本项目收取投标保证金。</w:t>
            </w:r>
          </w:p>
        </w:tc>
      </w:tr>
      <w:tr w14:paraId="75EE0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vAlign w:val="center"/>
          </w:tcPr>
          <w:p w14:paraId="0DE9C2A6">
            <w:pPr>
              <w:spacing w:line="360" w:lineRule="exact"/>
              <w:jc w:val="center"/>
              <w:rPr>
                <w:rFonts w:ascii="宋体" w:hAnsi="宋体" w:cs="宋体"/>
                <w:color w:val="auto"/>
                <w:szCs w:val="21"/>
                <w:highlight w:val="none"/>
              </w:rPr>
            </w:pPr>
            <w:bookmarkStart w:id="60" w:name="_19.2"/>
            <w:bookmarkEnd w:id="60"/>
            <w:r>
              <w:rPr>
                <w:rFonts w:hint="eastAsia" w:ascii="宋体" w:hAnsi="宋体" w:cs="宋体"/>
                <w:color w:val="auto"/>
                <w:szCs w:val="21"/>
                <w:highlight w:val="none"/>
              </w:rPr>
              <w:t>20</w:t>
            </w:r>
          </w:p>
        </w:tc>
        <w:tc>
          <w:tcPr>
            <w:tcW w:w="7512" w:type="dxa"/>
            <w:tcBorders>
              <w:top w:val="single" w:color="auto" w:sz="4" w:space="0"/>
              <w:left w:val="single" w:color="auto" w:sz="4" w:space="0"/>
              <w:bottom w:val="single" w:color="auto" w:sz="4" w:space="0"/>
              <w:right w:val="single" w:color="auto" w:sz="4" w:space="0"/>
            </w:tcBorders>
            <w:vAlign w:val="center"/>
          </w:tcPr>
          <w:p w14:paraId="2C8FE7FF">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color w:val="auto"/>
                <w:szCs w:val="21"/>
                <w:highlight w:val="none"/>
                <w:bdr w:val="single" w:color="auto" w:sz="4" w:space="0"/>
              </w:rPr>
              <w:t>√</w:t>
            </w:r>
            <w:r>
              <w:rPr>
                <w:rFonts w:hint="eastAsia" w:ascii="宋体" w:hAnsi="宋体" w:cs="宋体"/>
                <w:color w:val="auto"/>
                <w:szCs w:val="21"/>
                <w:highlight w:val="none"/>
              </w:rPr>
              <w:t>本项目不接受电子备份投标文件；</w:t>
            </w:r>
          </w:p>
          <w:p w14:paraId="4047617B">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color w:val="auto"/>
                <w:szCs w:val="21"/>
                <w:highlight w:val="none"/>
              </w:rPr>
              <w:t>□本项目接受电子备份投标文件。</w:t>
            </w:r>
          </w:p>
        </w:tc>
      </w:tr>
      <w:tr w14:paraId="213EAA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jc w:val="center"/>
        </w:trPr>
        <w:tc>
          <w:tcPr>
            <w:tcW w:w="1101" w:type="dxa"/>
            <w:tcBorders>
              <w:top w:val="single" w:color="auto" w:sz="4" w:space="0"/>
              <w:left w:val="single" w:color="auto" w:sz="4" w:space="0"/>
              <w:bottom w:val="single" w:color="auto" w:sz="4" w:space="0"/>
              <w:right w:val="single" w:color="auto" w:sz="4" w:space="0"/>
            </w:tcBorders>
            <w:vAlign w:val="center"/>
          </w:tcPr>
          <w:p w14:paraId="04B07DDB">
            <w:pPr>
              <w:spacing w:line="360" w:lineRule="exact"/>
              <w:jc w:val="center"/>
              <w:rPr>
                <w:rFonts w:ascii="宋体" w:hAnsi="宋体" w:cs="宋体"/>
                <w:color w:val="auto"/>
                <w:szCs w:val="21"/>
                <w:highlight w:val="none"/>
              </w:rPr>
            </w:pPr>
            <w:bookmarkStart w:id="61" w:name="_21.1"/>
            <w:bookmarkEnd w:id="61"/>
            <w:r>
              <w:rPr>
                <w:rFonts w:hint="eastAsia" w:ascii="宋体" w:hAnsi="宋体" w:cs="宋体"/>
                <w:color w:val="auto"/>
                <w:szCs w:val="21"/>
                <w:highlight w:val="none"/>
              </w:rPr>
              <w:t>21.1</w:t>
            </w:r>
          </w:p>
        </w:tc>
        <w:tc>
          <w:tcPr>
            <w:tcW w:w="7512" w:type="dxa"/>
            <w:tcBorders>
              <w:top w:val="single" w:color="auto" w:sz="4" w:space="0"/>
              <w:left w:val="single" w:color="auto" w:sz="4" w:space="0"/>
              <w:bottom w:val="single" w:color="auto" w:sz="4" w:space="0"/>
              <w:right w:val="single" w:color="auto" w:sz="4" w:space="0"/>
            </w:tcBorders>
            <w:vAlign w:val="center"/>
          </w:tcPr>
          <w:p w14:paraId="0B5C4760">
            <w:pPr>
              <w:snapToGrid w:val="0"/>
              <w:spacing w:line="360" w:lineRule="exact"/>
              <w:rPr>
                <w:rFonts w:ascii="宋体" w:hAnsi="宋体" w:cs="宋体"/>
                <w:color w:val="auto"/>
                <w:szCs w:val="21"/>
                <w:highlight w:val="none"/>
                <w:u w:val="single"/>
              </w:rPr>
            </w:pPr>
            <w:r>
              <w:rPr>
                <w:rFonts w:hint="eastAsia" w:ascii="宋体" w:hAnsi="宋体" w:cs="宋体"/>
                <w:color w:val="auto"/>
                <w:szCs w:val="21"/>
                <w:highlight w:val="none"/>
              </w:rPr>
              <w:t>1.投标文件提交截止时间：详见招标公告</w:t>
            </w:r>
          </w:p>
          <w:p w14:paraId="5AE34726">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2.投标地点：详见招标公告</w:t>
            </w:r>
          </w:p>
        </w:tc>
      </w:tr>
      <w:tr w14:paraId="0574BC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vAlign w:val="center"/>
          </w:tcPr>
          <w:p w14:paraId="72B5777A">
            <w:pPr>
              <w:spacing w:line="360" w:lineRule="exact"/>
              <w:jc w:val="center"/>
              <w:rPr>
                <w:rFonts w:ascii="宋体" w:hAnsi="宋体" w:cs="宋体"/>
                <w:color w:val="auto"/>
                <w:szCs w:val="21"/>
                <w:highlight w:val="none"/>
              </w:rPr>
            </w:pPr>
            <w:bookmarkStart w:id="62" w:name="_23"/>
            <w:bookmarkEnd w:id="62"/>
            <w:r>
              <w:rPr>
                <w:rFonts w:hint="eastAsia" w:ascii="宋体" w:hAnsi="宋体" w:cs="宋体"/>
                <w:color w:val="auto"/>
                <w:szCs w:val="21"/>
                <w:highlight w:val="none"/>
              </w:rPr>
              <w:t>23</w:t>
            </w:r>
          </w:p>
        </w:tc>
        <w:tc>
          <w:tcPr>
            <w:tcW w:w="7512" w:type="dxa"/>
            <w:tcBorders>
              <w:top w:val="single" w:color="auto" w:sz="4" w:space="0"/>
              <w:left w:val="single" w:color="auto" w:sz="4" w:space="0"/>
              <w:bottom w:val="single" w:color="auto" w:sz="4" w:space="0"/>
              <w:right w:val="single" w:color="auto" w:sz="4" w:space="0"/>
            </w:tcBorders>
            <w:vAlign w:val="center"/>
          </w:tcPr>
          <w:p w14:paraId="6BBF0B24">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1.开标时间：详见招标公告</w:t>
            </w:r>
          </w:p>
          <w:p w14:paraId="7BCF7FD8">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2.开标地点：详见招标公告</w:t>
            </w:r>
          </w:p>
        </w:tc>
      </w:tr>
      <w:tr w14:paraId="3794D0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vAlign w:val="center"/>
          </w:tcPr>
          <w:p w14:paraId="2661AE78">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24.3（1）</w:t>
            </w:r>
          </w:p>
        </w:tc>
        <w:tc>
          <w:tcPr>
            <w:tcW w:w="7512" w:type="dxa"/>
            <w:tcBorders>
              <w:top w:val="single" w:color="auto" w:sz="4" w:space="0"/>
              <w:left w:val="single" w:color="auto" w:sz="4" w:space="0"/>
              <w:bottom w:val="single" w:color="auto" w:sz="4" w:space="0"/>
              <w:right w:val="single" w:color="auto" w:sz="4" w:space="0"/>
            </w:tcBorders>
            <w:vAlign w:val="center"/>
          </w:tcPr>
          <w:p w14:paraId="61785207">
            <w:pPr>
              <w:snapToGrid w:val="0"/>
              <w:spacing w:line="360" w:lineRule="exact"/>
              <w:rPr>
                <w:rFonts w:ascii="宋体" w:hAnsi="宋体" w:cs="宋体"/>
                <w:color w:val="auto"/>
                <w:szCs w:val="21"/>
                <w:highlight w:val="none"/>
                <w:u w:val="single"/>
              </w:rPr>
            </w:pPr>
            <w:r>
              <w:rPr>
                <w:rFonts w:hint="eastAsia" w:ascii="宋体" w:hAnsi="宋体" w:cs="宋体"/>
                <w:color w:val="auto"/>
                <w:szCs w:val="21"/>
                <w:highlight w:val="none"/>
              </w:rPr>
              <w:t>电子投标文件解密时间：</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rPr>
              <w:t>0</w:t>
            </w:r>
            <w:r>
              <w:rPr>
                <w:rFonts w:hint="eastAsia" w:ascii="宋体" w:hAnsi="宋体" w:cs="宋体"/>
                <w:color w:val="auto"/>
                <w:szCs w:val="21"/>
                <w:highlight w:val="none"/>
              </w:rPr>
              <w:t>分钟</w:t>
            </w:r>
          </w:p>
        </w:tc>
      </w:tr>
      <w:tr w14:paraId="597A3F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vAlign w:val="center"/>
          </w:tcPr>
          <w:p w14:paraId="0D8905B4">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24.3（2）</w:t>
            </w:r>
          </w:p>
        </w:tc>
        <w:tc>
          <w:tcPr>
            <w:tcW w:w="7512" w:type="dxa"/>
            <w:tcBorders>
              <w:top w:val="single" w:color="auto" w:sz="4" w:space="0"/>
              <w:left w:val="single" w:color="auto" w:sz="4" w:space="0"/>
              <w:bottom w:val="single" w:color="auto" w:sz="4" w:space="0"/>
              <w:right w:val="single" w:color="auto" w:sz="4" w:space="0"/>
            </w:tcBorders>
            <w:vAlign w:val="center"/>
          </w:tcPr>
          <w:p w14:paraId="5E85C31B">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宣布的内容：投标人名称、投标价格</w:t>
            </w:r>
          </w:p>
        </w:tc>
      </w:tr>
      <w:tr w14:paraId="30E420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vAlign w:val="center"/>
          </w:tcPr>
          <w:p w14:paraId="73EF0931">
            <w:pPr>
              <w:spacing w:line="360" w:lineRule="exact"/>
              <w:jc w:val="center"/>
              <w:rPr>
                <w:rFonts w:ascii="宋体" w:hAnsi="宋体" w:cs="宋体"/>
                <w:color w:val="auto"/>
                <w:szCs w:val="21"/>
                <w:highlight w:val="none"/>
              </w:rPr>
            </w:pPr>
            <w:bookmarkStart w:id="63" w:name="_25.3"/>
            <w:bookmarkEnd w:id="63"/>
            <w:r>
              <w:rPr>
                <w:rFonts w:hint="eastAsia" w:ascii="宋体" w:hAnsi="宋体" w:cs="宋体"/>
                <w:color w:val="auto"/>
                <w:szCs w:val="21"/>
                <w:highlight w:val="none"/>
              </w:rPr>
              <w:t>25.3（2）</w:t>
            </w:r>
          </w:p>
        </w:tc>
        <w:tc>
          <w:tcPr>
            <w:tcW w:w="7512" w:type="dxa"/>
            <w:tcBorders>
              <w:top w:val="single" w:color="auto" w:sz="4" w:space="0"/>
              <w:left w:val="single" w:color="auto" w:sz="4" w:space="0"/>
              <w:bottom w:val="single" w:color="auto" w:sz="4" w:space="0"/>
              <w:right w:val="single" w:color="auto" w:sz="4" w:space="0"/>
            </w:tcBorders>
            <w:vAlign w:val="center"/>
          </w:tcPr>
          <w:p w14:paraId="0DD821C2">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采购人或者采购代理机构在资格审查结束前，对投标人进行信用查询。</w:t>
            </w:r>
          </w:p>
          <w:p w14:paraId="30E8C3ED">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查询渠道：“信用中国”网站（www.creditchina.gov.cn） 、中国政府采购网（www.ccgp.gov.cn）。</w:t>
            </w:r>
          </w:p>
          <w:p w14:paraId="29E9FA28">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信用查询截止时点：资格审查结束前</w:t>
            </w:r>
          </w:p>
          <w:p w14:paraId="28EEE470">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查询记录和证据留存方式：在查询网站中直接截图查询记录，截图作为在</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作为附件上传保存。</w:t>
            </w:r>
          </w:p>
          <w:p w14:paraId="2EF11AD3">
            <w:pPr>
              <w:snapToGrid w:val="0"/>
              <w:spacing w:line="360" w:lineRule="exact"/>
              <w:rPr>
                <w:rFonts w:ascii="宋体" w:hAnsi="宋体" w:cs="宋体"/>
                <w:b/>
                <w:color w:val="auto"/>
                <w:szCs w:val="21"/>
                <w:highlight w:val="none"/>
              </w:rPr>
            </w:pPr>
            <w:r>
              <w:rPr>
                <w:rFonts w:hint="eastAsia" w:ascii="宋体" w:hAnsi="宋体" w:cs="宋体"/>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6129D2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vAlign w:val="center"/>
          </w:tcPr>
          <w:p w14:paraId="225DB651">
            <w:pPr>
              <w:spacing w:line="360" w:lineRule="exact"/>
              <w:jc w:val="center"/>
              <w:rPr>
                <w:rFonts w:ascii="宋体" w:hAnsi="宋体" w:cs="宋体"/>
                <w:color w:val="auto"/>
                <w:szCs w:val="21"/>
                <w:highlight w:val="none"/>
              </w:rPr>
            </w:pPr>
            <w:bookmarkStart w:id="64" w:name="_26"/>
            <w:bookmarkEnd w:id="64"/>
            <w:r>
              <w:rPr>
                <w:rFonts w:hint="eastAsia" w:ascii="宋体" w:hAnsi="宋体" w:cs="宋体"/>
                <w:color w:val="auto"/>
                <w:szCs w:val="21"/>
                <w:highlight w:val="none"/>
              </w:rPr>
              <w:t>26.1</w:t>
            </w:r>
          </w:p>
        </w:tc>
        <w:tc>
          <w:tcPr>
            <w:tcW w:w="7512" w:type="dxa"/>
            <w:tcBorders>
              <w:top w:val="single" w:color="auto" w:sz="4" w:space="0"/>
              <w:left w:val="single" w:color="auto" w:sz="4" w:space="0"/>
              <w:bottom w:val="single" w:color="auto" w:sz="4" w:space="0"/>
              <w:right w:val="single" w:color="auto" w:sz="4" w:space="0"/>
            </w:tcBorders>
            <w:vAlign w:val="center"/>
          </w:tcPr>
          <w:p w14:paraId="3AEE7BAB">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color w:val="auto"/>
                <w:szCs w:val="21"/>
                <w:highlight w:val="none"/>
              </w:rPr>
              <w:t>评标委员会的人数：</w:t>
            </w:r>
            <w:r>
              <w:rPr>
                <w:rFonts w:hint="eastAsia" w:ascii="宋体" w:hAnsi="宋体" w:cs="宋体"/>
                <w:color w:val="auto"/>
                <w:szCs w:val="21"/>
                <w:highlight w:val="none"/>
                <w:u w:val="single"/>
              </w:rPr>
              <w:t>5</w:t>
            </w:r>
            <w:r>
              <w:rPr>
                <w:rFonts w:hint="eastAsia" w:ascii="宋体" w:hAnsi="宋体" w:cs="宋体"/>
                <w:color w:val="auto"/>
                <w:szCs w:val="21"/>
                <w:highlight w:val="none"/>
              </w:rPr>
              <w:t>人</w:t>
            </w:r>
          </w:p>
        </w:tc>
      </w:tr>
      <w:tr w14:paraId="021A50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vAlign w:val="center"/>
          </w:tcPr>
          <w:p w14:paraId="5D70003D">
            <w:pPr>
              <w:spacing w:line="360" w:lineRule="exact"/>
              <w:jc w:val="center"/>
              <w:rPr>
                <w:rFonts w:ascii="宋体" w:hAnsi="宋体" w:cs="宋体"/>
                <w:color w:val="auto"/>
                <w:szCs w:val="21"/>
                <w:highlight w:val="none"/>
              </w:rPr>
            </w:pPr>
            <w:bookmarkStart w:id="65" w:name="_28.3"/>
            <w:bookmarkEnd w:id="65"/>
            <w:r>
              <w:rPr>
                <w:rFonts w:hint="eastAsia" w:ascii="宋体" w:hAnsi="宋体" w:cs="宋体"/>
                <w:color w:val="auto"/>
                <w:szCs w:val="21"/>
                <w:highlight w:val="none"/>
              </w:rPr>
              <w:t>29.1</w:t>
            </w:r>
          </w:p>
        </w:tc>
        <w:tc>
          <w:tcPr>
            <w:tcW w:w="7512" w:type="dxa"/>
            <w:tcBorders>
              <w:top w:val="single" w:color="auto" w:sz="4" w:space="0"/>
              <w:left w:val="single" w:color="auto" w:sz="4" w:space="0"/>
              <w:bottom w:val="single" w:color="auto" w:sz="4" w:space="0"/>
              <w:right w:val="single" w:color="auto" w:sz="4" w:space="0"/>
            </w:tcBorders>
            <w:vAlign w:val="center"/>
          </w:tcPr>
          <w:p w14:paraId="2982483F">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color w:val="auto"/>
                <w:szCs w:val="21"/>
                <w:highlight w:val="none"/>
              </w:rPr>
              <w:t>评标方法：</w:t>
            </w:r>
          </w:p>
          <w:p w14:paraId="7279D70E">
            <w:pPr>
              <w:autoSpaceDE w:val="0"/>
              <w:autoSpaceDN w:val="0"/>
              <w:snapToGrid w:val="0"/>
              <w:spacing w:line="360" w:lineRule="exact"/>
              <w:textAlignment w:val="bottom"/>
              <w:rPr>
                <w:rFonts w:ascii="宋体" w:hAnsi="宋体" w:cs="宋体"/>
                <w:color w:val="auto"/>
                <w:szCs w:val="21"/>
                <w:highlight w:val="none"/>
              </w:rPr>
            </w:pPr>
            <w:r>
              <w:rPr>
                <w:rFonts w:ascii="Segoe UI Symbol" w:hAnsi="Segoe UI Symbol" w:cs="Segoe UI Symbol"/>
                <w:color w:val="auto"/>
                <w:szCs w:val="21"/>
                <w:highlight w:val="none"/>
              </w:rPr>
              <w:t>☑</w:t>
            </w:r>
            <w:r>
              <w:rPr>
                <w:rFonts w:hint="eastAsia" w:ascii="宋体" w:hAnsi="宋体" w:cs="宋体"/>
                <w:color w:val="auto"/>
                <w:szCs w:val="21"/>
                <w:highlight w:val="none"/>
              </w:rPr>
              <w:t>综合评分法</w:t>
            </w:r>
          </w:p>
          <w:p w14:paraId="0A3DE40E">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color w:val="auto"/>
                <w:szCs w:val="21"/>
                <w:highlight w:val="none"/>
              </w:rPr>
              <w:t>□最低评标价法</w:t>
            </w:r>
          </w:p>
          <w:p w14:paraId="4692F1B6">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color w:val="auto"/>
                <w:szCs w:val="21"/>
                <w:highlight w:val="none"/>
              </w:rPr>
              <w:t>本项目采用远程异地评标，主场：崇左市公共资源交易中心（地址：崇左市新城区石景林路9号(崇左市政务服务中心综合楼)</w:t>
            </w:r>
          </w:p>
          <w:p w14:paraId="3AA8E048">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color w:val="auto"/>
                <w:szCs w:val="21"/>
                <w:highlight w:val="none"/>
              </w:rPr>
              <w:t>分会场：</w:t>
            </w:r>
            <w:r>
              <w:rPr>
                <w:rFonts w:hint="eastAsia" w:ascii="宋体" w:hAnsi="宋体" w:cs="宋体"/>
                <w:color w:val="auto"/>
                <w:szCs w:val="21"/>
                <w:highlight w:val="none"/>
                <w:u w:val="single"/>
                <w:lang w:val="en-US" w:eastAsia="zh-CN"/>
              </w:rPr>
              <w:t xml:space="preserve">  百色市公共资源交易中心靖西分中心（靖西市幸福广场政务大楼六楼）</w:t>
            </w:r>
            <w:r>
              <w:rPr>
                <w:rFonts w:hint="eastAsia" w:ascii="宋体" w:hAnsi="宋体" w:cs="宋体"/>
                <w:color w:val="auto"/>
                <w:szCs w:val="21"/>
                <w:highlight w:val="none"/>
                <w:lang w:eastAsia="zh-CN"/>
              </w:rPr>
              <w:t>。</w:t>
            </w:r>
          </w:p>
        </w:tc>
      </w:tr>
      <w:tr w14:paraId="333E9B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1101" w:type="dxa"/>
            <w:tcBorders>
              <w:top w:val="single" w:color="auto" w:sz="4" w:space="0"/>
              <w:left w:val="single" w:color="auto" w:sz="4" w:space="0"/>
              <w:bottom w:val="single" w:color="auto" w:sz="4" w:space="0"/>
              <w:right w:val="single" w:color="auto" w:sz="4" w:space="0"/>
            </w:tcBorders>
            <w:vAlign w:val="center"/>
          </w:tcPr>
          <w:p w14:paraId="10470905">
            <w:pPr>
              <w:spacing w:line="360" w:lineRule="exact"/>
              <w:jc w:val="center"/>
              <w:rPr>
                <w:rFonts w:ascii="宋体" w:hAnsi="宋体" w:cs="宋体"/>
                <w:color w:val="auto"/>
                <w:szCs w:val="21"/>
                <w:highlight w:val="none"/>
              </w:rPr>
            </w:pPr>
            <w:bookmarkStart w:id="66" w:name="_29.2.2（2）"/>
            <w:bookmarkEnd w:id="66"/>
            <w:r>
              <w:rPr>
                <w:rFonts w:hint="eastAsia" w:ascii="宋体" w:hAnsi="宋体" w:cs="宋体"/>
                <w:color w:val="auto"/>
                <w:szCs w:val="21"/>
                <w:highlight w:val="none"/>
              </w:rPr>
              <w:t>29.2</w:t>
            </w:r>
          </w:p>
        </w:tc>
        <w:tc>
          <w:tcPr>
            <w:tcW w:w="7512" w:type="dxa"/>
            <w:tcBorders>
              <w:top w:val="single" w:color="auto" w:sz="4" w:space="0"/>
              <w:left w:val="single" w:color="auto" w:sz="4" w:space="0"/>
              <w:right w:val="single" w:color="auto" w:sz="4" w:space="0"/>
            </w:tcBorders>
            <w:vAlign w:val="center"/>
          </w:tcPr>
          <w:p w14:paraId="580DB248">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lang w:eastAsia="zh-CN"/>
              </w:rPr>
              <w:t>分标</w:t>
            </w:r>
            <w:r>
              <w:rPr>
                <w:rFonts w:hint="eastAsia" w:ascii="宋体" w:hAnsi="宋体" w:cs="宋体"/>
                <w:color w:val="auto"/>
                <w:szCs w:val="21"/>
                <w:highlight w:val="none"/>
                <w:lang w:val="en-US" w:eastAsia="zh-CN"/>
              </w:rPr>
              <w:t>1、分标2、分标3</w:t>
            </w: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lang w:eastAsia="zh-CN"/>
              </w:rPr>
              <w:t>：</w:t>
            </w:r>
            <w:r>
              <w:rPr>
                <w:rFonts w:hint="eastAsia" w:ascii="宋体" w:hAnsi="宋体" w:cs="宋体"/>
                <w:color w:val="auto"/>
                <w:szCs w:val="21"/>
                <w:highlight w:val="none"/>
                <w:u w:val="single"/>
                <w:lang w:val="en-US" w:eastAsia="zh-CN"/>
              </w:rPr>
              <w:t xml:space="preserve"> 0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项，否则投标按无效处理。</w:t>
            </w:r>
          </w:p>
          <w:p w14:paraId="134AF662">
            <w:pPr>
              <w:spacing w:line="340" w:lineRule="exact"/>
              <w:jc w:val="left"/>
              <w:rPr>
                <w:rFonts w:hint="eastAsia" w:ascii="宋体" w:hAnsi="宋体" w:cs="宋体"/>
                <w:color w:val="auto"/>
                <w:szCs w:val="21"/>
                <w:highlight w:val="none"/>
              </w:rPr>
            </w:pPr>
            <w:r>
              <w:rPr>
                <w:rFonts w:hint="eastAsia" w:ascii="宋体" w:hAnsi="宋体" w:cs="宋体"/>
                <w:color w:val="auto"/>
                <w:szCs w:val="21"/>
                <w:highlight w:val="none"/>
                <w:lang w:eastAsia="zh-CN"/>
              </w:rPr>
              <w:t>分标</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技术评审中允许负偏离的项目数为：</w:t>
            </w:r>
            <w:r>
              <w:rPr>
                <w:rFonts w:hint="eastAsia" w:ascii="宋体" w:hAnsi="宋体" w:cs="宋体"/>
                <w:color w:val="auto"/>
                <w:szCs w:val="21"/>
                <w:highlight w:val="none"/>
                <w:u w:val="single"/>
                <w:lang w:val="en-US" w:eastAsia="zh-CN"/>
              </w:rPr>
              <w:t xml:space="preserve"> 5 </w:t>
            </w:r>
            <w:r>
              <w:rPr>
                <w:rFonts w:hint="eastAsia" w:ascii="宋体" w:hAnsi="宋体" w:cs="宋体"/>
                <w:color w:val="auto"/>
                <w:szCs w:val="21"/>
                <w:highlight w:val="none"/>
              </w:rPr>
              <w:t>项，否则投标按无效处理。</w:t>
            </w:r>
          </w:p>
          <w:p w14:paraId="115504DF">
            <w:pPr>
              <w:spacing w:line="340" w:lineRule="exact"/>
              <w:jc w:val="left"/>
              <w:rPr>
                <w:rFonts w:hint="eastAsia" w:ascii="宋体" w:hAnsi="宋体" w:cs="宋体"/>
                <w:color w:val="auto"/>
                <w:szCs w:val="21"/>
                <w:highlight w:val="none"/>
              </w:rPr>
            </w:pPr>
            <w:r>
              <w:rPr>
                <w:rFonts w:hint="eastAsia" w:ascii="宋体" w:hAnsi="宋体" w:cs="宋体"/>
                <w:color w:val="auto"/>
                <w:szCs w:val="21"/>
                <w:highlight w:val="none"/>
                <w:lang w:eastAsia="zh-CN"/>
              </w:rPr>
              <w:t>分标</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技术评审中允许负偏离的项目数为：</w:t>
            </w:r>
            <w:r>
              <w:rPr>
                <w:rFonts w:hint="eastAsia" w:ascii="宋体" w:hAnsi="宋体" w:cs="宋体"/>
                <w:color w:val="auto"/>
                <w:szCs w:val="21"/>
                <w:highlight w:val="none"/>
                <w:u w:val="single"/>
                <w:lang w:val="en-US" w:eastAsia="zh-CN"/>
              </w:rPr>
              <w:t xml:space="preserve"> 5 </w:t>
            </w:r>
            <w:r>
              <w:rPr>
                <w:rFonts w:hint="eastAsia" w:ascii="宋体" w:hAnsi="宋体" w:cs="宋体"/>
                <w:color w:val="auto"/>
                <w:szCs w:val="21"/>
                <w:highlight w:val="none"/>
              </w:rPr>
              <w:t>项，否则投标按无效处理。</w:t>
            </w:r>
          </w:p>
          <w:p w14:paraId="360D6042">
            <w:pPr>
              <w:spacing w:line="340" w:lineRule="exact"/>
              <w:jc w:val="left"/>
              <w:rPr>
                <w:rFonts w:hint="eastAsia" w:ascii="宋体" w:hAnsi="宋体" w:cs="宋体"/>
                <w:color w:val="auto"/>
                <w:szCs w:val="21"/>
                <w:highlight w:val="none"/>
              </w:rPr>
            </w:pPr>
            <w:r>
              <w:rPr>
                <w:rFonts w:hint="eastAsia" w:ascii="宋体" w:hAnsi="宋体" w:cs="宋体"/>
                <w:color w:val="auto"/>
                <w:szCs w:val="21"/>
                <w:highlight w:val="none"/>
                <w:lang w:eastAsia="zh-CN"/>
              </w:rPr>
              <w:t>分标</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技术评审中允许负偏离的项目数为：</w:t>
            </w:r>
            <w:r>
              <w:rPr>
                <w:rFonts w:hint="eastAsia" w:ascii="宋体" w:hAnsi="宋体" w:cs="宋体"/>
                <w:color w:val="auto"/>
                <w:szCs w:val="21"/>
                <w:highlight w:val="none"/>
                <w:u w:val="single"/>
                <w:lang w:val="en-US" w:eastAsia="zh-CN"/>
              </w:rPr>
              <w:t xml:space="preserve"> 5 </w:t>
            </w:r>
            <w:r>
              <w:rPr>
                <w:rFonts w:hint="eastAsia" w:ascii="宋体" w:hAnsi="宋体" w:cs="宋体"/>
                <w:color w:val="auto"/>
                <w:szCs w:val="21"/>
                <w:highlight w:val="none"/>
              </w:rPr>
              <w:t>项，否则投标按无效处理。</w:t>
            </w:r>
          </w:p>
        </w:tc>
      </w:tr>
      <w:tr w14:paraId="2FF73B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1101" w:type="dxa"/>
            <w:tcBorders>
              <w:top w:val="single" w:color="auto" w:sz="4" w:space="0"/>
              <w:left w:val="single" w:color="auto" w:sz="4" w:space="0"/>
              <w:bottom w:val="single" w:color="auto" w:sz="4" w:space="0"/>
              <w:right w:val="single" w:color="auto" w:sz="4" w:space="0"/>
            </w:tcBorders>
            <w:vAlign w:val="center"/>
          </w:tcPr>
          <w:p w14:paraId="34CB2FC5">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29.3</w:t>
            </w:r>
          </w:p>
        </w:tc>
        <w:tc>
          <w:tcPr>
            <w:tcW w:w="7512" w:type="dxa"/>
            <w:tcBorders>
              <w:top w:val="single" w:color="auto" w:sz="4" w:space="0"/>
              <w:left w:val="single" w:color="auto" w:sz="4" w:space="0"/>
              <w:right w:val="single" w:color="auto" w:sz="4" w:space="0"/>
            </w:tcBorders>
            <w:vAlign w:val="center"/>
          </w:tcPr>
          <w:p w14:paraId="5EE1EA8E">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中标候选人推荐数量：</w:t>
            </w:r>
            <w:r>
              <w:rPr>
                <w:rFonts w:hint="eastAsia" w:ascii="宋体" w:hAnsi="宋体" w:cs="宋体"/>
                <w:color w:val="auto"/>
                <w:szCs w:val="21"/>
                <w:highlight w:val="none"/>
                <w:bdr w:val="single" w:color="auto" w:sz="4" w:space="0"/>
              </w:rPr>
              <w:t>√</w:t>
            </w:r>
            <w:r>
              <w:rPr>
                <w:rFonts w:hint="eastAsia" w:ascii="宋体" w:hAnsi="宋体" w:cs="宋体"/>
                <w:color w:val="auto"/>
                <w:szCs w:val="21"/>
                <w:highlight w:val="none"/>
                <w:u w:val="single"/>
              </w:rPr>
              <w:t>3</w:t>
            </w:r>
            <w:r>
              <w:rPr>
                <w:rFonts w:hint="eastAsia" w:ascii="宋体" w:hAnsi="宋体" w:cs="宋体"/>
                <w:color w:val="auto"/>
                <w:szCs w:val="21"/>
                <w:highlight w:val="none"/>
              </w:rPr>
              <w:t>名</w:t>
            </w:r>
          </w:p>
          <w:p w14:paraId="6BAF03AD">
            <w:pPr>
              <w:spacing w:line="360" w:lineRule="exact"/>
              <w:contextualSpacing/>
              <w:rPr>
                <w:rFonts w:ascii="宋体" w:hAnsi="宋体" w:cs="宋体"/>
                <w:color w:val="auto"/>
                <w:szCs w:val="21"/>
                <w:highlight w:val="none"/>
                <w:u w:val="single"/>
              </w:rPr>
            </w:pPr>
            <w:r>
              <w:rPr>
                <w:rFonts w:hint="eastAsia" w:ascii="宋体" w:hAnsi="宋体" w:cs="宋体"/>
                <w:color w:val="auto"/>
                <w:szCs w:val="21"/>
                <w:highlight w:val="none"/>
              </w:rPr>
              <w:t>根据总得分由高到低排列次序最多推荐3名中标候选人</w:t>
            </w:r>
          </w:p>
        </w:tc>
      </w:tr>
      <w:tr w14:paraId="715B54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vAlign w:val="center"/>
          </w:tcPr>
          <w:p w14:paraId="37BB09D0">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30.1</w:t>
            </w:r>
          </w:p>
        </w:tc>
        <w:tc>
          <w:tcPr>
            <w:tcW w:w="7512" w:type="dxa"/>
            <w:tcBorders>
              <w:top w:val="single" w:color="auto" w:sz="4" w:space="0"/>
              <w:left w:val="single" w:color="auto" w:sz="4" w:space="0"/>
              <w:bottom w:val="single" w:color="auto" w:sz="4" w:space="0"/>
              <w:right w:val="single" w:color="auto" w:sz="4" w:space="0"/>
            </w:tcBorders>
            <w:vAlign w:val="center"/>
          </w:tcPr>
          <w:p w14:paraId="2FE3DDE1">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color w:val="auto"/>
                <w:szCs w:val="21"/>
                <w:highlight w:val="none"/>
              </w:rPr>
              <w:t>采用综合评分法的采购项目，采购人确定中标人时，出现中标候选人并列的情形，采购人按以下的方式确定中标人：</w:t>
            </w:r>
          </w:p>
          <w:p w14:paraId="5C2FE1E5">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color w:val="auto"/>
                <w:szCs w:val="21"/>
                <w:highlight w:val="none"/>
                <w:bdr w:val="single" w:color="auto" w:sz="4" w:space="0"/>
              </w:rPr>
              <w:t>√</w:t>
            </w:r>
            <w:r>
              <w:rPr>
                <w:rFonts w:hint="eastAsia" w:ascii="宋体" w:hAnsi="宋体" w:cs="宋体"/>
                <w:color w:val="auto"/>
                <w:szCs w:val="21"/>
                <w:highlight w:val="none"/>
              </w:rPr>
              <w:t>依次按投标报价低的优先、政策分得分高的优先、技术评分高的优先、商务评分高的优先、质量保证期长优先、交货期短优先、故障响应时间短优先的顺序确定；</w:t>
            </w:r>
          </w:p>
          <w:p w14:paraId="5A74B30F">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color w:val="auto"/>
                <w:szCs w:val="21"/>
                <w:highlight w:val="none"/>
              </w:rPr>
              <w:t>□随机抽取；</w:t>
            </w:r>
          </w:p>
        </w:tc>
      </w:tr>
      <w:tr w14:paraId="331EA9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101" w:type="dxa"/>
            <w:tcBorders>
              <w:top w:val="single" w:color="auto" w:sz="4" w:space="0"/>
              <w:left w:val="single" w:color="auto" w:sz="4" w:space="0"/>
              <w:bottom w:val="single" w:color="auto" w:sz="4" w:space="0"/>
              <w:right w:val="single" w:color="auto" w:sz="4" w:space="0"/>
            </w:tcBorders>
            <w:vAlign w:val="center"/>
          </w:tcPr>
          <w:p w14:paraId="64BC5F4D">
            <w:pPr>
              <w:spacing w:line="360" w:lineRule="exact"/>
              <w:jc w:val="center"/>
              <w:rPr>
                <w:rFonts w:ascii="宋体" w:hAnsi="宋体" w:cs="宋体"/>
                <w:color w:val="auto"/>
                <w:szCs w:val="21"/>
                <w:highlight w:val="none"/>
              </w:rPr>
            </w:pPr>
            <w:bookmarkStart w:id="67" w:name="_39.1"/>
            <w:bookmarkEnd w:id="67"/>
            <w:r>
              <w:rPr>
                <w:rFonts w:hint="eastAsia" w:ascii="宋体" w:hAnsi="宋体" w:cs="宋体"/>
                <w:color w:val="auto"/>
                <w:szCs w:val="21"/>
                <w:highlight w:val="none"/>
              </w:rPr>
              <w:t>35.1</w:t>
            </w:r>
          </w:p>
        </w:tc>
        <w:tc>
          <w:tcPr>
            <w:tcW w:w="7512" w:type="dxa"/>
            <w:tcBorders>
              <w:top w:val="single" w:color="auto" w:sz="4" w:space="0"/>
              <w:left w:val="single" w:color="auto" w:sz="4" w:space="0"/>
              <w:bottom w:val="single" w:color="auto" w:sz="4" w:space="0"/>
              <w:right w:val="single" w:color="auto" w:sz="4" w:space="0"/>
            </w:tcBorders>
            <w:vAlign w:val="center"/>
          </w:tcPr>
          <w:p w14:paraId="2EF156A5">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color w:val="auto"/>
                <w:szCs w:val="21"/>
                <w:highlight w:val="none"/>
                <w:bdr w:val="single" w:color="auto" w:sz="4" w:space="0"/>
              </w:rPr>
              <w:t>√</w:t>
            </w:r>
            <w:r>
              <w:rPr>
                <w:rFonts w:hint="eastAsia" w:ascii="宋体" w:hAnsi="宋体" w:cs="宋体"/>
                <w:color w:val="auto"/>
                <w:szCs w:val="21"/>
                <w:highlight w:val="none"/>
              </w:rPr>
              <w:t>本项目不收取履约保证金。</w:t>
            </w:r>
          </w:p>
          <w:p w14:paraId="6E3A3A25">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color w:val="auto"/>
                <w:szCs w:val="21"/>
                <w:highlight w:val="none"/>
              </w:rPr>
              <w:t>□本项目收取履约保证金，具体规定如下：</w:t>
            </w:r>
          </w:p>
          <w:p w14:paraId="40311CC0">
            <w:pPr>
              <w:pStyle w:val="17"/>
              <w:spacing w:line="360" w:lineRule="exact"/>
              <w:rPr>
                <w:rFonts w:ascii="宋体" w:hAnsi="宋体" w:cs="宋体"/>
                <w:color w:val="auto"/>
                <w:szCs w:val="21"/>
                <w:highlight w:val="none"/>
                <w:lang w:val="en-US"/>
              </w:rPr>
            </w:pPr>
            <w:r>
              <w:rPr>
                <w:rFonts w:hint="eastAsia" w:ascii="宋体" w:hAnsi="宋体" w:cs="宋体"/>
                <w:color w:val="auto"/>
                <w:szCs w:val="21"/>
                <w:highlight w:val="none"/>
                <w:lang w:val="en-US"/>
              </w:rPr>
              <w:t>履约保证金金额：按中标金额的</w:t>
            </w:r>
            <w:r>
              <w:rPr>
                <w:rFonts w:hint="eastAsia" w:ascii="宋体" w:hAnsi="宋体" w:cs="宋体"/>
                <w:color w:val="auto"/>
                <w:szCs w:val="21"/>
                <w:highlight w:val="none"/>
                <w:u w:val="single"/>
                <w:lang w:val="en-US"/>
              </w:rPr>
              <w:t>/</w:t>
            </w:r>
            <w:r>
              <w:rPr>
                <w:rFonts w:hint="eastAsia" w:ascii="宋体" w:hAnsi="宋体" w:cs="宋体"/>
                <w:color w:val="auto"/>
                <w:szCs w:val="21"/>
                <w:highlight w:val="none"/>
                <w:lang w:val="en-US"/>
              </w:rPr>
              <w:t>%。</w:t>
            </w:r>
          </w:p>
          <w:p w14:paraId="3A059A9D">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color w:val="auto"/>
                <w:szCs w:val="21"/>
                <w:highlight w:val="none"/>
              </w:rPr>
              <w:t>履约保证金递交方式：银行转账或电汇或其它政府采购法律法规允许的方式</w:t>
            </w:r>
          </w:p>
          <w:p w14:paraId="42A94740">
            <w:pPr>
              <w:autoSpaceDE w:val="0"/>
              <w:autoSpaceDN w:val="0"/>
              <w:snapToGrid w:val="0"/>
              <w:spacing w:line="360" w:lineRule="exact"/>
              <w:textAlignment w:val="bottom"/>
              <w:rPr>
                <w:rFonts w:ascii="宋体" w:hAnsi="宋体" w:cs="宋体"/>
                <w:color w:val="auto"/>
                <w:szCs w:val="21"/>
                <w:highlight w:val="none"/>
                <w:u w:val="single"/>
              </w:rPr>
            </w:pPr>
            <w:r>
              <w:rPr>
                <w:rFonts w:hint="eastAsia" w:ascii="宋体" w:hAnsi="宋体" w:cs="宋体"/>
                <w:color w:val="auto"/>
                <w:szCs w:val="21"/>
                <w:highlight w:val="none"/>
              </w:rPr>
              <w:t>履约保证金退付方式、时间及条件：在合同签订后五个工作日内，中标供应商按本合同合计金额2%比例向采购人提交履约保证金。</w:t>
            </w:r>
            <w:r>
              <w:rPr>
                <w:rFonts w:hint="eastAsia" w:ascii="宋体" w:hAnsi="宋体" w:cs="宋体"/>
                <w:b/>
                <w:bCs/>
                <w:color w:val="auto"/>
                <w:szCs w:val="21"/>
                <w:highlight w:val="none"/>
              </w:rPr>
              <w:t>中标供应商履行完所有合同约定权利义务事项后，中标供应商须向采购人提交退保证金申请，采购人自收到中标供应商退保证金申请后十五个工作日内无息退还【扣除更换、维修维保、赔偿金等费用后的（如有）】全额履约保证金。</w:t>
            </w:r>
          </w:p>
          <w:p w14:paraId="66D577E3">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color w:val="auto"/>
                <w:szCs w:val="21"/>
                <w:highlight w:val="none"/>
              </w:rPr>
              <w:t>履约保证金指定账户：中标后采购人提供</w:t>
            </w:r>
          </w:p>
          <w:p w14:paraId="0E00EAE8">
            <w:pPr>
              <w:spacing w:line="360" w:lineRule="exact"/>
              <w:jc w:val="left"/>
              <w:rPr>
                <w:rFonts w:ascii="宋体" w:hAnsi="宋体" w:cs="宋体"/>
                <w:color w:val="auto"/>
                <w:szCs w:val="21"/>
                <w:highlight w:val="none"/>
              </w:rPr>
            </w:pPr>
            <w:r>
              <w:rPr>
                <w:rFonts w:hint="eastAsia" w:ascii="宋体" w:hAnsi="宋体" w:cs="宋体"/>
                <w:color w:val="auto"/>
                <w:szCs w:val="21"/>
                <w:highlight w:val="none"/>
              </w:rPr>
              <w:t>备注：</w:t>
            </w:r>
          </w:p>
          <w:p w14:paraId="3485FE71">
            <w:pPr>
              <w:spacing w:line="360" w:lineRule="exact"/>
              <w:ind w:firstLine="527"/>
              <w:jc w:val="left"/>
              <w:rPr>
                <w:rFonts w:ascii="宋体" w:hAnsi="宋体" w:cs="宋体"/>
                <w:b/>
                <w:color w:val="auto"/>
                <w:szCs w:val="21"/>
                <w:highlight w:val="none"/>
              </w:rPr>
            </w:pPr>
            <w:r>
              <w:rPr>
                <w:rFonts w:hint="eastAsia" w:ascii="宋体" w:hAnsi="宋体" w:cs="宋体"/>
                <w:b/>
                <w:color w:val="auto"/>
                <w:szCs w:val="21"/>
                <w:highlight w:val="none"/>
              </w:rPr>
              <w:t>1.</w:t>
            </w:r>
            <w:r>
              <w:rPr>
                <w:rFonts w:hint="eastAsia" w:ascii="宋体" w:hAnsi="宋体" w:cs="宋体"/>
                <w:color w:val="auto"/>
                <w:szCs w:val="21"/>
                <w:highlight w:val="none"/>
              </w:rPr>
              <w:t xml:space="preserve"> </w:t>
            </w:r>
            <w:r>
              <w:rPr>
                <w:rFonts w:hint="eastAsia" w:ascii="宋体" w:hAnsi="宋体" w:cs="宋体"/>
                <w:b/>
                <w:color w:val="auto"/>
                <w:szCs w:val="21"/>
                <w:highlight w:val="none"/>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28C3B72F">
            <w:pPr>
              <w:spacing w:line="360" w:lineRule="exact"/>
              <w:ind w:firstLine="527"/>
              <w:jc w:val="left"/>
              <w:rPr>
                <w:rFonts w:ascii="宋体" w:hAnsi="宋体" w:cs="宋体"/>
                <w:b/>
                <w:color w:val="auto"/>
                <w:szCs w:val="21"/>
                <w:highlight w:val="none"/>
              </w:rPr>
            </w:pPr>
            <w:r>
              <w:rPr>
                <w:rFonts w:hint="eastAsia" w:ascii="宋体" w:hAnsi="宋体" w:cs="宋体"/>
                <w:b/>
                <w:color w:val="auto"/>
                <w:szCs w:val="21"/>
                <w:highlight w:val="none"/>
              </w:rPr>
              <w:t>2.采用银行、保险机构出具的保函的，必须为无条件保函，否则不予签订合同。</w:t>
            </w:r>
          </w:p>
          <w:p w14:paraId="6BA1D536">
            <w:pPr>
              <w:spacing w:line="360" w:lineRule="exact"/>
              <w:ind w:firstLine="527"/>
              <w:jc w:val="left"/>
              <w:rPr>
                <w:rFonts w:ascii="宋体" w:hAnsi="宋体" w:cs="宋体"/>
                <w:color w:val="auto"/>
                <w:kern w:val="0"/>
                <w:szCs w:val="21"/>
                <w:highlight w:val="none"/>
              </w:rPr>
            </w:pPr>
            <w:r>
              <w:rPr>
                <w:rFonts w:hint="eastAsia" w:ascii="宋体" w:hAnsi="宋体" w:cs="宋体"/>
                <w:b/>
                <w:color w:val="auto"/>
                <w:szCs w:val="21"/>
                <w:highlight w:val="none"/>
              </w:rPr>
              <w:t>3.投标人为联合体的，由联合体其中一方按规定提交的履约保证金，视为有效履约保证金。</w:t>
            </w:r>
          </w:p>
        </w:tc>
      </w:tr>
      <w:tr w14:paraId="112E52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vAlign w:val="center"/>
          </w:tcPr>
          <w:p w14:paraId="62140AB3">
            <w:pPr>
              <w:spacing w:line="360" w:lineRule="exact"/>
              <w:jc w:val="center"/>
              <w:rPr>
                <w:rFonts w:ascii="宋体" w:hAnsi="宋体" w:cs="宋体"/>
                <w:color w:val="auto"/>
                <w:szCs w:val="21"/>
                <w:highlight w:val="none"/>
              </w:rPr>
            </w:pPr>
            <w:bookmarkStart w:id="68" w:name="_40.1"/>
            <w:bookmarkEnd w:id="68"/>
            <w:r>
              <w:rPr>
                <w:rFonts w:hint="eastAsia" w:ascii="宋体" w:hAnsi="宋体" w:cs="宋体"/>
                <w:color w:val="auto"/>
                <w:szCs w:val="21"/>
                <w:highlight w:val="none"/>
              </w:rPr>
              <w:t>36.1</w:t>
            </w:r>
          </w:p>
        </w:tc>
        <w:tc>
          <w:tcPr>
            <w:tcW w:w="7512" w:type="dxa"/>
            <w:tcBorders>
              <w:top w:val="single" w:color="auto" w:sz="4" w:space="0"/>
              <w:left w:val="single" w:color="auto" w:sz="4" w:space="0"/>
              <w:bottom w:val="single" w:color="auto" w:sz="4" w:space="0"/>
              <w:right w:val="single" w:color="auto" w:sz="4" w:space="0"/>
            </w:tcBorders>
            <w:vAlign w:val="center"/>
          </w:tcPr>
          <w:p w14:paraId="64481C51">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14:paraId="74460AFE">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267FA9B7">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14:paraId="146BBA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vAlign w:val="center"/>
          </w:tcPr>
          <w:p w14:paraId="49C3D2A8">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38.2</w:t>
            </w:r>
          </w:p>
        </w:tc>
        <w:tc>
          <w:tcPr>
            <w:tcW w:w="7512" w:type="dxa"/>
            <w:tcBorders>
              <w:top w:val="single" w:color="auto" w:sz="4" w:space="0"/>
              <w:left w:val="single" w:color="auto" w:sz="4" w:space="0"/>
              <w:bottom w:val="single" w:color="auto" w:sz="4" w:space="0"/>
              <w:right w:val="single" w:color="auto" w:sz="4" w:space="0"/>
            </w:tcBorders>
            <w:vAlign w:val="center"/>
          </w:tcPr>
          <w:p w14:paraId="08EC053C">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接收质疑函方式：以书面形式</w:t>
            </w:r>
          </w:p>
          <w:p w14:paraId="2544736D">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质疑联系部门及联系方式：</w:t>
            </w:r>
            <w:r>
              <w:rPr>
                <w:rFonts w:hint="eastAsia" w:ascii="宋体" w:hAnsi="宋体" w:cs="宋体"/>
                <w:color w:val="auto"/>
                <w:szCs w:val="21"/>
                <w:highlight w:val="none"/>
                <w:u w:val="single"/>
              </w:rPr>
              <w:t>广西龙建工程管理有限公司</w:t>
            </w:r>
            <w:r>
              <w:rPr>
                <w:rFonts w:hint="eastAsia" w:ascii="宋体" w:hAnsi="宋体" w:cs="宋体"/>
                <w:color w:val="auto"/>
                <w:szCs w:val="21"/>
                <w:highlight w:val="none"/>
              </w:rPr>
              <w:t>，联系电话：详见招标公告，通讯地址：详见招标公告</w:t>
            </w:r>
          </w:p>
          <w:p w14:paraId="23747ED7">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color w:val="auto"/>
                <w:szCs w:val="21"/>
                <w:highlight w:val="none"/>
              </w:rPr>
              <w:t>现场提交质疑办理业务时间：每天8时00分到12时00分，15时00分到18时 00分，业务时间以外、双休日和法定节假日不办理业务。</w:t>
            </w:r>
          </w:p>
        </w:tc>
      </w:tr>
      <w:tr w14:paraId="17FB22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vAlign w:val="center"/>
          </w:tcPr>
          <w:p w14:paraId="6D829A44">
            <w:pPr>
              <w:spacing w:line="360" w:lineRule="exact"/>
              <w:jc w:val="center"/>
              <w:rPr>
                <w:rFonts w:ascii="宋体" w:hAnsi="宋体" w:cs="宋体"/>
                <w:color w:val="auto"/>
                <w:szCs w:val="21"/>
                <w:highlight w:val="none"/>
              </w:rPr>
            </w:pPr>
            <w:bookmarkStart w:id="69" w:name="_42"/>
            <w:bookmarkEnd w:id="69"/>
            <w:bookmarkStart w:id="70" w:name="_41"/>
            <w:bookmarkEnd w:id="70"/>
            <w:bookmarkStart w:id="71" w:name="_Hlt17709148"/>
            <w:r>
              <w:rPr>
                <w:rFonts w:hint="eastAsia" w:ascii="宋体" w:hAnsi="宋体" w:cs="宋体"/>
                <w:color w:val="auto"/>
                <w:szCs w:val="21"/>
                <w:highlight w:val="none"/>
              </w:rPr>
              <w:t>3</w:t>
            </w:r>
            <w:bookmarkEnd w:id="71"/>
            <w:r>
              <w:rPr>
                <w:rFonts w:hint="eastAsia" w:ascii="宋体" w:hAnsi="宋体" w:cs="宋体"/>
                <w:color w:val="auto"/>
                <w:szCs w:val="21"/>
                <w:highlight w:val="none"/>
              </w:rPr>
              <w:t>9.1</w:t>
            </w:r>
          </w:p>
        </w:tc>
        <w:tc>
          <w:tcPr>
            <w:tcW w:w="7512" w:type="dxa"/>
            <w:tcBorders>
              <w:top w:val="single" w:color="auto" w:sz="4" w:space="0"/>
              <w:left w:val="single" w:color="auto" w:sz="4" w:space="0"/>
              <w:bottom w:val="single" w:color="auto" w:sz="4" w:space="0"/>
              <w:right w:val="single" w:color="auto" w:sz="4" w:space="0"/>
            </w:tcBorders>
            <w:vAlign w:val="center"/>
          </w:tcPr>
          <w:p w14:paraId="0CACD462">
            <w:pPr>
              <w:pStyle w:val="27"/>
              <w:snapToGrid w:val="0"/>
              <w:spacing w:line="360" w:lineRule="exact"/>
              <w:rPr>
                <w:rFonts w:hAnsi="宋体" w:cs="宋体"/>
                <w:color w:val="auto"/>
                <w:sz w:val="21"/>
                <w:highlight w:val="none"/>
                <w:lang w:val="en-US"/>
              </w:rPr>
            </w:pPr>
            <w:r>
              <w:rPr>
                <w:rFonts w:hint="eastAsia" w:hAnsi="宋体" w:cs="宋体"/>
                <w:color w:val="auto"/>
                <w:sz w:val="21"/>
                <w:highlight w:val="none"/>
                <w:lang w:val="en-US"/>
              </w:rPr>
              <w:t>1.采购代理费支付方式：</w:t>
            </w:r>
          </w:p>
          <w:p w14:paraId="490CAD13">
            <w:pPr>
              <w:pStyle w:val="27"/>
              <w:snapToGrid w:val="0"/>
              <w:spacing w:line="360" w:lineRule="exact"/>
              <w:rPr>
                <w:rFonts w:hAnsi="宋体" w:cs="宋体"/>
                <w:color w:val="auto"/>
                <w:sz w:val="21"/>
                <w:highlight w:val="none"/>
                <w:lang w:val="en-US"/>
              </w:rPr>
            </w:pPr>
            <w:r>
              <w:rPr>
                <w:rFonts w:ascii="Segoe UI Symbol" w:hAnsi="Segoe UI Symbol" w:cs="Segoe UI Symbol"/>
                <w:color w:val="auto"/>
                <w:sz w:val="21"/>
                <w:highlight w:val="none"/>
                <w:lang w:val="en-US"/>
              </w:rPr>
              <w:t>☑</w:t>
            </w:r>
            <w:r>
              <w:rPr>
                <w:rFonts w:hint="eastAsia" w:hAnsi="宋体" w:cs="宋体"/>
                <w:color w:val="auto"/>
                <w:sz w:val="21"/>
                <w:highlight w:val="none"/>
                <w:lang w:val="en-US"/>
              </w:rPr>
              <w:t>本项目代理服务费由</w:t>
            </w:r>
            <w:r>
              <w:rPr>
                <w:rFonts w:hint="eastAsia" w:hAnsi="宋体" w:cs="宋体"/>
                <w:color w:val="auto"/>
                <w:sz w:val="21"/>
                <w:highlight w:val="none"/>
                <w:u w:val="single"/>
                <w:lang w:val="en-US"/>
              </w:rPr>
              <w:t>中标人</w:t>
            </w:r>
            <w:r>
              <w:rPr>
                <w:rFonts w:hint="eastAsia" w:hAnsi="宋体" w:cs="宋体"/>
                <w:color w:val="auto"/>
                <w:sz w:val="21"/>
                <w:highlight w:val="none"/>
                <w:lang w:val="en-US"/>
              </w:rPr>
              <w:t>在领取中标通知书前，一次性向采购代理机构支付。</w:t>
            </w:r>
          </w:p>
          <w:p w14:paraId="5DC99940">
            <w:pPr>
              <w:pStyle w:val="27"/>
              <w:snapToGrid w:val="0"/>
              <w:spacing w:line="360" w:lineRule="exact"/>
              <w:rPr>
                <w:rFonts w:hAnsi="宋体" w:cs="宋体"/>
                <w:color w:val="auto"/>
                <w:sz w:val="21"/>
                <w:highlight w:val="none"/>
                <w:lang w:val="en-US"/>
              </w:rPr>
            </w:pPr>
            <w:r>
              <w:rPr>
                <w:rFonts w:hint="eastAsia" w:hAnsi="宋体" w:cs="宋体"/>
                <w:color w:val="auto"/>
                <w:sz w:val="21"/>
                <w:highlight w:val="none"/>
                <w:lang w:val="en-US"/>
              </w:rPr>
              <w:t>□采购人支付。</w:t>
            </w:r>
          </w:p>
          <w:p w14:paraId="480E42AA">
            <w:pPr>
              <w:pStyle w:val="27"/>
              <w:snapToGrid w:val="0"/>
              <w:spacing w:line="360" w:lineRule="exact"/>
              <w:rPr>
                <w:rFonts w:hAnsi="宋体" w:cs="宋体"/>
                <w:color w:val="auto"/>
                <w:sz w:val="21"/>
                <w:highlight w:val="none"/>
                <w:lang w:val="en-US"/>
              </w:rPr>
            </w:pPr>
            <w:r>
              <w:rPr>
                <w:rFonts w:hint="eastAsia" w:hAnsi="宋体" w:cs="宋体"/>
                <w:color w:val="auto"/>
                <w:sz w:val="21"/>
                <w:highlight w:val="none"/>
                <w:lang w:val="en-US"/>
              </w:rPr>
              <w:t>2.采购代理费收取标准：</w:t>
            </w:r>
          </w:p>
          <w:p w14:paraId="038325CA">
            <w:pPr>
              <w:pStyle w:val="27"/>
              <w:snapToGrid w:val="0"/>
              <w:spacing w:line="360" w:lineRule="exact"/>
              <w:rPr>
                <w:rFonts w:hAnsi="宋体" w:cs="宋体"/>
                <w:color w:val="auto"/>
                <w:sz w:val="21"/>
                <w:highlight w:val="none"/>
                <w:lang w:val="en-US"/>
              </w:rPr>
            </w:pPr>
            <w:r>
              <w:rPr>
                <w:rFonts w:ascii="Segoe UI Symbol" w:hAnsi="Segoe UI Symbol" w:cs="Segoe UI Symbol"/>
                <w:color w:val="auto"/>
                <w:sz w:val="21"/>
                <w:highlight w:val="none"/>
                <w:lang w:val="en-US"/>
              </w:rPr>
              <w:t>☑</w:t>
            </w:r>
            <w:r>
              <w:rPr>
                <w:rFonts w:hint="eastAsia" w:hAnsi="宋体" w:cs="宋体"/>
                <w:color w:val="auto"/>
                <w:sz w:val="21"/>
                <w:highlight w:val="none"/>
                <w:lang w:val="en-US"/>
              </w:rPr>
              <w:t>以分标（☑中标金额/□采购预算/□暂定中标金额/□其他</w:t>
            </w:r>
            <w:r>
              <w:rPr>
                <w:rFonts w:hint="eastAsia" w:hAnsi="宋体" w:cs="宋体"/>
                <w:color w:val="auto"/>
                <w:sz w:val="21"/>
                <w:highlight w:val="none"/>
                <w:u w:val="single"/>
                <w:lang w:val="en-US"/>
              </w:rPr>
              <w:t xml:space="preserve">   </w:t>
            </w:r>
            <w:r>
              <w:rPr>
                <w:rFonts w:hint="eastAsia" w:hAnsi="宋体" w:cs="宋体"/>
                <w:color w:val="auto"/>
                <w:sz w:val="21"/>
                <w:highlight w:val="none"/>
                <w:lang w:val="en-US"/>
              </w:rPr>
              <w:t>）为计费额，按本须知正文第39.2条规定的收费计算标准（☑货物招标/□服务招标/□工程招标）采用差额定率累进法计算出收费基准价格，采购代理收费以（□收费基准价格/☑收费基准价格下浮</w:t>
            </w:r>
            <w:r>
              <w:rPr>
                <w:rFonts w:hint="eastAsia" w:hAnsi="宋体" w:cs="宋体"/>
                <w:color w:val="auto"/>
                <w:sz w:val="21"/>
                <w:highlight w:val="none"/>
                <w:u w:val="single"/>
                <w:lang w:val="en-US"/>
              </w:rPr>
              <w:t xml:space="preserve">  10 % </w:t>
            </w:r>
            <w:r>
              <w:rPr>
                <w:rFonts w:hint="eastAsia" w:hAnsi="宋体" w:cs="宋体"/>
                <w:color w:val="auto"/>
                <w:sz w:val="21"/>
                <w:highlight w:val="none"/>
                <w:lang w:val="en-US"/>
              </w:rPr>
              <w:t>/□收费基准价格上浮</w:t>
            </w:r>
            <w:r>
              <w:rPr>
                <w:rFonts w:hint="eastAsia" w:hAnsi="宋体" w:cs="宋体"/>
                <w:color w:val="auto"/>
                <w:sz w:val="21"/>
                <w:highlight w:val="none"/>
                <w:u w:val="single"/>
                <w:lang w:val="en-US"/>
              </w:rPr>
              <w:t xml:space="preserve">   %</w:t>
            </w:r>
            <w:r>
              <w:rPr>
                <w:rFonts w:hint="eastAsia" w:hAnsi="宋体" w:cs="宋体"/>
                <w:color w:val="auto"/>
                <w:sz w:val="21"/>
                <w:highlight w:val="none"/>
                <w:lang w:val="en-US"/>
              </w:rPr>
              <w:t>）收取。</w:t>
            </w:r>
          </w:p>
          <w:p w14:paraId="2C56F1F4">
            <w:pPr>
              <w:pStyle w:val="27"/>
              <w:snapToGrid w:val="0"/>
              <w:spacing w:line="360" w:lineRule="exact"/>
              <w:rPr>
                <w:rFonts w:hAnsi="宋体" w:cs="宋体"/>
                <w:color w:val="auto"/>
                <w:sz w:val="21"/>
                <w:highlight w:val="none"/>
                <w:u w:val="single"/>
                <w:lang w:val="en-US"/>
              </w:rPr>
            </w:pPr>
            <w:r>
              <w:rPr>
                <w:rFonts w:hint="eastAsia" w:hAnsi="宋体" w:cs="宋体"/>
                <w:color w:val="auto"/>
                <w:sz w:val="21"/>
                <w:highlight w:val="none"/>
                <w:lang w:val="en-US"/>
              </w:rPr>
              <w:t>□固定采购代理收费</w:t>
            </w:r>
            <w:r>
              <w:rPr>
                <w:rFonts w:hint="eastAsia" w:hAnsi="宋体" w:cs="宋体"/>
                <w:color w:val="auto"/>
                <w:sz w:val="21"/>
                <w:highlight w:val="none"/>
                <w:u w:val="single"/>
                <w:lang w:val="en-US"/>
              </w:rPr>
              <w:t xml:space="preserve">              。</w:t>
            </w:r>
          </w:p>
          <w:p w14:paraId="5F6130DC">
            <w:pPr>
              <w:pStyle w:val="27"/>
              <w:snapToGrid w:val="0"/>
              <w:spacing w:line="360" w:lineRule="exact"/>
              <w:rPr>
                <w:rFonts w:hAnsi="宋体" w:cs="宋体"/>
                <w:color w:val="auto"/>
                <w:sz w:val="21"/>
                <w:highlight w:val="none"/>
                <w:lang w:val="en-US"/>
              </w:rPr>
            </w:pPr>
            <w:r>
              <w:rPr>
                <w:rFonts w:hint="eastAsia" w:hAnsi="宋体" w:cs="宋体"/>
                <w:color w:val="auto"/>
                <w:sz w:val="21"/>
                <w:highlight w:val="none"/>
                <w:lang w:val="en-US"/>
              </w:rPr>
              <w:t xml:space="preserve">3. 账户名称：  </w:t>
            </w:r>
          </w:p>
          <w:p w14:paraId="01404BD2">
            <w:pPr>
              <w:pStyle w:val="27"/>
              <w:snapToGrid w:val="0"/>
              <w:spacing w:line="360" w:lineRule="exact"/>
              <w:rPr>
                <w:rFonts w:hAnsi="宋体" w:cs="宋体"/>
                <w:color w:val="auto"/>
                <w:sz w:val="21"/>
                <w:highlight w:val="none"/>
                <w:lang w:val="en-US"/>
              </w:rPr>
            </w:pPr>
            <w:r>
              <w:rPr>
                <w:rFonts w:hint="eastAsia" w:hAnsi="宋体" w:cs="宋体"/>
                <w:color w:val="auto"/>
                <w:sz w:val="21"/>
                <w:highlight w:val="none"/>
                <w:lang w:val="en-US"/>
              </w:rPr>
              <w:t>开户名称：广西龙建工程管理有限公司崇左分公司</w:t>
            </w:r>
          </w:p>
          <w:p w14:paraId="7D078350">
            <w:pPr>
              <w:pStyle w:val="27"/>
              <w:snapToGrid w:val="0"/>
              <w:spacing w:line="360" w:lineRule="exact"/>
              <w:rPr>
                <w:rFonts w:hAnsi="宋体" w:cs="宋体"/>
                <w:color w:val="auto"/>
                <w:sz w:val="21"/>
                <w:highlight w:val="none"/>
                <w:lang w:val="en-US"/>
              </w:rPr>
            </w:pPr>
            <w:r>
              <w:rPr>
                <w:rFonts w:hint="eastAsia" w:hAnsi="宋体" w:cs="宋体"/>
                <w:color w:val="auto"/>
                <w:sz w:val="21"/>
                <w:highlight w:val="none"/>
                <w:lang w:val="en-US"/>
              </w:rPr>
              <w:t>开户银行：中国建设银行股份有限公司崇左分行</w:t>
            </w:r>
          </w:p>
          <w:p w14:paraId="7A8EAEE5">
            <w:pPr>
              <w:pStyle w:val="27"/>
              <w:snapToGrid w:val="0"/>
              <w:spacing w:line="360" w:lineRule="exact"/>
              <w:rPr>
                <w:rFonts w:hAnsi="宋体" w:cs="宋体"/>
                <w:color w:val="auto"/>
                <w:sz w:val="21"/>
                <w:highlight w:val="none"/>
                <w:lang w:val="en-US"/>
              </w:rPr>
            </w:pPr>
            <w:r>
              <w:rPr>
                <w:rFonts w:hint="eastAsia" w:hAnsi="宋体" w:cs="宋体"/>
                <w:color w:val="auto"/>
                <w:sz w:val="21"/>
                <w:highlight w:val="none"/>
                <w:lang w:val="en-US"/>
              </w:rPr>
              <w:t>银行账号：4505 0159 8053 0000 0677</w:t>
            </w:r>
          </w:p>
        </w:tc>
      </w:tr>
      <w:tr w14:paraId="42BBBD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vAlign w:val="center"/>
          </w:tcPr>
          <w:p w14:paraId="2BD0EF87">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                                                     40.1</w:t>
            </w:r>
          </w:p>
        </w:tc>
        <w:tc>
          <w:tcPr>
            <w:tcW w:w="7512" w:type="dxa"/>
            <w:tcBorders>
              <w:top w:val="single" w:color="auto" w:sz="4" w:space="0"/>
              <w:left w:val="single" w:color="auto" w:sz="4" w:space="0"/>
              <w:bottom w:val="single" w:color="auto" w:sz="4" w:space="0"/>
              <w:right w:val="single" w:color="auto" w:sz="4" w:space="0"/>
            </w:tcBorders>
            <w:vAlign w:val="center"/>
          </w:tcPr>
          <w:p w14:paraId="034C80EC">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1DC38F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vAlign w:val="center"/>
          </w:tcPr>
          <w:p w14:paraId="6A03CF94">
            <w:pPr>
              <w:snapToGrid w:val="0"/>
              <w:spacing w:line="360" w:lineRule="exact"/>
              <w:jc w:val="center"/>
              <w:rPr>
                <w:rFonts w:ascii="宋体" w:hAnsi="宋体" w:cs="宋体"/>
                <w:color w:val="auto"/>
                <w:szCs w:val="21"/>
                <w:highlight w:val="none"/>
              </w:rPr>
            </w:pPr>
            <w:r>
              <w:rPr>
                <w:rFonts w:hint="eastAsia" w:ascii="宋体" w:hAnsi="宋体" w:cs="宋体"/>
                <w:color w:val="auto"/>
                <w:szCs w:val="21"/>
                <w:highlight w:val="none"/>
              </w:rPr>
              <w:t>40.2</w:t>
            </w:r>
          </w:p>
        </w:tc>
        <w:tc>
          <w:tcPr>
            <w:tcW w:w="7512" w:type="dxa"/>
            <w:tcBorders>
              <w:top w:val="single" w:color="auto" w:sz="4" w:space="0"/>
              <w:left w:val="single" w:color="auto" w:sz="4" w:space="0"/>
              <w:bottom w:val="single" w:color="auto" w:sz="4" w:space="0"/>
              <w:right w:val="single" w:color="auto" w:sz="4" w:space="0"/>
            </w:tcBorders>
            <w:vAlign w:val="center"/>
          </w:tcPr>
          <w:p w14:paraId="50FAD19B">
            <w:pPr>
              <w:pStyle w:val="27"/>
              <w:snapToGrid w:val="0"/>
              <w:spacing w:line="360" w:lineRule="exact"/>
              <w:rPr>
                <w:rFonts w:hAnsi="宋体" w:cs="宋体"/>
                <w:bCs/>
                <w:color w:val="auto"/>
                <w:sz w:val="21"/>
                <w:highlight w:val="none"/>
                <w:lang w:val="en-US"/>
              </w:rPr>
            </w:pPr>
            <w:r>
              <w:rPr>
                <w:rFonts w:hint="eastAsia" w:hAnsi="宋体" w:cs="宋体"/>
                <w:bCs/>
                <w:color w:val="auto"/>
                <w:sz w:val="21"/>
                <w:highlight w:val="none"/>
                <w:lang w:val="en-US"/>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171371BA">
            <w:pPr>
              <w:pStyle w:val="27"/>
              <w:snapToGrid w:val="0"/>
              <w:spacing w:line="360" w:lineRule="exact"/>
              <w:rPr>
                <w:rFonts w:hAnsi="宋体" w:cs="宋体"/>
                <w:bCs/>
                <w:color w:val="auto"/>
                <w:sz w:val="21"/>
                <w:highlight w:val="none"/>
                <w:lang w:val="en-US"/>
              </w:rPr>
            </w:pPr>
            <w:r>
              <w:rPr>
                <w:rFonts w:hint="eastAsia" w:hAnsi="宋体" w:cs="宋体"/>
                <w:bCs/>
                <w:color w:val="auto"/>
                <w:sz w:val="21"/>
                <w:highlight w:val="none"/>
                <w:lang w:val="en-US"/>
              </w:rPr>
              <w:t>2.本招标文件所称的“</w:t>
            </w:r>
            <w:r>
              <w:rPr>
                <w:rFonts w:hint="eastAsia" w:hAnsi="宋体" w:cs="宋体"/>
                <w:color w:val="auto"/>
                <w:sz w:val="21"/>
                <w:highlight w:val="none"/>
                <w:lang w:val="en-US"/>
              </w:rPr>
              <w:t>电子签章</w:t>
            </w:r>
            <w:r>
              <w:rPr>
                <w:rFonts w:hint="eastAsia" w:hAnsi="宋体" w:cs="宋体"/>
                <w:bCs/>
                <w:color w:val="auto"/>
                <w:sz w:val="21"/>
                <w:highlight w:val="none"/>
                <w:lang w:val="en-US"/>
              </w:rPr>
              <w:t>”“电子签名”</w:t>
            </w:r>
            <w:r>
              <w:rPr>
                <w:rFonts w:hint="eastAsia" w:hAnsi="宋体" w:cs="宋体"/>
                <w:color w:val="auto"/>
                <w:sz w:val="21"/>
                <w:highlight w:val="none"/>
                <w:lang w:val="en-US"/>
              </w:rPr>
              <w:t>，是指经</w:t>
            </w:r>
            <w:r>
              <w:rPr>
                <w:rFonts w:hint="eastAsia" w:hAnsi="宋体" w:cs="宋体"/>
                <w:color w:val="auto"/>
                <w:sz w:val="21"/>
                <w:highlight w:val="none"/>
                <w:lang w:val="en-US" w:eastAsia="zh-CN"/>
              </w:rPr>
              <w:t>广西政府采购云平台</w:t>
            </w:r>
            <w:r>
              <w:rPr>
                <w:rFonts w:hint="eastAsia" w:hAnsi="宋体" w:cs="宋体"/>
                <w:color w:val="auto"/>
                <w:sz w:val="21"/>
                <w:highlight w:val="none"/>
                <w:lang w:val="en-US"/>
              </w:rPr>
              <w:t>认可的CA认证的电子签名数据为表现形式的印章，可用于签署电子投标文件，电子印章与实物印章具有同等法律效力，不因其采用电子化表现形式而否定其法律效力。</w:t>
            </w:r>
          </w:p>
          <w:p w14:paraId="0B4D86A9">
            <w:pPr>
              <w:pStyle w:val="27"/>
              <w:snapToGrid w:val="0"/>
              <w:spacing w:line="360" w:lineRule="exact"/>
              <w:rPr>
                <w:rFonts w:hAnsi="宋体" w:cs="宋体"/>
                <w:bCs/>
                <w:color w:val="auto"/>
                <w:sz w:val="21"/>
                <w:highlight w:val="none"/>
                <w:lang w:val="en-US"/>
              </w:rPr>
            </w:pPr>
            <w:r>
              <w:rPr>
                <w:rFonts w:hint="eastAsia" w:hAnsi="宋体" w:cs="宋体"/>
                <w:bCs/>
                <w:color w:val="auto"/>
                <w:sz w:val="21"/>
                <w:highlight w:val="none"/>
                <w:lang w:val="en-US"/>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3122B16A">
            <w:pPr>
              <w:pStyle w:val="27"/>
              <w:snapToGrid w:val="0"/>
              <w:spacing w:line="360" w:lineRule="exact"/>
              <w:rPr>
                <w:rFonts w:hAnsi="宋体" w:cs="宋体"/>
                <w:bCs/>
                <w:color w:val="auto"/>
                <w:sz w:val="21"/>
                <w:highlight w:val="none"/>
                <w:lang w:val="en-US"/>
              </w:rPr>
            </w:pPr>
            <w:r>
              <w:rPr>
                <w:rFonts w:hint="eastAsia" w:hAnsi="宋体" w:cs="宋体"/>
                <w:bCs/>
                <w:color w:val="auto"/>
                <w:sz w:val="21"/>
                <w:highlight w:val="none"/>
                <w:lang w:val="en-US"/>
              </w:rPr>
              <w:t>4.本招标文件中描述投标人的“签字”是指投标人的法定代表人或者委托代理人亲自在文件规定签字处亲笔写上个人的名字的行为，私章、签字章、印鉴、影印等其他形式均不能代替亲笔签字。</w:t>
            </w:r>
          </w:p>
          <w:p w14:paraId="74C98A63">
            <w:pPr>
              <w:pStyle w:val="27"/>
              <w:snapToGrid w:val="0"/>
              <w:spacing w:line="360" w:lineRule="exact"/>
              <w:rPr>
                <w:rFonts w:hAnsi="宋体" w:cs="宋体"/>
                <w:color w:val="auto"/>
                <w:sz w:val="21"/>
                <w:highlight w:val="none"/>
                <w:lang w:val="en-US"/>
              </w:rPr>
            </w:pPr>
            <w:r>
              <w:rPr>
                <w:rFonts w:hint="eastAsia" w:hAnsi="宋体" w:cs="宋体"/>
                <w:bCs/>
                <w:color w:val="auto"/>
                <w:sz w:val="21"/>
                <w:highlight w:val="none"/>
                <w:lang w:val="en-US"/>
              </w:rPr>
              <w:t>5.本招标文件所称的“以上”“以下”“以内”“届满”，包括本数；所称的“不满”“超过”“以外”，不包括本数。</w:t>
            </w:r>
          </w:p>
        </w:tc>
      </w:tr>
    </w:tbl>
    <w:p w14:paraId="0CB7D813">
      <w:pPr>
        <w:snapToGrid w:val="0"/>
        <w:ind w:firstLine="600"/>
        <w:rPr>
          <w:rFonts w:ascii="宋体" w:hAnsi="宋体" w:cs="宋体"/>
          <w:color w:val="auto"/>
          <w:sz w:val="24"/>
          <w:szCs w:val="20"/>
          <w:highlight w:val="none"/>
        </w:rPr>
      </w:pPr>
    </w:p>
    <w:p w14:paraId="72292006">
      <w:pPr>
        <w:snapToGrid w:val="0"/>
        <w:ind w:firstLine="600"/>
        <w:rPr>
          <w:rFonts w:ascii="宋体" w:hAnsi="宋体" w:cs="宋体"/>
          <w:color w:val="auto"/>
          <w:sz w:val="24"/>
          <w:szCs w:val="20"/>
          <w:highlight w:val="none"/>
        </w:rPr>
      </w:pPr>
    </w:p>
    <w:p w14:paraId="173F2742">
      <w:pPr>
        <w:spacing w:before="101" w:line="226" w:lineRule="auto"/>
        <w:ind w:left="-134" w:firstLine="745"/>
        <w:rPr>
          <w:rFonts w:ascii="黑体" w:hAnsi="黑体" w:eastAsia="黑体" w:cs="黑体"/>
          <w:color w:val="auto"/>
          <w:spacing w:val="-6"/>
          <w:sz w:val="31"/>
          <w:szCs w:val="31"/>
          <w:highlight w:val="none"/>
        </w:rPr>
        <w:sectPr>
          <w:footerReference r:id="rId10" w:type="default"/>
          <w:pgSz w:w="11906" w:h="16839"/>
          <w:pgMar w:top="400" w:right="979" w:bottom="882" w:left="1143" w:header="0" w:footer="720" w:gutter="0"/>
          <w:cols w:space="720" w:num="1"/>
        </w:sectPr>
      </w:pPr>
    </w:p>
    <w:p w14:paraId="0E62C6E5">
      <w:pPr>
        <w:spacing w:before="101" w:line="226" w:lineRule="auto"/>
        <w:ind w:left="-134" w:firstLine="745"/>
        <w:rPr>
          <w:rFonts w:ascii="黑体" w:hAnsi="黑体" w:eastAsia="黑体" w:cs="黑体"/>
          <w:color w:val="auto"/>
          <w:sz w:val="31"/>
          <w:szCs w:val="31"/>
          <w:highlight w:val="none"/>
        </w:rPr>
      </w:pPr>
      <w:r>
        <w:rPr>
          <w:rFonts w:ascii="黑体" w:hAnsi="黑体" w:eastAsia="黑体" w:cs="黑体"/>
          <w:color w:val="auto"/>
          <w:spacing w:val="-6"/>
          <w:sz w:val="31"/>
          <w:szCs w:val="31"/>
          <w:highlight w:val="none"/>
        </w:rPr>
        <w:t>附件</w:t>
      </w:r>
      <w:r>
        <w:rPr>
          <w:rFonts w:ascii="黑体" w:hAnsi="黑体" w:eastAsia="黑体" w:cs="黑体"/>
          <w:color w:val="auto"/>
          <w:spacing w:val="-42"/>
          <w:sz w:val="31"/>
          <w:szCs w:val="31"/>
          <w:highlight w:val="none"/>
        </w:rPr>
        <w:t xml:space="preserve"> </w:t>
      </w:r>
      <w:r>
        <w:rPr>
          <w:rFonts w:ascii="黑体" w:hAnsi="黑体" w:eastAsia="黑体" w:cs="黑体"/>
          <w:color w:val="auto"/>
          <w:spacing w:val="-6"/>
          <w:sz w:val="31"/>
          <w:szCs w:val="31"/>
          <w:highlight w:val="none"/>
        </w:rPr>
        <w:t>1</w:t>
      </w:r>
    </w:p>
    <w:p w14:paraId="13B16C1A">
      <w:pPr>
        <w:pStyle w:val="19"/>
        <w:spacing w:line="248" w:lineRule="auto"/>
        <w:ind w:firstLine="600"/>
        <w:rPr>
          <w:color w:val="auto"/>
          <w:highlight w:val="none"/>
        </w:rPr>
      </w:pPr>
    </w:p>
    <w:p w14:paraId="399E569E">
      <w:pPr>
        <w:spacing w:before="185" w:line="215" w:lineRule="auto"/>
        <w:ind w:left="-134" w:firstLine="945"/>
        <w:rPr>
          <w:rFonts w:ascii="微软雅黑" w:hAnsi="微软雅黑" w:eastAsia="微软雅黑" w:cs="微软雅黑"/>
          <w:color w:val="auto"/>
          <w:sz w:val="36"/>
          <w:szCs w:val="36"/>
          <w:highlight w:val="none"/>
        </w:rPr>
      </w:pPr>
      <w:r>
        <w:rPr>
          <w:rFonts w:ascii="微软雅黑" w:hAnsi="微软雅黑" w:eastAsia="微软雅黑" w:cs="微软雅黑"/>
          <w:color w:val="auto"/>
          <w:spacing w:val="9"/>
          <w:sz w:val="36"/>
          <w:szCs w:val="36"/>
          <w:highlight w:val="none"/>
        </w:rPr>
        <w:t>崇左市线上“政采贷”政策告知函</w:t>
      </w:r>
    </w:p>
    <w:p w14:paraId="60B2F29D">
      <w:pPr>
        <w:pStyle w:val="19"/>
        <w:spacing w:line="260" w:lineRule="auto"/>
        <w:ind w:firstLine="600"/>
        <w:rPr>
          <w:color w:val="auto"/>
          <w:highlight w:val="none"/>
        </w:rPr>
      </w:pPr>
    </w:p>
    <w:p w14:paraId="49ECF2EA">
      <w:pPr>
        <w:pStyle w:val="19"/>
        <w:spacing w:line="260" w:lineRule="auto"/>
        <w:ind w:firstLine="600"/>
        <w:rPr>
          <w:color w:val="auto"/>
          <w:highlight w:val="none"/>
        </w:rPr>
      </w:pPr>
    </w:p>
    <w:p w14:paraId="038CACB3">
      <w:pPr>
        <w:spacing w:before="101" w:line="223" w:lineRule="auto"/>
        <w:ind w:firstLine="800"/>
        <w:rPr>
          <w:rFonts w:ascii="仿宋" w:hAnsi="仿宋" w:eastAsia="仿宋" w:cs="仿宋"/>
          <w:color w:val="auto"/>
          <w:sz w:val="31"/>
          <w:szCs w:val="31"/>
          <w:highlight w:val="none"/>
        </w:rPr>
      </w:pPr>
      <w:r>
        <w:rPr>
          <w:rFonts w:ascii="仿宋" w:hAnsi="仿宋" w:eastAsia="仿宋" w:cs="仿宋"/>
          <w:color w:val="auto"/>
          <w:spacing w:val="5"/>
          <w:sz w:val="31"/>
          <w:szCs w:val="31"/>
          <w:highlight w:val="none"/>
        </w:rPr>
        <w:t>各供应商：</w:t>
      </w:r>
    </w:p>
    <w:p w14:paraId="5F03C100">
      <w:pPr>
        <w:spacing w:before="206" w:line="222" w:lineRule="auto"/>
        <w:ind w:left="-134" w:firstLine="640"/>
        <w:rPr>
          <w:rFonts w:ascii="宋体" w:hAnsi="宋体" w:cs="宋体"/>
          <w:color w:val="auto"/>
          <w:sz w:val="24"/>
          <w:highlight w:val="none"/>
        </w:rPr>
      </w:pPr>
      <w:r>
        <w:rPr>
          <w:rFonts w:hint="eastAsia" w:ascii="宋体" w:hAnsi="宋体" w:cs="宋体"/>
          <w:color w:val="auto"/>
          <w:spacing w:val="8"/>
          <w:sz w:val="24"/>
          <w:highlight w:val="none"/>
        </w:rPr>
        <w:t>欢迎贵公司参与崇左市政府采购活动！</w:t>
      </w:r>
    </w:p>
    <w:p w14:paraId="4A962FB3">
      <w:pPr>
        <w:spacing w:before="209" w:line="345" w:lineRule="auto"/>
        <w:ind w:left="-134" w:firstLine="640"/>
        <w:rPr>
          <w:rFonts w:ascii="宋体" w:hAnsi="宋体" w:cs="宋体"/>
          <w:color w:val="auto"/>
          <w:sz w:val="24"/>
          <w:highlight w:val="none"/>
        </w:rPr>
      </w:pPr>
      <w:r>
        <w:rPr>
          <w:rFonts w:hint="eastAsia" w:ascii="宋体" w:hAnsi="宋体" w:cs="宋体"/>
          <w:color w:val="auto"/>
          <w:spacing w:val="8"/>
          <w:sz w:val="24"/>
          <w:highlight w:val="none"/>
        </w:rPr>
        <w:t>线上</w:t>
      </w:r>
      <w:r>
        <w:rPr>
          <w:rFonts w:hint="eastAsia" w:ascii="宋体" w:hAnsi="宋体" w:cs="宋体"/>
          <w:color w:val="auto"/>
          <w:spacing w:val="-97"/>
          <w:sz w:val="24"/>
          <w:highlight w:val="none"/>
        </w:rPr>
        <w:t xml:space="preserve"> </w:t>
      </w:r>
      <w:r>
        <w:rPr>
          <w:rFonts w:hint="eastAsia" w:ascii="宋体" w:hAnsi="宋体" w:cs="宋体"/>
          <w:color w:val="auto"/>
          <w:spacing w:val="8"/>
          <w:sz w:val="24"/>
          <w:highlight w:val="none"/>
        </w:rPr>
        <w:t>“政采贷”是人民银行南宁中心支行和自治区财政厅共同支</w:t>
      </w:r>
      <w:r>
        <w:rPr>
          <w:rFonts w:hint="eastAsia" w:ascii="宋体" w:hAnsi="宋体" w:cs="宋体"/>
          <w:color w:val="auto"/>
          <w:sz w:val="24"/>
          <w:highlight w:val="none"/>
        </w:rPr>
        <w:t xml:space="preserve">  </w:t>
      </w:r>
      <w:r>
        <w:rPr>
          <w:rFonts w:hint="eastAsia" w:ascii="宋体" w:hAnsi="宋体" w:cs="宋体"/>
          <w:color w:val="auto"/>
          <w:spacing w:val="5"/>
          <w:sz w:val="24"/>
          <w:highlight w:val="none"/>
        </w:rPr>
        <w:t>持企业发展，针对参与政府采购活动的企业融资难、融资贵、融资慢、</w:t>
      </w:r>
      <w:r>
        <w:rPr>
          <w:rFonts w:hint="eastAsia" w:ascii="宋体" w:hAnsi="宋体" w:cs="宋体"/>
          <w:color w:val="auto"/>
          <w:spacing w:val="10"/>
          <w:sz w:val="24"/>
          <w:highlight w:val="none"/>
        </w:rPr>
        <w:t xml:space="preserve"> 融资繁问题推出的一项融资政策。贵公司若成为本次政府采购项目的</w:t>
      </w:r>
      <w:r>
        <w:rPr>
          <w:rFonts w:hint="eastAsia" w:ascii="宋体" w:hAnsi="宋体" w:cs="宋体"/>
          <w:color w:val="auto"/>
          <w:spacing w:val="9"/>
          <w:sz w:val="24"/>
          <w:highlight w:val="none"/>
        </w:rPr>
        <w:t xml:space="preserve">  </w:t>
      </w:r>
      <w:r>
        <w:rPr>
          <w:rFonts w:hint="eastAsia" w:ascii="宋体" w:hAnsi="宋体" w:cs="宋体"/>
          <w:color w:val="auto"/>
          <w:spacing w:val="10"/>
          <w:sz w:val="24"/>
          <w:highlight w:val="none"/>
        </w:rPr>
        <w:t>中标（成交）供应商，可持政府采购合同在线向银行业金融机构申请</w:t>
      </w:r>
      <w:r>
        <w:rPr>
          <w:rFonts w:hint="eastAsia" w:ascii="宋体" w:hAnsi="宋体" w:cs="宋体"/>
          <w:color w:val="auto"/>
          <w:spacing w:val="9"/>
          <w:sz w:val="24"/>
          <w:highlight w:val="none"/>
        </w:rPr>
        <w:t xml:space="preserve">  </w:t>
      </w:r>
      <w:r>
        <w:rPr>
          <w:rFonts w:hint="eastAsia" w:ascii="宋体" w:hAnsi="宋体" w:cs="宋体"/>
          <w:color w:val="auto"/>
          <w:spacing w:val="5"/>
          <w:sz w:val="24"/>
          <w:highlight w:val="none"/>
        </w:rPr>
        <w:t>贷款，融资机构将根据《中国人民银行南宁中心支行 广西壮族自治区  财政厅关于推广线上“政采贷”融资模式的通知》（南宁银发〔2021〕</w:t>
      </w:r>
      <w:r>
        <w:rPr>
          <w:rFonts w:hint="eastAsia" w:ascii="宋体" w:hAnsi="宋体" w:cs="宋体"/>
          <w:color w:val="auto"/>
          <w:spacing w:val="6"/>
          <w:sz w:val="24"/>
          <w:highlight w:val="none"/>
        </w:rPr>
        <w:t>258</w:t>
      </w:r>
      <w:r>
        <w:rPr>
          <w:rFonts w:hint="eastAsia" w:ascii="宋体" w:hAnsi="宋体" w:cs="宋体"/>
          <w:color w:val="auto"/>
          <w:spacing w:val="-47"/>
          <w:sz w:val="24"/>
          <w:highlight w:val="none"/>
        </w:rPr>
        <w:t xml:space="preserve"> </w:t>
      </w:r>
      <w:r>
        <w:rPr>
          <w:rFonts w:hint="eastAsia" w:ascii="宋体" w:hAnsi="宋体" w:cs="宋体"/>
          <w:color w:val="auto"/>
          <w:spacing w:val="6"/>
          <w:sz w:val="24"/>
          <w:highlight w:val="none"/>
        </w:rPr>
        <w:t>号</w:t>
      </w:r>
      <w:r>
        <w:rPr>
          <w:rFonts w:hint="eastAsia" w:ascii="宋体" w:hAnsi="宋体" w:cs="宋体"/>
          <w:color w:val="auto"/>
          <w:spacing w:val="23"/>
          <w:sz w:val="24"/>
          <w:highlight w:val="none"/>
        </w:rPr>
        <w:t>），</w:t>
      </w:r>
      <w:r>
        <w:rPr>
          <w:rFonts w:hint="eastAsia" w:ascii="宋体" w:hAnsi="宋体" w:cs="宋体"/>
          <w:color w:val="auto"/>
          <w:spacing w:val="6"/>
          <w:sz w:val="24"/>
          <w:highlight w:val="none"/>
        </w:rPr>
        <w:t>按照双方自愿的原则提供便捷、优惠的贷款服务。</w:t>
      </w:r>
    </w:p>
    <w:p w14:paraId="5B80CF57">
      <w:pPr>
        <w:spacing w:before="207" w:line="345" w:lineRule="auto"/>
        <w:ind w:left="-134" w:right="155" w:firstLine="655"/>
        <w:rPr>
          <w:rFonts w:ascii="宋体" w:hAnsi="宋体" w:cs="宋体"/>
          <w:color w:val="auto"/>
          <w:sz w:val="24"/>
          <w:highlight w:val="none"/>
        </w:rPr>
      </w:pPr>
      <w:r>
        <w:rPr>
          <w:rFonts w:hint="eastAsia" w:ascii="宋体" w:hAnsi="宋体" w:cs="宋体"/>
          <w:color w:val="auto"/>
          <w:spacing w:val="11"/>
          <w:sz w:val="24"/>
          <w:highlight w:val="none"/>
        </w:rPr>
        <w:t>相关金融产品和银行业金融机构联系方式，可在中征应收账款融</w:t>
      </w:r>
      <w:r>
        <w:rPr>
          <w:rFonts w:hint="eastAsia" w:ascii="宋体" w:hAnsi="宋体" w:cs="宋体"/>
          <w:color w:val="auto"/>
          <w:sz w:val="24"/>
          <w:highlight w:val="none"/>
        </w:rPr>
        <w:t xml:space="preserve"> </w:t>
      </w:r>
      <w:r>
        <w:rPr>
          <w:rFonts w:hint="eastAsia" w:ascii="宋体" w:hAnsi="宋体" w:cs="宋体"/>
          <w:color w:val="auto"/>
          <w:spacing w:val="25"/>
          <w:sz w:val="24"/>
          <w:highlight w:val="none"/>
        </w:rPr>
        <w:t>资服务平台查询（网址：</w:t>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HYPERLINK "https://www.crcrfsp.com/"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u w:val="single"/>
        </w:rPr>
        <w:t>https</w:t>
      </w:r>
      <w:r>
        <w:rPr>
          <w:rFonts w:hint="eastAsia" w:ascii="宋体" w:hAnsi="宋体" w:cs="宋体"/>
          <w:color w:val="auto"/>
          <w:spacing w:val="25"/>
          <w:sz w:val="24"/>
          <w:highlight w:val="none"/>
          <w:u w:val="single"/>
        </w:rPr>
        <w:t>://</w:t>
      </w:r>
      <w:r>
        <w:rPr>
          <w:rFonts w:hint="eastAsia" w:ascii="宋体" w:hAnsi="宋体" w:cs="宋体"/>
          <w:color w:val="auto"/>
          <w:sz w:val="24"/>
          <w:highlight w:val="none"/>
          <w:u w:val="single"/>
        </w:rPr>
        <w:t>www</w:t>
      </w:r>
      <w:r>
        <w:rPr>
          <w:rFonts w:hint="eastAsia" w:ascii="宋体" w:hAnsi="宋体" w:cs="宋体"/>
          <w:color w:val="auto"/>
          <w:spacing w:val="25"/>
          <w:sz w:val="24"/>
          <w:highlight w:val="none"/>
          <w:u w:val="single"/>
        </w:rPr>
        <w:t>.</w:t>
      </w:r>
      <w:r>
        <w:rPr>
          <w:rFonts w:hint="eastAsia" w:ascii="宋体" w:hAnsi="宋体" w:cs="宋体"/>
          <w:color w:val="auto"/>
          <w:sz w:val="24"/>
          <w:highlight w:val="none"/>
          <w:u w:val="single"/>
        </w:rPr>
        <w:t>crcrfsp</w:t>
      </w:r>
      <w:r>
        <w:rPr>
          <w:rFonts w:hint="eastAsia" w:ascii="宋体" w:hAnsi="宋体" w:cs="宋体"/>
          <w:color w:val="auto"/>
          <w:spacing w:val="25"/>
          <w:sz w:val="24"/>
          <w:highlight w:val="none"/>
          <w:u w:val="single"/>
        </w:rPr>
        <w:t>.</w:t>
      </w:r>
      <w:r>
        <w:rPr>
          <w:rFonts w:hint="eastAsia" w:ascii="宋体" w:hAnsi="宋体" w:cs="宋体"/>
          <w:color w:val="auto"/>
          <w:sz w:val="24"/>
          <w:highlight w:val="none"/>
          <w:u w:val="single"/>
        </w:rPr>
        <w:t>com</w:t>
      </w:r>
      <w:r>
        <w:rPr>
          <w:rFonts w:hint="eastAsia" w:ascii="宋体" w:hAnsi="宋体" w:cs="宋体"/>
          <w:color w:val="auto"/>
          <w:spacing w:val="25"/>
          <w:sz w:val="24"/>
          <w:highlight w:val="none"/>
          <w:u w:val="single"/>
        </w:rPr>
        <w:t>/</w:t>
      </w:r>
      <w:r>
        <w:rPr>
          <w:rFonts w:hint="eastAsia" w:ascii="宋体" w:hAnsi="宋体" w:cs="宋体"/>
          <w:color w:val="auto"/>
          <w:spacing w:val="25"/>
          <w:sz w:val="24"/>
          <w:highlight w:val="none"/>
          <w:u w:val="single"/>
        </w:rPr>
        <w:fldChar w:fldCharType="end"/>
      </w:r>
      <w:r>
        <w:rPr>
          <w:rFonts w:hint="eastAsia" w:ascii="宋体" w:hAnsi="宋体" w:cs="宋体"/>
          <w:color w:val="auto"/>
          <w:spacing w:val="25"/>
          <w:sz w:val="24"/>
          <w:highlight w:val="none"/>
        </w:rPr>
        <w:t>，客服电话：</w:t>
      </w:r>
      <w:r>
        <w:rPr>
          <w:rFonts w:hint="eastAsia" w:ascii="宋体" w:hAnsi="宋体" w:cs="宋体"/>
          <w:color w:val="auto"/>
          <w:spacing w:val="2"/>
          <w:sz w:val="24"/>
          <w:highlight w:val="none"/>
        </w:rPr>
        <w:t>400-009-0001）。</w:t>
      </w:r>
    </w:p>
    <w:p w14:paraId="307A6150">
      <w:pPr>
        <w:spacing w:line="236" w:lineRule="auto"/>
        <w:ind w:firstLine="775"/>
        <w:rPr>
          <w:rFonts w:ascii="仿宋" w:hAnsi="仿宋" w:eastAsia="仿宋" w:cs="仿宋"/>
          <w:color w:val="auto"/>
          <w:sz w:val="31"/>
          <w:szCs w:val="31"/>
          <w:highlight w:val="none"/>
        </w:rPr>
        <w:sectPr>
          <w:footerReference r:id="rId11" w:type="default"/>
          <w:pgSz w:w="11906" w:h="16839"/>
          <w:pgMar w:top="400" w:right="979" w:bottom="882" w:left="1143" w:header="0" w:footer="720" w:gutter="0"/>
          <w:cols w:space="720" w:num="1"/>
        </w:sectPr>
      </w:pPr>
    </w:p>
    <w:p w14:paraId="1BABC16B">
      <w:pPr>
        <w:pStyle w:val="19"/>
        <w:spacing w:line="262" w:lineRule="auto"/>
        <w:ind w:firstLine="600"/>
        <w:rPr>
          <w:color w:val="auto"/>
          <w:highlight w:val="none"/>
        </w:rPr>
      </w:pPr>
    </w:p>
    <w:p w14:paraId="6AC8F319">
      <w:pPr>
        <w:pStyle w:val="19"/>
        <w:spacing w:line="262" w:lineRule="auto"/>
        <w:ind w:firstLine="600"/>
        <w:rPr>
          <w:color w:val="auto"/>
          <w:highlight w:val="none"/>
        </w:rPr>
      </w:pPr>
    </w:p>
    <w:p w14:paraId="188E11EB">
      <w:pPr>
        <w:pStyle w:val="19"/>
        <w:spacing w:line="263" w:lineRule="auto"/>
        <w:ind w:firstLine="600"/>
        <w:rPr>
          <w:color w:val="auto"/>
          <w:highlight w:val="none"/>
        </w:rPr>
      </w:pPr>
    </w:p>
    <w:p w14:paraId="1AB10B80">
      <w:pPr>
        <w:spacing w:before="101" w:line="226" w:lineRule="auto"/>
        <w:ind w:firstLine="745"/>
        <w:rPr>
          <w:rFonts w:ascii="黑体" w:hAnsi="黑体" w:eastAsia="黑体" w:cs="黑体"/>
          <w:color w:val="auto"/>
          <w:sz w:val="31"/>
          <w:szCs w:val="31"/>
          <w:highlight w:val="none"/>
        </w:rPr>
      </w:pPr>
      <w:r>
        <w:rPr>
          <w:rFonts w:ascii="黑体" w:hAnsi="黑体" w:eastAsia="黑体" w:cs="黑体"/>
          <w:color w:val="auto"/>
          <w:spacing w:val="-6"/>
          <w:sz w:val="31"/>
          <w:szCs w:val="31"/>
          <w:highlight w:val="none"/>
        </w:rPr>
        <w:t>附件</w:t>
      </w:r>
      <w:r>
        <w:rPr>
          <w:rFonts w:ascii="黑体" w:hAnsi="黑体" w:eastAsia="黑体" w:cs="黑体"/>
          <w:color w:val="auto"/>
          <w:spacing w:val="-58"/>
          <w:sz w:val="31"/>
          <w:szCs w:val="31"/>
          <w:highlight w:val="none"/>
        </w:rPr>
        <w:t xml:space="preserve"> </w:t>
      </w:r>
      <w:r>
        <w:rPr>
          <w:rFonts w:ascii="黑体" w:hAnsi="黑体" w:eastAsia="黑体" w:cs="黑体"/>
          <w:color w:val="auto"/>
          <w:spacing w:val="-6"/>
          <w:sz w:val="31"/>
          <w:szCs w:val="31"/>
          <w:highlight w:val="none"/>
        </w:rPr>
        <w:t>2</w:t>
      </w:r>
    </w:p>
    <w:p w14:paraId="3D287A00">
      <w:pPr>
        <w:spacing w:before="416" w:line="205" w:lineRule="auto"/>
        <w:ind w:left="-134" w:firstLine="1120"/>
        <w:rPr>
          <w:rFonts w:ascii="微软雅黑" w:hAnsi="微软雅黑" w:eastAsia="微软雅黑" w:cs="微软雅黑"/>
          <w:color w:val="auto"/>
          <w:sz w:val="43"/>
          <w:szCs w:val="43"/>
          <w:highlight w:val="none"/>
        </w:rPr>
      </w:pPr>
      <w:r>
        <w:rPr>
          <w:rFonts w:ascii="微软雅黑" w:hAnsi="微软雅黑" w:eastAsia="微软雅黑" w:cs="微软雅黑"/>
          <w:color w:val="auto"/>
          <w:spacing w:val="9"/>
          <w:sz w:val="43"/>
          <w:szCs w:val="43"/>
          <w:highlight w:val="none"/>
        </w:rPr>
        <w:t>崇左市线上“政采贷”业务流程图</w:t>
      </w:r>
    </w:p>
    <w:p w14:paraId="69D4CC78">
      <w:pPr>
        <w:spacing w:line="11028" w:lineRule="exact"/>
        <w:ind w:firstLine="525"/>
        <w:rPr>
          <w:color w:val="auto"/>
          <w:highlight w:val="none"/>
        </w:rPr>
      </w:pPr>
      <w:r>
        <w:rPr>
          <w:color w:val="auto"/>
          <w:position w:val="-220"/>
          <w:highlight w:val="none"/>
        </w:rPr>
        <w:drawing>
          <wp:inline distT="0" distB="0" distL="0" distR="0">
            <wp:extent cx="4930140" cy="7002780"/>
            <wp:effectExtent l="0" t="0" r="3810" b="7620"/>
            <wp:docPr id="9" name="IM 4"/>
            <wp:cNvGraphicFramePr/>
            <a:graphic xmlns:a="http://schemas.openxmlformats.org/drawingml/2006/main">
              <a:graphicData uri="http://schemas.openxmlformats.org/drawingml/2006/picture">
                <pic:pic xmlns:pic="http://schemas.openxmlformats.org/drawingml/2006/picture">
                  <pic:nvPicPr>
                    <pic:cNvPr id="9" name="IM 4"/>
                    <pic:cNvPicPr/>
                  </pic:nvPicPr>
                  <pic:blipFill>
                    <a:blip r:embed="rId24"/>
                    <a:stretch>
                      <a:fillRect/>
                    </a:stretch>
                  </pic:blipFill>
                  <pic:spPr>
                    <a:xfrm>
                      <a:off x="0" y="0"/>
                      <a:ext cx="4930140" cy="7002780"/>
                    </a:xfrm>
                    <a:prstGeom prst="rect">
                      <a:avLst/>
                    </a:prstGeom>
                  </pic:spPr>
                </pic:pic>
              </a:graphicData>
            </a:graphic>
          </wp:inline>
        </w:drawing>
      </w:r>
    </w:p>
    <w:p w14:paraId="0E097AF8">
      <w:pPr>
        <w:spacing w:line="11028" w:lineRule="exact"/>
        <w:rPr>
          <w:color w:val="auto"/>
          <w:highlight w:val="none"/>
        </w:rPr>
        <w:sectPr>
          <w:footerReference r:id="rId12" w:type="default"/>
          <w:pgSz w:w="11906" w:h="16839"/>
          <w:pgMar w:top="400" w:right="1785" w:bottom="882" w:left="1167" w:header="0" w:footer="720" w:gutter="0"/>
          <w:cols w:space="720" w:num="1"/>
        </w:sectPr>
      </w:pPr>
    </w:p>
    <w:p w14:paraId="70DA1BC7">
      <w:pPr>
        <w:pStyle w:val="19"/>
        <w:spacing w:line="310" w:lineRule="auto"/>
        <w:ind w:firstLine="600"/>
        <w:rPr>
          <w:color w:val="auto"/>
          <w:highlight w:val="none"/>
        </w:rPr>
      </w:pPr>
    </w:p>
    <w:p w14:paraId="4DA6C16D">
      <w:pPr>
        <w:pStyle w:val="19"/>
        <w:spacing w:line="310" w:lineRule="auto"/>
        <w:ind w:firstLine="600"/>
        <w:rPr>
          <w:color w:val="auto"/>
          <w:highlight w:val="none"/>
        </w:rPr>
      </w:pPr>
    </w:p>
    <w:p w14:paraId="7F4B9461">
      <w:pPr>
        <w:pStyle w:val="19"/>
        <w:spacing w:line="310" w:lineRule="auto"/>
        <w:ind w:firstLine="600"/>
        <w:rPr>
          <w:color w:val="auto"/>
          <w:highlight w:val="none"/>
        </w:rPr>
      </w:pPr>
    </w:p>
    <w:p w14:paraId="4ED87764">
      <w:pPr>
        <w:spacing w:before="101" w:line="226" w:lineRule="auto"/>
        <w:ind w:firstLine="745"/>
        <w:rPr>
          <w:rFonts w:ascii="黑体" w:hAnsi="黑体" w:eastAsia="黑体" w:cs="黑体"/>
          <w:color w:val="auto"/>
          <w:sz w:val="31"/>
          <w:szCs w:val="31"/>
          <w:highlight w:val="none"/>
        </w:rPr>
      </w:pPr>
      <w:r>
        <w:rPr>
          <w:rFonts w:ascii="黑体" w:hAnsi="黑体" w:eastAsia="黑体" w:cs="黑体"/>
          <w:color w:val="auto"/>
          <w:spacing w:val="-6"/>
          <w:sz w:val="31"/>
          <w:szCs w:val="31"/>
          <w:highlight w:val="none"/>
        </w:rPr>
        <w:t>附件</w:t>
      </w:r>
      <w:r>
        <w:rPr>
          <w:rFonts w:ascii="黑体" w:hAnsi="黑体" w:eastAsia="黑体" w:cs="黑体"/>
          <w:color w:val="auto"/>
          <w:spacing w:val="-60"/>
          <w:sz w:val="31"/>
          <w:szCs w:val="31"/>
          <w:highlight w:val="none"/>
        </w:rPr>
        <w:t xml:space="preserve"> </w:t>
      </w:r>
      <w:r>
        <w:rPr>
          <w:rFonts w:ascii="黑体" w:hAnsi="黑体" w:eastAsia="黑体" w:cs="黑体"/>
          <w:color w:val="auto"/>
          <w:spacing w:val="-6"/>
          <w:sz w:val="31"/>
          <w:szCs w:val="31"/>
          <w:highlight w:val="none"/>
        </w:rPr>
        <w:t>3</w:t>
      </w:r>
    </w:p>
    <w:p w14:paraId="7F8BA6DE">
      <w:pPr>
        <w:pStyle w:val="19"/>
        <w:spacing w:line="330" w:lineRule="auto"/>
        <w:ind w:firstLine="600"/>
        <w:rPr>
          <w:color w:val="auto"/>
          <w:highlight w:val="none"/>
        </w:rPr>
      </w:pPr>
    </w:p>
    <w:p w14:paraId="27652462">
      <w:pPr>
        <w:spacing w:before="150" w:line="216" w:lineRule="auto"/>
        <w:ind w:firstLine="369" w:firstLineChars="100"/>
        <w:jc w:val="both"/>
        <w:rPr>
          <w:rFonts w:hint="eastAsia" w:ascii="宋体" w:hAnsi="宋体" w:eastAsia="宋体" w:cs="宋体"/>
          <w:b/>
          <w:bCs/>
          <w:color w:val="auto"/>
          <w:sz w:val="35"/>
          <w:szCs w:val="35"/>
          <w:highlight w:val="none"/>
        </w:rPr>
      </w:pPr>
      <w:r>
        <w:rPr>
          <w:rFonts w:hint="eastAsia" w:ascii="宋体" w:hAnsi="宋体" w:eastAsia="宋体" w:cs="宋体"/>
          <w:b/>
          <w:bCs/>
          <w:color w:val="auto"/>
          <w:spacing w:val="9"/>
          <w:sz w:val="35"/>
          <w:szCs w:val="35"/>
          <w:highlight w:val="none"/>
        </w:rPr>
        <w:t>崇左市金融机构线上“政采贷”业务办理联络表</w:t>
      </w:r>
    </w:p>
    <w:p w14:paraId="2B4D51BB">
      <w:pPr>
        <w:spacing w:line="72" w:lineRule="auto"/>
        <w:ind w:firstLine="50"/>
        <w:rPr>
          <w:rFonts w:ascii="Arial"/>
          <w:color w:val="auto"/>
          <w:sz w:val="2"/>
          <w:highlight w:val="none"/>
        </w:rPr>
      </w:pPr>
    </w:p>
    <w:tbl>
      <w:tblPr>
        <w:tblStyle w:val="51"/>
        <w:tblW w:w="8314" w:type="dxa"/>
        <w:tblInd w:w="96" w:type="dxa"/>
        <w:tblLayout w:type="fixed"/>
        <w:tblCellMar>
          <w:top w:w="0" w:type="dxa"/>
          <w:left w:w="108" w:type="dxa"/>
          <w:bottom w:w="0" w:type="dxa"/>
          <w:right w:w="108" w:type="dxa"/>
        </w:tblCellMar>
      </w:tblPr>
      <w:tblGrid>
        <w:gridCol w:w="2674"/>
        <w:gridCol w:w="3515"/>
        <w:gridCol w:w="2125"/>
      </w:tblGrid>
      <w:tr w14:paraId="445F51A1">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0"/>
            <w:vAlign w:val="center"/>
          </w:tcPr>
          <w:p w14:paraId="3CA74608">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E63F887">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E671F81">
            <w:pPr>
              <w:widowControl/>
              <w:spacing w:line="400" w:lineRule="exact"/>
              <w:jc w:val="center"/>
              <w:textAlignment w:val="center"/>
              <w:rPr>
                <w:rFonts w:hint="eastAsia" w:ascii="宋体" w:hAnsi="宋体" w:cs="宋体"/>
                <w:b/>
                <w:bCs/>
                <w:color w:val="auto"/>
                <w:sz w:val="28"/>
                <w:szCs w:val="28"/>
                <w:highlight w:val="none"/>
              </w:rPr>
            </w:pPr>
            <w:r>
              <w:rPr>
                <w:rFonts w:hint="eastAsia" w:cs="宋体"/>
                <w:b/>
                <w:bCs/>
                <w:color w:val="auto"/>
                <w:kern w:val="0"/>
                <w:sz w:val="28"/>
                <w:szCs w:val="28"/>
                <w:highlight w:val="none"/>
                <w:lang w:bidi="ar"/>
              </w:rPr>
              <w:t>业务</w:t>
            </w:r>
            <w:r>
              <w:rPr>
                <w:rFonts w:hint="eastAsia" w:ascii="宋体" w:hAnsi="宋体" w:cs="宋体"/>
                <w:b/>
                <w:bCs/>
                <w:color w:val="auto"/>
                <w:kern w:val="0"/>
                <w:sz w:val="28"/>
                <w:szCs w:val="28"/>
                <w:highlight w:val="none"/>
                <w:lang w:bidi="ar"/>
              </w:rPr>
              <w:t>咨询电话</w:t>
            </w:r>
          </w:p>
        </w:tc>
      </w:tr>
      <w:tr w14:paraId="660196BB">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23E23A03">
            <w:pPr>
              <w:widowControl/>
              <w:jc w:val="left"/>
              <w:textAlignment w:val="center"/>
              <w:rPr>
                <w:rFonts w:hint="eastAsia" w:cs="宋体"/>
                <w:color w:val="auto"/>
                <w:szCs w:val="21"/>
                <w:highlight w:val="none"/>
              </w:rPr>
            </w:pPr>
            <w:r>
              <w:rPr>
                <w:rFonts w:hint="eastAsia" w:cs="宋体"/>
                <w:b/>
                <w:bCs/>
                <w:color w:val="auto"/>
                <w:szCs w:val="21"/>
                <w:highlight w:val="none"/>
              </w:rPr>
              <w:t>崇左市本级及江州区</w:t>
            </w:r>
          </w:p>
        </w:tc>
      </w:tr>
      <w:tr w14:paraId="6595B19E">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3271DE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9ED0DF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4AD9FE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0771-7820436 0771-7820439</w:t>
            </w:r>
          </w:p>
        </w:tc>
      </w:tr>
      <w:tr w14:paraId="525A1836">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330EF8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1A6483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江州区友谊大道26号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7991908">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0771-7917212</w:t>
            </w:r>
          </w:p>
        </w:tc>
      </w:tr>
      <w:tr w14:paraId="69F36CAF">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907339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822419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4BF7EF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0771-7917054</w:t>
            </w:r>
          </w:p>
        </w:tc>
      </w:tr>
      <w:tr w14:paraId="2CE3743D">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D6E327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D2DDBA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4C4E603">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0771-7831103</w:t>
            </w:r>
          </w:p>
        </w:tc>
      </w:tr>
      <w:tr w14:paraId="5D4201E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FBFBD5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389476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217C17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0771-7928650 0771-7920613</w:t>
            </w:r>
          </w:p>
        </w:tc>
      </w:tr>
      <w:tr w14:paraId="15FB0631">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8FDBF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379440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崇左市城西路109号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621ADE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0771-7925660</w:t>
            </w:r>
          </w:p>
        </w:tc>
      </w:tr>
      <w:tr w14:paraId="3F745334">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6C01E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637DB3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909213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0771-7968699</w:t>
            </w:r>
          </w:p>
        </w:tc>
      </w:tr>
      <w:tr w14:paraId="014107E4">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26847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828B67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7DE0D8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0771-7916636</w:t>
            </w:r>
          </w:p>
        </w:tc>
      </w:tr>
      <w:tr w14:paraId="5716799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A78678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4CD0E3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1C429C8">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0771-7988895</w:t>
            </w:r>
          </w:p>
        </w:tc>
      </w:tr>
      <w:tr w14:paraId="7D4650E1">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EED9AC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545B44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98BBC1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0771-7960855</w:t>
            </w:r>
          </w:p>
        </w:tc>
      </w:tr>
      <w:tr w14:paraId="69F2F871">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3ACB9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BF2DBE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850F300">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0771-7821126</w:t>
            </w:r>
          </w:p>
        </w:tc>
      </w:tr>
      <w:tr w14:paraId="335EAE9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8534DE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74AD4D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20405C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0771-7831866</w:t>
            </w:r>
          </w:p>
        </w:tc>
      </w:tr>
      <w:tr w14:paraId="526FF62A">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07C8DE64">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扶绥县</w:t>
            </w:r>
          </w:p>
        </w:tc>
      </w:tr>
      <w:tr w14:paraId="1187C114">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0737A2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A64B47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3E90DF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0771-7535612</w:t>
            </w:r>
          </w:p>
        </w:tc>
      </w:tr>
      <w:tr w14:paraId="1CA2DEE4">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5A0FAC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484E89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3AE796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0771-7917330</w:t>
            </w:r>
          </w:p>
        </w:tc>
      </w:tr>
      <w:tr w14:paraId="7615CF7A">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544FAD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3F4A5D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扶绥县南密路6号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7C00E7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0771-7516511 0771-7531157</w:t>
            </w:r>
          </w:p>
        </w:tc>
      </w:tr>
      <w:tr w14:paraId="41C4DF8A">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1038B8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6C9B9A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A465330">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0771-7525822</w:t>
            </w:r>
          </w:p>
        </w:tc>
      </w:tr>
      <w:tr w14:paraId="03BA70CF">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D26847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B037D9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61A436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0771-5025887</w:t>
            </w:r>
          </w:p>
        </w:tc>
      </w:tr>
      <w:tr w14:paraId="18E6C13F">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74735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7CB591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30F9D5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0771-7533041</w:t>
            </w:r>
          </w:p>
        </w:tc>
      </w:tr>
      <w:tr w14:paraId="5450D291">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EAA834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444CDA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4DB293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0771-7536178 0771-7536177</w:t>
            </w:r>
          </w:p>
        </w:tc>
      </w:tr>
      <w:tr w14:paraId="633804F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7DDA5C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8118AD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FEC104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0771-7661101</w:t>
            </w:r>
          </w:p>
        </w:tc>
      </w:tr>
      <w:tr w14:paraId="67F6E0A0">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A666F2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4AA7B3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902F648">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0771-7500768</w:t>
            </w:r>
          </w:p>
        </w:tc>
      </w:tr>
      <w:tr w14:paraId="1677E9AF">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61FF3D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5379A9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2C0BC6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0771-7525678</w:t>
            </w:r>
          </w:p>
        </w:tc>
      </w:tr>
      <w:tr w14:paraId="3C7F5BC1">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58F1E89">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19E90D6">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6FE125C">
            <w:pPr>
              <w:widowControl/>
              <w:jc w:val="center"/>
              <w:textAlignment w:val="center"/>
              <w:rPr>
                <w:rFonts w:hint="eastAsia" w:ascii="宋体" w:hAnsi="宋体" w:cs="宋体"/>
                <w:color w:val="auto"/>
                <w:szCs w:val="21"/>
                <w:highlight w:val="none"/>
              </w:rPr>
            </w:pPr>
          </w:p>
        </w:tc>
      </w:tr>
      <w:tr w14:paraId="57E0E8A2">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F63742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716E9E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2A56CCA">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0771-8620729</w:t>
            </w:r>
          </w:p>
        </w:tc>
      </w:tr>
      <w:tr w14:paraId="0C6F5B95">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7A494F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16F480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9935C1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0771-7917093</w:t>
            </w:r>
          </w:p>
        </w:tc>
      </w:tr>
      <w:tr w14:paraId="4047FD17">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4DFE8B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5681E8D">
            <w:pPr>
              <w:widowControl/>
              <w:spacing w:after="90" w:line="23" w:lineRule="atLeast"/>
              <w:jc w:val="left"/>
              <w:rPr>
                <w:rFonts w:hint="eastAsia" w:ascii="宋体" w:hAnsi="宋体" w:cs="宋体"/>
                <w:color w:val="auto"/>
                <w:szCs w:val="21"/>
                <w:highlight w:val="none"/>
              </w:rPr>
            </w:pPr>
            <w:r>
              <w:rPr>
                <w:rFonts w:hint="eastAsia" w:ascii="宋体" w:hAnsi="宋体" w:cs="宋体"/>
                <w:color w:val="auto"/>
                <w:kern w:val="0"/>
                <w:szCs w:val="21"/>
                <w:highlight w:val="none"/>
                <w:lang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CFA1EE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0771-8629006</w:t>
            </w:r>
          </w:p>
        </w:tc>
      </w:tr>
      <w:tr w14:paraId="59E7BCBA">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2D4DCD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D473BC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157C610">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0771-8628166</w:t>
            </w:r>
          </w:p>
        </w:tc>
      </w:tr>
      <w:tr w14:paraId="34B11FDB">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F8C1C7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10A4DC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ADB8EA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0771-8630787</w:t>
            </w:r>
          </w:p>
        </w:tc>
      </w:tr>
      <w:tr w14:paraId="3AC026FC">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180C4F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6F3684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4A888C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0771-8622237</w:t>
            </w:r>
          </w:p>
        </w:tc>
      </w:tr>
      <w:tr w14:paraId="6AE096FC">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524ECEE2">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大新县</w:t>
            </w:r>
          </w:p>
        </w:tc>
      </w:tr>
      <w:tr w14:paraId="3869C8F2">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FEF5B7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工商银行大新县支行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6E8EF95">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大新县桃城镇民生街98号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B128D25">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0771-3628078</w:t>
            </w:r>
          </w:p>
        </w:tc>
      </w:tr>
      <w:tr w14:paraId="0ABEEAEB">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C8257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农业银行大新县支行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44A3DC0">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67AD512">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w:t>
            </w:r>
            <w:r>
              <w:rPr>
                <w:rFonts w:hint="eastAsia" w:ascii="宋体" w:hAnsi="宋体" w:cs="宋体"/>
                <w:color w:val="auto"/>
                <w:szCs w:val="21"/>
                <w:highlight w:val="none"/>
              </w:rPr>
              <w:t>7917015</w:t>
            </w:r>
          </w:p>
        </w:tc>
      </w:tr>
      <w:tr w14:paraId="0D089DFA">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6C1B4B">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58D40CB">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大新县民生街7号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9F5805E">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0771-3689766</w:t>
            </w:r>
          </w:p>
        </w:tc>
      </w:tr>
      <w:tr w14:paraId="477931BE">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6103439">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AD32BE4">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大新县城养利路131号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32A4FD1">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0771-3623887</w:t>
            </w:r>
          </w:p>
        </w:tc>
      </w:tr>
      <w:tr w14:paraId="2CD55465">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E9288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FBF372C">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5FF5578">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0771-3621996</w:t>
            </w:r>
          </w:p>
        </w:tc>
      </w:tr>
      <w:tr w14:paraId="727CE81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F54D70A">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D5DD134">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C75EAD4">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0771-3628366</w:t>
            </w:r>
          </w:p>
        </w:tc>
      </w:tr>
      <w:tr w14:paraId="5058C9EF">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696856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BB289FB">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大新县桃城镇德天大道74-1号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A14B913">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0771-3698002</w:t>
            </w:r>
          </w:p>
        </w:tc>
      </w:tr>
      <w:tr w14:paraId="6184BA18">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AAED8D7">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2E4E4C6">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大新县桃城镇伦那路8号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D649656">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0771-3626199</w:t>
            </w:r>
          </w:p>
        </w:tc>
      </w:tr>
      <w:tr w14:paraId="30C7C4A7">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C3CEA86">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EA1B487">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79AACBB">
            <w:pPr>
              <w:widowControl/>
              <w:jc w:val="center"/>
              <w:textAlignment w:val="center"/>
              <w:rPr>
                <w:rFonts w:hint="eastAsia" w:ascii="宋体" w:hAnsi="宋体" w:cs="宋体"/>
                <w:color w:val="auto"/>
                <w:szCs w:val="21"/>
                <w:highlight w:val="none"/>
              </w:rPr>
            </w:pPr>
          </w:p>
        </w:tc>
      </w:tr>
      <w:tr w14:paraId="41123A0C">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2F0BA9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1CA4AF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龙州县龙江街60号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F00D793">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0771-8868619</w:t>
            </w:r>
          </w:p>
        </w:tc>
      </w:tr>
      <w:tr w14:paraId="3A20DA52">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078C56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E0CDD9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6C6FD63">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0771-8812504</w:t>
            </w:r>
          </w:p>
        </w:tc>
      </w:tr>
      <w:tr w14:paraId="7A8F61F0">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F54E10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AC89F1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C6CF2F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0771-8820525</w:t>
            </w:r>
          </w:p>
        </w:tc>
      </w:tr>
      <w:tr w14:paraId="2136CCC7">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54B88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龙州农商行公司机构金融</w:t>
            </w:r>
            <w:r>
              <w:rPr>
                <w:rFonts w:hint="eastAsia" w:cs="宋体"/>
                <w:color w:val="auto"/>
                <w:szCs w:val="21"/>
                <w:highlight w:val="none"/>
              </w:rPr>
              <w:t>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B5DD32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592798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0771-8813013</w:t>
            </w:r>
          </w:p>
        </w:tc>
      </w:tr>
      <w:tr w14:paraId="21786E4F">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4F85D6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2F12C9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78B46D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0771-8871021</w:t>
            </w:r>
          </w:p>
        </w:tc>
      </w:tr>
      <w:tr w14:paraId="458C81F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A67C0D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274ACD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57409F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0771-8811533</w:t>
            </w:r>
          </w:p>
        </w:tc>
      </w:tr>
      <w:tr w14:paraId="1FDF09D1">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D34E001">
            <w:pPr>
              <w:widowControl/>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075627A">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4184C7B">
            <w:pPr>
              <w:widowControl/>
              <w:jc w:val="center"/>
              <w:textAlignment w:val="center"/>
              <w:rPr>
                <w:rFonts w:hint="eastAsia" w:ascii="宋体" w:hAnsi="宋体" w:cs="宋体"/>
                <w:color w:val="auto"/>
                <w:szCs w:val="21"/>
                <w:highlight w:val="none"/>
              </w:rPr>
            </w:pPr>
          </w:p>
        </w:tc>
      </w:tr>
      <w:tr w14:paraId="7C37326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86D4B5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2166F5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E208D3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0771-3532211</w:t>
            </w:r>
          </w:p>
        </w:tc>
      </w:tr>
      <w:tr w14:paraId="26F70515">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46D862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9E98A4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53CF5CF">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0771-7917046</w:t>
            </w:r>
          </w:p>
        </w:tc>
      </w:tr>
      <w:tr w14:paraId="78409A6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5A0658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DDB65B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FB1BA8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0771-3521361</w:t>
            </w:r>
          </w:p>
        </w:tc>
      </w:tr>
      <w:tr w14:paraId="1FDA572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A66BA6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C2E775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E9A6C3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0771-3522157</w:t>
            </w:r>
          </w:p>
        </w:tc>
      </w:tr>
      <w:tr w14:paraId="79A2FE35">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1589FF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3D3266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569217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0771-3528688</w:t>
            </w:r>
          </w:p>
        </w:tc>
      </w:tr>
      <w:tr w14:paraId="3E44874C">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58D1ACD6">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凭祥市</w:t>
            </w:r>
          </w:p>
        </w:tc>
      </w:tr>
      <w:tr w14:paraId="34416D32">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0CCFE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430999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凭祥市新华路5号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DA5F77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0771-8529259</w:t>
            </w:r>
          </w:p>
        </w:tc>
      </w:tr>
      <w:tr w14:paraId="501942C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0C0BDC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3488D3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凭祥市北大路216号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34CD61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0771-7917258</w:t>
            </w:r>
          </w:p>
        </w:tc>
      </w:tr>
      <w:tr w14:paraId="426F2D7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A52B9A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EE6046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凭祥市屏山路138号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4EA1DC0">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0771-8525068</w:t>
            </w:r>
            <w:r>
              <w:rPr>
                <w:rFonts w:hint="eastAsia" w:cs="宋体"/>
                <w:color w:val="auto"/>
                <w:szCs w:val="21"/>
                <w:highlight w:val="none"/>
              </w:rPr>
              <w:t xml:space="preserve"> </w:t>
            </w:r>
            <w:r>
              <w:rPr>
                <w:rFonts w:hint="eastAsia" w:ascii="宋体" w:hAnsi="宋体" w:cs="宋体"/>
                <w:color w:val="auto"/>
                <w:szCs w:val="21"/>
                <w:highlight w:val="none"/>
              </w:rPr>
              <w:t>0771-8536852</w:t>
            </w:r>
          </w:p>
        </w:tc>
      </w:tr>
      <w:tr w14:paraId="595D2902">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876D8F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57705A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F6481B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0771-8551161</w:t>
            </w:r>
          </w:p>
        </w:tc>
      </w:tr>
      <w:tr w14:paraId="7403B41B">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924317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64B1CB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凭祥市浦寨商业城万泰一楼8-9号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75C62E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0771-8561665</w:t>
            </w:r>
          </w:p>
        </w:tc>
      </w:tr>
      <w:tr w14:paraId="7153863A">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7F807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319824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凭祥市-北环路112号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979844A">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0771-8520356</w:t>
            </w:r>
          </w:p>
        </w:tc>
      </w:tr>
      <w:tr w14:paraId="504A1870">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529F62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36D4AB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凭祥市友谊关大道13号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89F403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0771-8535667</w:t>
            </w:r>
          </w:p>
        </w:tc>
      </w:tr>
      <w:tr w14:paraId="05122570">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9D78C9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2BDA13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凭祥市北大路一支40号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D4D835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0771-8520550</w:t>
            </w:r>
          </w:p>
        </w:tc>
      </w:tr>
      <w:tr w14:paraId="793E0B41">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A730BE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D5BC02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凭祥市北大路一支60-1号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F7A92A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0771-8556667</w:t>
            </w:r>
          </w:p>
        </w:tc>
      </w:tr>
    </w:tbl>
    <w:p w14:paraId="47991DDE">
      <w:pPr>
        <w:pStyle w:val="19"/>
        <w:ind w:firstLine="600"/>
        <w:rPr>
          <w:color w:val="auto"/>
          <w:highlight w:val="none"/>
        </w:rPr>
      </w:pPr>
    </w:p>
    <w:p w14:paraId="79895E23">
      <w:pPr>
        <w:rPr>
          <w:rFonts w:ascii="宋体" w:hAnsi="宋体" w:cs="宋体"/>
          <w:color w:val="auto"/>
          <w:highlight w:val="none"/>
        </w:rPr>
      </w:pPr>
    </w:p>
    <w:p w14:paraId="17FBC028">
      <w:pPr>
        <w:rPr>
          <w:rFonts w:hint="eastAsia" w:ascii="宋体" w:hAnsi="宋体" w:cs="宋体"/>
          <w:color w:val="auto"/>
          <w:highlight w:val="none"/>
        </w:rPr>
      </w:pPr>
      <w:r>
        <w:rPr>
          <w:rFonts w:hint="eastAsia" w:ascii="宋体" w:hAnsi="宋体" w:cs="宋体"/>
          <w:color w:val="auto"/>
          <w:highlight w:val="none"/>
        </w:rPr>
        <w:br w:type="page"/>
      </w:r>
    </w:p>
    <w:p w14:paraId="21EA0344">
      <w:pPr>
        <w:pStyle w:val="4"/>
        <w:keepNext w:val="0"/>
        <w:keepLines w:val="0"/>
        <w:ind w:firstLine="803"/>
        <w:jc w:val="center"/>
        <w:rPr>
          <w:rFonts w:ascii="宋体" w:hAnsi="宋体" w:cs="宋体"/>
          <w:color w:val="auto"/>
          <w:highlight w:val="none"/>
        </w:rPr>
      </w:pPr>
      <w:r>
        <w:rPr>
          <w:rFonts w:hint="eastAsia" w:ascii="宋体" w:hAnsi="宋体" w:cs="宋体"/>
          <w:color w:val="auto"/>
          <w:highlight w:val="none"/>
        </w:rPr>
        <w:t>投标人须知正文</w:t>
      </w:r>
    </w:p>
    <w:p w14:paraId="55EE6634">
      <w:pPr>
        <w:pStyle w:val="4"/>
        <w:keepNext w:val="0"/>
        <w:keepLines w:val="0"/>
        <w:spacing w:line="360" w:lineRule="exact"/>
        <w:ind w:firstLine="803"/>
        <w:jc w:val="center"/>
        <w:rPr>
          <w:rFonts w:ascii="宋体" w:hAnsi="宋体" w:cs="宋体"/>
          <w:color w:val="auto"/>
          <w:highlight w:val="none"/>
        </w:rPr>
      </w:pPr>
      <w:r>
        <w:rPr>
          <w:rFonts w:hint="eastAsia" w:ascii="宋体" w:hAnsi="宋体" w:cs="宋体"/>
          <w:color w:val="auto"/>
          <w:highlight w:val="none"/>
        </w:rPr>
        <w:t>一、总  则</w:t>
      </w:r>
    </w:p>
    <w:p w14:paraId="4F98ABC8">
      <w:pPr>
        <w:pStyle w:val="6"/>
        <w:keepNext w:val="0"/>
        <w:keepLines w:val="0"/>
        <w:spacing w:before="0" w:after="0" w:line="360" w:lineRule="exact"/>
        <w:ind w:left="420" w:leftChars="200" w:firstLine="602"/>
        <w:rPr>
          <w:rFonts w:ascii="宋体" w:hAnsi="宋体" w:cs="宋体"/>
          <w:color w:val="auto"/>
          <w:sz w:val="24"/>
          <w:highlight w:val="none"/>
        </w:rPr>
      </w:pPr>
      <w:bookmarkStart w:id="72" w:name="_Toc254970527"/>
      <w:bookmarkStart w:id="73" w:name="_Toc254970668"/>
      <w:r>
        <w:rPr>
          <w:rFonts w:hint="eastAsia" w:ascii="宋体" w:hAnsi="宋体" w:cs="宋体"/>
          <w:color w:val="auto"/>
          <w:sz w:val="24"/>
          <w:highlight w:val="none"/>
        </w:rPr>
        <w:t>1.适用范围</w:t>
      </w:r>
      <w:bookmarkEnd w:id="72"/>
      <w:bookmarkEnd w:id="73"/>
    </w:p>
    <w:p w14:paraId="22CEA2C6">
      <w:pPr>
        <w:snapToGrid w:val="0"/>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04A3656A">
      <w:pPr>
        <w:snapToGrid w:val="0"/>
        <w:spacing w:line="360" w:lineRule="exact"/>
        <w:ind w:firstLine="420" w:firstLineChars="200"/>
        <w:jc w:val="left"/>
        <w:rPr>
          <w:rFonts w:ascii="宋体" w:hAnsi="宋体" w:cs="宋体"/>
          <w:color w:val="auto"/>
          <w:spacing w:val="-6"/>
          <w:szCs w:val="21"/>
          <w:highlight w:val="none"/>
        </w:rPr>
      </w:pPr>
      <w:r>
        <w:rPr>
          <w:rFonts w:hint="eastAsia" w:ascii="宋体" w:hAnsi="宋体" w:cs="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1A7D332B">
      <w:pPr>
        <w:pStyle w:val="6"/>
        <w:keepNext w:val="0"/>
        <w:keepLines w:val="0"/>
        <w:spacing w:before="0" w:after="0" w:line="360" w:lineRule="exact"/>
        <w:ind w:left="420" w:leftChars="200" w:firstLine="602"/>
        <w:rPr>
          <w:rFonts w:ascii="宋体" w:hAnsi="宋体" w:cs="宋体"/>
          <w:color w:val="auto"/>
          <w:sz w:val="24"/>
          <w:highlight w:val="none"/>
        </w:rPr>
      </w:pPr>
      <w:bookmarkStart w:id="74" w:name="_Toc254970669"/>
      <w:bookmarkStart w:id="75" w:name="_Toc254970528"/>
      <w:r>
        <w:rPr>
          <w:rFonts w:hint="eastAsia" w:ascii="宋体" w:hAnsi="宋体" w:cs="宋体"/>
          <w:color w:val="auto"/>
          <w:sz w:val="24"/>
          <w:highlight w:val="none"/>
        </w:rPr>
        <w:t>2.定义</w:t>
      </w:r>
      <w:bookmarkEnd w:id="74"/>
      <w:bookmarkEnd w:id="75"/>
    </w:p>
    <w:p w14:paraId="285CFBC0">
      <w:pPr>
        <w:pStyle w:val="6"/>
        <w:keepNext w:val="0"/>
        <w:keepLines w:val="0"/>
        <w:spacing w:before="0" w:after="0" w:line="360" w:lineRule="exact"/>
        <w:ind w:left="420" w:leftChars="200" w:firstLine="525"/>
        <w:rPr>
          <w:rFonts w:ascii="宋体" w:hAnsi="宋体" w:cs="宋体"/>
          <w:b w:val="0"/>
          <w:color w:val="auto"/>
          <w:sz w:val="21"/>
          <w:szCs w:val="21"/>
          <w:highlight w:val="none"/>
        </w:rPr>
      </w:pPr>
      <w:r>
        <w:rPr>
          <w:rFonts w:hint="eastAsia" w:ascii="宋体" w:hAnsi="宋体" w:cs="宋体"/>
          <w:b w:val="0"/>
          <w:color w:val="auto"/>
          <w:sz w:val="21"/>
          <w:szCs w:val="21"/>
          <w:highlight w:val="none"/>
        </w:rPr>
        <w:t>2.1“采购人”是指依法进行政府采购的国家机关、事业单位、团体组织。</w:t>
      </w:r>
    </w:p>
    <w:p w14:paraId="6DA117EB">
      <w:pPr>
        <w:pStyle w:val="6"/>
        <w:keepNext w:val="0"/>
        <w:keepLines w:val="0"/>
        <w:spacing w:before="0" w:after="0" w:line="360" w:lineRule="exact"/>
        <w:ind w:left="420" w:leftChars="200" w:firstLine="525"/>
        <w:rPr>
          <w:rFonts w:ascii="宋体" w:hAnsi="宋体" w:cs="宋体"/>
          <w:b w:val="0"/>
          <w:color w:val="auto"/>
          <w:sz w:val="21"/>
          <w:szCs w:val="21"/>
          <w:highlight w:val="none"/>
        </w:rPr>
      </w:pPr>
      <w:r>
        <w:rPr>
          <w:rFonts w:hint="eastAsia" w:ascii="宋体" w:hAnsi="宋体" w:cs="宋体"/>
          <w:b w:val="0"/>
          <w:color w:val="auto"/>
          <w:sz w:val="21"/>
          <w:szCs w:val="21"/>
          <w:highlight w:val="none"/>
        </w:rPr>
        <w:t>2.2“采购代理机构”是指政府采购集中采购机构和集中采购机构以外的采购代理机构。</w:t>
      </w:r>
    </w:p>
    <w:p w14:paraId="6123035B">
      <w:pPr>
        <w:pStyle w:val="6"/>
        <w:keepNext w:val="0"/>
        <w:keepLines w:val="0"/>
        <w:spacing w:before="0" w:after="0" w:line="360" w:lineRule="exact"/>
        <w:ind w:left="420" w:leftChars="200" w:firstLine="525"/>
        <w:rPr>
          <w:rFonts w:ascii="宋体" w:hAnsi="宋体" w:cs="宋体"/>
          <w:b w:val="0"/>
          <w:color w:val="auto"/>
          <w:sz w:val="21"/>
          <w:szCs w:val="21"/>
          <w:highlight w:val="none"/>
        </w:rPr>
      </w:pPr>
      <w:r>
        <w:rPr>
          <w:rFonts w:hint="eastAsia" w:ascii="宋体" w:hAnsi="宋体" w:cs="宋体"/>
          <w:b w:val="0"/>
          <w:color w:val="auto"/>
          <w:sz w:val="21"/>
          <w:szCs w:val="21"/>
          <w:highlight w:val="none"/>
        </w:rPr>
        <w:t>2.3“供应商”是指向采购人提供货物、工程或者服务的法人、其他组织或者自然人。</w:t>
      </w:r>
    </w:p>
    <w:p w14:paraId="29C2B9BD">
      <w:pPr>
        <w:pStyle w:val="7"/>
        <w:spacing w:line="360" w:lineRule="exact"/>
        <w:ind w:firstLine="525"/>
        <w:rPr>
          <w:rFonts w:ascii="宋体" w:hAnsi="宋体" w:cs="宋体"/>
          <w:color w:val="auto"/>
          <w:szCs w:val="21"/>
          <w:highlight w:val="none"/>
        </w:rPr>
      </w:pPr>
      <w:r>
        <w:rPr>
          <w:rFonts w:hint="eastAsia" w:ascii="宋体" w:hAnsi="宋体" w:cs="宋体"/>
          <w:color w:val="auto"/>
          <w:szCs w:val="21"/>
          <w:highlight w:val="none"/>
        </w:rPr>
        <w:t>2.4“投标人”是指响应招标、参加投标竞争的法人、其他组织或者自然人。</w:t>
      </w:r>
    </w:p>
    <w:p w14:paraId="602F6B54">
      <w:pPr>
        <w:pStyle w:val="6"/>
        <w:keepNext w:val="0"/>
        <w:keepLines w:val="0"/>
        <w:spacing w:before="0" w:after="0" w:line="360" w:lineRule="exact"/>
        <w:ind w:left="-134"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2.5“货物”是指各种形态和种类的物品，包括原材料、燃料、设备、产品等。</w:t>
      </w:r>
    </w:p>
    <w:p w14:paraId="3E02D5B3">
      <w:pPr>
        <w:pStyle w:val="6"/>
        <w:keepNext w:val="0"/>
        <w:keepLines w:val="0"/>
        <w:spacing w:before="0" w:after="0" w:line="360" w:lineRule="exact"/>
        <w:ind w:left="-134"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2.6“售后服务” 是指商品出售以后所提供的各种服务，包含但不限于投标人须承担的备品备件、包装、运输、装卸、保险、货到就位以及安装、调试、培训、保修以及其他各种服务。</w:t>
      </w:r>
    </w:p>
    <w:p w14:paraId="56B6D39A">
      <w:pPr>
        <w:pStyle w:val="6"/>
        <w:keepNext w:val="0"/>
        <w:keepLines w:val="0"/>
        <w:spacing w:before="0" w:after="0" w:line="360" w:lineRule="exact"/>
        <w:ind w:left="-134" w:firstLine="525"/>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2.7“书面形式”是指合同书、信件和数据电文（包括电报、电传、传真、电子数据交换和电子邮件）等可以有形地表现所载内容的形式。</w:t>
      </w:r>
    </w:p>
    <w:p w14:paraId="560D5679">
      <w:pPr>
        <w:pStyle w:val="6"/>
        <w:keepNext w:val="0"/>
        <w:keepLines w:val="0"/>
        <w:spacing w:before="0" w:after="0" w:line="360" w:lineRule="exact"/>
        <w:ind w:left="-134"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2.8“实质性要求”是指招标文件中已经指明不满足则投标无效的条款，或者不能负偏离的条款，或者采购需求中带“▲”的条款。</w:t>
      </w:r>
    </w:p>
    <w:p w14:paraId="3E64645E">
      <w:pPr>
        <w:snapToGrid w:val="0"/>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2.9 “正偏离”，是指投标文件对招标文件“采购需求”中有关条款作出的响应优于条款要求并有利于采购人的情形。</w:t>
      </w:r>
    </w:p>
    <w:p w14:paraId="68D2B8BD">
      <w:pPr>
        <w:snapToGrid w:val="0"/>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2.10“负偏离”，是指投标文件对招标文件“采购需求”中有关条款作出的响应不满足条款要求，导致采购人要求不能得到满足的情形。</w:t>
      </w:r>
    </w:p>
    <w:p w14:paraId="015DFC7E">
      <w:pPr>
        <w:snapToGrid w:val="0"/>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bookmarkStart w:id="76" w:name="_Toc254970670"/>
      <w:bookmarkStart w:id="77" w:name="_Toc254970529"/>
    </w:p>
    <w:p w14:paraId="35887542">
      <w:pPr>
        <w:pStyle w:val="6"/>
        <w:keepNext w:val="0"/>
        <w:keepLines w:val="0"/>
        <w:spacing w:before="0" w:after="0" w:line="360" w:lineRule="exact"/>
        <w:ind w:left="420" w:leftChars="200" w:firstLine="602"/>
        <w:rPr>
          <w:rFonts w:ascii="宋体" w:hAnsi="宋体" w:cs="宋体"/>
          <w:color w:val="auto"/>
          <w:sz w:val="24"/>
          <w:highlight w:val="none"/>
        </w:rPr>
      </w:pPr>
      <w:r>
        <w:rPr>
          <w:rFonts w:hint="eastAsia" w:ascii="宋体" w:hAnsi="宋体" w:cs="宋体"/>
          <w:color w:val="auto"/>
          <w:sz w:val="24"/>
          <w:highlight w:val="none"/>
        </w:rPr>
        <w:t>3.</w:t>
      </w:r>
      <w:bookmarkEnd w:id="76"/>
      <w:bookmarkEnd w:id="77"/>
      <w:r>
        <w:rPr>
          <w:rFonts w:hint="eastAsia" w:ascii="宋体" w:hAnsi="宋体" w:cs="宋体"/>
          <w:color w:val="auto"/>
          <w:sz w:val="24"/>
          <w:highlight w:val="none"/>
        </w:rPr>
        <w:t>投标人的资格要求</w:t>
      </w:r>
    </w:p>
    <w:p w14:paraId="1A95DE5D">
      <w:pPr>
        <w:snapToGrid w:val="0"/>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投标人的资格要求详见“投标人须知前附表”。</w:t>
      </w:r>
    </w:p>
    <w:p w14:paraId="2ECF11A3">
      <w:pPr>
        <w:pStyle w:val="6"/>
        <w:keepNext w:val="0"/>
        <w:keepLines w:val="0"/>
        <w:spacing w:before="0" w:after="0" w:line="360" w:lineRule="exact"/>
        <w:ind w:left="420" w:leftChars="200" w:firstLine="602"/>
        <w:rPr>
          <w:rFonts w:ascii="宋体" w:hAnsi="宋体" w:cs="宋体"/>
          <w:color w:val="auto"/>
          <w:sz w:val="24"/>
          <w:highlight w:val="none"/>
        </w:rPr>
      </w:pPr>
      <w:bookmarkStart w:id="78" w:name="_Toc254970530"/>
      <w:bookmarkStart w:id="79" w:name="_Toc254970671"/>
      <w:r>
        <w:rPr>
          <w:rFonts w:hint="eastAsia" w:ascii="宋体" w:hAnsi="宋体" w:cs="宋体"/>
          <w:color w:val="auto"/>
          <w:sz w:val="24"/>
          <w:highlight w:val="none"/>
        </w:rPr>
        <w:t>4.投标委托</w:t>
      </w:r>
      <w:bookmarkEnd w:id="78"/>
      <w:bookmarkEnd w:id="79"/>
    </w:p>
    <w:p w14:paraId="37B15D15">
      <w:pPr>
        <w:snapToGrid w:val="0"/>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投标人代表参加投标活动过程中必须携带个人有效身份证件。如投标人代表不是法定代表人，须持有授权委托书（按第六章要求格式填写）。</w:t>
      </w:r>
    </w:p>
    <w:p w14:paraId="7E7374CD">
      <w:pPr>
        <w:pStyle w:val="6"/>
        <w:keepNext w:val="0"/>
        <w:keepLines w:val="0"/>
        <w:spacing w:before="0" w:after="0" w:line="360" w:lineRule="exact"/>
        <w:ind w:left="420" w:leftChars="200" w:firstLine="602"/>
        <w:rPr>
          <w:rFonts w:ascii="宋体" w:hAnsi="宋体" w:cs="宋体"/>
          <w:color w:val="auto"/>
          <w:sz w:val="24"/>
          <w:highlight w:val="none"/>
        </w:rPr>
      </w:pPr>
      <w:bookmarkStart w:id="80" w:name="_5.投标费用"/>
      <w:bookmarkEnd w:id="80"/>
      <w:bookmarkStart w:id="81" w:name="_Toc254970531"/>
      <w:bookmarkStart w:id="82" w:name="_Toc254970672"/>
      <w:r>
        <w:rPr>
          <w:rFonts w:hint="eastAsia" w:ascii="宋体" w:hAnsi="宋体" w:cs="宋体"/>
          <w:color w:val="auto"/>
          <w:sz w:val="24"/>
          <w:highlight w:val="none"/>
        </w:rPr>
        <w:t>5.投标费用</w:t>
      </w:r>
      <w:bookmarkEnd w:id="81"/>
      <w:bookmarkEnd w:id="82"/>
    </w:p>
    <w:p w14:paraId="21A37DC0">
      <w:pPr>
        <w:snapToGrid w:val="0"/>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2981B323">
      <w:pPr>
        <w:pStyle w:val="6"/>
        <w:keepNext w:val="0"/>
        <w:keepLines w:val="0"/>
        <w:spacing w:before="0" w:after="0" w:line="360" w:lineRule="exact"/>
        <w:ind w:left="420" w:leftChars="200" w:firstLine="602"/>
        <w:rPr>
          <w:rFonts w:ascii="宋体" w:hAnsi="宋体" w:cs="宋体"/>
          <w:color w:val="auto"/>
          <w:sz w:val="24"/>
          <w:highlight w:val="none"/>
        </w:rPr>
      </w:pPr>
      <w:r>
        <w:rPr>
          <w:rFonts w:hint="eastAsia" w:ascii="宋体" w:hAnsi="宋体" w:cs="宋体"/>
          <w:color w:val="auto"/>
          <w:sz w:val="24"/>
          <w:highlight w:val="none"/>
        </w:rPr>
        <w:t>6.联合体投标</w:t>
      </w:r>
    </w:p>
    <w:p w14:paraId="7B0039A0">
      <w:pPr>
        <w:snapToGrid w:val="0"/>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6.1本项目是否接受联合体投标，详见“投标人须知前附表”。</w:t>
      </w:r>
    </w:p>
    <w:p w14:paraId="2AC2DDB2">
      <w:pPr>
        <w:snapToGrid w:val="0"/>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6.2如接受联合体投标，联合体投标要求详见“投标人须知前附表”。</w:t>
      </w:r>
    </w:p>
    <w:p w14:paraId="2D3FAE67">
      <w:pPr>
        <w:pStyle w:val="6"/>
        <w:keepNext w:val="0"/>
        <w:keepLines w:val="0"/>
        <w:numPr>
          <w:ilvl w:val="4"/>
          <w:numId w:val="0"/>
        </w:numPr>
        <w:spacing w:before="0" w:after="0" w:line="360" w:lineRule="exact"/>
        <w:ind w:leftChars="200"/>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rPr>
        <w:t>6.3根据《政府采购促进中小企业发展管理办法》（财库[2020]46号）第九条、《广西壮族自治区财政厅关于持续优化政府采购营商环境推动高质量发展的通知》（桂财采〔2024〕55号）规定，接受大中型企业与小微企业组成联合体的采购项目，对于联合协议约定小微企业的合同份额占到合同总金额 30%以上的，采购人、采购代理机构应当对联合体的报价给予4%-6%（工程项目为1%—2%）的扣除，用扣除后的价格参加评审。组成联合体的小微企业与联合体内其他企业、分包企业之间存在直接控股、管理关系的，不享受价格扣除优惠政策。</w:t>
      </w:r>
    </w:p>
    <w:p w14:paraId="0FE7C420">
      <w:pPr>
        <w:pStyle w:val="6"/>
        <w:keepNext w:val="0"/>
        <w:keepLines w:val="0"/>
        <w:numPr>
          <w:ilvl w:val="4"/>
          <w:numId w:val="0"/>
        </w:numPr>
        <w:spacing w:before="0" w:after="0" w:line="360" w:lineRule="exact"/>
        <w:ind w:leftChars="200" w:firstLine="482" w:firstLineChars="200"/>
        <w:rPr>
          <w:rFonts w:ascii="宋体" w:hAnsi="宋体" w:cs="宋体"/>
          <w:color w:val="auto"/>
          <w:sz w:val="24"/>
          <w:highlight w:val="none"/>
        </w:rPr>
      </w:pPr>
      <w:r>
        <w:rPr>
          <w:rFonts w:hint="eastAsia" w:ascii="宋体" w:hAnsi="宋体" w:cs="宋体"/>
          <w:color w:val="auto"/>
          <w:sz w:val="24"/>
          <w:highlight w:val="none"/>
        </w:rPr>
        <w:t xml:space="preserve">7.转包与分包             </w:t>
      </w:r>
    </w:p>
    <w:p w14:paraId="185A7040">
      <w:pPr>
        <w:pStyle w:val="6"/>
        <w:keepNext w:val="0"/>
        <w:keepLines w:val="0"/>
        <w:numPr>
          <w:ilvl w:val="4"/>
          <w:numId w:val="0"/>
        </w:numPr>
        <w:spacing w:before="0" w:after="0" w:line="360" w:lineRule="exact"/>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7.1本项目不允许转包。</w:t>
      </w:r>
    </w:p>
    <w:p w14:paraId="12849343">
      <w:pPr>
        <w:pStyle w:val="6"/>
        <w:keepNext w:val="0"/>
        <w:keepLines w:val="0"/>
        <w:spacing w:before="0" w:after="0" w:line="360" w:lineRule="exact"/>
        <w:ind w:left="-134"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w:t>
      </w:r>
      <w:r>
        <w:rPr>
          <w:rFonts w:hint="eastAsia" w:ascii="宋体" w:hAnsi="宋体" w:cs="宋体"/>
          <w:b w:val="0"/>
          <w:color w:val="auto"/>
          <w:sz w:val="21"/>
          <w:szCs w:val="21"/>
          <w:highlight w:val="none"/>
          <w:lang w:val="en-US" w:eastAsia="zh-CN"/>
        </w:rPr>
        <w:t xml:space="preserve"> </w:t>
      </w:r>
      <w:r>
        <w:rPr>
          <w:rFonts w:hint="eastAsia" w:ascii="宋体" w:hAnsi="宋体" w:cs="宋体"/>
          <w:b w:val="0"/>
          <w:color w:val="auto"/>
          <w:sz w:val="21"/>
          <w:szCs w:val="21"/>
          <w:highlight w:val="none"/>
        </w:rPr>
        <w:t>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7BC4797B">
      <w:pPr>
        <w:pStyle w:val="6"/>
        <w:keepNext w:val="0"/>
        <w:keepLines w:val="0"/>
        <w:spacing w:before="0" w:after="0" w:line="360" w:lineRule="exact"/>
        <w:ind w:left="-134" w:firstLine="315" w:firstLineChars="15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1743F50F">
      <w:pPr>
        <w:pStyle w:val="6"/>
        <w:keepNext w:val="0"/>
        <w:keepLines w:val="0"/>
        <w:spacing w:before="0" w:after="0" w:line="360" w:lineRule="exact"/>
        <w:ind w:left="-134" w:firstLine="315" w:firstLineChars="150"/>
        <w:rPr>
          <w:rFonts w:hint="default" w:ascii="宋体" w:hAnsi="宋体" w:cs="宋体"/>
          <w:b w:val="0"/>
          <w:color w:val="auto"/>
          <w:sz w:val="21"/>
          <w:szCs w:val="21"/>
          <w:highlight w:val="none"/>
          <w:lang w:val="en-US" w:eastAsia="zh-CN"/>
        </w:rPr>
      </w:pPr>
      <w:r>
        <w:rPr>
          <w:rFonts w:hint="eastAsia" w:ascii="宋体" w:hAnsi="宋体" w:cs="宋体"/>
          <w:b w:val="0"/>
          <w:color w:val="auto"/>
          <w:sz w:val="21"/>
          <w:szCs w:val="21"/>
          <w:highlight w:val="none"/>
          <w:lang w:val="en-US" w:eastAsia="zh-CN"/>
        </w:rPr>
        <w:t xml:space="preserve"> 7.4</w:t>
      </w:r>
      <w:r>
        <w:rPr>
          <w:rFonts w:hint="eastAsia" w:ascii="宋体" w:hAnsi="宋体" w:cs="宋体"/>
          <w:b w:val="0"/>
          <w:color w:val="auto"/>
          <w:sz w:val="21"/>
          <w:szCs w:val="21"/>
          <w:highlight w:val="none"/>
        </w:rPr>
        <w:t>根据《政府采购促进中小企业发展管理办法》（财库[2020]46号）第九条及《广西壮族自治区财政厅关于持续优化政府采购营商环境推动高质量发展的通知》（桂财采〔2024〕55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11E8FDEF">
      <w:pPr>
        <w:pStyle w:val="6"/>
        <w:keepNext w:val="0"/>
        <w:keepLines w:val="0"/>
        <w:spacing w:before="0" w:after="0" w:line="360" w:lineRule="exact"/>
        <w:ind w:left="420" w:leftChars="200" w:firstLine="602"/>
        <w:rPr>
          <w:rFonts w:ascii="宋体" w:hAnsi="宋体" w:cs="宋体"/>
          <w:color w:val="auto"/>
          <w:sz w:val="24"/>
          <w:highlight w:val="none"/>
        </w:rPr>
      </w:pPr>
      <w:bookmarkStart w:id="83" w:name="_Toc254970673"/>
      <w:bookmarkStart w:id="84" w:name="_Toc254970532"/>
      <w:r>
        <w:rPr>
          <w:rFonts w:hint="eastAsia" w:ascii="宋体" w:hAnsi="宋体" w:cs="宋体"/>
          <w:color w:val="auto"/>
          <w:sz w:val="24"/>
          <w:highlight w:val="none"/>
        </w:rPr>
        <w:t>8.特别说明</w:t>
      </w:r>
      <w:bookmarkEnd w:id="83"/>
      <w:bookmarkEnd w:id="84"/>
    </w:p>
    <w:p w14:paraId="383E453F">
      <w:pPr>
        <w:pStyle w:val="6"/>
        <w:keepNext w:val="0"/>
        <w:keepLines w:val="0"/>
        <w:spacing w:before="0" w:after="0" w:line="360" w:lineRule="exact"/>
        <w:ind w:left="-134" w:firstLine="420" w:firstLineChars="200"/>
        <w:rPr>
          <w:rFonts w:ascii="宋体" w:hAnsi="宋体" w:cs="宋体"/>
          <w:b w:val="0"/>
          <w:color w:val="auto"/>
          <w:sz w:val="21"/>
          <w:szCs w:val="21"/>
          <w:highlight w:val="none"/>
        </w:rPr>
      </w:pPr>
      <w:bookmarkStart w:id="85" w:name="_8.1提供相同品牌产品且通过资格审查、符合性审查的不同投标人参加同一合"/>
      <w:bookmarkEnd w:id="85"/>
      <w:r>
        <w:rPr>
          <w:rFonts w:hint="eastAsia" w:ascii="宋体" w:hAnsi="宋体" w:cs="宋体"/>
          <w:b w:val="0"/>
          <w:color w:val="auto"/>
          <w:sz w:val="21"/>
          <w:szCs w:val="21"/>
          <w:highlight w:val="none"/>
        </w:rPr>
        <w:fldChar w:fldCharType="begin"/>
      </w:r>
      <w:r>
        <w:rPr>
          <w:rFonts w:hint="eastAsia" w:ascii="宋体" w:hAnsi="宋体" w:cs="宋体"/>
          <w:b w:val="0"/>
          <w:color w:val="auto"/>
          <w:sz w:val="21"/>
          <w:szCs w:val="21"/>
          <w:highlight w:val="none"/>
        </w:rPr>
        <w:instrText xml:space="preserve"> HYPERLINK  \l "_8.1" </w:instrText>
      </w:r>
      <w:r>
        <w:rPr>
          <w:rFonts w:hint="eastAsia" w:ascii="宋体" w:hAnsi="宋体" w:cs="宋体"/>
          <w:b w:val="0"/>
          <w:color w:val="auto"/>
          <w:sz w:val="21"/>
          <w:szCs w:val="21"/>
          <w:highlight w:val="none"/>
        </w:rPr>
        <w:fldChar w:fldCharType="separate"/>
      </w:r>
      <w:r>
        <w:rPr>
          <w:rFonts w:hint="eastAsia" w:ascii="宋体" w:hAnsi="宋体" w:cs="宋体"/>
          <w:b w:val="0"/>
          <w:color w:val="auto"/>
          <w:sz w:val="21"/>
          <w:szCs w:val="21"/>
          <w:highlight w:val="none"/>
        </w:rPr>
        <w:t>8.1</w:t>
      </w:r>
      <w:r>
        <w:rPr>
          <w:rFonts w:hint="eastAsia" w:ascii="宋体" w:hAnsi="宋体" w:cs="宋体"/>
          <w:b w:val="0"/>
          <w:color w:val="auto"/>
          <w:sz w:val="21"/>
          <w:szCs w:val="21"/>
          <w:highlight w:val="none"/>
        </w:rPr>
        <w:fldChar w:fldCharType="end"/>
      </w:r>
      <w:r>
        <w:rPr>
          <w:rFonts w:hint="eastAsia" w:ascii="宋体" w:hAnsi="宋体" w:cs="宋体"/>
          <w:b w:val="0"/>
          <w:color w:val="auto"/>
          <w:sz w:val="21"/>
          <w:szCs w:val="21"/>
          <w:highlight w:val="none"/>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Pr>
          <w:rFonts w:hint="eastAsia" w:ascii="宋体" w:hAnsi="宋体" w:cs="宋体"/>
          <w:color w:val="auto"/>
          <w:sz w:val="22"/>
          <w:szCs w:val="22"/>
          <w:highlight w:val="none"/>
        </w:rPr>
        <w:t>其他投标无效。</w:t>
      </w:r>
    </w:p>
    <w:p w14:paraId="719469DD">
      <w:pPr>
        <w:pStyle w:val="6"/>
        <w:keepNext w:val="0"/>
        <w:keepLines w:val="0"/>
        <w:spacing w:before="0" w:after="0" w:line="360" w:lineRule="exact"/>
        <w:ind w:left="-134"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7A708602">
      <w:pPr>
        <w:pStyle w:val="27"/>
        <w:snapToGrid w:val="0"/>
        <w:spacing w:line="360" w:lineRule="exact"/>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非单一产品采购项目，多家投标人提供的核心产品品牌相同的，</w:t>
      </w:r>
      <w:r>
        <w:rPr>
          <w:rFonts w:hint="eastAsia" w:hAnsi="宋体" w:cs="宋体"/>
          <w:color w:val="auto"/>
          <w:sz w:val="22"/>
          <w:szCs w:val="22"/>
          <w:highlight w:val="none"/>
        </w:rPr>
        <w:t>按前两款规定处理</w:t>
      </w:r>
      <w:r>
        <w:rPr>
          <w:rFonts w:hint="eastAsia" w:hAnsi="宋体" w:cs="宋体"/>
          <w:color w:val="auto"/>
          <w:kern w:val="2"/>
          <w:sz w:val="21"/>
          <w:highlight w:val="none"/>
        </w:rPr>
        <w:t>。</w:t>
      </w:r>
    </w:p>
    <w:p w14:paraId="780DAFFF">
      <w:pPr>
        <w:pStyle w:val="6"/>
        <w:keepNext w:val="0"/>
        <w:keepLines w:val="0"/>
        <w:spacing w:before="0" w:after="0" w:line="360" w:lineRule="exact"/>
        <w:ind w:left="-134" w:firstLine="367" w:firstLineChars="175"/>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8.2如果本招标文件要求提供投标人或制造商的资格、信誉、荣誉、业绩与企业认证等材料的，资格、信誉、荣誉、业绩与企业认证等必须为投标人或者制造商所拥有或自身获得 。</w:t>
      </w:r>
    </w:p>
    <w:p w14:paraId="25A18AE5">
      <w:pPr>
        <w:pStyle w:val="6"/>
        <w:keepNext w:val="0"/>
        <w:keepLines w:val="0"/>
        <w:spacing w:before="0" w:after="0" w:line="360" w:lineRule="exact"/>
        <w:ind w:left="-134" w:firstLine="367" w:firstLineChars="175"/>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8.3投标人应仔细阅读招标文件的所有内容，按照招标文件的要求提交投标文件，并对所提供的全部资料的真实性承担法律责任。</w:t>
      </w:r>
    </w:p>
    <w:p w14:paraId="51EF34B0">
      <w:pPr>
        <w:pStyle w:val="6"/>
        <w:keepNext w:val="0"/>
        <w:keepLines w:val="0"/>
        <w:spacing w:before="0" w:after="0" w:line="360" w:lineRule="exact"/>
        <w:ind w:left="-134" w:firstLine="367" w:firstLineChars="175"/>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8.4投标人在投标活动中提供任何虚假材料，将报监管部门查处；中标后发现的，中标人须依照《中华人民共和国消费者权益保护法》规定赔偿采购人，且民事赔偿并不免除违法投标人的行政与刑事责任。</w:t>
      </w:r>
    </w:p>
    <w:p w14:paraId="19292D88">
      <w:pPr>
        <w:pStyle w:val="6"/>
        <w:keepNext w:val="0"/>
        <w:keepLines w:val="0"/>
        <w:spacing w:before="0" w:after="0" w:line="360" w:lineRule="exact"/>
        <w:ind w:left="420" w:leftChars="200" w:firstLine="602"/>
        <w:rPr>
          <w:rFonts w:ascii="宋体" w:hAnsi="宋体" w:cs="宋体"/>
          <w:color w:val="auto"/>
          <w:sz w:val="24"/>
          <w:highlight w:val="none"/>
        </w:rPr>
      </w:pPr>
      <w:r>
        <w:rPr>
          <w:rFonts w:hint="eastAsia" w:ascii="宋体" w:hAnsi="宋体" w:cs="宋体"/>
          <w:color w:val="auto"/>
          <w:sz w:val="24"/>
          <w:highlight w:val="none"/>
        </w:rPr>
        <w:t>9.回避与串通投标</w:t>
      </w:r>
    </w:p>
    <w:p w14:paraId="5ECD9F7E">
      <w:pPr>
        <w:pStyle w:val="6"/>
        <w:keepNext w:val="0"/>
        <w:keepLines w:val="0"/>
        <w:spacing w:before="0" w:after="0" w:line="360" w:lineRule="exact"/>
        <w:ind w:left="-134" w:firstLine="367" w:firstLineChars="175"/>
        <w:rPr>
          <w:rFonts w:ascii="宋体" w:hAnsi="宋体" w:cs="宋体"/>
          <w:b w:val="0"/>
          <w:color w:val="auto"/>
          <w:sz w:val="21"/>
          <w:szCs w:val="21"/>
          <w:highlight w:val="none"/>
        </w:rPr>
      </w:pPr>
      <w:r>
        <w:rPr>
          <w:rFonts w:hint="eastAsia" w:ascii="宋体" w:hAnsi="宋体" w:cs="宋体"/>
          <w:b w:val="0"/>
          <w:color w:val="auto"/>
          <w:sz w:val="21"/>
          <w:szCs w:val="21"/>
          <w:highlight w:val="none"/>
        </w:rPr>
        <w:t>9.1在政府采购活动中，采购人员及相关人员与供应商有下列利害关系之一的，应当回避：</w:t>
      </w:r>
    </w:p>
    <w:p w14:paraId="0F1D5A97">
      <w:pPr>
        <w:pStyle w:val="27"/>
        <w:snapToGrid w:val="0"/>
        <w:spacing w:line="360" w:lineRule="exact"/>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（1）参加采购活动前3年内与供应商存在劳动关系；</w:t>
      </w:r>
    </w:p>
    <w:p w14:paraId="5380F615">
      <w:pPr>
        <w:pStyle w:val="27"/>
        <w:snapToGrid w:val="0"/>
        <w:spacing w:line="360" w:lineRule="exact"/>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（2）参加采购活动前3年内担任供应商的董事、监事；</w:t>
      </w:r>
    </w:p>
    <w:p w14:paraId="01D89514">
      <w:pPr>
        <w:pStyle w:val="27"/>
        <w:snapToGrid w:val="0"/>
        <w:spacing w:line="360" w:lineRule="exact"/>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（3）参加采购活动前3年内是供应商的控股股东或者实际控制人；</w:t>
      </w:r>
    </w:p>
    <w:p w14:paraId="05FD2827">
      <w:pPr>
        <w:pStyle w:val="27"/>
        <w:snapToGrid w:val="0"/>
        <w:spacing w:line="360" w:lineRule="exact"/>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（4）与供应商的法定代表人或者负责人有夫妻、直系血亲、三代以内旁系血亲或者近姻亲关系；</w:t>
      </w:r>
    </w:p>
    <w:p w14:paraId="263382C5">
      <w:pPr>
        <w:pStyle w:val="27"/>
        <w:snapToGrid w:val="0"/>
        <w:spacing w:line="360" w:lineRule="exact"/>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（5）与供应商有其他可能影响政府采购活动公平、公正进行的关系。</w:t>
      </w:r>
    </w:p>
    <w:p w14:paraId="640DB883">
      <w:pPr>
        <w:pStyle w:val="27"/>
        <w:snapToGrid w:val="0"/>
        <w:spacing w:line="360" w:lineRule="exact"/>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EFC2124">
      <w:pPr>
        <w:pStyle w:val="6"/>
        <w:keepNext w:val="0"/>
        <w:keepLines w:val="0"/>
        <w:spacing w:before="0" w:after="0" w:line="360" w:lineRule="exact"/>
        <w:ind w:left="420" w:leftChars="200" w:firstLine="527"/>
        <w:rPr>
          <w:rFonts w:ascii="宋体" w:hAnsi="宋体" w:cs="宋体"/>
          <w:color w:val="auto"/>
          <w:sz w:val="21"/>
          <w:szCs w:val="21"/>
          <w:highlight w:val="none"/>
        </w:rPr>
      </w:pPr>
      <w:r>
        <w:rPr>
          <w:rFonts w:hint="eastAsia" w:ascii="宋体" w:hAnsi="宋体" w:cs="宋体"/>
          <w:color w:val="auto"/>
          <w:sz w:val="21"/>
          <w:szCs w:val="21"/>
          <w:highlight w:val="none"/>
        </w:rPr>
        <w:t>9.2有下列情形之一的视为投标人相互串通投标，投标文件将被视为无效：</w:t>
      </w:r>
    </w:p>
    <w:p w14:paraId="29FD007B">
      <w:pPr>
        <w:pStyle w:val="27"/>
        <w:snapToGrid w:val="0"/>
        <w:spacing w:line="360" w:lineRule="exact"/>
        <w:ind w:left="2" w:leftChars="1" w:firstLine="422" w:firstLineChars="200"/>
        <w:rPr>
          <w:rFonts w:hAnsi="宋体" w:cs="宋体"/>
          <w:b/>
          <w:color w:val="auto"/>
          <w:kern w:val="2"/>
          <w:sz w:val="21"/>
          <w:highlight w:val="none"/>
        </w:rPr>
      </w:pPr>
      <w:r>
        <w:rPr>
          <w:rFonts w:hint="eastAsia" w:hAnsi="宋体" w:cs="宋体"/>
          <w:b/>
          <w:color w:val="auto"/>
          <w:kern w:val="2"/>
          <w:sz w:val="21"/>
          <w:highlight w:val="none"/>
        </w:rPr>
        <w:t xml:space="preserve">（1）不同投标人的投标文件由同一单位或者个人编制； </w:t>
      </w:r>
    </w:p>
    <w:p w14:paraId="32021039">
      <w:pPr>
        <w:pStyle w:val="27"/>
        <w:snapToGrid w:val="0"/>
        <w:spacing w:line="360" w:lineRule="exact"/>
        <w:ind w:left="2" w:leftChars="1" w:firstLine="422" w:firstLineChars="200"/>
        <w:rPr>
          <w:rFonts w:hAnsi="宋体" w:cs="宋体"/>
          <w:b/>
          <w:color w:val="auto"/>
          <w:kern w:val="2"/>
          <w:sz w:val="21"/>
          <w:highlight w:val="none"/>
        </w:rPr>
      </w:pPr>
      <w:r>
        <w:rPr>
          <w:rFonts w:hint="eastAsia" w:hAnsi="宋体" w:cs="宋体"/>
          <w:b/>
          <w:color w:val="auto"/>
          <w:kern w:val="2"/>
          <w:sz w:val="21"/>
          <w:highlight w:val="none"/>
        </w:rPr>
        <w:t>（2）不同投标人委托同一单位或者个人办理投标事宜；</w:t>
      </w:r>
    </w:p>
    <w:p w14:paraId="394B4CD7">
      <w:pPr>
        <w:pStyle w:val="27"/>
        <w:snapToGrid w:val="0"/>
        <w:spacing w:line="360" w:lineRule="exact"/>
        <w:ind w:left="2" w:leftChars="1" w:firstLine="422" w:firstLineChars="200"/>
        <w:rPr>
          <w:rFonts w:hAnsi="宋体" w:cs="宋体"/>
          <w:b/>
          <w:color w:val="auto"/>
          <w:kern w:val="2"/>
          <w:sz w:val="21"/>
          <w:highlight w:val="none"/>
        </w:rPr>
      </w:pPr>
      <w:r>
        <w:rPr>
          <w:rFonts w:hint="eastAsia" w:hAnsi="宋体" w:cs="宋体"/>
          <w:b/>
          <w:color w:val="auto"/>
          <w:kern w:val="2"/>
          <w:sz w:val="21"/>
          <w:highlight w:val="none"/>
        </w:rPr>
        <w:t>（3）不同的投标人的投标文件载明的项目管理员为同一个人；</w:t>
      </w:r>
    </w:p>
    <w:p w14:paraId="45C419C9">
      <w:pPr>
        <w:pStyle w:val="27"/>
        <w:snapToGrid w:val="0"/>
        <w:spacing w:line="360" w:lineRule="exact"/>
        <w:ind w:left="2" w:leftChars="1" w:firstLine="422" w:firstLineChars="200"/>
        <w:rPr>
          <w:rFonts w:hAnsi="宋体" w:cs="宋体"/>
          <w:b/>
          <w:color w:val="auto"/>
          <w:kern w:val="2"/>
          <w:sz w:val="21"/>
          <w:highlight w:val="none"/>
        </w:rPr>
      </w:pPr>
      <w:r>
        <w:rPr>
          <w:rFonts w:hint="eastAsia" w:hAnsi="宋体" w:cs="宋体"/>
          <w:b/>
          <w:color w:val="auto"/>
          <w:kern w:val="2"/>
          <w:sz w:val="21"/>
          <w:highlight w:val="none"/>
        </w:rPr>
        <w:t>（4）不同投标人的投标文件异常一致或者投标报价呈规律性差异；</w:t>
      </w:r>
    </w:p>
    <w:p w14:paraId="4FF8CB0D">
      <w:pPr>
        <w:pStyle w:val="27"/>
        <w:snapToGrid w:val="0"/>
        <w:spacing w:line="360" w:lineRule="exact"/>
        <w:ind w:left="2" w:leftChars="1" w:firstLine="422" w:firstLineChars="200"/>
        <w:rPr>
          <w:rFonts w:hAnsi="宋体" w:cs="宋体"/>
          <w:b/>
          <w:color w:val="auto"/>
          <w:kern w:val="2"/>
          <w:sz w:val="21"/>
          <w:highlight w:val="none"/>
        </w:rPr>
      </w:pPr>
      <w:r>
        <w:rPr>
          <w:rFonts w:hint="eastAsia" w:hAnsi="宋体" w:cs="宋体"/>
          <w:b/>
          <w:color w:val="auto"/>
          <w:kern w:val="2"/>
          <w:sz w:val="21"/>
          <w:highlight w:val="none"/>
        </w:rPr>
        <w:t>（5）不同投标人的投标文件相互混装；</w:t>
      </w:r>
    </w:p>
    <w:p w14:paraId="6C82D035">
      <w:pPr>
        <w:pStyle w:val="27"/>
        <w:snapToGrid w:val="0"/>
        <w:spacing w:line="360" w:lineRule="exact"/>
        <w:ind w:left="2" w:leftChars="1" w:firstLine="422" w:firstLineChars="200"/>
        <w:rPr>
          <w:rFonts w:hAnsi="宋体" w:cs="宋体"/>
          <w:b/>
          <w:color w:val="auto"/>
          <w:kern w:val="2"/>
          <w:sz w:val="21"/>
          <w:highlight w:val="none"/>
        </w:rPr>
      </w:pPr>
      <w:r>
        <w:rPr>
          <w:rFonts w:hint="eastAsia" w:hAnsi="宋体" w:cs="宋体"/>
          <w:b/>
          <w:color w:val="auto"/>
          <w:kern w:val="2"/>
          <w:sz w:val="21"/>
          <w:highlight w:val="none"/>
        </w:rPr>
        <w:t>（6）不同投标人的投标保证金从同一单位或者个人账户转出。</w:t>
      </w:r>
    </w:p>
    <w:p w14:paraId="441A6BCD">
      <w:pPr>
        <w:pStyle w:val="6"/>
        <w:keepNext w:val="0"/>
        <w:keepLines w:val="0"/>
        <w:spacing w:before="0" w:after="0" w:line="360" w:lineRule="exact"/>
        <w:ind w:left="420" w:leftChars="200" w:firstLine="525"/>
        <w:rPr>
          <w:rFonts w:ascii="宋体" w:hAnsi="宋体" w:cs="宋体"/>
          <w:b w:val="0"/>
          <w:color w:val="auto"/>
          <w:sz w:val="21"/>
          <w:szCs w:val="21"/>
          <w:highlight w:val="none"/>
        </w:rPr>
      </w:pPr>
      <w:r>
        <w:rPr>
          <w:rFonts w:hint="eastAsia" w:ascii="宋体" w:hAnsi="宋体" w:cs="宋体"/>
          <w:b w:val="0"/>
          <w:color w:val="auto"/>
          <w:sz w:val="21"/>
          <w:szCs w:val="21"/>
          <w:highlight w:val="none"/>
        </w:rPr>
        <w:t>9.3供应商有下列情形之一的，属于恶意串通行为，将报同级监督管理部门：</w:t>
      </w:r>
    </w:p>
    <w:p w14:paraId="0B20C8A6">
      <w:pPr>
        <w:pStyle w:val="27"/>
        <w:snapToGrid w:val="0"/>
        <w:spacing w:line="360" w:lineRule="exact"/>
        <w:ind w:firstLine="420" w:firstLineChars="200"/>
        <w:rPr>
          <w:rFonts w:hAnsi="宋体" w:cs="宋体"/>
          <w:color w:val="auto"/>
          <w:kern w:val="2"/>
          <w:sz w:val="21"/>
          <w:highlight w:val="none"/>
        </w:rPr>
      </w:pPr>
      <w:r>
        <w:rPr>
          <w:rFonts w:hint="eastAsia" w:hAnsi="宋体" w:cs="宋体"/>
          <w:color w:val="auto"/>
          <w:kern w:val="2"/>
          <w:sz w:val="21"/>
          <w:highlight w:val="none"/>
        </w:rPr>
        <w:t>（1）供应商直接或者间接从采购人或者采购代理机构处获得其他供应商的相关信息并修改其投标文件或者投标文件；</w:t>
      </w:r>
    </w:p>
    <w:p w14:paraId="015876DE">
      <w:pPr>
        <w:pStyle w:val="27"/>
        <w:snapToGrid w:val="0"/>
        <w:spacing w:line="360" w:lineRule="exact"/>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（2）供应商按照采购人或者采购代理机构的授意撤换、修改投标文件或者投标文件；</w:t>
      </w:r>
    </w:p>
    <w:p w14:paraId="38F84C49">
      <w:pPr>
        <w:pStyle w:val="27"/>
        <w:snapToGrid w:val="0"/>
        <w:spacing w:line="360" w:lineRule="exact"/>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（3）供应商之间协商报价、技术方案等投标文件或者投标文件的实质性内容；</w:t>
      </w:r>
    </w:p>
    <w:p w14:paraId="73187D0C">
      <w:pPr>
        <w:pStyle w:val="27"/>
        <w:snapToGrid w:val="0"/>
        <w:spacing w:line="360" w:lineRule="exact"/>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（4）属于同一集团、协会、商会等组织成员的供应商按照该组织要求协同参加政府采购活动；</w:t>
      </w:r>
    </w:p>
    <w:p w14:paraId="17EE8280">
      <w:pPr>
        <w:pStyle w:val="27"/>
        <w:snapToGrid w:val="0"/>
        <w:spacing w:line="360" w:lineRule="exact"/>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（5）供应商之间事先约定一致抬高或者压低投标报价，或者在招标项目中事先约定轮流以高价位或者低价位中标，或者事先约定由某一特定供应商中标，然后再参加投标；</w:t>
      </w:r>
    </w:p>
    <w:p w14:paraId="063C19FB">
      <w:pPr>
        <w:pStyle w:val="27"/>
        <w:snapToGrid w:val="0"/>
        <w:spacing w:line="360" w:lineRule="exact"/>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（6）供应商之间商定部分供应商放弃参加政府采购活动或者放弃中标；</w:t>
      </w:r>
    </w:p>
    <w:p w14:paraId="21888A8F">
      <w:pPr>
        <w:pStyle w:val="27"/>
        <w:snapToGrid w:val="0"/>
        <w:spacing w:line="360" w:lineRule="exact"/>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（7）供应商与采购人或者采购代理机构之间、供应商相互之间，为谋求特定供应商中标或者排斥其他供应商的其他串通行为。</w:t>
      </w:r>
    </w:p>
    <w:p w14:paraId="5F256D44">
      <w:pPr>
        <w:pStyle w:val="27"/>
        <w:snapToGrid w:val="0"/>
        <w:spacing w:line="360" w:lineRule="exact"/>
        <w:ind w:left="2" w:leftChars="1" w:firstLine="422" w:firstLineChars="200"/>
        <w:rPr>
          <w:rFonts w:hAnsi="宋体" w:cs="宋体"/>
          <w:b/>
          <w:color w:val="auto"/>
          <w:kern w:val="2"/>
          <w:sz w:val="21"/>
          <w:highlight w:val="none"/>
        </w:rPr>
      </w:pPr>
    </w:p>
    <w:p w14:paraId="6D42AE8B">
      <w:pPr>
        <w:pStyle w:val="4"/>
        <w:keepNext w:val="0"/>
        <w:keepLines w:val="0"/>
        <w:spacing w:line="360" w:lineRule="exact"/>
        <w:ind w:firstLine="803"/>
        <w:jc w:val="center"/>
        <w:rPr>
          <w:rFonts w:ascii="宋体" w:hAnsi="宋体" w:cs="宋体"/>
          <w:color w:val="auto"/>
          <w:highlight w:val="none"/>
        </w:rPr>
      </w:pPr>
      <w:bookmarkStart w:id="86" w:name="_Toc254970534"/>
      <w:bookmarkStart w:id="87" w:name="_Toc254970675"/>
      <w:r>
        <w:rPr>
          <w:rFonts w:hint="eastAsia" w:ascii="宋体" w:hAnsi="宋体" w:cs="宋体"/>
          <w:color w:val="auto"/>
          <w:highlight w:val="none"/>
        </w:rPr>
        <w:t>二、招标文件</w:t>
      </w:r>
      <w:bookmarkEnd w:id="86"/>
      <w:bookmarkEnd w:id="87"/>
    </w:p>
    <w:p w14:paraId="392E920F">
      <w:pPr>
        <w:pStyle w:val="6"/>
        <w:keepNext w:val="0"/>
        <w:keepLines w:val="0"/>
        <w:spacing w:before="0" w:after="0" w:line="360" w:lineRule="exact"/>
        <w:ind w:left="420" w:leftChars="200" w:firstLine="602"/>
        <w:rPr>
          <w:rFonts w:ascii="宋体" w:hAnsi="宋体" w:cs="宋体"/>
          <w:color w:val="auto"/>
          <w:sz w:val="24"/>
          <w:highlight w:val="none"/>
        </w:rPr>
      </w:pPr>
      <w:r>
        <w:rPr>
          <w:rFonts w:hint="eastAsia" w:ascii="宋体" w:hAnsi="宋体" w:cs="宋体"/>
          <w:color w:val="auto"/>
          <w:sz w:val="24"/>
          <w:highlight w:val="none"/>
        </w:rPr>
        <w:t>10.招标文件的组成</w:t>
      </w:r>
    </w:p>
    <w:p w14:paraId="0A15783A">
      <w:pPr>
        <w:snapToGrid w:val="0"/>
        <w:spacing w:line="360" w:lineRule="exact"/>
        <w:ind w:firstLine="525"/>
        <w:jc w:val="left"/>
        <w:rPr>
          <w:rFonts w:ascii="宋体" w:hAnsi="宋体" w:cs="宋体"/>
          <w:color w:val="auto"/>
          <w:szCs w:val="21"/>
          <w:highlight w:val="none"/>
        </w:rPr>
      </w:pPr>
      <w:r>
        <w:rPr>
          <w:rFonts w:hint="eastAsia" w:ascii="宋体" w:hAnsi="宋体" w:cs="宋体"/>
          <w:color w:val="auto"/>
          <w:szCs w:val="21"/>
          <w:highlight w:val="none"/>
        </w:rPr>
        <w:t>（1）招标公告；</w:t>
      </w:r>
    </w:p>
    <w:p w14:paraId="2C6FD903">
      <w:pPr>
        <w:snapToGrid w:val="0"/>
        <w:spacing w:line="360" w:lineRule="exact"/>
        <w:ind w:firstLine="525"/>
        <w:jc w:val="left"/>
        <w:rPr>
          <w:rFonts w:ascii="宋体" w:hAnsi="宋体" w:cs="宋体"/>
          <w:color w:val="auto"/>
          <w:szCs w:val="21"/>
          <w:highlight w:val="none"/>
        </w:rPr>
      </w:pPr>
      <w:r>
        <w:rPr>
          <w:rFonts w:hint="eastAsia" w:ascii="宋体" w:hAnsi="宋体" w:cs="宋体"/>
          <w:color w:val="auto"/>
          <w:szCs w:val="21"/>
          <w:highlight w:val="none"/>
        </w:rPr>
        <w:t xml:space="preserve">（2）采购需求； </w:t>
      </w:r>
    </w:p>
    <w:p w14:paraId="0D399262">
      <w:pPr>
        <w:snapToGrid w:val="0"/>
        <w:spacing w:line="360" w:lineRule="exact"/>
        <w:ind w:firstLine="525"/>
        <w:jc w:val="left"/>
        <w:rPr>
          <w:rFonts w:ascii="宋体" w:hAnsi="宋体" w:cs="宋体"/>
          <w:color w:val="auto"/>
          <w:szCs w:val="21"/>
          <w:highlight w:val="none"/>
        </w:rPr>
      </w:pPr>
      <w:r>
        <w:rPr>
          <w:rFonts w:hint="eastAsia" w:ascii="宋体" w:hAnsi="宋体" w:cs="宋体"/>
          <w:color w:val="auto"/>
          <w:szCs w:val="21"/>
          <w:highlight w:val="none"/>
        </w:rPr>
        <w:t>（3）投标人须知；</w:t>
      </w:r>
    </w:p>
    <w:p w14:paraId="01EB1ABC">
      <w:pPr>
        <w:snapToGrid w:val="0"/>
        <w:spacing w:line="360" w:lineRule="exact"/>
        <w:ind w:firstLine="525"/>
        <w:jc w:val="left"/>
        <w:rPr>
          <w:rFonts w:ascii="宋体" w:hAnsi="宋体" w:cs="宋体"/>
          <w:color w:val="auto"/>
          <w:szCs w:val="21"/>
          <w:highlight w:val="none"/>
        </w:rPr>
      </w:pPr>
      <w:r>
        <w:rPr>
          <w:rFonts w:hint="eastAsia" w:ascii="宋体" w:hAnsi="宋体" w:cs="宋体"/>
          <w:color w:val="auto"/>
          <w:szCs w:val="21"/>
          <w:highlight w:val="none"/>
        </w:rPr>
        <w:t>（4）评标方法及评标标准；</w:t>
      </w:r>
    </w:p>
    <w:p w14:paraId="19A4F5A7">
      <w:pPr>
        <w:snapToGrid w:val="0"/>
        <w:spacing w:line="360" w:lineRule="exact"/>
        <w:ind w:firstLine="525"/>
        <w:jc w:val="left"/>
        <w:rPr>
          <w:rFonts w:ascii="宋体" w:hAnsi="宋体" w:cs="宋体"/>
          <w:color w:val="auto"/>
          <w:szCs w:val="21"/>
          <w:highlight w:val="none"/>
        </w:rPr>
      </w:pPr>
      <w:r>
        <w:rPr>
          <w:rFonts w:hint="eastAsia" w:ascii="宋体" w:hAnsi="宋体" w:cs="宋体"/>
          <w:color w:val="auto"/>
          <w:szCs w:val="21"/>
          <w:highlight w:val="none"/>
        </w:rPr>
        <w:t>（5）拟签订的合同文本；</w:t>
      </w:r>
    </w:p>
    <w:p w14:paraId="2CEECB16">
      <w:pPr>
        <w:snapToGrid w:val="0"/>
        <w:spacing w:line="360" w:lineRule="exact"/>
        <w:ind w:firstLine="525"/>
        <w:jc w:val="left"/>
        <w:rPr>
          <w:rFonts w:ascii="宋体" w:hAnsi="宋体" w:cs="宋体"/>
          <w:color w:val="auto"/>
          <w:szCs w:val="21"/>
          <w:highlight w:val="none"/>
        </w:rPr>
      </w:pPr>
      <w:r>
        <w:rPr>
          <w:rFonts w:hint="eastAsia" w:ascii="宋体" w:hAnsi="宋体" w:cs="宋体"/>
          <w:color w:val="auto"/>
          <w:szCs w:val="21"/>
          <w:highlight w:val="none"/>
        </w:rPr>
        <w:t>（6）投标文件格式。</w:t>
      </w:r>
    </w:p>
    <w:p w14:paraId="4B016FF4">
      <w:pPr>
        <w:pStyle w:val="6"/>
        <w:keepNext w:val="0"/>
        <w:keepLines w:val="0"/>
        <w:spacing w:before="0" w:after="0" w:line="360" w:lineRule="exact"/>
        <w:ind w:left="420" w:leftChars="200" w:firstLine="602"/>
        <w:rPr>
          <w:rFonts w:ascii="宋体" w:hAnsi="宋体" w:cs="宋体"/>
          <w:color w:val="auto"/>
          <w:sz w:val="24"/>
          <w:highlight w:val="none"/>
        </w:rPr>
      </w:pPr>
      <w:r>
        <w:rPr>
          <w:rFonts w:hint="eastAsia" w:ascii="宋体" w:hAnsi="宋体" w:cs="宋体"/>
          <w:color w:val="auto"/>
          <w:sz w:val="24"/>
          <w:highlight w:val="none"/>
        </w:rPr>
        <w:t>11.招标文件的澄清、修改 、现场考察和答疑会</w:t>
      </w:r>
    </w:p>
    <w:p w14:paraId="046FED37">
      <w:pPr>
        <w:pStyle w:val="6"/>
        <w:keepNext w:val="0"/>
        <w:keepLines w:val="0"/>
        <w:spacing w:before="0" w:after="0" w:line="360" w:lineRule="exact"/>
        <w:ind w:left="-134"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7EAA1F99">
      <w:pPr>
        <w:pStyle w:val="27"/>
        <w:snapToGrid w:val="0"/>
        <w:spacing w:line="360" w:lineRule="exact"/>
        <w:ind w:firstLine="420" w:firstLineChars="200"/>
        <w:rPr>
          <w:rFonts w:hAnsi="宋体" w:cs="宋体"/>
          <w:color w:val="auto"/>
          <w:sz w:val="21"/>
          <w:highlight w:val="none"/>
        </w:rPr>
      </w:pPr>
      <w:r>
        <w:rPr>
          <w:rFonts w:hint="eastAsia" w:hAnsi="宋体" w:cs="宋体"/>
          <w:color w:val="auto"/>
          <w:sz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40BE5283">
      <w:pPr>
        <w:pStyle w:val="27"/>
        <w:snapToGrid w:val="0"/>
        <w:spacing w:line="360" w:lineRule="exact"/>
        <w:ind w:firstLine="420" w:firstLineChars="200"/>
        <w:rPr>
          <w:rFonts w:hAnsi="宋体" w:cs="宋体"/>
          <w:color w:val="auto"/>
          <w:sz w:val="21"/>
          <w:highlight w:val="none"/>
        </w:rPr>
      </w:pPr>
      <w:r>
        <w:rPr>
          <w:rFonts w:hint="eastAsia" w:hAnsi="宋体" w:cs="宋体"/>
          <w:color w:val="auto"/>
          <w:sz w:val="21"/>
          <w:highlight w:val="none"/>
        </w:rPr>
        <w:t>11.2</w:t>
      </w:r>
      <w:bookmarkStart w:id="88" w:name="_Hlk53134511"/>
      <w:r>
        <w:rPr>
          <w:rFonts w:hint="eastAsia" w:hAnsi="宋体" w:cs="宋体"/>
          <w:color w:val="auto"/>
          <w:sz w:val="21"/>
          <w:highlight w:val="none"/>
        </w:rPr>
        <w:t>采购人或者采购代理机构可以在招标文件提供期限截止后，组织已获取招标文件的潜在投标人现场考察或者召开开标前答疑会，具体详见“投标人须知前附表”。</w:t>
      </w:r>
    </w:p>
    <w:bookmarkEnd w:id="88"/>
    <w:p w14:paraId="2623AEC8">
      <w:pPr>
        <w:pStyle w:val="4"/>
        <w:keepNext w:val="0"/>
        <w:keepLines w:val="0"/>
        <w:spacing w:line="360" w:lineRule="exact"/>
        <w:ind w:firstLine="803"/>
        <w:jc w:val="center"/>
        <w:rPr>
          <w:rFonts w:ascii="宋体" w:hAnsi="宋体" w:cs="宋体"/>
          <w:color w:val="auto"/>
          <w:highlight w:val="none"/>
        </w:rPr>
      </w:pPr>
      <w:bookmarkStart w:id="89" w:name="_Toc254970676"/>
      <w:bookmarkStart w:id="90" w:name="_Toc254970535"/>
      <w:r>
        <w:rPr>
          <w:rFonts w:hint="eastAsia" w:ascii="宋体" w:hAnsi="宋体" w:cs="宋体"/>
          <w:color w:val="auto"/>
          <w:highlight w:val="none"/>
        </w:rPr>
        <w:t>三、投标文件的编制</w:t>
      </w:r>
      <w:bookmarkEnd w:id="89"/>
      <w:bookmarkEnd w:id="90"/>
    </w:p>
    <w:p w14:paraId="5CBBACCA">
      <w:pPr>
        <w:pStyle w:val="6"/>
        <w:keepNext w:val="0"/>
        <w:keepLines w:val="0"/>
        <w:spacing w:before="0" w:after="0" w:line="360" w:lineRule="exact"/>
        <w:ind w:left="420" w:leftChars="200" w:firstLine="602"/>
        <w:rPr>
          <w:rFonts w:ascii="宋体" w:hAnsi="宋体" w:cs="宋体"/>
          <w:color w:val="auto"/>
          <w:sz w:val="24"/>
          <w:highlight w:val="none"/>
        </w:rPr>
      </w:pPr>
      <w:bookmarkStart w:id="91" w:name="_Toc254970677"/>
      <w:bookmarkStart w:id="92" w:name="_Toc254970536"/>
      <w:r>
        <w:rPr>
          <w:rFonts w:hint="eastAsia" w:ascii="宋体" w:hAnsi="宋体" w:cs="宋体"/>
          <w:color w:val="auto"/>
          <w:sz w:val="24"/>
          <w:highlight w:val="none"/>
        </w:rPr>
        <w:t>12.投标文件的编制原则</w:t>
      </w:r>
    </w:p>
    <w:p w14:paraId="341E7456">
      <w:pPr>
        <w:snapToGrid w:val="0"/>
        <w:spacing w:line="360" w:lineRule="exact"/>
        <w:ind w:firstLine="525"/>
        <w:jc w:val="left"/>
        <w:rPr>
          <w:rFonts w:ascii="宋体" w:hAnsi="宋体" w:cs="宋体"/>
          <w:color w:val="auto"/>
          <w:szCs w:val="21"/>
          <w:highlight w:val="none"/>
        </w:rPr>
      </w:pPr>
      <w:r>
        <w:rPr>
          <w:rFonts w:hint="eastAsia" w:ascii="宋体" w:hAnsi="宋体" w:cs="宋体"/>
          <w:color w:val="auto"/>
          <w:szCs w:val="21"/>
          <w:highlight w:val="none"/>
        </w:rPr>
        <w:t>投标人必须按照招标文件的要求编制投标文件。投标文件必须对招标文件提出的要求和条件作出明确响应。</w:t>
      </w:r>
    </w:p>
    <w:p w14:paraId="7E717502">
      <w:pPr>
        <w:pStyle w:val="6"/>
        <w:keepNext w:val="0"/>
        <w:keepLines w:val="0"/>
        <w:spacing w:before="0" w:after="0" w:line="360" w:lineRule="exact"/>
        <w:ind w:left="420" w:leftChars="200" w:firstLine="602"/>
        <w:rPr>
          <w:rFonts w:ascii="宋体" w:hAnsi="宋体" w:cs="宋体"/>
          <w:color w:val="auto"/>
          <w:sz w:val="24"/>
          <w:highlight w:val="none"/>
        </w:rPr>
      </w:pPr>
      <w:r>
        <w:rPr>
          <w:rFonts w:hint="eastAsia" w:ascii="宋体" w:hAnsi="宋体" w:cs="宋体"/>
          <w:color w:val="auto"/>
          <w:sz w:val="24"/>
          <w:highlight w:val="none"/>
        </w:rPr>
        <w:t>13.投标文件的组成</w:t>
      </w:r>
      <w:bookmarkEnd w:id="91"/>
      <w:bookmarkEnd w:id="92"/>
    </w:p>
    <w:p w14:paraId="4F644DBF">
      <w:pPr>
        <w:snapToGrid w:val="0"/>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投标文件由报价文件、资格证明文件、商务及技术文件三部分组成。</w:t>
      </w:r>
    </w:p>
    <w:p w14:paraId="34380F8E">
      <w:pPr>
        <w:pStyle w:val="6"/>
        <w:keepNext w:val="0"/>
        <w:keepLines w:val="0"/>
        <w:spacing w:before="0" w:after="0" w:line="360" w:lineRule="exact"/>
        <w:ind w:left="420" w:leftChars="200" w:firstLine="525"/>
        <w:rPr>
          <w:rFonts w:ascii="宋体" w:hAnsi="宋体" w:cs="宋体"/>
          <w:b w:val="0"/>
          <w:color w:val="auto"/>
          <w:sz w:val="21"/>
          <w:szCs w:val="21"/>
          <w:highlight w:val="none"/>
        </w:rPr>
      </w:pPr>
      <w:bookmarkStart w:id="93" w:name="_13.1报价文件:_具体材料见“投标人须知前附表”。"/>
      <w:bookmarkEnd w:id="93"/>
      <w:r>
        <w:rPr>
          <w:rFonts w:hint="eastAsia" w:ascii="宋体" w:hAnsi="宋体" w:cs="宋体"/>
          <w:b w:val="0"/>
          <w:color w:val="auto"/>
          <w:sz w:val="21"/>
          <w:szCs w:val="21"/>
          <w:highlight w:val="none"/>
        </w:rPr>
        <w:t>（1）报价文件：具体材料见“投标人须知前附表”。</w:t>
      </w:r>
    </w:p>
    <w:p w14:paraId="3F029DC3">
      <w:pPr>
        <w:pStyle w:val="6"/>
        <w:keepNext w:val="0"/>
        <w:keepLines w:val="0"/>
        <w:spacing w:before="0" w:after="0" w:line="360" w:lineRule="exact"/>
        <w:ind w:left="420" w:leftChars="200" w:firstLine="525"/>
        <w:rPr>
          <w:rFonts w:ascii="宋体" w:hAnsi="宋体" w:cs="宋体"/>
          <w:b w:val="0"/>
          <w:color w:val="auto"/>
          <w:sz w:val="21"/>
          <w:szCs w:val="21"/>
          <w:highlight w:val="none"/>
        </w:rPr>
      </w:pPr>
      <w:bookmarkStart w:id="94" w:name="_13.2资格证明文件：具体材料见“投标人须知前附表”。"/>
      <w:bookmarkEnd w:id="94"/>
      <w:r>
        <w:rPr>
          <w:rFonts w:hint="eastAsia" w:ascii="宋体" w:hAnsi="宋体" w:cs="宋体"/>
          <w:b w:val="0"/>
          <w:color w:val="auto"/>
          <w:sz w:val="21"/>
          <w:szCs w:val="21"/>
          <w:highlight w:val="none"/>
        </w:rPr>
        <w:t>（2）资格证明文件：具体材料见“投标人须知前附表”。</w:t>
      </w:r>
    </w:p>
    <w:p w14:paraId="6E247951">
      <w:pPr>
        <w:pStyle w:val="6"/>
        <w:keepNext w:val="0"/>
        <w:keepLines w:val="0"/>
        <w:spacing w:before="0" w:after="0" w:line="360" w:lineRule="exact"/>
        <w:ind w:left="420" w:leftChars="200" w:firstLine="525"/>
        <w:rPr>
          <w:rFonts w:ascii="宋体" w:hAnsi="宋体" w:cs="宋体"/>
          <w:b w:val="0"/>
          <w:color w:val="auto"/>
          <w:sz w:val="21"/>
          <w:szCs w:val="21"/>
          <w:highlight w:val="none"/>
        </w:rPr>
      </w:pPr>
      <w:bookmarkStart w:id="95" w:name="_13.3商务文件:_具体材料见“投标人须知前附表”。"/>
      <w:bookmarkEnd w:id="95"/>
      <w:r>
        <w:rPr>
          <w:rFonts w:hint="eastAsia" w:ascii="宋体" w:hAnsi="宋体" w:cs="宋体"/>
          <w:b w:val="0"/>
          <w:color w:val="auto"/>
          <w:sz w:val="21"/>
          <w:szCs w:val="21"/>
          <w:highlight w:val="none"/>
        </w:rPr>
        <w:t>（3）商务及技术文件：具体材料见“投标人须知前附表”。</w:t>
      </w:r>
    </w:p>
    <w:p w14:paraId="79BA7A6D">
      <w:pPr>
        <w:pStyle w:val="6"/>
        <w:keepNext w:val="0"/>
        <w:keepLines w:val="0"/>
        <w:spacing w:before="0" w:after="0" w:line="360" w:lineRule="exact"/>
        <w:ind w:left="420" w:leftChars="200" w:firstLine="602"/>
        <w:rPr>
          <w:rFonts w:ascii="宋体" w:hAnsi="宋体" w:cs="宋体"/>
          <w:color w:val="auto"/>
          <w:sz w:val="24"/>
          <w:highlight w:val="none"/>
        </w:rPr>
      </w:pPr>
      <w:bookmarkStart w:id="96" w:name="_13.5投标文件电子版：具体材料见“投标人须知前附表”。"/>
      <w:bookmarkEnd w:id="96"/>
      <w:bookmarkStart w:id="97" w:name="_13.4技术文件：具体材料见“投标人须知前附表”。"/>
      <w:bookmarkEnd w:id="97"/>
      <w:bookmarkStart w:id="98" w:name="_Toc254970537"/>
      <w:bookmarkStart w:id="99" w:name="_Toc254970678"/>
      <w:r>
        <w:rPr>
          <w:rFonts w:hint="eastAsia" w:ascii="宋体" w:hAnsi="宋体" w:cs="宋体"/>
          <w:color w:val="auto"/>
          <w:sz w:val="24"/>
          <w:highlight w:val="none"/>
        </w:rPr>
        <w:t>14.投标文件的语言及计量</w:t>
      </w:r>
      <w:bookmarkEnd w:id="98"/>
      <w:bookmarkEnd w:id="99"/>
    </w:p>
    <w:p w14:paraId="1DA2C935">
      <w:pPr>
        <w:pStyle w:val="6"/>
        <w:keepNext w:val="0"/>
        <w:keepLines w:val="0"/>
        <w:spacing w:before="0" w:after="0" w:line="360" w:lineRule="exact"/>
        <w:ind w:left="420" w:leftChars="200" w:firstLine="525"/>
        <w:rPr>
          <w:rFonts w:ascii="宋体" w:hAnsi="宋体" w:cs="宋体"/>
          <w:b w:val="0"/>
          <w:color w:val="auto"/>
          <w:sz w:val="21"/>
          <w:szCs w:val="21"/>
          <w:highlight w:val="none"/>
        </w:rPr>
      </w:pPr>
      <w:r>
        <w:rPr>
          <w:rFonts w:hint="eastAsia" w:ascii="宋体" w:hAnsi="宋体" w:cs="宋体"/>
          <w:b w:val="0"/>
          <w:color w:val="auto"/>
          <w:sz w:val="21"/>
          <w:szCs w:val="21"/>
          <w:highlight w:val="none"/>
        </w:rPr>
        <w:t>14.1语言文字</w:t>
      </w:r>
    </w:p>
    <w:p w14:paraId="61A57312">
      <w:pPr>
        <w:pStyle w:val="6"/>
        <w:keepNext w:val="0"/>
        <w:keepLines w:val="0"/>
        <w:spacing w:before="0" w:after="0" w:line="360" w:lineRule="exact"/>
        <w:ind w:left="-134"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CBC3491">
      <w:pPr>
        <w:pStyle w:val="6"/>
        <w:keepNext w:val="0"/>
        <w:keepLines w:val="0"/>
        <w:spacing w:before="0" w:after="0" w:line="360" w:lineRule="exact"/>
        <w:ind w:left="-134"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14.2投标计量单位</w:t>
      </w:r>
    </w:p>
    <w:p w14:paraId="760FDE93">
      <w:pPr>
        <w:pStyle w:val="6"/>
        <w:keepNext w:val="0"/>
        <w:keepLines w:val="0"/>
        <w:spacing w:before="0" w:after="0" w:line="360" w:lineRule="exact"/>
        <w:ind w:left="-134"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招标文件已有明确规定的，使用招标文件规定的计量单位；招标文件没有规定的，应采用中华人民共和国法定计量单位，货币种类为人民币，</w:t>
      </w:r>
      <w:r>
        <w:rPr>
          <w:rFonts w:hint="eastAsia" w:ascii="宋体" w:hAnsi="宋体" w:cs="宋体"/>
          <w:color w:val="auto"/>
          <w:sz w:val="21"/>
          <w:szCs w:val="21"/>
          <w:highlight w:val="none"/>
        </w:rPr>
        <w:t>否则视同未响应。</w:t>
      </w:r>
    </w:p>
    <w:p w14:paraId="17B6F96F">
      <w:pPr>
        <w:pStyle w:val="6"/>
        <w:keepNext w:val="0"/>
        <w:keepLines w:val="0"/>
        <w:spacing w:before="0" w:after="0" w:line="360" w:lineRule="exact"/>
        <w:ind w:left="420" w:leftChars="200" w:firstLine="602"/>
        <w:rPr>
          <w:rFonts w:ascii="宋体" w:hAnsi="宋体" w:cs="宋体"/>
          <w:color w:val="auto"/>
          <w:sz w:val="24"/>
          <w:highlight w:val="none"/>
        </w:rPr>
      </w:pPr>
      <w:r>
        <w:rPr>
          <w:rFonts w:hint="eastAsia" w:ascii="宋体" w:hAnsi="宋体" w:cs="宋体"/>
          <w:color w:val="auto"/>
          <w:sz w:val="24"/>
          <w:highlight w:val="none"/>
        </w:rPr>
        <w:t>15.投标的风险</w:t>
      </w:r>
    </w:p>
    <w:p w14:paraId="2123C8A9">
      <w:pPr>
        <w:pStyle w:val="27"/>
        <w:snapToGrid w:val="0"/>
        <w:spacing w:line="360" w:lineRule="exact"/>
        <w:ind w:firstLine="420" w:firstLineChars="200"/>
        <w:jc w:val="left"/>
        <w:rPr>
          <w:rFonts w:hAnsi="宋体" w:cs="宋体"/>
          <w:color w:val="auto"/>
          <w:sz w:val="21"/>
          <w:highlight w:val="none"/>
        </w:rPr>
      </w:pPr>
      <w:r>
        <w:rPr>
          <w:rFonts w:hint="eastAsia" w:hAnsi="宋体" w:cs="宋体"/>
          <w:color w:val="auto"/>
          <w:sz w:val="21"/>
          <w:highlight w:val="none"/>
        </w:rPr>
        <w:t>投标人没有按照招标文件要求提供全部资料，或者投标人没有对招标文件作出实质性响应是投标人的风险，并可能导致其投标被拒绝。</w:t>
      </w:r>
    </w:p>
    <w:p w14:paraId="07D8D0BD">
      <w:pPr>
        <w:pStyle w:val="6"/>
        <w:keepNext w:val="0"/>
        <w:keepLines w:val="0"/>
        <w:spacing w:before="0" w:after="0" w:line="360" w:lineRule="exact"/>
        <w:ind w:left="420" w:leftChars="200" w:firstLine="602"/>
        <w:rPr>
          <w:rFonts w:ascii="宋体" w:hAnsi="宋体" w:cs="宋体"/>
          <w:color w:val="auto"/>
          <w:sz w:val="24"/>
          <w:highlight w:val="none"/>
        </w:rPr>
      </w:pPr>
      <w:bookmarkStart w:id="100" w:name="_Toc254970538"/>
      <w:bookmarkStart w:id="101" w:name="_Toc254970679"/>
      <w:r>
        <w:rPr>
          <w:rFonts w:hint="eastAsia" w:ascii="宋体" w:hAnsi="宋体" w:cs="宋体"/>
          <w:color w:val="auto"/>
          <w:sz w:val="24"/>
          <w:highlight w:val="none"/>
        </w:rPr>
        <w:t>16.投标报价</w:t>
      </w:r>
      <w:bookmarkEnd w:id="100"/>
      <w:bookmarkEnd w:id="101"/>
    </w:p>
    <w:p w14:paraId="65EB1416">
      <w:pPr>
        <w:pStyle w:val="6"/>
        <w:keepNext w:val="0"/>
        <w:keepLines w:val="0"/>
        <w:spacing w:before="0" w:after="0" w:line="360" w:lineRule="exact"/>
        <w:ind w:left="420" w:leftChars="200" w:firstLine="525"/>
        <w:rPr>
          <w:rFonts w:ascii="宋体" w:hAnsi="宋体" w:cs="宋体"/>
          <w:b w:val="0"/>
          <w:color w:val="auto"/>
          <w:sz w:val="21"/>
          <w:szCs w:val="21"/>
          <w:highlight w:val="none"/>
        </w:rPr>
      </w:pPr>
      <w:r>
        <w:rPr>
          <w:rFonts w:hint="eastAsia" w:ascii="宋体" w:hAnsi="宋体" w:cs="宋体"/>
          <w:b w:val="0"/>
          <w:color w:val="auto"/>
          <w:sz w:val="21"/>
          <w:szCs w:val="21"/>
          <w:highlight w:val="none"/>
        </w:rPr>
        <w:t>16.1投标报价应按“第六章　投标文件格式”中“开标一览表”格式填写。</w:t>
      </w:r>
    </w:p>
    <w:p w14:paraId="626A2AF4">
      <w:pPr>
        <w:pStyle w:val="6"/>
        <w:keepNext w:val="0"/>
        <w:keepLines w:val="0"/>
        <w:spacing w:before="0" w:after="0" w:line="360" w:lineRule="exact"/>
        <w:ind w:left="420" w:leftChars="200" w:firstLine="525"/>
        <w:rPr>
          <w:rFonts w:ascii="宋体" w:hAnsi="宋体" w:cs="宋体"/>
          <w:b w:val="0"/>
          <w:color w:val="auto"/>
          <w:sz w:val="21"/>
          <w:szCs w:val="21"/>
          <w:highlight w:val="none"/>
        </w:rPr>
      </w:pPr>
      <w:bookmarkStart w:id="102" w:name="_16.2投标报价具体定义见投标人须知前附表。"/>
      <w:bookmarkEnd w:id="102"/>
      <w:r>
        <w:rPr>
          <w:rFonts w:hint="eastAsia" w:ascii="宋体" w:hAnsi="宋体" w:cs="宋体"/>
          <w:b w:val="0"/>
          <w:color w:val="auto"/>
          <w:sz w:val="21"/>
          <w:szCs w:val="21"/>
          <w:highlight w:val="none"/>
        </w:rPr>
        <w:t>16.2投标报价具体包括内容详见“投标人须知前附表”。</w:t>
      </w:r>
    </w:p>
    <w:p w14:paraId="0922A9DA">
      <w:pPr>
        <w:pStyle w:val="6"/>
        <w:keepNext w:val="0"/>
        <w:keepLines w:val="0"/>
        <w:spacing w:before="0" w:after="0" w:line="360" w:lineRule="exact"/>
        <w:ind w:left="-134"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16.3投标人必须就所投每个分标的全部内容分别作完整唯一总价报价，不得存在漏项报价；投标人必须就所投分标的单项内容作唯一报价。</w:t>
      </w:r>
    </w:p>
    <w:p w14:paraId="2A263B8E">
      <w:pPr>
        <w:pStyle w:val="6"/>
        <w:keepNext w:val="0"/>
        <w:keepLines w:val="0"/>
        <w:spacing w:before="0" w:after="0" w:line="360" w:lineRule="exact"/>
        <w:ind w:left="420" w:leftChars="200" w:firstLine="602"/>
        <w:rPr>
          <w:rFonts w:ascii="宋体" w:hAnsi="宋体" w:cs="宋体"/>
          <w:color w:val="auto"/>
          <w:sz w:val="24"/>
          <w:highlight w:val="none"/>
        </w:rPr>
      </w:pPr>
      <w:r>
        <w:rPr>
          <w:rFonts w:hint="eastAsia" w:ascii="宋体" w:hAnsi="宋体" w:cs="宋体"/>
          <w:color w:val="auto"/>
          <w:sz w:val="24"/>
          <w:highlight w:val="none"/>
        </w:rPr>
        <w:t>17.投标有效期</w:t>
      </w:r>
    </w:p>
    <w:p w14:paraId="3840DEC0">
      <w:pPr>
        <w:pStyle w:val="6"/>
        <w:keepNext w:val="0"/>
        <w:keepLines w:val="0"/>
        <w:spacing w:before="0" w:after="0" w:line="360" w:lineRule="exact"/>
        <w:ind w:left="-134" w:firstLine="420" w:firstLineChars="200"/>
        <w:rPr>
          <w:rFonts w:ascii="宋体" w:hAnsi="宋体" w:cs="宋体"/>
          <w:b w:val="0"/>
          <w:color w:val="auto"/>
          <w:sz w:val="21"/>
          <w:szCs w:val="21"/>
          <w:highlight w:val="none"/>
        </w:rPr>
      </w:pPr>
      <w:bookmarkStart w:id="103" w:name="_17.1投标有效期应按“投标人须知中的前附表”规定的期限。"/>
      <w:bookmarkEnd w:id="103"/>
      <w:r>
        <w:rPr>
          <w:rFonts w:hint="eastAsia" w:ascii="宋体" w:hAnsi="宋体" w:cs="宋体"/>
          <w:b w:val="0"/>
          <w:color w:val="auto"/>
          <w:sz w:val="21"/>
          <w:szCs w:val="21"/>
          <w:highlight w:val="none"/>
        </w:rPr>
        <w:t>17.1投标有效期是指为保证采购人有足够的时间在开标后完成评标、定标、合同签订等工作而要求投标人提交的投标文件在一定时间内保持有效的期限。</w:t>
      </w:r>
    </w:p>
    <w:p w14:paraId="09292151">
      <w:pPr>
        <w:pStyle w:val="6"/>
        <w:keepNext w:val="0"/>
        <w:keepLines w:val="0"/>
        <w:spacing w:before="0" w:after="0" w:line="360" w:lineRule="exact"/>
        <w:ind w:left="420" w:leftChars="200" w:firstLine="525"/>
        <w:rPr>
          <w:rFonts w:ascii="宋体" w:hAnsi="宋体" w:cs="宋体"/>
          <w:b w:val="0"/>
          <w:color w:val="auto"/>
          <w:sz w:val="21"/>
          <w:szCs w:val="21"/>
          <w:highlight w:val="none"/>
        </w:rPr>
      </w:pPr>
      <w:r>
        <w:rPr>
          <w:rFonts w:hint="eastAsia" w:ascii="宋体" w:hAnsi="宋体" w:cs="宋体"/>
          <w:b w:val="0"/>
          <w:color w:val="auto"/>
          <w:sz w:val="21"/>
          <w:szCs w:val="21"/>
          <w:highlight w:val="none"/>
        </w:rPr>
        <w:t>17.2</w:t>
      </w:r>
      <w:bookmarkStart w:id="104" w:name="_Toc254970681"/>
      <w:bookmarkStart w:id="105" w:name="_Toc254970540"/>
      <w:r>
        <w:rPr>
          <w:rFonts w:hint="eastAsia" w:ascii="宋体" w:hAnsi="宋体" w:cs="宋体"/>
          <w:b w:val="0"/>
          <w:color w:val="auto"/>
          <w:sz w:val="21"/>
          <w:szCs w:val="21"/>
          <w:highlight w:val="none"/>
        </w:rPr>
        <w:t xml:space="preserve"> 投标有效期应按规定的期限作出承诺，具体详见“投标人须知前附表”。</w:t>
      </w:r>
    </w:p>
    <w:p w14:paraId="0EDD28A2">
      <w:pPr>
        <w:pStyle w:val="6"/>
        <w:keepNext w:val="0"/>
        <w:keepLines w:val="0"/>
        <w:spacing w:before="0" w:after="0" w:line="360" w:lineRule="exact"/>
        <w:ind w:left="420" w:leftChars="200" w:firstLine="525"/>
        <w:rPr>
          <w:rFonts w:ascii="宋体" w:hAnsi="宋体" w:cs="宋体"/>
          <w:b w:val="0"/>
          <w:color w:val="auto"/>
          <w:sz w:val="21"/>
          <w:szCs w:val="21"/>
          <w:highlight w:val="none"/>
        </w:rPr>
      </w:pPr>
      <w:r>
        <w:rPr>
          <w:rFonts w:hint="eastAsia" w:ascii="宋体" w:hAnsi="宋体" w:cs="宋体"/>
          <w:b w:val="0"/>
          <w:color w:val="auto"/>
          <w:sz w:val="21"/>
          <w:szCs w:val="21"/>
          <w:highlight w:val="none"/>
        </w:rPr>
        <w:t>17.3投标人的投标文件在投标有效期内均保持有效。</w:t>
      </w:r>
      <w:bookmarkEnd w:id="104"/>
      <w:bookmarkEnd w:id="105"/>
    </w:p>
    <w:p w14:paraId="713B1FD5">
      <w:pPr>
        <w:pStyle w:val="6"/>
        <w:keepNext w:val="0"/>
        <w:keepLines w:val="0"/>
        <w:spacing w:before="0" w:after="0" w:line="360" w:lineRule="exact"/>
        <w:ind w:left="420" w:leftChars="200" w:firstLine="602"/>
        <w:rPr>
          <w:rFonts w:ascii="宋体" w:hAnsi="宋体" w:cs="宋体"/>
          <w:color w:val="auto"/>
          <w:sz w:val="24"/>
          <w:highlight w:val="none"/>
        </w:rPr>
      </w:pPr>
      <w:bookmarkStart w:id="106" w:name="_18.投标保证金"/>
      <w:bookmarkEnd w:id="106"/>
      <w:bookmarkStart w:id="107" w:name="_Toc254970541"/>
      <w:bookmarkStart w:id="108" w:name="_Toc254970682"/>
      <w:r>
        <w:rPr>
          <w:rFonts w:hint="eastAsia" w:ascii="宋体" w:hAnsi="宋体" w:cs="宋体"/>
          <w:color w:val="auto"/>
          <w:sz w:val="24"/>
          <w:highlight w:val="none"/>
        </w:rPr>
        <w:t>18.投标保证金</w:t>
      </w:r>
      <w:bookmarkEnd w:id="107"/>
      <w:bookmarkEnd w:id="108"/>
    </w:p>
    <w:p w14:paraId="3082E740">
      <w:pPr>
        <w:pStyle w:val="6"/>
        <w:keepNext w:val="0"/>
        <w:keepLines w:val="0"/>
        <w:spacing w:before="0" w:after="0" w:line="360" w:lineRule="exact"/>
        <w:ind w:left="420" w:leftChars="200" w:firstLine="525"/>
        <w:rPr>
          <w:rFonts w:ascii="宋体" w:hAnsi="宋体" w:cs="宋体"/>
          <w:b w:val="0"/>
          <w:color w:val="auto"/>
          <w:sz w:val="21"/>
          <w:szCs w:val="21"/>
          <w:highlight w:val="none"/>
        </w:rPr>
      </w:pPr>
      <w:r>
        <w:rPr>
          <w:rFonts w:hint="eastAsia" w:ascii="宋体" w:hAnsi="宋体" w:cs="宋体"/>
          <w:b w:val="0"/>
          <w:color w:val="auto"/>
          <w:sz w:val="21"/>
          <w:szCs w:val="21"/>
          <w:highlight w:val="none"/>
        </w:rPr>
        <w:t>18.1投标人须按“投标人须知前附表” 的规定提交投标保证金。</w:t>
      </w:r>
    </w:p>
    <w:p w14:paraId="73E23E96">
      <w:pPr>
        <w:pStyle w:val="6"/>
        <w:keepNext w:val="0"/>
        <w:keepLines w:val="0"/>
        <w:spacing w:before="0" w:after="0" w:line="360" w:lineRule="exact"/>
        <w:ind w:left="-134"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18.2投标保证金的退还</w:t>
      </w:r>
    </w:p>
    <w:p w14:paraId="1E8F2607">
      <w:pPr>
        <w:pStyle w:val="6"/>
        <w:keepNext w:val="0"/>
        <w:keepLines w:val="0"/>
        <w:spacing w:before="0" w:after="0" w:line="360" w:lineRule="exact"/>
        <w:ind w:left="-134"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未中标人的投标保证金自中标通知书发出之日起4个工作日内退还；中标人的投标保证金自政府采购合同签订之日起4个工作日内退还。 </w:t>
      </w:r>
    </w:p>
    <w:p w14:paraId="3AB2B176">
      <w:pPr>
        <w:pStyle w:val="6"/>
        <w:keepNext w:val="0"/>
        <w:keepLines w:val="0"/>
        <w:spacing w:before="0" w:after="0" w:line="360" w:lineRule="exact"/>
        <w:ind w:left="420" w:leftChars="200" w:firstLine="525"/>
        <w:rPr>
          <w:rFonts w:ascii="宋体" w:hAnsi="宋体" w:cs="宋体"/>
          <w:b w:val="0"/>
          <w:color w:val="auto"/>
          <w:sz w:val="21"/>
          <w:szCs w:val="21"/>
          <w:highlight w:val="none"/>
        </w:rPr>
      </w:pPr>
      <w:r>
        <w:rPr>
          <w:rFonts w:hint="eastAsia" w:ascii="宋体" w:hAnsi="宋体" w:cs="宋体"/>
          <w:b w:val="0"/>
          <w:color w:val="auto"/>
          <w:sz w:val="21"/>
          <w:szCs w:val="21"/>
          <w:highlight w:val="none"/>
        </w:rPr>
        <w:t>18.3除逾期退还投标保证金和终止招标的情形以外，投标保证金不计息。</w:t>
      </w:r>
    </w:p>
    <w:p w14:paraId="5114A219">
      <w:pPr>
        <w:pStyle w:val="6"/>
        <w:keepNext w:val="0"/>
        <w:keepLines w:val="0"/>
        <w:spacing w:before="0" w:after="0" w:line="360" w:lineRule="exact"/>
        <w:ind w:left="420" w:leftChars="200" w:firstLine="525"/>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18.4投标人有下列情形之一的，投标保证金将不予退还： </w:t>
      </w:r>
    </w:p>
    <w:p w14:paraId="1BEBB2E4">
      <w:pPr>
        <w:snapToGrid w:val="0"/>
        <w:spacing w:line="360" w:lineRule="exact"/>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（1）投标人在投标有效期内撤销投标文件的；</w:t>
      </w:r>
    </w:p>
    <w:p w14:paraId="459F3195">
      <w:pPr>
        <w:snapToGrid w:val="0"/>
        <w:spacing w:line="360" w:lineRule="exact"/>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（2）未按规定提交履约保证金的；</w:t>
      </w:r>
    </w:p>
    <w:p w14:paraId="42891C74">
      <w:pPr>
        <w:snapToGrid w:val="0"/>
        <w:spacing w:line="360" w:lineRule="exact"/>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（3）投标人在投标过程中弄虚作假，提供虚假材料的；</w:t>
      </w:r>
    </w:p>
    <w:p w14:paraId="3E7E53AB">
      <w:pPr>
        <w:snapToGrid w:val="0"/>
        <w:spacing w:line="36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（4）中标人无正当理由不与采购人签订合同的；</w:t>
      </w:r>
    </w:p>
    <w:p w14:paraId="6154D9DD">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（5）投标人出现本章第9.2、9.3情形的；</w:t>
      </w:r>
    </w:p>
    <w:p w14:paraId="54239229">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（6）法律法规规定的其他情形。</w:t>
      </w:r>
    </w:p>
    <w:p w14:paraId="686EEBAB">
      <w:pPr>
        <w:pStyle w:val="6"/>
        <w:keepNext w:val="0"/>
        <w:keepLines w:val="0"/>
        <w:spacing w:before="0" w:after="0" w:line="360" w:lineRule="exact"/>
        <w:ind w:left="420" w:leftChars="200" w:firstLine="602"/>
        <w:rPr>
          <w:rFonts w:ascii="宋体" w:hAnsi="宋体" w:cs="宋体"/>
          <w:color w:val="auto"/>
          <w:sz w:val="24"/>
          <w:highlight w:val="none"/>
        </w:rPr>
      </w:pPr>
      <w:bookmarkStart w:id="109" w:name="_Toc254970542"/>
      <w:bookmarkStart w:id="110" w:name="_Toc254970683"/>
      <w:r>
        <w:rPr>
          <w:rFonts w:hint="eastAsia" w:ascii="宋体" w:hAnsi="宋体" w:cs="宋体"/>
          <w:color w:val="auto"/>
          <w:sz w:val="24"/>
          <w:highlight w:val="none"/>
        </w:rPr>
        <w:t>19.投标文件的</w:t>
      </w:r>
      <w:bookmarkEnd w:id="109"/>
      <w:bookmarkEnd w:id="110"/>
      <w:r>
        <w:rPr>
          <w:rFonts w:hint="eastAsia" w:ascii="宋体" w:hAnsi="宋体" w:cs="宋体"/>
          <w:color w:val="auto"/>
          <w:sz w:val="24"/>
          <w:highlight w:val="none"/>
        </w:rPr>
        <w:t>编制</w:t>
      </w:r>
    </w:p>
    <w:p w14:paraId="68EDC694">
      <w:pPr>
        <w:pStyle w:val="6"/>
        <w:keepNext w:val="0"/>
        <w:keepLines w:val="0"/>
        <w:spacing w:before="0" w:after="0" w:line="360" w:lineRule="exact"/>
        <w:ind w:left="-134"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19.1投标人应先安装“</w:t>
      </w:r>
      <w:r>
        <w:rPr>
          <w:rFonts w:hint="eastAsia" w:ascii="宋体" w:hAnsi="宋体" w:cs="宋体"/>
          <w:b w:val="0"/>
          <w:color w:val="auto"/>
          <w:sz w:val="21"/>
          <w:szCs w:val="21"/>
          <w:highlight w:val="none"/>
          <w:lang w:eastAsia="zh-CN"/>
        </w:rPr>
        <w:t>采购云电子投标客户端</w:t>
      </w:r>
      <w:r>
        <w:rPr>
          <w:rFonts w:hint="eastAsia" w:ascii="宋体" w:hAnsi="宋体" w:cs="宋体"/>
          <w:b w:val="0"/>
          <w:color w:val="auto"/>
          <w:sz w:val="21"/>
          <w:szCs w:val="21"/>
          <w:highlight w:val="none"/>
        </w:rPr>
        <w:t>”（请自行前往</w:t>
      </w:r>
      <w:r>
        <w:rPr>
          <w:rFonts w:hint="eastAsia" w:ascii="宋体" w:hAnsi="宋体" w:cs="宋体"/>
          <w:b w:val="0"/>
          <w:color w:val="auto"/>
          <w:sz w:val="21"/>
          <w:szCs w:val="21"/>
          <w:highlight w:val="none"/>
          <w:lang w:eastAsia="zh-CN"/>
        </w:rPr>
        <w:t>广西政府采购云平台</w:t>
      </w:r>
      <w:r>
        <w:rPr>
          <w:rFonts w:hint="eastAsia" w:ascii="宋体" w:hAnsi="宋体" w:cs="宋体"/>
          <w:b w:val="0"/>
          <w:color w:val="auto"/>
          <w:sz w:val="21"/>
          <w:szCs w:val="21"/>
          <w:highlight w:val="none"/>
        </w:rPr>
        <w:t>进行下载），并按照本项目招标文件规定的格式和顺序和</w:t>
      </w:r>
      <w:r>
        <w:rPr>
          <w:rFonts w:hint="eastAsia" w:ascii="宋体" w:hAnsi="宋体" w:cs="宋体"/>
          <w:b w:val="0"/>
          <w:color w:val="auto"/>
          <w:sz w:val="21"/>
          <w:szCs w:val="21"/>
          <w:highlight w:val="none"/>
          <w:lang w:eastAsia="zh-CN"/>
        </w:rPr>
        <w:t>广西政府采购云平台</w:t>
      </w:r>
      <w:r>
        <w:rPr>
          <w:rFonts w:hint="eastAsia" w:ascii="宋体" w:hAnsi="宋体" w:cs="宋体"/>
          <w:b w:val="0"/>
          <w:color w:val="auto"/>
          <w:sz w:val="21"/>
          <w:szCs w:val="21"/>
          <w:highlight w:val="none"/>
        </w:rPr>
        <w:t>的要求编制并加密。投标文件内容不完整、编排混乱导致投标文件被误读、漏读或者查找不到相关内容的，由此引发的后果由投标人承担。</w:t>
      </w:r>
    </w:p>
    <w:p w14:paraId="4E730791">
      <w:pPr>
        <w:pStyle w:val="6"/>
        <w:keepNext w:val="0"/>
        <w:keepLines w:val="0"/>
        <w:spacing w:before="0" w:after="0" w:line="360" w:lineRule="exact"/>
        <w:ind w:left="-134" w:firstLine="315" w:firstLineChars="150"/>
        <w:rPr>
          <w:rFonts w:ascii="宋体" w:hAnsi="宋体" w:cs="宋体"/>
          <w:b w:val="0"/>
          <w:color w:val="auto"/>
          <w:sz w:val="21"/>
          <w:szCs w:val="21"/>
          <w:highlight w:val="none"/>
        </w:rPr>
      </w:pPr>
      <w:bookmarkStart w:id="111" w:name="_19.2投标文件应按报价文件、资格证明文件、商务文件、技术文件分别编制"/>
      <w:bookmarkEnd w:id="111"/>
      <w:r>
        <w:rPr>
          <w:rFonts w:hint="eastAsia" w:ascii="宋体" w:hAnsi="宋体" w:cs="宋体"/>
          <w:b w:val="0"/>
          <w:color w:val="auto"/>
          <w:sz w:val="21"/>
          <w:szCs w:val="21"/>
          <w:highlight w:val="none"/>
        </w:rPr>
        <w:t>19.2为确保网上操作合法、有效和安全，投标人应当在投标截止时间前完成在</w:t>
      </w:r>
      <w:r>
        <w:rPr>
          <w:rFonts w:hint="eastAsia" w:ascii="宋体" w:hAnsi="宋体" w:cs="宋体"/>
          <w:b w:val="0"/>
          <w:color w:val="auto"/>
          <w:sz w:val="21"/>
          <w:szCs w:val="21"/>
          <w:highlight w:val="none"/>
          <w:lang w:eastAsia="zh-CN"/>
        </w:rPr>
        <w:t>广西政府采购云平台</w:t>
      </w:r>
      <w:r>
        <w:rPr>
          <w:rFonts w:hint="eastAsia" w:ascii="宋体" w:hAnsi="宋体" w:cs="宋体"/>
          <w:b w:val="0"/>
          <w:color w:val="auto"/>
          <w:sz w:val="21"/>
          <w:szCs w:val="21"/>
          <w:highlight w:val="none"/>
        </w:rPr>
        <w:t>的身份认证，确保在电子投标过程中能够对相关数据电文进行加密和使用电子签名。</w:t>
      </w:r>
    </w:p>
    <w:p w14:paraId="52715A01">
      <w:pPr>
        <w:pStyle w:val="6"/>
        <w:keepNext w:val="0"/>
        <w:keepLines w:val="0"/>
        <w:spacing w:before="0" w:after="0" w:line="360" w:lineRule="exact"/>
        <w:ind w:left="-134" w:firstLine="525"/>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19.3投标文件须由投标人在规定位置签字（或者电子签名）、盖章（具体以投标人须知前附表或投标文件格式规定为准），</w:t>
      </w:r>
      <w:r>
        <w:rPr>
          <w:rFonts w:hint="eastAsia" w:ascii="宋体" w:hAnsi="宋体" w:cs="宋体"/>
          <w:bCs/>
          <w:color w:val="auto"/>
          <w:sz w:val="21"/>
          <w:szCs w:val="21"/>
          <w:highlight w:val="none"/>
        </w:rPr>
        <w:t>否则按无效投标处理</w:t>
      </w:r>
      <w:r>
        <w:rPr>
          <w:rFonts w:hint="eastAsia" w:ascii="宋体" w:hAnsi="宋体" w:cs="宋体"/>
          <w:b w:val="0"/>
          <w:color w:val="auto"/>
          <w:sz w:val="21"/>
          <w:szCs w:val="21"/>
          <w:highlight w:val="none"/>
        </w:rPr>
        <w:t>。</w:t>
      </w:r>
    </w:p>
    <w:p w14:paraId="7BA5C217">
      <w:pPr>
        <w:pStyle w:val="6"/>
        <w:keepNext w:val="0"/>
        <w:keepLines w:val="0"/>
        <w:spacing w:before="0" w:after="0" w:line="360" w:lineRule="exact"/>
        <w:ind w:left="-134"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19.4投标文件中标注的投标人名称应与主体资格证明（如营业执照或者事业单位法人证书或者执业许可证或者登记证书等）及公章一致，并与“</w:t>
      </w:r>
      <w:r>
        <w:rPr>
          <w:rFonts w:hint="eastAsia" w:ascii="宋体" w:hAnsi="宋体" w:cs="宋体"/>
          <w:b w:val="0"/>
          <w:color w:val="auto"/>
          <w:sz w:val="21"/>
          <w:szCs w:val="21"/>
          <w:highlight w:val="none"/>
          <w:lang w:eastAsia="zh-CN"/>
        </w:rPr>
        <w:t>广西政府采购云平台</w:t>
      </w:r>
      <w:r>
        <w:rPr>
          <w:rFonts w:hint="eastAsia" w:ascii="宋体" w:hAnsi="宋体" w:cs="宋体"/>
          <w:b w:val="0"/>
          <w:color w:val="auto"/>
          <w:sz w:val="21"/>
          <w:szCs w:val="21"/>
          <w:highlight w:val="none"/>
        </w:rPr>
        <w:t>”中获取招标文件的投标人名称一致，投标人为自然人的，标注的投标人名称应与身份证姓名及签名一致，</w:t>
      </w:r>
      <w:r>
        <w:rPr>
          <w:rFonts w:hint="eastAsia" w:ascii="宋体" w:hAnsi="宋体" w:cs="宋体"/>
          <w:color w:val="auto"/>
          <w:sz w:val="21"/>
          <w:szCs w:val="21"/>
          <w:highlight w:val="none"/>
        </w:rPr>
        <w:t>否则按无效投标处理</w:t>
      </w:r>
      <w:r>
        <w:rPr>
          <w:rFonts w:hint="eastAsia" w:ascii="宋体" w:hAnsi="宋体" w:cs="宋体"/>
          <w:b w:val="0"/>
          <w:color w:val="auto"/>
          <w:sz w:val="21"/>
          <w:szCs w:val="21"/>
          <w:highlight w:val="none"/>
        </w:rPr>
        <w:t>。</w:t>
      </w:r>
    </w:p>
    <w:p w14:paraId="515F5784">
      <w:pPr>
        <w:pStyle w:val="6"/>
        <w:keepNext w:val="0"/>
        <w:keepLines w:val="0"/>
        <w:spacing w:before="0" w:after="0" w:line="360" w:lineRule="exact"/>
        <w:ind w:left="-134"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19.5投标文件应尽量避免涂改、行间插字或者删除。如果出现上述情况，改动之处应由投标人的法定代表人或者其委托代理人签字（或者电子签名）或者加盖公章。投标文件因字迹潦草或者表达不清所引起的后果由投标人承担。</w:t>
      </w:r>
    </w:p>
    <w:p w14:paraId="1E5F4135">
      <w:pPr>
        <w:spacing w:line="3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20.电子备份投标文件</w:t>
      </w:r>
    </w:p>
    <w:p w14:paraId="5B00DCF2">
      <w:pPr>
        <w:spacing w:line="360" w:lineRule="exact"/>
        <w:ind w:firstLine="420" w:firstLineChars="200"/>
        <w:rPr>
          <w:rFonts w:ascii="宋体" w:hAnsi="宋体" w:cs="宋体"/>
          <w:color w:val="auto"/>
          <w:sz w:val="24"/>
          <w:highlight w:val="none"/>
        </w:rPr>
      </w:pPr>
      <w:r>
        <w:rPr>
          <w:rFonts w:hint="eastAsia" w:ascii="宋体" w:hAnsi="宋体" w:cs="宋体"/>
          <w:color w:val="auto"/>
          <w:highlight w:val="none"/>
        </w:rPr>
        <w:t>电子备份投标文件是指通过“</w:t>
      </w:r>
      <w:r>
        <w:rPr>
          <w:rFonts w:hint="eastAsia" w:ascii="宋体" w:hAnsi="宋体" w:cs="宋体"/>
          <w:color w:val="auto"/>
          <w:highlight w:val="none"/>
          <w:lang w:eastAsia="zh-CN"/>
        </w:rPr>
        <w:t>采购云电子投标客户端</w:t>
      </w:r>
      <w:r>
        <w:rPr>
          <w:rFonts w:hint="eastAsia" w:ascii="宋体" w:hAnsi="宋体" w:cs="宋体"/>
          <w:color w:val="auto"/>
          <w:highlight w:val="none"/>
        </w:rPr>
        <w:t>”在线编制生成且后缀名为“bfbs”的文件，提交要求</w:t>
      </w:r>
      <w:r>
        <w:rPr>
          <w:rFonts w:hint="eastAsia" w:ascii="宋体" w:hAnsi="宋体" w:cs="宋体"/>
          <w:bCs/>
          <w:color w:val="auto"/>
          <w:szCs w:val="21"/>
          <w:highlight w:val="none"/>
        </w:rPr>
        <w:t>详见在“投标人须知前附表”。</w:t>
      </w:r>
    </w:p>
    <w:p w14:paraId="010110C6">
      <w:pPr>
        <w:pStyle w:val="6"/>
        <w:keepNext w:val="0"/>
        <w:keepLines w:val="0"/>
        <w:spacing w:before="0" w:after="0" w:line="360" w:lineRule="exact"/>
        <w:ind w:left="420" w:leftChars="200" w:firstLine="602"/>
        <w:rPr>
          <w:rFonts w:ascii="宋体" w:hAnsi="宋体" w:cs="宋体"/>
          <w:color w:val="auto"/>
          <w:sz w:val="24"/>
          <w:highlight w:val="none"/>
        </w:rPr>
      </w:pPr>
      <w:r>
        <w:rPr>
          <w:rFonts w:hint="eastAsia" w:ascii="宋体" w:hAnsi="宋体" w:cs="宋体"/>
          <w:color w:val="auto"/>
          <w:sz w:val="24"/>
          <w:highlight w:val="none"/>
        </w:rPr>
        <w:t>21.投标文件的提交</w:t>
      </w:r>
    </w:p>
    <w:p w14:paraId="6271756F">
      <w:pPr>
        <w:spacing w:line="360" w:lineRule="exact"/>
        <w:ind w:firstLine="420" w:firstLineChars="200"/>
        <w:rPr>
          <w:rFonts w:ascii="宋体" w:hAnsi="宋体" w:cs="宋体"/>
          <w:b/>
          <w:color w:val="auto"/>
          <w:highlight w:val="none"/>
        </w:rPr>
      </w:pPr>
      <w:bookmarkStart w:id="112" w:name="_21.1投标人必须在“投标人须知中的前附表”规定的投标文件接收时间和投"/>
      <w:bookmarkEnd w:id="112"/>
      <w:r>
        <w:rPr>
          <w:rFonts w:hint="eastAsia" w:ascii="宋体" w:hAnsi="宋体" w:cs="宋体"/>
          <w:bCs/>
          <w:color w:val="auto"/>
          <w:szCs w:val="21"/>
          <w:highlight w:val="none"/>
        </w:rPr>
        <w:t>21.1投标人必须在“投标人须知前附表”规定的</w:t>
      </w:r>
      <w:r>
        <w:rPr>
          <w:rFonts w:hint="eastAsia" w:ascii="宋体" w:hAnsi="宋体" w:cs="宋体"/>
          <w:color w:val="auto"/>
          <w:szCs w:val="21"/>
          <w:highlight w:val="none"/>
        </w:rPr>
        <w:t>投标文件提交截止时间前将</w:t>
      </w:r>
      <w:r>
        <w:rPr>
          <w:rFonts w:hint="eastAsia" w:ascii="宋体" w:hAnsi="宋体" w:cs="宋体"/>
          <w:bCs/>
          <w:color w:val="auto"/>
          <w:szCs w:val="21"/>
          <w:highlight w:val="none"/>
        </w:rPr>
        <w:t>电子投标文件提交至投标地点。电子投标文件应在制作完成后，在投标截止时间前通过有效数字证书（CA认证锁）进行电子签章、加密，然后通过网络将加密的电子投标文件递交</w:t>
      </w:r>
      <w:r>
        <w:rPr>
          <w:rFonts w:hint="eastAsia" w:ascii="宋体" w:hAnsi="宋体" w:cs="宋体"/>
          <w:b w:val="0"/>
          <w:bCs/>
          <w:color w:val="auto"/>
          <w:szCs w:val="21"/>
          <w:highlight w:val="none"/>
        </w:rPr>
        <w:t>至</w:t>
      </w:r>
      <w:r>
        <w:rPr>
          <w:rFonts w:hint="eastAsia" w:ascii="宋体" w:hAnsi="宋体" w:cs="宋体"/>
          <w:b w:val="0"/>
          <w:bCs/>
          <w:color w:val="auto"/>
          <w:szCs w:val="21"/>
          <w:highlight w:val="none"/>
          <w:lang w:eastAsia="zh-CN"/>
        </w:rPr>
        <w:t>广西政府采购云平台</w:t>
      </w:r>
      <w:r>
        <w:rPr>
          <w:rFonts w:hint="eastAsia" w:ascii="宋体" w:hAnsi="宋体" w:cs="宋体"/>
          <w:b w:val="0"/>
          <w:bCs/>
          <w:color w:val="auto"/>
          <w:szCs w:val="21"/>
          <w:highlight w:val="none"/>
        </w:rPr>
        <w:t>。</w:t>
      </w:r>
      <w:r>
        <w:rPr>
          <w:rFonts w:hint="eastAsia" w:ascii="宋体" w:hAnsi="宋体" w:cs="宋体"/>
          <w:bCs/>
          <w:color w:val="auto"/>
          <w:szCs w:val="21"/>
          <w:highlight w:val="none"/>
        </w:rPr>
        <w:t xml:space="preserve"> </w:t>
      </w:r>
      <w:r>
        <w:rPr>
          <w:rFonts w:hint="eastAsia" w:ascii="宋体" w:hAnsi="宋体" w:cs="宋体"/>
          <w:b/>
          <w:color w:val="auto"/>
          <w:highlight w:val="none"/>
        </w:rPr>
        <w:t xml:space="preserve"> </w:t>
      </w:r>
    </w:p>
    <w:p w14:paraId="271590F7">
      <w:pPr>
        <w:spacing w:line="360" w:lineRule="exact"/>
        <w:ind w:firstLine="422" w:firstLineChars="200"/>
        <w:rPr>
          <w:rFonts w:ascii="宋体" w:hAnsi="宋体" w:cs="宋体"/>
          <w:b/>
          <w:color w:val="auto"/>
          <w:szCs w:val="20"/>
          <w:highlight w:val="none"/>
        </w:rPr>
      </w:pPr>
      <w:r>
        <w:rPr>
          <w:rFonts w:hint="eastAsia" w:ascii="宋体" w:hAnsi="宋体" w:cs="宋体"/>
          <w:b/>
          <w:color w:val="auto"/>
          <w:szCs w:val="21"/>
          <w:highlight w:val="none"/>
        </w:rPr>
        <w:t>21.2未在规定时间内提交或者未按照招标文件要求加密的电子投标文件，</w:t>
      </w:r>
      <w:r>
        <w:rPr>
          <w:rFonts w:hint="eastAsia" w:ascii="宋体" w:hAnsi="宋体" w:cs="宋体"/>
          <w:b/>
          <w:color w:val="auto"/>
          <w:szCs w:val="21"/>
          <w:highlight w:val="none"/>
          <w:lang w:eastAsia="zh-CN"/>
        </w:rPr>
        <w:t>广西政府采购云平台</w:t>
      </w:r>
      <w:r>
        <w:rPr>
          <w:rFonts w:hint="eastAsia" w:ascii="宋体" w:hAnsi="宋体" w:cs="宋体"/>
          <w:b/>
          <w:color w:val="auto"/>
          <w:szCs w:val="21"/>
          <w:highlight w:val="none"/>
        </w:rPr>
        <w:t>将拒收。</w:t>
      </w:r>
    </w:p>
    <w:p w14:paraId="142239C5">
      <w:pPr>
        <w:pStyle w:val="6"/>
        <w:keepNext w:val="0"/>
        <w:keepLines w:val="0"/>
        <w:spacing w:before="0" w:after="0" w:line="360" w:lineRule="exact"/>
        <w:ind w:left="420" w:leftChars="200" w:firstLine="602"/>
        <w:rPr>
          <w:rFonts w:ascii="宋体" w:hAnsi="宋体" w:cs="宋体"/>
          <w:color w:val="auto"/>
          <w:sz w:val="24"/>
          <w:highlight w:val="none"/>
        </w:rPr>
      </w:pPr>
      <w:r>
        <w:rPr>
          <w:rFonts w:hint="eastAsia" w:ascii="宋体" w:hAnsi="宋体" w:cs="宋体"/>
          <w:color w:val="auto"/>
          <w:sz w:val="24"/>
          <w:highlight w:val="none"/>
        </w:rPr>
        <w:t>22. 投标文件的补充、修改、撤回与退回</w:t>
      </w:r>
    </w:p>
    <w:p w14:paraId="47FF516A">
      <w:pPr>
        <w:snapToGrid w:val="0"/>
        <w:spacing w:line="360" w:lineRule="exact"/>
        <w:ind w:firstLine="525"/>
        <w:jc w:val="left"/>
        <w:rPr>
          <w:rFonts w:ascii="宋体" w:hAnsi="宋体" w:cs="宋体"/>
          <w:color w:val="auto"/>
          <w:szCs w:val="21"/>
          <w:highlight w:val="none"/>
        </w:rPr>
      </w:pPr>
      <w:bookmarkStart w:id="113" w:name="_Toc254970684"/>
      <w:bookmarkStart w:id="114" w:name="_Toc254970543"/>
      <w:r>
        <w:rPr>
          <w:rFonts w:hint="eastAsia" w:ascii="宋体" w:hAnsi="宋体" w:cs="宋体"/>
          <w:color w:val="auto"/>
          <w:szCs w:val="21"/>
          <w:highlight w:val="none"/>
        </w:rPr>
        <w:t>22.1</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cs="宋体"/>
          <w:bCs/>
          <w:color w:val="auto"/>
          <w:szCs w:val="21"/>
          <w:highlight w:val="none"/>
          <w:lang w:eastAsia="zh-CN"/>
        </w:rPr>
        <w:t>广西政府采购云平台</w:t>
      </w:r>
      <w:r>
        <w:rPr>
          <w:rFonts w:hint="eastAsia" w:ascii="宋体" w:hAnsi="宋体" w:cs="宋体"/>
          <w:bCs/>
          <w:color w:val="auto"/>
          <w:szCs w:val="21"/>
          <w:highlight w:val="none"/>
        </w:rPr>
        <w:t>将予以拒收。</w:t>
      </w:r>
      <w:r>
        <w:rPr>
          <w:rFonts w:hint="eastAsia" w:ascii="宋体" w:hAnsi="宋体" w:cs="宋体"/>
          <w:color w:val="auto"/>
          <w:szCs w:val="21"/>
          <w:highlight w:val="none"/>
        </w:rPr>
        <w:t>（补充、修改或者撤回方式可登陆</w:t>
      </w:r>
      <w:r>
        <w:rPr>
          <w:rFonts w:hint="eastAsia" w:ascii="宋体" w:hAnsi="宋体" w:cs="宋体"/>
          <w:color w:val="auto"/>
          <w:kern w:val="0"/>
          <w:szCs w:val="21"/>
          <w:highlight w:val="none"/>
          <w:lang w:eastAsia="zh-CN"/>
        </w:rPr>
        <w:t>广西政府采购云平台</w:t>
      </w:r>
      <w:r>
        <w:rPr>
          <w:rFonts w:hint="eastAsia" w:ascii="宋体" w:hAnsi="宋体" w:cs="宋体"/>
          <w:color w:val="auto"/>
          <w:kern w:val="0"/>
          <w:szCs w:val="21"/>
          <w:highlight w:val="none"/>
        </w:rPr>
        <w:t>，</w:t>
      </w:r>
      <w:r>
        <w:rPr>
          <w:rFonts w:hint="eastAsia" w:ascii="宋体" w:hAnsi="宋体" w:cs="宋体"/>
          <w:color w:val="auto"/>
          <w:szCs w:val="21"/>
          <w:highlight w:val="none"/>
        </w:rPr>
        <w:t>依次进入“服务中心”中查看 “电子投标文件制作与投送教程”）</w:t>
      </w:r>
    </w:p>
    <w:bookmarkEnd w:id="113"/>
    <w:bookmarkEnd w:id="114"/>
    <w:p w14:paraId="400F8763">
      <w:pPr>
        <w:pStyle w:val="100"/>
        <w:spacing w:before="0" w:line="36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22.2</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收到投标文件后向供应商发出确认回执通知。在投标截止时间前，除供应商补充、修改或者撤回投标文件外，任何单位和个人不得解密或提取投标文件。</w:t>
      </w:r>
    </w:p>
    <w:p w14:paraId="2BBBED90">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22.3在投标截止时间后，采购人和采购代理机构对已提交的投标文件概不退回。</w:t>
      </w:r>
    </w:p>
    <w:p w14:paraId="6D366C6A">
      <w:pPr>
        <w:pStyle w:val="4"/>
        <w:keepNext w:val="0"/>
        <w:keepLines w:val="0"/>
        <w:spacing w:line="360" w:lineRule="exact"/>
        <w:ind w:firstLine="803"/>
        <w:jc w:val="center"/>
        <w:rPr>
          <w:rFonts w:ascii="宋体" w:hAnsi="宋体" w:cs="宋体"/>
          <w:color w:val="auto"/>
          <w:highlight w:val="none"/>
        </w:rPr>
      </w:pPr>
      <w:bookmarkStart w:id="115" w:name="_Toc254970544"/>
      <w:bookmarkStart w:id="116" w:name="_Toc254970685"/>
      <w:r>
        <w:rPr>
          <w:rFonts w:hint="eastAsia" w:ascii="宋体" w:hAnsi="宋体" w:cs="宋体"/>
          <w:color w:val="auto"/>
          <w:highlight w:val="none"/>
        </w:rPr>
        <w:t>四、开    标</w:t>
      </w:r>
      <w:bookmarkEnd w:id="115"/>
      <w:bookmarkEnd w:id="116"/>
    </w:p>
    <w:p w14:paraId="244F66F3">
      <w:pPr>
        <w:pStyle w:val="6"/>
        <w:keepNext w:val="0"/>
        <w:keepLines w:val="0"/>
        <w:spacing w:before="0" w:after="0" w:line="360" w:lineRule="exact"/>
        <w:ind w:left="420" w:leftChars="200" w:firstLine="602"/>
        <w:rPr>
          <w:rFonts w:ascii="宋体" w:hAnsi="宋体" w:cs="宋体"/>
          <w:color w:val="auto"/>
          <w:sz w:val="24"/>
          <w:highlight w:val="none"/>
        </w:rPr>
      </w:pPr>
      <w:bookmarkStart w:id="117" w:name="_23.开标时间和地点"/>
      <w:bookmarkEnd w:id="117"/>
      <w:r>
        <w:rPr>
          <w:rFonts w:hint="eastAsia" w:ascii="宋体" w:hAnsi="宋体" w:cs="宋体"/>
          <w:color w:val="auto"/>
          <w:sz w:val="24"/>
          <w:highlight w:val="none"/>
        </w:rPr>
        <w:t>23.开标时间和地点</w:t>
      </w:r>
    </w:p>
    <w:p w14:paraId="2FC0845B">
      <w:pPr>
        <w:spacing w:line="360" w:lineRule="exact"/>
        <w:ind w:firstLine="420" w:firstLineChars="200"/>
        <w:rPr>
          <w:rFonts w:ascii="宋体" w:hAnsi="宋体" w:cs="宋体"/>
          <w:bCs/>
          <w:color w:val="auto"/>
          <w:highlight w:val="none"/>
        </w:rPr>
      </w:pPr>
      <w:r>
        <w:rPr>
          <w:rFonts w:hint="eastAsia" w:ascii="宋体" w:hAnsi="宋体" w:cs="宋体"/>
          <w:bCs/>
          <w:color w:val="auto"/>
          <w:highlight w:val="none"/>
        </w:rPr>
        <w:t>开标时间及地点详见“投标人须知前附表”</w:t>
      </w:r>
    </w:p>
    <w:p w14:paraId="08AFC97A">
      <w:pPr>
        <w:pStyle w:val="6"/>
        <w:keepNext w:val="0"/>
        <w:keepLines w:val="0"/>
        <w:spacing w:before="0" w:after="0" w:line="360" w:lineRule="exact"/>
        <w:ind w:left="420" w:leftChars="200" w:firstLine="602"/>
        <w:rPr>
          <w:rFonts w:ascii="宋体" w:hAnsi="宋体" w:cs="宋体"/>
          <w:color w:val="auto"/>
          <w:sz w:val="24"/>
          <w:highlight w:val="none"/>
        </w:rPr>
      </w:pPr>
      <w:r>
        <w:rPr>
          <w:rFonts w:hint="eastAsia" w:ascii="宋体" w:hAnsi="宋体" w:cs="宋体"/>
          <w:color w:val="auto"/>
          <w:sz w:val="24"/>
          <w:highlight w:val="none"/>
        </w:rPr>
        <w:t>24.开标程序</w:t>
      </w:r>
    </w:p>
    <w:p w14:paraId="3C94E157">
      <w:pPr>
        <w:pStyle w:val="7"/>
        <w:spacing w:line="360" w:lineRule="exact"/>
        <w:ind w:firstLine="525"/>
        <w:rPr>
          <w:rFonts w:ascii="宋体" w:hAnsi="宋体" w:cs="宋体"/>
          <w:color w:val="auto"/>
          <w:highlight w:val="none"/>
        </w:rPr>
      </w:pPr>
      <w:r>
        <w:rPr>
          <w:rFonts w:hint="eastAsia" w:ascii="宋体" w:hAnsi="宋体" w:cs="宋体"/>
          <w:color w:val="auto"/>
          <w:highlight w:val="none"/>
        </w:rPr>
        <w:t>24.1提交投标文件截止时间止，投标人不足3家的，不得开标。</w:t>
      </w:r>
    </w:p>
    <w:p w14:paraId="23A67153">
      <w:pPr>
        <w:pStyle w:val="7"/>
        <w:spacing w:line="360" w:lineRule="exact"/>
        <w:ind w:firstLine="525"/>
        <w:rPr>
          <w:rFonts w:ascii="宋体" w:hAnsi="宋体" w:cs="宋体"/>
          <w:color w:val="auto"/>
          <w:highlight w:val="none"/>
        </w:rPr>
      </w:pPr>
      <w:r>
        <w:rPr>
          <w:rFonts w:hint="eastAsia" w:ascii="宋体" w:hAnsi="宋体" w:cs="宋体"/>
          <w:color w:val="auto"/>
          <w:highlight w:val="none"/>
        </w:rPr>
        <w:t>24.2采购代理机构将按照招标文件规定的时间通过</w:t>
      </w:r>
      <w:r>
        <w:rPr>
          <w:rFonts w:hint="eastAsia" w:ascii="宋体" w:hAnsi="宋体" w:cs="宋体"/>
          <w:color w:val="auto"/>
          <w:highlight w:val="none"/>
          <w:lang w:eastAsia="zh-CN"/>
        </w:rPr>
        <w:t>广西政府采购云平台</w:t>
      </w:r>
      <w:r>
        <w:rPr>
          <w:rFonts w:hint="eastAsia" w:ascii="宋体" w:hAnsi="宋体" w:cs="宋体"/>
          <w:color w:val="auto"/>
          <w:highlight w:val="none"/>
        </w:rPr>
        <w:t>组织线上开标活动，所有供应商均应当准时在线参加，投标人因未在线参加开标而导致投标文件无法按时解密等一切后果由投标人自己承担。</w:t>
      </w:r>
    </w:p>
    <w:p w14:paraId="76ACF01F">
      <w:pPr>
        <w:pStyle w:val="7"/>
        <w:spacing w:line="360" w:lineRule="exact"/>
        <w:ind w:firstLine="525"/>
        <w:rPr>
          <w:rFonts w:ascii="宋体" w:hAnsi="宋体" w:cs="宋体"/>
          <w:color w:val="auto"/>
          <w:highlight w:val="none"/>
        </w:rPr>
      </w:pPr>
      <w:r>
        <w:rPr>
          <w:rFonts w:hint="eastAsia" w:ascii="宋体" w:hAnsi="宋体" w:cs="宋体"/>
          <w:color w:val="auto"/>
          <w:highlight w:val="none"/>
        </w:rPr>
        <w:t>24.3开标程序</w:t>
      </w:r>
    </w:p>
    <w:p w14:paraId="460D8C40">
      <w:pPr>
        <w:pStyle w:val="7"/>
        <w:spacing w:line="360" w:lineRule="exact"/>
        <w:ind w:firstLine="525"/>
        <w:rPr>
          <w:rFonts w:ascii="宋体" w:hAnsi="宋体" w:cs="宋体"/>
          <w:color w:val="auto"/>
          <w:highlight w:val="none"/>
        </w:rPr>
      </w:pPr>
      <w:r>
        <w:rPr>
          <w:rFonts w:hint="eastAsia" w:ascii="宋体" w:hAnsi="宋体" w:cs="宋体"/>
          <w:color w:val="auto"/>
          <w:highlight w:val="none"/>
        </w:rPr>
        <w:t>（1）解密电子投标文件。</w:t>
      </w:r>
      <w:r>
        <w:rPr>
          <w:rFonts w:hint="eastAsia" w:ascii="宋体" w:hAnsi="宋体" w:cs="宋体"/>
          <w:color w:val="auto"/>
          <w:highlight w:val="none"/>
          <w:lang w:eastAsia="zh-CN"/>
        </w:rPr>
        <w:t>广西政府采购云平台</w:t>
      </w:r>
      <w:r>
        <w:rPr>
          <w:rFonts w:hint="eastAsia" w:ascii="宋体" w:hAnsi="宋体" w:cs="宋体"/>
          <w:color w:val="auto"/>
          <w:highlight w:val="none"/>
        </w:rPr>
        <w:t>按开标时间自动提取所有投标文件。采购代理机构依托</w:t>
      </w:r>
      <w:r>
        <w:rPr>
          <w:rFonts w:hint="eastAsia" w:ascii="宋体" w:hAnsi="宋体" w:cs="宋体"/>
          <w:color w:val="auto"/>
          <w:highlight w:val="none"/>
          <w:lang w:eastAsia="zh-CN"/>
        </w:rPr>
        <w:t>广西政府采购云平台</w:t>
      </w:r>
      <w:r>
        <w:rPr>
          <w:rFonts w:hint="eastAsia" w:ascii="宋体" w:hAnsi="宋体" w:cs="宋体"/>
          <w:color w:val="auto"/>
          <w:highlight w:val="none"/>
        </w:rPr>
        <w:t>向各投标人发出电子加密投标文件【开始解密】通知，由投标人按</w:t>
      </w:r>
      <w:r>
        <w:rPr>
          <w:rFonts w:hint="eastAsia" w:ascii="宋体" w:hAnsi="宋体" w:cs="宋体"/>
          <w:bCs/>
          <w:color w:val="auto"/>
          <w:szCs w:val="21"/>
          <w:highlight w:val="none"/>
        </w:rPr>
        <w:t>“投标人须知前附表”</w:t>
      </w:r>
      <w:r>
        <w:rPr>
          <w:rFonts w:hint="eastAsia" w:ascii="宋体" w:hAnsi="宋体" w:cs="宋体"/>
          <w:color w:val="auto"/>
          <w:highlight w:val="none"/>
        </w:rPr>
        <w:t>规定的时间内自行进行投标文件解密。投标人的法定代表人或其委托代理人须凭加密时所用的CA锁准时登录到</w:t>
      </w:r>
      <w:r>
        <w:rPr>
          <w:rFonts w:hint="eastAsia" w:ascii="宋体" w:hAnsi="宋体" w:cs="宋体"/>
          <w:color w:val="auto"/>
          <w:highlight w:val="none"/>
          <w:lang w:eastAsia="zh-CN"/>
        </w:rPr>
        <w:t>广西政府采购云平台</w:t>
      </w:r>
      <w:r>
        <w:rPr>
          <w:rFonts w:hint="eastAsia" w:ascii="宋体" w:hAnsi="宋体" w:cs="宋体"/>
          <w:color w:val="auto"/>
          <w:highlight w:val="none"/>
        </w:rPr>
        <w:t>电子开标大厅签到并对电子投标文件解密。</w:t>
      </w:r>
    </w:p>
    <w:p w14:paraId="5683377D">
      <w:pPr>
        <w:pStyle w:val="7"/>
        <w:spacing w:line="360" w:lineRule="exact"/>
        <w:ind w:firstLine="525"/>
        <w:rPr>
          <w:rFonts w:ascii="宋体" w:hAnsi="宋体" w:cs="宋体"/>
          <w:color w:val="auto"/>
          <w:highlight w:val="none"/>
        </w:rPr>
      </w:pPr>
      <w:r>
        <w:rPr>
          <w:rFonts w:hint="eastAsia" w:ascii="宋体" w:hAnsi="宋体" w:cs="宋体"/>
          <w:color w:val="auto"/>
          <w:highlight w:val="none"/>
        </w:rPr>
        <w:t>如招标文件规定不接受备份电子投标文件，投标人未在规定的时间内解密投标文件或者解密失败的，</w:t>
      </w:r>
      <w:r>
        <w:rPr>
          <w:rFonts w:hint="eastAsia" w:ascii="宋体" w:hAnsi="宋体" w:cs="宋体"/>
          <w:color w:val="auto"/>
          <w:szCs w:val="21"/>
          <w:highlight w:val="none"/>
        </w:rPr>
        <w:t>投标人的投标文件作无效处理</w:t>
      </w:r>
      <w:r>
        <w:rPr>
          <w:rFonts w:hint="eastAsia" w:ascii="宋体" w:hAnsi="宋体" w:cs="宋体"/>
          <w:color w:val="auto"/>
          <w:highlight w:val="none"/>
        </w:rPr>
        <w:t>；如招标文件规定接受备份电子投标文件，投标人未在规定的时间内解密投标文件或者解密失败的，采购代理机构将电子备份投标文件按“政府采购云平台”操作规范上传至“政府采购云平台”，电子备份投标文件上传成功后，投标人原上传的“电子加密投标文件”自动失效。若投标人未在规定时间内解密或者解密失败，且未提供电子备份投标文件或者提供的电子备份投标文件无效或者电子备份投标文件无法解读的，</w:t>
      </w:r>
      <w:r>
        <w:rPr>
          <w:rFonts w:hint="eastAsia" w:ascii="宋体" w:hAnsi="宋体" w:cs="宋体"/>
          <w:color w:val="auto"/>
          <w:szCs w:val="21"/>
          <w:highlight w:val="none"/>
        </w:rPr>
        <w:t>投标人的投标文件作无效处理</w:t>
      </w:r>
      <w:r>
        <w:rPr>
          <w:rFonts w:hint="eastAsia" w:ascii="宋体" w:hAnsi="宋体" w:cs="宋体"/>
          <w:color w:val="auto"/>
          <w:highlight w:val="none"/>
        </w:rPr>
        <w:t>。</w:t>
      </w:r>
    </w:p>
    <w:p w14:paraId="74C49110">
      <w:pPr>
        <w:pStyle w:val="7"/>
        <w:spacing w:line="360" w:lineRule="exact"/>
        <w:ind w:firstLine="525"/>
        <w:rPr>
          <w:rFonts w:ascii="宋体" w:hAnsi="宋体" w:cs="宋体"/>
          <w:color w:val="auto"/>
          <w:highlight w:val="none"/>
        </w:rPr>
      </w:pPr>
      <w:r>
        <w:rPr>
          <w:rFonts w:hint="eastAsia" w:ascii="宋体" w:hAnsi="宋体" w:cs="宋体"/>
          <w:color w:val="auto"/>
          <w:highlight w:val="none"/>
        </w:rPr>
        <w:t>（2）电子唱标。投标文件解密结束，宣布的内容均在</w:t>
      </w:r>
      <w:r>
        <w:rPr>
          <w:rFonts w:hint="eastAsia" w:ascii="宋体" w:hAnsi="宋体" w:cs="宋体"/>
          <w:color w:val="auto"/>
          <w:highlight w:val="none"/>
          <w:lang w:eastAsia="zh-CN"/>
        </w:rPr>
        <w:t>广西政府采购云平台</w:t>
      </w:r>
      <w:r>
        <w:rPr>
          <w:rFonts w:hint="eastAsia" w:ascii="宋体" w:hAnsi="宋体" w:cs="宋体"/>
          <w:color w:val="auto"/>
          <w:highlight w:val="none"/>
        </w:rPr>
        <w:t>远程开标大厅展示，具体详见</w:t>
      </w:r>
      <w:r>
        <w:rPr>
          <w:rFonts w:hint="eastAsia" w:ascii="宋体" w:hAnsi="宋体" w:cs="宋体"/>
          <w:bCs/>
          <w:color w:val="auto"/>
          <w:highlight w:val="none"/>
        </w:rPr>
        <w:t>“投标人须知前附表”</w:t>
      </w:r>
      <w:r>
        <w:rPr>
          <w:rFonts w:hint="eastAsia" w:ascii="宋体" w:hAnsi="宋体" w:cs="宋体"/>
          <w:color w:val="auto"/>
          <w:highlight w:val="none"/>
        </w:rPr>
        <w:t>；</w:t>
      </w:r>
    </w:p>
    <w:p w14:paraId="3274040F">
      <w:pPr>
        <w:pStyle w:val="7"/>
        <w:spacing w:line="360" w:lineRule="exact"/>
        <w:ind w:firstLine="0"/>
        <w:rPr>
          <w:rFonts w:ascii="宋体" w:hAnsi="宋体" w:cs="宋体"/>
          <w:color w:val="auto"/>
          <w:highlight w:val="none"/>
        </w:rPr>
      </w:pPr>
      <w:r>
        <w:rPr>
          <w:rFonts w:hint="eastAsia" w:ascii="宋体" w:hAnsi="宋体" w:cs="宋体"/>
          <w:color w:val="auto"/>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300A62AD">
      <w:pPr>
        <w:pStyle w:val="7"/>
        <w:spacing w:line="360" w:lineRule="exact"/>
        <w:ind w:firstLine="525"/>
        <w:rPr>
          <w:rFonts w:ascii="宋体" w:hAnsi="宋体" w:cs="宋体"/>
          <w:color w:val="auto"/>
          <w:highlight w:val="none"/>
        </w:rPr>
      </w:pPr>
      <w:r>
        <w:rPr>
          <w:rFonts w:hint="eastAsia" w:ascii="宋体" w:hAnsi="宋体" w:cs="宋体"/>
          <w:color w:val="auto"/>
          <w:highlight w:val="none"/>
        </w:rPr>
        <w:t>（5）开标结束。</w:t>
      </w:r>
    </w:p>
    <w:p w14:paraId="2024D1A8">
      <w:pPr>
        <w:pStyle w:val="27"/>
        <w:snapToGrid w:val="0"/>
        <w:spacing w:line="360" w:lineRule="exact"/>
        <w:ind w:firstLine="420" w:firstLineChars="200"/>
        <w:rPr>
          <w:rFonts w:hAnsi="宋体" w:cs="宋体"/>
          <w:color w:val="auto"/>
          <w:kern w:val="2"/>
          <w:sz w:val="21"/>
          <w:szCs w:val="20"/>
          <w:highlight w:val="none"/>
        </w:rPr>
      </w:pPr>
      <w:r>
        <w:rPr>
          <w:rFonts w:hint="eastAsia" w:hAnsi="宋体" w:cs="宋体"/>
          <w:color w:val="auto"/>
          <w:kern w:val="2"/>
          <w:sz w:val="21"/>
          <w:szCs w:val="20"/>
          <w:highlight w:val="none"/>
        </w:rPr>
        <w:t>特别说明：如遇</w:t>
      </w:r>
      <w:r>
        <w:rPr>
          <w:rFonts w:hint="eastAsia" w:hAnsi="宋体" w:cs="宋体"/>
          <w:color w:val="auto"/>
          <w:kern w:val="2"/>
          <w:sz w:val="21"/>
          <w:szCs w:val="20"/>
          <w:highlight w:val="none"/>
          <w:lang w:eastAsia="zh-CN"/>
        </w:rPr>
        <w:t>广西政府采购云平台</w:t>
      </w:r>
      <w:r>
        <w:rPr>
          <w:rFonts w:hint="eastAsia" w:hAnsi="宋体" w:cs="宋体"/>
          <w:color w:val="auto"/>
          <w:kern w:val="2"/>
          <w:sz w:val="21"/>
          <w:szCs w:val="20"/>
          <w:highlight w:val="none"/>
        </w:rPr>
        <w:t>电子化开标或评审程序调整的，按调整后执行。</w:t>
      </w:r>
    </w:p>
    <w:p w14:paraId="7E51E2CC">
      <w:pPr>
        <w:pStyle w:val="4"/>
        <w:keepNext w:val="0"/>
        <w:keepLines w:val="0"/>
        <w:spacing w:line="360" w:lineRule="exact"/>
        <w:ind w:firstLine="803"/>
        <w:jc w:val="center"/>
        <w:rPr>
          <w:rFonts w:ascii="宋体" w:hAnsi="宋体" w:cs="宋体"/>
          <w:color w:val="auto"/>
          <w:highlight w:val="none"/>
        </w:rPr>
      </w:pPr>
      <w:r>
        <w:rPr>
          <w:rFonts w:hint="eastAsia" w:ascii="宋体" w:hAnsi="宋体" w:cs="宋体"/>
          <w:color w:val="auto"/>
          <w:highlight w:val="none"/>
        </w:rPr>
        <w:t>五、资格审查</w:t>
      </w:r>
    </w:p>
    <w:p w14:paraId="2F561DD0">
      <w:pPr>
        <w:pStyle w:val="6"/>
        <w:keepNext w:val="0"/>
        <w:keepLines w:val="0"/>
        <w:spacing w:before="0" w:after="0" w:line="360" w:lineRule="exact"/>
        <w:ind w:left="420" w:leftChars="200" w:firstLine="602"/>
        <w:rPr>
          <w:rFonts w:ascii="宋体" w:hAnsi="宋体" w:cs="宋体"/>
          <w:color w:val="auto"/>
          <w:sz w:val="24"/>
          <w:highlight w:val="none"/>
        </w:rPr>
      </w:pPr>
      <w:r>
        <w:rPr>
          <w:rFonts w:hint="eastAsia" w:ascii="宋体" w:hAnsi="宋体" w:cs="宋体"/>
          <w:color w:val="auto"/>
          <w:sz w:val="24"/>
          <w:highlight w:val="none"/>
        </w:rPr>
        <w:t>25.资格审查</w:t>
      </w:r>
    </w:p>
    <w:p w14:paraId="1A077822">
      <w:pPr>
        <w:pStyle w:val="6"/>
        <w:keepNext w:val="0"/>
        <w:keepLines w:val="0"/>
        <w:spacing w:before="0" w:after="0" w:line="360" w:lineRule="exact"/>
        <w:ind w:left="-134"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25.1开标结束后，采购人或者采购代理机构通过电子开评标系统依据招标文件对电子投标文件进行线上资格审查。</w:t>
      </w:r>
    </w:p>
    <w:p w14:paraId="1EAD4B74">
      <w:pPr>
        <w:pStyle w:val="6"/>
        <w:keepNext w:val="0"/>
        <w:keepLines w:val="0"/>
        <w:spacing w:before="0" w:after="0" w:line="360" w:lineRule="exact"/>
        <w:ind w:left="-134"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25.2资格审查标准为本招标文件中载明对投标人资格要求的条件。本项目资格审查采用合格制，凡符合招标文件规定的投标人资格要求的投标人均通过资格审查。</w:t>
      </w:r>
    </w:p>
    <w:p w14:paraId="6A91756C">
      <w:pPr>
        <w:pStyle w:val="6"/>
        <w:keepNext w:val="0"/>
        <w:keepLines w:val="0"/>
        <w:numPr>
          <w:ilvl w:val="0"/>
          <w:numId w:val="0"/>
        </w:numPr>
        <w:spacing w:before="0" w:after="0" w:line="360" w:lineRule="exact"/>
        <w:ind w:firstLine="211" w:firstLineChars="100"/>
        <w:rPr>
          <w:rFonts w:ascii="宋体" w:hAnsi="宋体" w:cs="宋体"/>
          <w:color w:val="auto"/>
          <w:sz w:val="21"/>
          <w:szCs w:val="21"/>
          <w:highlight w:val="none"/>
        </w:rPr>
      </w:pPr>
      <w:bookmarkStart w:id="118" w:name="_25.3_投标人有下列情形之一的，资格审查不通过而导致其投标无效："/>
      <w:bookmarkEnd w:id="118"/>
      <w:r>
        <w:rPr>
          <w:rFonts w:hint="eastAsia" w:ascii="宋体" w:hAnsi="宋体" w:cs="宋体"/>
          <w:color w:val="auto"/>
          <w:sz w:val="21"/>
          <w:szCs w:val="21"/>
          <w:highlight w:val="none"/>
        </w:rPr>
        <w:t>25.3 投标人有下列情形之一的，资格审查不通过，作无效投标处理：</w:t>
      </w:r>
    </w:p>
    <w:p w14:paraId="3C0FD25D">
      <w:pPr>
        <w:pStyle w:val="27"/>
        <w:snapToGrid w:val="0"/>
        <w:spacing w:line="360" w:lineRule="exact"/>
        <w:ind w:firstLine="422" w:firstLineChars="200"/>
        <w:rPr>
          <w:rFonts w:hAnsi="宋体" w:cs="宋体"/>
          <w:b/>
          <w:color w:val="auto"/>
          <w:sz w:val="21"/>
          <w:highlight w:val="none"/>
        </w:rPr>
      </w:pPr>
      <w:r>
        <w:rPr>
          <w:rFonts w:hint="eastAsia" w:hAnsi="宋体" w:cs="宋体"/>
          <w:b/>
          <w:color w:val="auto"/>
          <w:sz w:val="21"/>
          <w:highlight w:val="none"/>
        </w:rPr>
        <w:t>（1）不具备招标文件中规定的资格要求的；</w:t>
      </w:r>
    </w:p>
    <w:p w14:paraId="50515E89">
      <w:pPr>
        <w:pStyle w:val="27"/>
        <w:snapToGrid w:val="0"/>
        <w:spacing w:line="360" w:lineRule="exact"/>
        <w:ind w:firstLine="422" w:firstLineChars="200"/>
        <w:rPr>
          <w:rFonts w:hAnsi="宋体" w:cs="宋体"/>
          <w:b/>
          <w:color w:val="auto"/>
          <w:sz w:val="21"/>
          <w:highlight w:val="none"/>
        </w:rPr>
      </w:pPr>
      <w:r>
        <w:rPr>
          <w:rFonts w:hint="eastAsia" w:hAnsi="宋体" w:cs="宋体"/>
          <w:b/>
          <w:color w:val="auto"/>
          <w:sz w:val="21"/>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r>
        <w:rPr>
          <w:rFonts w:hint="eastAsia" w:hAnsi="宋体" w:cs="宋体"/>
          <w:b/>
          <w:color w:val="auto"/>
          <w:sz w:val="21"/>
          <w:highlight w:val="none"/>
          <w:lang w:eastAsia="zh-CN"/>
        </w:rPr>
        <w:t>广西政府采购云平台</w:t>
      </w:r>
      <w:r>
        <w:rPr>
          <w:rFonts w:hint="eastAsia" w:hAnsi="宋体" w:cs="宋体"/>
          <w:b/>
          <w:color w:val="auto"/>
          <w:sz w:val="21"/>
          <w:highlight w:val="none"/>
        </w:rPr>
        <w:t>已与“信用中国”网站、中国政府采购网实现数据对接，可直接在线查询）</w:t>
      </w:r>
    </w:p>
    <w:p w14:paraId="4E34DC13">
      <w:pPr>
        <w:pStyle w:val="27"/>
        <w:snapToGrid w:val="0"/>
        <w:spacing w:line="360" w:lineRule="exact"/>
        <w:ind w:firstLine="422" w:firstLineChars="200"/>
        <w:rPr>
          <w:rFonts w:hAnsi="宋体" w:cs="宋体"/>
          <w:b/>
          <w:color w:val="auto"/>
          <w:sz w:val="21"/>
          <w:highlight w:val="none"/>
        </w:rPr>
      </w:pPr>
      <w:r>
        <w:rPr>
          <w:rFonts w:hint="eastAsia" w:hAnsi="宋体" w:cs="宋体"/>
          <w:b/>
          <w:color w:val="auto"/>
          <w:sz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60B4E790">
      <w:pPr>
        <w:pStyle w:val="27"/>
        <w:snapToGrid w:val="0"/>
        <w:spacing w:line="360" w:lineRule="exact"/>
        <w:ind w:firstLine="422" w:firstLineChars="200"/>
        <w:rPr>
          <w:rFonts w:hAnsi="宋体" w:cs="宋体"/>
          <w:b/>
          <w:color w:val="auto"/>
          <w:sz w:val="21"/>
          <w:highlight w:val="none"/>
        </w:rPr>
      </w:pPr>
      <w:r>
        <w:rPr>
          <w:rFonts w:hint="eastAsia" w:hAnsi="宋体" w:cs="宋体"/>
          <w:b/>
          <w:color w:val="auto"/>
          <w:sz w:val="21"/>
          <w:highlight w:val="none"/>
        </w:rPr>
        <w:t>（4）投标文件中的资格证明文件缺少任一项“投标人须知前附表”资格证明文件规定“必须提供”的文件资料的；</w:t>
      </w:r>
    </w:p>
    <w:p w14:paraId="638FFD8A">
      <w:pPr>
        <w:pStyle w:val="27"/>
        <w:snapToGrid w:val="0"/>
        <w:spacing w:line="360" w:lineRule="exact"/>
        <w:ind w:firstLine="422" w:firstLineChars="200"/>
        <w:rPr>
          <w:rFonts w:hAnsi="宋体" w:cs="宋体"/>
          <w:b/>
          <w:color w:val="auto"/>
          <w:sz w:val="21"/>
          <w:highlight w:val="none"/>
        </w:rPr>
      </w:pPr>
      <w:r>
        <w:rPr>
          <w:rFonts w:hint="eastAsia" w:hAnsi="宋体" w:cs="宋体"/>
          <w:b/>
          <w:color w:val="auto"/>
          <w:sz w:val="21"/>
          <w:highlight w:val="none"/>
        </w:rPr>
        <w:t>（5）投标文件中的资格证明文件出现任一项不符合“投标人须知前附表”资格证明文件规定“必须提供”的文件资料要求或者无效的。</w:t>
      </w:r>
    </w:p>
    <w:p w14:paraId="7509A153">
      <w:pPr>
        <w:pStyle w:val="6"/>
        <w:keepNext w:val="0"/>
        <w:keepLines w:val="0"/>
        <w:numPr>
          <w:ilvl w:val="4"/>
          <w:numId w:val="0"/>
        </w:numPr>
        <w:spacing w:before="0" w:after="0" w:line="360" w:lineRule="exact"/>
        <w:ind w:leftChars="200"/>
        <w:rPr>
          <w:rFonts w:ascii="宋体" w:hAnsi="宋体" w:cs="宋体"/>
          <w:b w:val="0"/>
          <w:color w:val="auto"/>
          <w:sz w:val="21"/>
          <w:szCs w:val="21"/>
          <w:highlight w:val="none"/>
        </w:rPr>
      </w:pPr>
      <w:r>
        <w:rPr>
          <w:rFonts w:hint="eastAsia" w:ascii="宋体" w:hAnsi="宋体" w:cs="宋体"/>
          <w:color w:val="auto"/>
          <w:sz w:val="21"/>
          <w:szCs w:val="21"/>
          <w:highlight w:val="none"/>
        </w:rPr>
        <w:t>25.4合格投标人不足3家的，不得评标。</w:t>
      </w:r>
    </w:p>
    <w:p w14:paraId="6A08D998">
      <w:pPr>
        <w:pStyle w:val="27"/>
        <w:snapToGrid w:val="0"/>
        <w:spacing w:line="360" w:lineRule="exact"/>
        <w:ind w:left="689" w:leftChars="228" w:hanging="210" w:hangingChars="100"/>
        <w:rPr>
          <w:rFonts w:hAnsi="宋体" w:cs="宋体"/>
          <w:color w:val="auto"/>
          <w:sz w:val="21"/>
          <w:highlight w:val="none"/>
        </w:rPr>
      </w:pPr>
    </w:p>
    <w:p w14:paraId="1845B5DA">
      <w:pPr>
        <w:pStyle w:val="4"/>
        <w:keepNext w:val="0"/>
        <w:keepLines w:val="0"/>
        <w:spacing w:line="360" w:lineRule="exact"/>
        <w:ind w:firstLine="803"/>
        <w:jc w:val="center"/>
        <w:rPr>
          <w:rFonts w:ascii="宋体" w:hAnsi="宋体" w:cs="宋体"/>
          <w:color w:val="auto"/>
          <w:highlight w:val="none"/>
        </w:rPr>
      </w:pPr>
      <w:r>
        <w:rPr>
          <w:rFonts w:hint="eastAsia" w:ascii="宋体" w:hAnsi="宋体" w:cs="宋体"/>
          <w:color w:val="auto"/>
          <w:highlight w:val="none"/>
        </w:rPr>
        <w:t>六、评   标</w:t>
      </w:r>
    </w:p>
    <w:p w14:paraId="53FDCBB8">
      <w:pPr>
        <w:pStyle w:val="6"/>
        <w:keepNext w:val="0"/>
        <w:keepLines w:val="0"/>
        <w:spacing w:before="0" w:after="0" w:line="360" w:lineRule="exact"/>
        <w:ind w:left="420" w:leftChars="200" w:firstLine="602"/>
        <w:rPr>
          <w:rFonts w:ascii="宋体" w:hAnsi="宋体" w:cs="宋体"/>
          <w:color w:val="auto"/>
          <w:sz w:val="24"/>
          <w:highlight w:val="none"/>
        </w:rPr>
      </w:pPr>
      <w:bookmarkStart w:id="119" w:name="_26.组建评标委员会"/>
      <w:bookmarkEnd w:id="119"/>
      <w:r>
        <w:rPr>
          <w:rFonts w:hint="eastAsia" w:ascii="宋体" w:hAnsi="宋体" w:cs="宋体"/>
          <w:color w:val="auto"/>
          <w:sz w:val="24"/>
          <w:highlight w:val="none"/>
        </w:rPr>
        <w:t>26.组建评标委员会</w:t>
      </w:r>
    </w:p>
    <w:p w14:paraId="31CCAFBD">
      <w:pPr>
        <w:pStyle w:val="27"/>
        <w:snapToGrid w:val="0"/>
        <w:spacing w:line="360" w:lineRule="exact"/>
        <w:ind w:firstLine="420" w:firstLineChars="200"/>
        <w:rPr>
          <w:rFonts w:hAnsi="宋体" w:cs="宋体"/>
          <w:color w:val="auto"/>
          <w:sz w:val="21"/>
          <w:highlight w:val="none"/>
        </w:rPr>
      </w:pPr>
      <w:r>
        <w:rPr>
          <w:rFonts w:hint="eastAsia" w:hAnsi="宋体" w:cs="宋体"/>
          <w:color w:val="auto"/>
          <w:sz w:val="21"/>
          <w:highlight w:val="none"/>
        </w:rPr>
        <w:t>26.1评标委员会由采购人代表和评审专家组成，具体人数详见“投标人须知前附表”，其中评审专家不得少于成员总数的三分之二。</w:t>
      </w:r>
    </w:p>
    <w:p w14:paraId="1E56CF79">
      <w:pPr>
        <w:pStyle w:val="27"/>
        <w:snapToGrid w:val="0"/>
        <w:spacing w:line="360" w:lineRule="exact"/>
        <w:ind w:left="2" w:leftChars="1" w:firstLine="420" w:firstLineChars="200"/>
        <w:rPr>
          <w:rFonts w:hAnsi="宋体" w:cs="宋体"/>
          <w:color w:val="auto"/>
          <w:sz w:val="21"/>
          <w:highlight w:val="none"/>
        </w:rPr>
      </w:pPr>
      <w:r>
        <w:rPr>
          <w:rFonts w:hint="eastAsia" w:hAnsi="宋体" w:cs="宋体"/>
          <w:color w:val="auto"/>
          <w:sz w:val="21"/>
          <w:highlight w:val="none"/>
        </w:rPr>
        <w:t>26.2参加过采购项目前期咨询论证的专家，不得参加该采购项目的评审活动。</w:t>
      </w:r>
    </w:p>
    <w:p w14:paraId="7AB9E22D">
      <w:pPr>
        <w:pStyle w:val="27"/>
        <w:snapToGrid w:val="0"/>
        <w:spacing w:line="360" w:lineRule="exact"/>
        <w:ind w:left="2" w:leftChars="1" w:firstLine="420" w:firstLineChars="200"/>
        <w:rPr>
          <w:rFonts w:hAnsi="宋体" w:cs="宋体"/>
          <w:color w:val="auto"/>
          <w:sz w:val="21"/>
          <w:highlight w:val="none"/>
        </w:rPr>
      </w:pPr>
      <w:r>
        <w:rPr>
          <w:rFonts w:hint="eastAsia" w:hAnsi="宋体" w:cs="宋体"/>
          <w:color w:val="auto"/>
          <w:sz w:val="21"/>
          <w:highlight w:val="none"/>
        </w:rPr>
        <w:t>26.3</w:t>
      </w:r>
      <w:r>
        <w:rPr>
          <w:rFonts w:hint="eastAsia" w:hAnsi="宋体" w:cs="宋体"/>
          <w:bCs/>
          <w:color w:val="auto"/>
          <w:sz w:val="21"/>
          <w:highlight w:val="none"/>
        </w:rPr>
        <w:t>采购代理机构必须基于</w:t>
      </w:r>
      <w:r>
        <w:rPr>
          <w:rFonts w:hint="eastAsia" w:hAnsi="宋体" w:cs="宋体"/>
          <w:bCs/>
          <w:color w:val="auto"/>
          <w:sz w:val="21"/>
          <w:highlight w:val="none"/>
          <w:lang w:eastAsia="zh-CN"/>
        </w:rPr>
        <w:t>广西政府采购云平台</w:t>
      </w:r>
      <w:r>
        <w:rPr>
          <w:rFonts w:hint="eastAsia" w:hAnsi="宋体" w:cs="宋体"/>
          <w:bCs/>
          <w:color w:val="auto"/>
          <w:sz w:val="21"/>
          <w:highlight w:val="none"/>
        </w:rPr>
        <w:t>选取评审专家，如采购代理机构未按规定选取专家的，视为本次开评标无效，应当重新采购。</w:t>
      </w:r>
    </w:p>
    <w:p w14:paraId="688C9F47">
      <w:pPr>
        <w:pStyle w:val="6"/>
        <w:keepNext w:val="0"/>
        <w:keepLines w:val="0"/>
        <w:spacing w:before="0" w:after="0" w:line="360" w:lineRule="exact"/>
        <w:ind w:left="420" w:leftChars="200" w:firstLine="602"/>
        <w:rPr>
          <w:rFonts w:ascii="宋体" w:hAnsi="宋体" w:cs="宋体"/>
          <w:color w:val="auto"/>
          <w:sz w:val="24"/>
          <w:highlight w:val="none"/>
        </w:rPr>
      </w:pPr>
      <w:r>
        <w:rPr>
          <w:rFonts w:hint="eastAsia" w:ascii="宋体" w:hAnsi="宋体" w:cs="宋体"/>
          <w:color w:val="auto"/>
          <w:sz w:val="24"/>
          <w:highlight w:val="none"/>
        </w:rPr>
        <w:t>27.评标的依据</w:t>
      </w:r>
    </w:p>
    <w:p w14:paraId="4FC9896A">
      <w:pPr>
        <w:pStyle w:val="27"/>
        <w:snapToGrid w:val="0"/>
        <w:spacing w:line="360" w:lineRule="exact"/>
        <w:ind w:firstLine="420" w:firstLineChars="200"/>
        <w:rPr>
          <w:rFonts w:hAnsi="宋体" w:cs="宋体"/>
          <w:color w:val="auto"/>
          <w:sz w:val="21"/>
          <w:highlight w:val="none"/>
        </w:rPr>
      </w:pPr>
      <w:r>
        <w:rPr>
          <w:rFonts w:hint="eastAsia" w:hAnsi="宋体" w:cs="宋体"/>
          <w:color w:val="auto"/>
          <w:sz w:val="21"/>
          <w:highlight w:val="none"/>
        </w:rPr>
        <w:t>评标委员会以“第四章 评标方法和评标标准”为依据对投标文件进行评审，没有规定的方法、评审因素和标准，不作为评标依据。</w:t>
      </w:r>
    </w:p>
    <w:p w14:paraId="3E6BFE69">
      <w:pPr>
        <w:pStyle w:val="6"/>
        <w:keepNext w:val="0"/>
        <w:keepLines w:val="0"/>
        <w:spacing w:before="0" w:after="0" w:line="360" w:lineRule="exact"/>
        <w:ind w:left="420" w:leftChars="200" w:firstLine="602"/>
        <w:rPr>
          <w:rFonts w:ascii="宋体" w:hAnsi="宋体" w:cs="宋体"/>
          <w:color w:val="auto"/>
          <w:sz w:val="24"/>
          <w:highlight w:val="none"/>
        </w:rPr>
      </w:pPr>
      <w:r>
        <w:rPr>
          <w:rFonts w:hint="eastAsia" w:ascii="宋体" w:hAnsi="宋体" w:cs="宋体"/>
          <w:color w:val="auto"/>
          <w:sz w:val="24"/>
          <w:highlight w:val="none"/>
        </w:rPr>
        <w:t>28.评标原则</w:t>
      </w:r>
    </w:p>
    <w:p w14:paraId="4C2318B4">
      <w:pPr>
        <w:pStyle w:val="27"/>
        <w:snapToGrid w:val="0"/>
        <w:spacing w:line="360" w:lineRule="exact"/>
        <w:ind w:firstLine="420" w:firstLineChars="200"/>
        <w:rPr>
          <w:rFonts w:hAnsi="宋体" w:cs="宋体"/>
          <w:color w:val="auto"/>
          <w:sz w:val="21"/>
          <w:highlight w:val="none"/>
        </w:rPr>
      </w:pPr>
      <w:r>
        <w:rPr>
          <w:rFonts w:hint="eastAsia" w:hAnsi="宋体" w:cs="宋体"/>
          <w:color w:val="auto"/>
          <w:sz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65D5AD53">
      <w:pPr>
        <w:pStyle w:val="27"/>
        <w:snapToGrid w:val="0"/>
        <w:spacing w:line="360" w:lineRule="exact"/>
        <w:ind w:firstLine="420" w:firstLineChars="200"/>
        <w:rPr>
          <w:rFonts w:hAnsi="宋体" w:cs="宋体"/>
          <w:color w:val="auto"/>
          <w:sz w:val="21"/>
          <w:highlight w:val="none"/>
        </w:rPr>
      </w:pPr>
      <w:r>
        <w:rPr>
          <w:rFonts w:hint="eastAsia" w:hAnsi="宋体" w:cs="宋体"/>
          <w:color w:val="auto"/>
          <w:sz w:val="21"/>
          <w:highlight w:val="none"/>
        </w:rPr>
        <w:t>28.2</w:t>
      </w:r>
      <w:bookmarkStart w:id="120" w:name="_28.3评标方法。本项目将按须知前附表规定的评标办法进行评标，具体评标"/>
      <w:bookmarkEnd w:id="120"/>
      <w:r>
        <w:rPr>
          <w:rFonts w:hint="eastAsia" w:hAnsi="宋体" w:cs="宋体"/>
          <w:color w:val="auto"/>
          <w:sz w:val="21"/>
          <w:highlight w:val="none"/>
        </w:rPr>
        <w:t>评委表决。评标委员会成员对需要共同认定的事项存在争议的，应当按照少数服从多数的原则作出结论。</w:t>
      </w:r>
    </w:p>
    <w:p w14:paraId="65148B75">
      <w:pPr>
        <w:pStyle w:val="27"/>
        <w:snapToGrid w:val="0"/>
        <w:spacing w:line="360" w:lineRule="exact"/>
        <w:ind w:firstLine="420" w:firstLineChars="200"/>
        <w:rPr>
          <w:rFonts w:hAnsi="宋体" w:cs="宋体"/>
          <w:color w:val="auto"/>
          <w:sz w:val="21"/>
          <w:highlight w:val="none"/>
        </w:rPr>
      </w:pPr>
      <w:r>
        <w:rPr>
          <w:rFonts w:hint="eastAsia" w:hAnsi="宋体" w:cs="宋体"/>
          <w:color w:val="auto"/>
          <w:sz w:val="21"/>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41FF1583">
      <w:pPr>
        <w:pStyle w:val="27"/>
        <w:snapToGrid w:val="0"/>
        <w:spacing w:line="360" w:lineRule="exact"/>
        <w:ind w:firstLine="420" w:firstLineChars="200"/>
        <w:rPr>
          <w:rFonts w:hAnsi="宋体" w:cs="宋体"/>
          <w:color w:val="auto"/>
          <w:sz w:val="21"/>
          <w:highlight w:val="none"/>
        </w:rPr>
      </w:pPr>
      <w:r>
        <w:rPr>
          <w:rFonts w:hint="eastAsia" w:hAnsi="宋体" w:cs="宋体"/>
          <w:color w:val="auto"/>
          <w:sz w:val="21"/>
          <w:highlight w:val="none"/>
        </w:rPr>
        <w:t>28.4评标过程的监控。本项目电子评标过程实行网上留痕、全程录音、录像监控，</w:t>
      </w:r>
      <w:r>
        <w:rPr>
          <w:rFonts w:hint="eastAsia" w:hAnsi="宋体" w:cs="宋体"/>
          <w:b/>
          <w:color w:val="auto"/>
          <w:sz w:val="21"/>
          <w:highlight w:val="none"/>
        </w:rPr>
        <w:t>投标人在评标过程中所进行的试图影响评标结果的不公正活动，可能导致其投标按无效处理。</w:t>
      </w:r>
    </w:p>
    <w:p w14:paraId="2331744A">
      <w:pPr>
        <w:pStyle w:val="6"/>
        <w:keepNext w:val="0"/>
        <w:keepLines w:val="0"/>
        <w:spacing w:before="0" w:after="0" w:line="360" w:lineRule="exact"/>
        <w:ind w:left="420" w:leftChars="200" w:firstLine="602"/>
        <w:rPr>
          <w:rFonts w:ascii="宋体" w:hAnsi="宋体" w:cs="宋体"/>
          <w:color w:val="auto"/>
          <w:sz w:val="24"/>
          <w:highlight w:val="none"/>
        </w:rPr>
      </w:pPr>
      <w:r>
        <w:rPr>
          <w:rFonts w:hint="eastAsia" w:ascii="宋体" w:hAnsi="宋体" w:cs="宋体"/>
          <w:color w:val="auto"/>
          <w:sz w:val="24"/>
          <w:highlight w:val="none"/>
        </w:rPr>
        <w:t>29.评标方法及中标候选人推荐</w:t>
      </w:r>
    </w:p>
    <w:p w14:paraId="3F5B8340">
      <w:pPr>
        <w:pStyle w:val="27"/>
        <w:snapToGrid w:val="0"/>
        <w:spacing w:line="360" w:lineRule="exact"/>
        <w:ind w:firstLine="420" w:firstLineChars="200"/>
        <w:rPr>
          <w:rFonts w:hAnsi="宋体" w:cs="宋体"/>
          <w:color w:val="auto"/>
          <w:sz w:val="21"/>
          <w:highlight w:val="none"/>
        </w:rPr>
      </w:pPr>
      <w:r>
        <w:rPr>
          <w:rFonts w:hint="eastAsia" w:hAnsi="宋体" w:cs="宋体"/>
          <w:color w:val="auto"/>
          <w:sz w:val="21"/>
          <w:highlight w:val="none"/>
        </w:rPr>
        <w:t>29.1本项目的评标方法详见“投标人须知前附表”。</w:t>
      </w:r>
    </w:p>
    <w:p w14:paraId="71E05452">
      <w:pPr>
        <w:pStyle w:val="27"/>
        <w:snapToGrid w:val="0"/>
        <w:spacing w:line="360" w:lineRule="exact"/>
        <w:ind w:firstLine="420" w:firstLineChars="200"/>
        <w:rPr>
          <w:rFonts w:hAnsi="宋体" w:cs="宋体"/>
          <w:color w:val="auto"/>
          <w:sz w:val="21"/>
          <w:highlight w:val="none"/>
        </w:rPr>
      </w:pPr>
      <w:r>
        <w:rPr>
          <w:rFonts w:hint="eastAsia" w:hAnsi="宋体" w:cs="宋体"/>
          <w:color w:val="auto"/>
          <w:sz w:val="21"/>
          <w:highlight w:val="none"/>
        </w:rPr>
        <w:t xml:space="preserve">29.2 </w:t>
      </w:r>
      <w:r>
        <w:rPr>
          <w:rFonts w:hint="eastAsia" w:hAnsi="宋体" w:cs="宋体"/>
          <w:color w:val="auto"/>
          <w:highlight w:val="none"/>
        </w:rPr>
        <w:t>商务/技术要求允许负偏离的条款数</w:t>
      </w:r>
      <w:r>
        <w:rPr>
          <w:rFonts w:hint="eastAsia" w:hAnsi="宋体" w:cs="宋体"/>
          <w:color w:val="auto"/>
          <w:sz w:val="21"/>
          <w:highlight w:val="none"/>
        </w:rPr>
        <w:t>详见“投标人须知前附表”。</w:t>
      </w:r>
    </w:p>
    <w:p w14:paraId="67D5442E">
      <w:pPr>
        <w:pStyle w:val="27"/>
        <w:snapToGrid w:val="0"/>
        <w:spacing w:line="360" w:lineRule="exact"/>
        <w:ind w:firstLine="420" w:firstLineChars="200"/>
        <w:rPr>
          <w:rFonts w:hAnsi="宋体" w:cs="宋体"/>
          <w:color w:val="auto"/>
          <w:sz w:val="21"/>
          <w:highlight w:val="none"/>
        </w:rPr>
      </w:pPr>
      <w:r>
        <w:rPr>
          <w:rFonts w:hint="eastAsia" w:hAnsi="宋体" w:cs="宋体"/>
          <w:color w:val="auto"/>
          <w:sz w:val="21"/>
          <w:highlight w:val="none"/>
        </w:rPr>
        <w:t>29.3 中标候选人推荐数量详见“投标人须知前附表”。</w:t>
      </w:r>
    </w:p>
    <w:p w14:paraId="04386CF6">
      <w:pPr>
        <w:spacing w:line="360" w:lineRule="exact"/>
        <w:ind w:firstLine="420" w:firstLineChars="200"/>
        <w:rPr>
          <w:rFonts w:ascii="宋体" w:hAnsi="宋体" w:cs="宋体"/>
          <w:color w:val="auto"/>
          <w:highlight w:val="none"/>
        </w:rPr>
      </w:pPr>
      <w:r>
        <w:rPr>
          <w:rFonts w:hint="eastAsia" w:ascii="宋体" w:hAnsi="宋体" w:cs="宋体"/>
          <w:color w:val="auto"/>
          <w:highlight w:val="none"/>
        </w:rPr>
        <w:t>29.4 电子交易活动的中止。采购过程中出现以下情形，导致电子交易平台无法正常运行，或者无法保证电子交易的公平、公正和安全时，采购代理机构可以中止电子交易活动：</w:t>
      </w:r>
    </w:p>
    <w:p w14:paraId="7859FC54">
      <w:pPr>
        <w:spacing w:line="360" w:lineRule="exact"/>
        <w:ind w:firstLine="420" w:firstLineChars="200"/>
        <w:rPr>
          <w:rFonts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46F1A932">
      <w:pPr>
        <w:spacing w:line="360" w:lineRule="exact"/>
        <w:ind w:firstLine="420" w:firstLineChars="200"/>
        <w:rPr>
          <w:rFonts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6155EFD7">
      <w:pPr>
        <w:spacing w:line="360" w:lineRule="exact"/>
        <w:ind w:firstLine="420" w:firstLineChars="200"/>
        <w:rPr>
          <w:rFonts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4B84AE56">
      <w:pPr>
        <w:spacing w:line="360" w:lineRule="exact"/>
        <w:ind w:firstLine="420" w:firstLineChars="200"/>
        <w:rPr>
          <w:rFonts w:ascii="宋体" w:hAnsi="宋体" w:cs="宋体"/>
          <w:color w:val="auto"/>
          <w:highlight w:val="none"/>
        </w:rPr>
      </w:pPr>
      <w:r>
        <w:rPr>
          <w:rFonts w:hint="eastAsia" w:ascii="宋体" w:hAnsi="宋体" w:cs="宋体"/>
          <w:color w:val="auto"/>
          <w:highlight w:val="none"/>
        </w:rPr>
        <w:t xml:space="preserve">（4）病毒发作导致不能进行正常操作的； </w:t>
      </w:r>
    </w:p>
    <w:p w14:paraId="212AE518">
      <w:pPr>
        <w:spacing w:line="360" w:lineRule="exact"/>
        <w:ind w:firstLine="420" w:firstLineChars="200"/>
        <w:rPr>
          <w:rFonts w:ascii="宋体" w:hAnsi="宋体" w:cs="宋体"/>
          <w:color w:val="auto"/>
          <w:highlight w:val="none"/>
        </w:rPr>
      </w:pPr>
      <w:r>
        <w:rPr>
          <w:rFonts w:hint="eastAsia" w:ascii="宋体" w:hAnsi="宋体" w:cs="宋体"/>
          <w:color w:val="auto"/>
          <w:highlight w:val="none"/>
        </w:rPr>
        <w:t>（5）其他无法保证电子交易的公平、公正和安全的情况。</w:t>
      </w:r>
    </w:p>
    <w:p w14:paraId="6FEBA787">
      <w:pPr>
        <w:spacing w:line="360" w:lineRule="exact"/>
        <w:ind w:firstLine="420" w:firstLineChars="200"/>
        <w:rPr>
          <w:rFonts w:ascii="宋体" w:hAnsi="宋体" w:cs="宋体"/>
          <w:color w:val="auto"/>
          <w:highlight w:val="none"/>
        </w:rPr>
      </w:pPr>
      <w:r>
        <w:rPr>
          <w:rFonts w:hint="eastAsia" w:ascii="宋体" w:hAnsi="宋体" w:cs="宋体"/>
          <w:color w:val="auto"/>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0A337EB4">
      <w:pPr>
        <w:pStyle w:val="27"/>
        <w:snapToGrid w:val="0"/>
        <w:spacing w:line="360" w:lineRule="exact"/>
        <w:rPr>
          <w:rFonts w:hAnsi="宋体" w:cs="宋体"/>
          <w:color w:val="auto"/>
          <w:sz w:val="21"/>
          <w:highlight w:val="none"/>
        </w:rPr>
      </w:pPr>
    </w:p>
    <w:p w14:paraId="2DCC4E58">
      <w:pPr>
        <w:pStyle w:val="4"/>
        <w:keepNext w:val="0"/>
        <w:keepLines w:val="0"/>
        <w:spacing w:line="360" w:lineRule="exact"/>
        <w:ind w:firstLine="803"/>
        <w:jc w:val="center"/>
        <w:rPr>
          <w:rFonts w:ascii="宋体" w:hAnsi="宋体" w:cs="宋体"/>
          <w:color w:val="auto"/>
          <w:highlight w:val="none"/>
        </w:rPr>
      </w:pPr>
      <w:bookmarkStart w:id="121" w:name="_Toc254970687"/>
      <w:bookmarkStart w:id="122" w:name="_Toc254970546"/>
      <w:r>
        <w:rPr>
          <w:rFonts w:hint="eastAsia" w:ascii="宋体" w:hAnsi="宋体" w:cs="宋体"/>
          <w:color w:val="auto"/>
          <w:highlight w:val="none"/>
        </w:rPr>
        <w:t>七、</w:t>
      </w:r>
      <w:bookmarkEnd w:id="121"/>
      <w:bookmarkEnd w:id="122"/>
      <w:r>
        <w:rPr>
          <w:rFonts w:hint="eastAsia" w:ascii="宋体" w:hAnsi="宋体" w:cs="宋体"/>
          <w:color w:val="auto"/>
          <w:highlight w:val="none"/>
        </w:rPr>
        <w:t>中标和合同</w:t>
      </w:r>
    </w:p>
    <w:p w14:paraId="52479CB7">
      <w:pPr>
        <w:pStyle w:val="6"/>
        <w:keepNext w:val="0"/>
        <w:keepLines w:val="0"/>
        <w:spacing w:before="0" w:after="0" w:line="360" w:lineRule="exact"/>
        <w:ind w:left="420" w:leftChars="200" w:firstLine="602"/>
        <w:rPr>
          <w:rFonts w:ascii="宋体" w:hAnsi="宋体" w:cs="宋体"/>
          <w:color w:val="auto"/>
          <w:sz w:val="24"/>
          <w:highlight w:val="none"/>
        </w:rPr>
      </w:pPr>
      <w:r>
        <w:rPr>
          <w:rFonts w:hint="eastAsia" w:ascii="宋体" w:hAnsi="宋体" w:cs="宋体"/>
          <w:color w:val="auto"/>
          <w:sz w:val="24"/>
          <w:highlight w:val="none"/>
        </w:rPr>
        <w:t>30 确定中标人</w:t>
      </w:r>
    </w:p>
    <w:p w14:paraId="4D0A83E9">
      <w:pPr>
        <w:pStyle w:val="6"/>
        <w:keepNext w:val="0"/>
        <w:keepLines w:val="0"/>
        <w:spacing w:before="0" w:after="0" w:line="360" w:lineRule="exact"/>
        <w:ind w:left="-134"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30.1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06DC47EA">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30.2采购人在收到评标报告5个工作日内未按评标报告推荐的中标候选人顺序确定中标人，又不能说明合法理由的，视同按评标报告推荐的顺序确定排名第一的中标候选人为中标人。</w:t>
      </w:r>
    </w:p>
    <w:p w14:paraId="288093EF">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30.3出现下列情形之一的，应予废标：</w:t>
      </w:r>
    </w:p>
    <w:p w14:paraId="415A1EF5">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（1）符合专业条件的供应商或者对招标文件作实质响应的供应商不足三家的；</w:t>
      </w:r>
    </w:p>
    <w:p w14:paraId="2EDD9855">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2BA165DC">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（3）投标人的报价均超过了采购预算，采购人不能支付的；</w:t>
      </w:r>
    </w:p>
    <w:p w14:paraId="5B699638">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（4）因重大变故，采购任务取消的。</w:t>
      </w:r>
    </w:p>
    <w:p w14:paraId="69E2CA6C">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废标后，采购人应当将废标理由通知所有投标人。</w:t>
      </w:r>
    </w:p>
    <w:p w14:paraId="249E56B1">
      <w:pPr>
        <w:pStyle w:val="6"/>
        <w:keepNext w:val="0"/>
        <w:keepLines w:val="0"/>
        <w:spacing w:before="0" w:after="0" w:line="360" w:lineRule="exact"/>
        <w:ind w:left="420" w:leftChars="200" w:firstLine="602"/>
        <w:rPr>
          <w:rFonts w:ascii="宋体" w:hAnsi="宋体" w:cs="宋体"/>
          <w:color w:val="auto"/>
          <w:sz w:val="24"/>
          <w:highlight w:val="none"/>
        </w:rPr>
      </w:pPr>
      <w:r>
        <w:rPr>
          <w:rFonts w:hint="eastAsia" w:ascii="宋体" w:hAnsi="宋体" w:cs="宋体"/>
          <w:color w:val="auto"/>
          <w:sz w:val="24"/>
          <w:highlight w:val="none"/>
        </w:rPr>
        <w:t>31. 结果公告</w:t>
      </w:r>
    </w:p>
    <w:p w14:paraId="57D2066E">
      <w:pPr>
        <w:pStyle w:val="6"/>
        <w:keepNext w:val="0"/>
        <w:keepLines w:val="0"/>
        <w:spacing w:before="0" w:after="0" w:line="360" w:lineRule="exact"/>
        <w:ind w:left="-134"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207C0791">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以上信息查询记录及相关证据与采购文件一并保存。</w:t>
      </w:r>
    </w:p>
    <w:p w14:paraId="51C20FEC">
      <w:pPr>
        <w:pStyle w:val="6"/>
        <w:keepNext w:val="0"/>
        <w:keepLines w:val="0"/>
        <w:spacing w:before="0" w:after="0" w:line="360" w:lineRule="exact"/>
        <w:ind w:left="-134"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31.2中标供应商享受《政府采购促进中小企业发展管理办法》（财库〔2020〕46号）规定的中小企业扶持政策的，采购人、采购代理机构应当随中标结果公开中标供应商的《中小企业声明函》。</w:t>
      </w:r>
    </w:p>
    <w:p w14:paraId="074C4813">
      <w:pPr>
        <w:pStyle w:val="6"/>
        <w:keepNext w:val="0"/>
        <w:keepLines w:val="0"/>
        <w:spacing w:before="0" w:after="0" w:line="360" w:lineRule="exact"/>
        <w:ind w:left="420" w:leftChars="200" w:firstLine="602"/>
        <w:rPr>
          <w:rFonts w:ascii="宋体" w:hAnsi="宋体" w:cs="宋体"/>
          <w:color w:val="auto"/>
          <w:sz w:val="24"/>
          <w:highlight w:val="none"/>
        </w:rPr>
      </w:pPr>
      <w:r>
        <w:rPr>
          <w:rFonts w:hint="eastAsia" w:ascii="宋体" w:hAnsi="宋体" w:cs="宋体"/>
          <w:color w:val="auto"/>
          <w:sz w:val="24"/>
          <w:highlight w:val="none"/>
        </w:rPr>
        <w:t>32.发出中标通知书</w:t>
      </w:r>
    </w:p>
    <w:p w14:paraId="1FE17617">
      <w:pPr>
        <w:pStyle w:val="6"/>
        <w:keepNext w:val="0"/>
        <w:keepLines w:val="0"/>
        <w:spacing w:before="0" w:after="0" w:line="360" w:lineRule="exact"/>
        <w:ind w:left="-134" w:firstLine="525"/>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在发布中标公告的同时，采购代理机构向中标人通过</w:t>
      </w:r>
      <w:r>
        <w:rPr>
          <w:rFonts w:hint="eastAsia" w:ascii="宋体" w:hAnsi="宋体" w:cs="宋体"/>
          <w:b w:val="0"/>
          <w:color w:val="auto"/>
          <w:sz w:val="21"/>
          <w:szCs w:val="21"/>
          <w:highlight w:val="none"/>
          <w:lang w:eastAsia="zh-CN"/>
        </w:rPr>
        <w:t>广西政府采购云平台</w:t>
      </w:r>
      <w:r>
        <w:rPr>
          <w:rFonts w:hint="eastAsia" w:ascii="宋体" w:hAnsi="宋体" w:cs="宋体"/>
          <w:b w:val="0"/>
          <w:color w:val="auto"/>
          <w:sz w:val="21"/>
          <w:szCs w:val="21"/>
          <w:highlight w:val="none"/>
        </w:rPr>
        <w:t>发出电子中标通知书。对未通过资格审查的投标人，应当告知其未通过的原因；采用综合评分办法评审的，还应当告知未中标人本人的评审得分与排序。</w:t>
      </w:r>
    </w:p>
    <w:p w14:paraId="4F569A37">
      <w:pPr>
        <w:pStyle w:val="6"/>
        <w:keepNext w:val="0"/>
        <w:keepLines w:val="0"/>
        <w:spacing w:before="0" w:after="0" w:line="360" w:lineRule="exact"/>
        <w:ind w:left="420" w:leftChars="200" w:firstLine="602"/>
        <w:rPr>
          <w:rFonts w:ascii="宋体" w:hAnsi="宋体" w:cs="宋体"/>
          <w:color w:val="auto"/>
          <w:sz w:val="24"/>
          <w:highlight w:val="none"/>
        </w:rPr>
      </w:pPr>
      <w:r>
        <w:rPr>
          <w:rFonts w:hint="eastAsia" w:ascii="宋体" w:hAnsi="宋体" w:cs="宋体"/>
          <w:color w:val="auto"/>
          <w:sz w:val="24"/>
          <w:highlight w:val="none"/>
        </w:rPr>
        <w:t>33. 无义务解释未中标原因</w:t>
      </w:r>
    </w:p>
    <w:p w14:paraId="7B9EDC5C">
      <w:pPr>
        <w:pStyle w:val="6"/>
        <w:keepNext w:val="0"/>
        <w:keepLines w:val="0"/>
        <w:spacing w:before="0" w:after="0" w:line="360" w:lineRule="exact"/>
        <w:ind w:left="420" w:leftChars="200" w:firstLine="525"/>
        <w:rPr>
          <w:rFonts w:ascii="宋体" w:hAnsi="宋体" w:cs="宋体"/>
          <w:b w:val="0"/>
          <w:color w:val="auto"/>
          <w:sz w:val="21"/>
          <w:szCs w:val="21"/>
          <w:highlight w:val="none"/>
        </w:rPr>
      </w:pPr>
      <w:r>
        <w:rPr>
          <w:rFonts w:hint="eastAsia" w:ascii="宋体" w:hAnsi="宋体" w:cs="宋体"/>
          <w:b w:val="0"/>
          <w:color w:val="auto"/>
          <w:sz w:val="21"/>
          <w:szCs w:val="21"/>
          <w:highlight w:val="none"/>
        </w:rPr>
        <w:t>采购代理机构无义务向未中标的投标人解释未中标原因。</w:t>
      </w:r>
    </w:p>
    <w:p w14:paraId="302A9236">
      <w:pPr>
        <w:pStyle w:val="6"/>
        <w:keepNext w:val="0"/>
        <w:keepLines w:val="0"/>
        <w:spacing w:before="0" w:after="0" w:line="360" w:lineRule="exact"/>
        <w:ind w:left="420" w:leftChars="200" w:firstLine="602"/>
        <w:rPr>
          <w:rFonts w:ascii="宋体" w:hAnsi="宋体" w:cs="宋体"/>
          <w:color w:val="auto"/>
          <w:sz w:val="24"/>
          <w:highlight w:val="none"/>
        </w:rPr>
      </w:pPr>
      <w:r>
        <w:rPr>
          <w:rFonts w:hint="eastAsia" w:ascii="宋体" w:hAnsi="宋体" w:cs="宋体"/>
          <w:color w:val="auto"/>
          <w:sz w:val="24"/>
          <w:highlight w:val="none"/>
        </w:rPr>
        <w:t>34.合同授予标准</w:t>
      </w:r>
    </w:p>
    <w:p w14:paraId="00A5672D">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合同将授予被确定实质上响应招标文件要求，具备履行合同能力的中标人。</w:t>
      </w:r>
    </w:p>
    <w:p w14:paraId="5DC384F4">
      <w:pPr>
        <w:pStyle w:val="6"/>
        <w:keepNext w:val="0"/>
        <w:keepLines w:val="0"/>
        <w:spacing w:before="0" w:after="0" w:line="360" w:lineRule="exact"/>
        <w:ind w:left="420" w:leftChars="200" w:firstLine="602"/>
        <w:rPr>
          <w:rFonts w:ascii="宋体" w:hAnsi="宋体" w:cs="宋体"/>
          <w:color w:val="auto"/>
          <w:sz w:val="24"/>
          <w:highlight w:val="none"/>
        </w:rPr>
      </w:pPr>
      <w:r>
        <w:rPr>
          <w:rFonts w:hint="eastAsia" w:ascii="宋体" w:hAnsi="宋体" w:cs="宋体"/>
          <w:color w:val="auto"/>
          <w:sz w:val="24"/>
          <w:highlight w:val="none"/>
        </w:rPr>
        <w:t>35.履约保证金</w:t>
      </w:r>
    </w:p>
    <w:p w14:paraId="2600B884">
      <w:pPr>
        <w:pStyle w:val="6"/>
        <w:keepNext w:val="0"/>
        <w:keepLines w:val="0"/>
        <w:spacing w:before="0" w:after="0" w:line="360" w:lineRule="exact"/>
        <w:ind w:left="-134" w:firstLine="315" w:firstLineChars="150"/>
        <w:rPr>
          <w:rFonts w:ascii="宋体" w:hAnsi="宋体" w:cs="宋体"/>
          <w:b w:val="0"/>
          <w:color w:val="auto"/>
          <w:sz w:val="21"/>
          <w:szCs w:val="21"/>
          <w:highlight w:val="none"/>
        </w:rPr>
      </w:pPr>
      <w:bookmarkStart w:id="123" w:name="_39.1中标人须于签订合同前按本须知前附表规定的金额转账或电汇到指定账"/>
      <w:bookmarkEnd w:id="123"/>
      <w:r>
        <w:rPr>
          <w:rFonts w:hint="eastAsia" w:ascii="宋体" w:hAnsi="宋体" w:cs="宋体"/>
          <w:b w:val="0"/>
          <w:color w:val="auto"/>
          <w:sz w:val="21"/>
          <w:szCs w:val="21"/>
          <w:highlight w:val="none"/>
        </w:rPr>
        <w:t xml:space="preserve"> 35.1 履约保证金的金额、提交方式、退付的时间和条件详见 “投标人须知前附表”。中标人未按规定提交履约保证金的，视为拒绝与采购人签订合同。</w:t>
      </w:r>
    </w:p>
    <w:p w14:paraId="7BAE1256">
      <w:pPr>
        <w:pStyle w:val="6"/>
        <w:keepNext w:val="0"/>
        <w:keepLines w:val="0"/>
        <w:spacing w:before="0" w:after="0" w:line="360" w:lineRule="exact"/>
        <w:ind w:left="-134" w:firstLine="316" w:firstLineChars="150"/>
        <w:rPr>
          <w:rFonts w:ascii="宋体" w:hAnsi="宋体" w:cs="宋体"/>
          <w:color w:val="auto"/>
          <w:sz w:val="21"/>
          <w:szCs w:val="21"/>
          <w:highlight w:val="none"/>
        </w:rPr>
      </w:pPr>
      <w:r>
        <w:rPr>
          <w:rFonts w:hint="eastAsia" w:ascii="宋体" w:hAnsi="宋体" w:cs="宋体"/>
          <w:color w:val="auto"/>
          <w:sz w:val="21"/>
          <w:szCs w:val="21"/>
          <w:highlight w:val="none"/>
        </w:rPr>
        <w:t xml:space="preserve"> </w:t>
      </w:r>
      <w:r>
        <w:rPr>
          <w:rFonts w:hint="eastAsia" w:ascii="宋体" w:hAnsi="宋体" w:cs="宋体"/>
          <w:b w:val="0"/>
          <w:bCs/>
          <w:color w:val="auto"/>
          <w:sz w:val="21"/>
          <w:szCs w:val="21"/>
          <w:highlight w:val="none"/>
        </w:rPr>
        <w:t>35.2在履约保证金退还日期前，若中标人的开户名称、开户银行、帐号有变动的，请以书面形式通知履约保证金收取单位，否则由此产生的后果由中标人自行承担。</w:t>
      </w:r>
    </w:p>
    <w:p w14:paraId="5E03B1C0">
      <w:pPr>
        <w:pStyle w:val="6"/>
        <w:keepNext w:val="0"/>
        <w:keepLines w:val="0"/>
        <w:spacing w:before="0" w:after="0" w:line="360" w:lineRule="exact"/>
        <w:ind w:left="420" w:leftChars="200" w:firstLine="602"/>
        <w:rPr>
          <w:rFonts w:ascii="宋体" w:hAnsi="宋体" w:cs="宋体"/>
          <w:color w:val="auto"/>
          <w:sz w:val="24"/>
          <w:highlight w:val="none"/>
        </w:rPr>
      </w:pPr>
      <w:r>
        <w:rPr>
          <w:rFonts w:hint="eastAsia" w:ascii="宋体" w:hAnsi="宋体" w:cs="宋体"/>
          <w:color w:val="auto"/>
          <w:sz w:val="24"/>
          <w:highlight w:val="none"/>
        </w:rPr>
        <w:t>36.签订合同</w:t>
      </w:r>
    </w:p>
    <w:p w14:paraId="5D2CD0C8">
      <w:pPr>
        <w:pStyle w:val="6"/>
        <w:keepNext w:val="0"/>
        <w:keepLines w:val="0"/>
        <w:spacing w:before="0" w:after="0" w:line="360" w:lineRule="exact"/>
        <w:ind w:left="-134" w:firstLine="315" w:firstLineChars="150"/>
        <w:rPr>
          <w:rFonts w:ascii="宋体" w:hAnsi="宋体" w:cs="宋体"/>
          <w:b w:val="0"/>
          <w:color w:val="auto"/>
          <w:sz w:val="21"/>
          <w:szCs w:val="21"/>
          <w:highlight w:val="none"/>
        </w:rPr>
      </w:pPr>
      <w:bookmarkStart w:id="124" w:name="_40.1投标人接到中标通知书后，按须知前附表规定向采购人出示相关资格证"/>
      <w:bookmarkEnd w:id="124"/>
      <w:r>
        <w:rPr>
          <w:rFonts w:hint="eastAsia" w:ascii="宋体" w:hAnsi="宋体" w:cs="宋体"/>
          <w:b w:val="0"/>
          <w:color w:val="auto"/>
          <w:sz w:val="21"/>
          <w:szCs w:val="21"/>
          <w:highlight w:val="none"/>
        </w:rPr>
        <w:t xml:space="preserve"> </w:t>
      </w:r>
      <w:r>
        <w:rPr>
          <w:rFonts w:hint="eastAsia" w:ascii="宋体" w:hAnsi="宋体" w:cs="宋体"/>
          <w:color w:val="auto"/>
          <w:sz w:val="21"/>
          <w:szCs w:val="21"/>
          <w:highlight w:val="none"/>
        </w:rPr>
        <w:t>36.1签订电子采购合同：中标人领取电子中标通知书后，</w:t>
      </w:r>
      <w:r>
        <w:rPr>
          <w:rFonts w:hint="eastAsia" w:ascii="宋体" w:hAnsi="宋体" w:cs="宋体"/>
          <w:color w:val="auto"/>
          <w:kern w:val="0"/>
          <w:sz w:val="21"/>
          <w:szCs w:val="21"/>
          <w:highlight w:val="none"/>
        </w:rPr>
        <w:t>在规定的日期、时间、地点，由法定代表人或其授权代表与采购人代表签订电子采购合同。如中标人为联合体的，由联合体成员各方法定代表人或其授权代表与采购人代表签订合同。</w:t>
      </w:r>
    </w:p>
    <w:p w14:paraId="3DD42FE4">
      <w:pPr>
        <w:pStyle w:val="6"/>
        <w:keepNext w:val="0"/>
        <w:keepLines w:val="0"/>
        <w:spacing w:before="0" w:after="0" w:line="360" w:lineRule="exact"/>
        <w:ind w:left="-134"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线下签订纸质合同：投标人领取中标通知书后，按“投标人须知前附表”规定向采购人出示相关证明材料，经采购人核验合格后方可签订合同。</w:t>
      </w:r>
    </w:p>
    <w:p w14:paraId="1F953405">
      <w:pPr>
        <w:pStyle w:val="6"/>
        <w:keepNext w:val="0"/>
        <w:keepLines w:val="0"/>
        <w:numPr>
          <w:ilvl w:val="0"/>
          <w:numId w:val="0"/>
        </w:numPr>
        <w:spacing w:before="0" w:after="0" w:line="360" w:lineRule="exact"/>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36.2签订合同时间：按中标通知书规定的时间与采购人签订合同。</w:t>
      </w:r>
    </w:p>
    <w:p w14:paraId="6E56CE26">
      <w:pPr>
        <w:pStyle w:val="6"/>
        <w:keepNext w:val="0"/>
        <w:keepLines w:val="0"/>
        <w:spacing w:before="0" w:after="0" w:line="360" w:lineRule="exact"/>
        <w:ind w:left="-134" w:firstLine="525"/>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36.3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0C9D15EC">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46922B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36.5采购人或中标供应商不得单方面向合同另一方提出任何招标文件没有约定的条件或不合理的要求，作为签订合同的条件；也不得协商另行订立背离招标文件和合同实质性内容的协议。</w:t>
      </w:r>
    </w:p>
    <w:p w14:paraId="17AEEA7A">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36.6如签订合同并生效后，供应商无故拒绝或延期，除按照合同条款处理外，将承担相应的法律责任。</w:t>
      </w:r>
    </w:p>
    <w:p w14:paraId="2ED689B8">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786A3C87">
      <w:pPr>
        <w:pStyle w:val="6"/>
        <w:keepNext w:val="0"/>
        <w:keepLines w:val="0"/>
        <w:spacing w:before="0" w:after="0" w:line="360" w:lineRule="exact"/>
        <w:ind w:left="420" w:leftChars="200" w:firstLine="602"/>
        <w:rPr>
          <w:rFonts w:ascii="宋体" w:hAnsi="宋体" w:cs="宋体"/>
          <w:color w:val="auto"/>
          <w:sz w:val="24"/>
          <w:highlight w:val="none"/>
        </w:rPr>
      </w:pPr>
      <w:bookmarkStart w:id="125" w:name="_41.政府采购合同公告"/>
      <w:bookmarkEnd w:id="125"/>
      <w:r>
        <w:rPr>
          <w:rFonts w:hint="eastAsia" w:ascii="宋体" w:hAnsi="宋体" w:cs="宋体"/>
          <w:color w:val="auto"/>
          <w:sz w:val="24"/>
          <w:highlight w:val="none"/>
        </w:rPr>
        <w:t>37.政府采购合同公告</w:t>
      </w:r>
    </w:p>
    <w:p w14:paraId="3F043509">
      <w:pPr>
        <w:pStyle w:val="27"/>
        <w:snapToGrid w:val="0"/>
        <w:spacing w:line="360" w:lineRule="exact"/>
        <w:ind w:firstLine="420" w:firstLineChars="200"/>
        <w:rPr>
          <w:rFonts w:hAnsi="宋体" w:cs="宋体"/>
          <w:color w:val="auto"/>
          <w:sz w:val="21"/>
          <w:highlight w:val="none"/>
        </w:rPr>
      </w:pPr>
      <w:r>
        <w:rPr>
          <w:rFonts w:hint="eastAsia" w:hAnsi="宋体" w:cs="宋体"/>
          <w:color w:val="auto"/>
          <w:sz w:val="21"/>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570C0578">
      <w:pPr>
        <w:pStyle w:val="6"/>
        <w:keepNext w:val="0"/>
        <w:keepLines w:val="0"/>
        <w:spacing w:before="0" w:after="0" w:line="360" w:lineRule="exact"/>
        <w:ind w:left="420" w:leftChars="200" w:firstLine="602"/>
        <w:rPr>
          <w:rFonts w:ascii="宋体" w:hAnsi="宋体" w:cs="宋体"/>
          <w:color w:val="auto"/>
          <w:sz w:val="24"/>
          <w:highlight w:val="none"/>
        </w:rPr>
      </w:pPr>
      <w:r>
        <w:rPr>
          <w:rFonts w:hint="eastAsia" w:ascii="宋体" w:hAnsi="宋体" w:cs="宋体"/>
          <w:color w:val="auto"/>
          <w:sz w:val="24"/>
          <w:highlight w:val="none"/>
        </w:rPr>
        <w:t>38. 询问、质疑和投诉</w:t>
      </w:r>
    </w:p>
    <w:p w14:paraId="77785166">
      <w:pPr>
        <w:pStyle w:val="7"/>
        <w:spacing w:line="360" w:lineRule="exact"/>
        <w:ind w:firstLine="525"/>
        <w:rPr>
          <w:rFonts w:ascii="宋体" w:hAnsi="宋体" w:cs="宋体"/>
          <w:color w:val="auto"/>
          <w:szCs w:val="21"/>
          <w:highlight w:val="none"/>
        </w:rPr>
      </w:pPr>
      <w:r>
        <w:rPr>
          <w:rFonts w:hint="eastAsia" w:ascii="宋体" w:hAnsi="宋体" w:cs="宋体"/>
          <w:color w:val="auto"/>
          <w:szCs w:val="21"/>
          <w:highlight w:val="none"/>
        </w:rPr>
        <w:t>38.1供应商对政府采购活动事项有疑问的，可以向采购人提出询问，采购人或者采购代理机构应当在3个工作日内对供应商依法提出的询问作出答复，但答复的内容不得涉及商业秘密。</w:t>
      </w:r>
    </w:p>
    <w:p w14:paraId="71EA6A49">
      <w:pPr>
        <w:pStyle w:val="6"/>
        <w:keepNext w:val="0"/>
        <w:keepLines w:val="0"/>
        <w:spacing w:before="0" w:after="0" w:line="360" w:lineRule="exact"/>
        <w:ind w:left="-134"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42BA4DFD">
      <w:pPr>
        <w:pStyle w:val="27"/>
        <w:snapToGrid w:val="0"/>
        <w:spacing w:line="360" w:lineRule="exact"/>
        <w:ind w:firstLine="420" w:firstLineChars="200"/>
        <w:rPr>
          <w:rFonts w:hAnsi="宋体" w:cs="宋体"/>
          <w:color w:val="auto"/>
          <w:sz w:val="21"/>
          <w:highlight w:val="none"/>
        </w:rPr>
      </w:pPr>
      <w:r>
        <w:rPr>
          <w:rFonts w:hint="eastAsia" w:hAnsi="宋体" w:cs="宋体"/>
          <w:color w:val="auto"/>
          <w:sz w:val="21"/>
          <w:highlight w:val="none"/>
        </w:rPr>
        <w:t>（1）对可以质疑的招标文件提出质疑的，为收到招标文件之日或者招标文件公告期限届满之日；</w:t>
      </w:r>
    </w:p>
    <w:p w14:paraId="6F53FD8D">
      <w:pPr>
        <w:pStyle w:val="27"/>
        <w:snapToGrid w:val="0"/>
        <w:spacing w:line="360" w:lineRule="exact"/>
        <w:ind w:firstLine="420" w:firstLineChars="200"/>
        <w:rPr>
          <w:rFonts w:hAnsi="宋体" w:cs="宋体"/>
          <w:color w:val="auto"/>
          <w:sz w:val="21"/>
          <w:highlight w:val="none"/>
        </w:rPr>
      </w:pPr>
      <w:r>
        <w:rPr>
          <w:rFonts w:hint="eastAsia" w:hAnsi="宋体" w:cs="宋体"/>
          <w:color w:val="auto"/>
          <w:sz w:val="21"/>
          <w:highlight w:val="none"/>
        </w:rPr>
        <w:t>（2）对采购过程提出质疑的，为各采购程序环节结束之日；</w:t>
      </w:r>
    </w:p>
    <w:p w14:paraId="6BFA6000">
      <w:pPr>
        <w:pStyle w:val="27"/>
        <w:snapToGrid w:val="0"/>
        <w:spacing w:line="360" w:lineRule="exact"/>
        <w:ind w:firstLine="420" w:firstLineChars="200"/>
        <w:rPr>
          <w:rFonts w:hAnsi="宋体" w:cs="宋体"/>
          <w:bCs/>
          <w:color w:val="auto"/>
          <w:sz w:val="21"/>
          <w:highlight w:val="none"/>
        </w:rPr>
      </w:pPr>
      <w:r>
        <w:rPr>
          <w:rFonts w:hint="eastAsia" w:hAnsi="宋体" w:cs="宋体"/>
          <w:color w:val="auto"/>
          <w:sz w:val="21"/>
          <w:highlight w:val="none"/>
        </w:rPr>
        <w:t>（3）对中标结果提出质疑的，为中标结果公告期限届满之日。</w:t>
      </w:r>
    </w:p>
    <w:p w14:paraId="50A01CAA">
      <w:pPr>
        <w:pStyle w:val="6"/>
        <w:keepNext w:val="0"/>
        <w:keepLines w:val="0"/>
        <w:spacing w:before="0" w:after="0" w:line="360" w:lineRule="exact"/>
        <w:ind w:left="-134"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38.3 </w:t>
      </w:r>
      <w:r>
        <w:rPr>
          <w:rFonts w:hint="eastAsia" w:ascii="宋体" w:hAnsi="宋体" w:cs="宋体"/>
          <w:b w:val="0"/>
          <w:bCs/>
          <w:color w:val="auto"/>
          <w:sz w:val="21"/>
          <w:highlight w:val="none"/>
        </w:rPr>
        <w:t>供应商提出质疑应当提交质疑函和必要的证明材料，针对同一采购程序环节的质疑必须在法定质疑期内一次性提出。质疑函应当包括下列内容（质疑函格式后附）：</w:t>
      </w:r>
    </w:p>
    <w:p w14:paraId="59314EFA">
      <w:pPr>
        <w:pStyle w:val="27"/>
        <w:snapToGrid w:val="0"/>
        <w:spacing w:line="360" w:lineRule="exact"/>
        <w:ind w:firstLine="420" w:firstLineChars="200"/>
        <w:rPr>
          <w:rFonts w:hAnsi="宋体" w:cs="宋体"/>
          <w:bCs/>
          <w:color w:val="auto"/>
          <w:sz w:val="21"/>
          <w:highlight w:val="none"/>
        </w:rPr>
      </w:pPr>
      <w:r>
        <w:rPr>
          <w:rFonts w:hint="eastAsia" w:hAnsi="宋体" w:cs="宋体"/>
          <w:bCs/>
          <w:color w:val="auto"/>
          <w:sz w:val="21"/>
          <w:highlight w:val="none"/>
        </w:rPr>
        <w:t>（1）供应商的姓名或者名称、地址、邮编、联系人及联系电话；</w:t>
      </w:r>
    </w:p>
    <w:p w14:paraId="46E2D62B">
      <w:pPr>
        <w:pStyle w:val="27"/>
        <w:snapToGrid w:val="0"/>
        <w:spacing w:line="360" w:lineRule="exact"/>
        <w:ind w:firstLine="420" w:firstLineChars="200"/>
        <w:rPr>
          <w:rFonts w:hAnsi="宋体" w:cs="宋体"/>
          <w:bCs/>
          <w:color w:val="auto"/>
          <w:sz w:val="21"/>
          <w:highlight w:val="none"/>
        </w:rPr>
      </w:pPr>
      <w:r>
        <w:rPr>
          <w:rFonts w:hint="eastAsia" w:hAnsi="宋体" w:cs="宋体"/>
          <w:bCs/>
          <w:color w:val="auto"/>
          <w:sz w:val="21"/>
          <w:highlight w:val="none"/>
        </w:rPr>
        <w:t>（2）质疑项目的名称、编号；</w:t>
      </w:r>
    </w:p>
    <w:p w14:paraId="5BEAA7E8">
      <w:pPr>
        <w:pStyle w:val="27"/>
        <w:snapToGrid w:val="0"/>
        <w:spacing w:line="360" w:lineRule="exact"/>
        <w:ind w:firstLine="420" w:firstLineChars="200"/>
        <w:rPr>
          <w:rFonts w:hAnsi="宋体" w:cs="宋体"/>
          <w:bCs/>
          <w:color w:val="auto"/>
          <w:sz w:val="21"/>
          <w:highlight w:val="none"/>
        </w:rPr>
      </w:pPr>
      <w:r>
        <w:rPr>
          <w:rFonts w:hint="eastAsia" w:hAnsi="宋体" w:cs="宋体"/>
          <w:bCs/>
          <w:color w:val="auto"/>
          <w:sz w:val="21"/>
          <w:highlight w:val="none"/>
        </w:rPr>
        <w:t>（3）具体、明确的质疑事项和与质疑事项相关的请求；</w:t>
      </w:r>
    </w:p>
    <w:p w14:paraId="7BAF0C17">
      <w:pPr>
        <w:pStyle w:val="27"/>
        <w:snapToGrid w:val="0"/>
        <w:spacing w:line="360" w:lineRule="exact"/>
        <w:ind w:firstLine="420" w:firstLineChars="200"/>
        <w:rPr>
          <w:rFonts w:hAnsi="宋体" w:cs="宋体"/>
          <w:bCs/>
          <w:color w:val="auto"/>
          <w:sz w:val="21"/>
          <w:highlight w:val="none"/>
        </w:rPr>
      </w:pPr>
      <w:r>
        <w:rPr>
          <w:rFonts w:hint="eastAsia" w:hAnsi="宋体" w:cs="宋体"/>
          <w:bCs/>
          <w:color w:val="auto"/>
          <w:sz w:val="21"/>
          <w:highlight w:val="none"/>
        </w:rPr>
        <w:t>（4）事实依据；</w:t>
      </w:r>
    </w:p>
    <w:p w14:paraId="00C27D9A">
      <w:pPr>
        <w:pStyle w:val="27"/>
        <w:snapToGrid w:val="0"/>
        <w:spacing w:line="360" w:lineRule="exact"/>
        <w:ind w:firstLine="420" w:firstLineChars="200"/>
        <w:rPr>
          <w:rFonts w:hAnsi="宋体" w:cs="宋体"/>
          <w:bCs/>
          <w:color w:val="auto"/>
          <w:sz w:val="21"/>
          <w:highlight w:val="none"/>
        </w:rPr>
      </w:pPr>
      <w:r>
        <w:rPr>
          <w:rFonts w:hint="eastAsia" w:hAnsi="宋体" w:cs="宋体"/>
          <w:bCs/>
          <w:color w:val="auto"/>
          <w:sz w:val="21"/>
          <w:highlight w:val="none"/>
        </w:rPr>
        <w:t>（5）必要的法律依据；</w:t>
      </w:r>
    </w:p>
    <w:p w14:paraId="41232AA2">
      <w:pPr>
        <w:pStyle w:val="27"/>
        <w:snapToGrid w:val="0"/>
        <w:spacing w:line="360" w:lineRule="exact"/>
        <w:ind w:firstLine="420" w:firstLineChars="200"/>
        <w:rPr>
          <w:rFonts w:hAnsi="宋体" w:cs="宋体"/>
          <w:bCs/>
          <w:color w:val="auto"/>
          <w:sz w:val="21"/>
          <w:highlight w:val="none"/>
        </w:rPr>
      </w:pPr>
      <w:r>
        <w:rPr>
          <w:rFonts w:hint="eastAsia" w:hAnsi="宋体" w:cs="宋体"/>
          <w:bCs/>
          <w:color w:val="auto"/>
          <w:sz w:val="21"/>
          <w:highlight w:val="none"/>
        </w:rPr>
        <w:t>（6）提出质疑的日期。</w:t>
      </w:r>
    </w:p>
    <w:p w14:paraId="6E18315D">
      <w:pPr>
        <w:pStyle w:val="27"/>
        <w:snapToGrid w:val="0"/>
        <w:spacing w:line="360" w:lineRule="exact"/>
        <w:ind w:firstLine="420" w:firstLineChars="200"/>
        <w:rPr>
          <w:rFonts w:hAnsi="宋体" w:cs="宋体"/>
          <w:bCs/>
          <w:color w:val="auto"/>
          <w:sz w:val="21"/>
          <w:highlight w:val="none"/>
        </w:rPr>
      </w:pPr>
      <w:r>
        <w:rPr>
          <w:rFonts w:hint="eastAsia" w:hAnsi="宋体" w:cs="宋体"/>
          <w:bCs/>
          <w:color w:val="auto"/>
          <w:sz w:val="21"/>
          <w:highlight w:val="none"/>
        </w:rPr>
        <w:t>供应商为自然人的，应当由本人签字；供应商为法人或者其他组织的，应当由法定代表人、主要负责人，或者其委托代理人签字或者盖章，并加盖公章。</w:t>
      </w:r>
    </w:p>
    <w:p w14:paraId="365BE553">
      <w:pPr>
        <w:pStyle w:val="6"/>
        <w:keepNext w:val="0"/>
        <w:keepLines w:val="0"/>
        <w:snapToGrid w:val="0"/>
        <w:spacing w:before="0" w:after="0" w:line="360" w:lineRule="exact"/>
        <w:ind w:left="-134" w:firstLine="420" w:firstLineChars="200"/>
        <w:rPr>
          <w:rFonts w:ascii="宋体" w:hAnsi="宋体" w:cs="宋体"/>
          <w:b w:val="0"/>
          <w:bCs/>
          <w:color w:val="auto"/>
          <w:sz w:val="21"/>
          <w:szCs w:val="21"/>
          <w:highlight w:val="none"/>
        </w:rPr>
      </w:pPr>
      <w:r>
        <w:rPr>
          <w:rFonts w:hint="eastAsia" w:ascii="宋体" w:hAnsi="宋体" w:cs="宋体"/>
          <w:b w:val="0"/>
          <w:color w:val="auto"/>
          <w:sz w:val="21"/>
          <w:szCs w:val="21"/>
          <w:highlight w:val="none"/>
        </w:rPr>
        <w:t>3</w:t>
      </w:r>
      <w:r>
        <w:rPr>
          <w:rFonts w:hint="eastAsia" w:ascii="宋体" w:hAnsi="宋体" w:cs="宋体"/>
          <w:b w:val="0"/>
          <w:bCs/>
          <w:color w:val="auto"/>
          <w:sz w:val="21"/>
          <w:szCs w:val="21"/>
          <w:highlight w:val="none"/>
        </w:rPr>
        <w:t>8.4采购人、采购代理机构认为供应商质疑不成立，或者成立但未对中标结果构成影响的，继续开展采购活动；认为供应商质疑成立且影响或者可能影响中标结果的，按照下列情况处理：</w:t>
      </w:r>
    </w:p>
    <w:p w14:paraId="08C43E2E">
      <w:pPr>
        <w:pStyle w:val="27"/>
        <w:snapToGrid w:val="0"/>
        <w:spacing w:line="360" w:lineRule="exact"/>
        <w:rPr>
          <w:rFonts w:hAnsi="宋体" w:cs="宋体"/>
          <w:bCs/>
          <w:color w:val="auto"/>
          <w:sz w:val="21"/>
          <w:highlight w:val="none"/>
        </w:rPr>
      </w:pPr>
      <w:r>
        <w:rPr>
          <w:rFonts w:hint="eastAsia" w:hAnsi="宋体" w:cs="宋体"/>
          <w:bCs/>
          <w:color w:val="auto"/>
          <w:sz w:val="21"/>
          <w:highlight w:val="none"/>
        </w:rPr>
        <w:t>　　（一）对招标文件提出的质疑，依法通过澄清或者修改可以继续开展采购活动的，澄清或者修改招标文件后继续开展采购活动；否则应当修改招标文件后重新开展采购活动。</w:t>
      </w:r>
    </w:p>
    <w:p w14:paraId="1E9D6D33">
      <w:pPr>
        <w:pStyle w:val="27"/>
        <w:snapToGrid w:val="0"/>
        <w:spacing w:line="360" w:lineRule="exact"/>
        <w:rPr>
          <w:rFonts w:hAnsi="宋体" w:cs="宋体"/>
          <w:bCs/>
          <w:color w:val="auto"/>
          <w:sz w:val="21"/>
          <w:highlight w:val="none"/>
        </w:rPr>
      </w:pPr>
      <w:r>
        <w:rPr>
          <w:rFonts w:hint="eastAsia" w:hAnsi="宋体" w:cs="宋体"/>
          <w:bCs/>
          <w:color w:val="auto"/>
          <w:sz w:val="21"/>
          <w:highlight w:val="none"/>
        </w:rPr>
        <w:t>　　（二）对采购过程、中标结果提出的质疑，合格供应商符合法定数量时，可以从合格的中标候选人中另行确定中标供应商的，应当依法另行确定中标供应商；否则应当重新开展采购活动。</w:t>
      </w:r>
    </w:p>
    <w:p w14:paraId="629DF6A2">
      <w:pPr>
        <w:pStyle w:val="27"/>
        <w:snapToGrid w:val="0"/>
        <w:spacing w:line="360" w:lineRule="exact"/>
        <w:ind w:firstLine="525"/>
        <w:rPr>
          <w:rFonts w:hAnsi="宋体" w:cs="宋体"/>
          <w:bCs/>
          <w:color w:val="auto"/>
          <w:sz w:val="21"/>
          <w:highlight w:val="none"/>
        </w:rPr>
      </w:pPr>
      <w:r>
        <w:rPr>
          <w:rFonts w:hint="eastAsia" w:hAnsi="宋体" w:cs="宋体"/>
          <w:bCs/>
          <w:color w:val="auto"/>
          <w:sz w:val="21"/>
          <w:highlight w:val="none"/>
        </w:rPr>
        <w:t>质疑答复导致中标结果改变的，采购人或者采购代理机构应当将有关情况书面报告本级财政部门。</w:t>
      </w:r>
    </w:p>
    <w:p w14:paraId="3C54A207">
      <w:pPr>
        <w:pStyle w:val="27"/>
        <w:snapToGrid w:val="0"/>
        <w:spacing w:line="360" w:lineRule="exact"/>
        <w:ind w:firstLine="420" w:firstLineChars="200"/>
        <w:rPr>
          <w:rFonts w:hAnsi="宋体" w:cs="宋体"/>
          <w:color w:val="auto"/>
          <w:sz w:val="21"/>
          <w:highlight w:val="none"/>
        </w:rPr>
      </w:pPr>
      <w:r>
        <w:rPr>
          <w:rFonts w:hint="eastAsia" w:hAnsi="宋体" w:cs="宋体"/>
          <w:color w:val="auto"/>
          <w:sz w:val="21"/>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EB44093">
      <w:pPr>
        <w:pStyle w:val="4"/>
        <w:keepNext w:val="0"/>
        <w:keepLines w:val="0"/>
        <w:spacing w:line="360" w:lineRule="exact"/>
        <w:ind w:firstLine="803"/>
        <w:jc w:val="center"/>
        <w:rPr>
          <w:rFonts w:ascii="宋体" w:hAnsi="宋体" w:cs="宋体"/>
          <w:color w:val="auto"/>
          <w:highlight w:val="none"/>
        </w:rPr>
      </w:pPr>
      <w:r>
        <w:rPr>
          <w:rFonts w:hint="eastAsia" w:ascii="宋体" w:hAnsi="宋体" w:cs="宋体"/>
          <w:color w:val="auto"/>
          <w:highlight w:val="none"/>
        </w:rPr>
        <w:t>八、其他事项</w:t>
      </w:r>
    </w:p>
    <w:p w14:paraId="193C0310">
      <w:pPr>
        <w:pStyle w:val="6"/>
        <w:keepNext w:val="0"/>
        <w:keepLines w:val="0"/>
        <w:spacing w:before="0" w:after="0" w:line="360" w:lineRule="exact"/>
        <w:ind w:left="420" w:leftChars="200" w:firstLine="602"/>
        <w:rPr>
          <w:rFonts w:ascii="宋体" w:hAnsi="宋体" w:cs="宋体"/>
          <w:color w:val="auto"/>
          <w:sz w:val="24"/>
          <w:highlight w:val="none"/>
        </w:rPr>
      </w:pPr>
      <w:bookmarkStart w:id="126" w:name="_42.代理服务费"/>
      <w:bookmarkEnd w:id="126"/>
      <w:r>
        <w:rPr>
          <w:rFonts w:hint="eastAsia" w:ascii="宋体" w:hAnsi="宋体" w:cs="宋体"/>
          <w:color w:val="auto"/>
          <w:sz w:val="24"/>
          <w:highlight w:val="none"/>
        </w:rPr>
        <w:t>39.代理服务费</w:t>
      </w:r>
    </w:p>
    <w:p w14:paraId="0CD84CEE">
      <w:pPr>
        <w:pStyle w:val="6"/>
        <w:keepNext w:val="0"/>
        <w:keepLines w:val="0"/>
        <w:spacing w:before="0" w:after="0" w:line="360" w:lineRule="exact"/>
        <w:ind w:left="420" w:leftChars="200" w:firstLine="525"/>
        <w:rPr>
          <w:rFonts w:ascii="宋体" w:hAnsi="宋体" w:cs="宋体"/>
          <w:b w:val="0"/>
          <w:color w:val="auto"/>
          <w:sz w:val="21"/>
          <w:szCs w:val="21"/>
          <w:highlight w:val="none"/>
        </w:rPr>
      </w:pPr>
      <w:r>
        <w:rPr>
          <w:rFonts w:hint="eastAsia" w:ascii="宋体" w:hAnsi="宋体" w:cs="宋体"/>
          <w:b w:val="0"/>
          <w:color w:val="auto"/>
          <w:sz w:val="21"/>
          <w:szCs w:val="21"/>
          <w:highlight w:val="none"/>
        </w:rPr>
        <w:t>39.1代理服务收取标准及缴费账户详见“投标人须知前附表”，如投标人为联合体的，可以由联合体中的一方或者多方共同交纳代理服务费。</w:t>
      </w:r>
    </w:p>
    <w:p w14:paraId="6C7CA42A">
      <w:pPr>
        <w:pStyle w:val="6"/>
        <w:keepNext w:val="0"/>
        <w:keepLines w:val="0"/>
        <w:spacing w:before="0" w:after="0" w:line="360" w:lineRule="exact"/>
        <w:ind w:left="420" w:leftChars="200" w:firstLine="525"/>
        <w:rPr>
          <w:rFonts w:ascii="宋体" w:hAnsi="宋体" w:cs="宋体"/>
          <w:b w:val="0"/>
          <w:color w:val="auto"/>
          <w:sz w:val="21"/>
          <w:szCs w:val="21"/>
          <w:highlight w:val="none"/>
        </w:rPr>
      </w:pPr>
      <w:r>
        <w:rPr>
          <w:rFonts w:hint="eastAsia" w:ascii="宋体" w:hAnsi="宋体" w:cs="宋体"/>
          <w:b w:val="0"/>
          <w:color w:val="auto"/>
          <w:sz w:val="21"/>
          <w:szCs w:val="21"/>
          <w:highlight w:val="none"/>
        </w:rPr>
        <w:t>39.2代理服务收费标准：</w:t>
      </w:r>
    </w:p>
    <w:p w14:paraId="6BB11E0B">
      <w:pPr>
        <w:pStyle w:val="7"/>
        <w:rPr>
          <w:rFonts w:hint="eastAsia" w:ascii="宋体" w:hAnsi="宋体" w:cs="宋体"/>
          <w:b w:val="0"/>
          <w:color w:val="auto"/>
          <w:sz w:val="21"/>
          <w:szCs w:val="21"/>
          <w:highlight w:val="none"/>
        </w:rPr>
      </w:pPr>
    </w:p>
    <w:p w14:paraId="2E51ED3A">
      <w:pPr>
        <w:pStyle w:val="7"/>
        <w:rPr>
          <w:rFonts w:hint="eastAsia" w:ascii="宋体" w:hAnsi="宋体" w:cs="宋体"/>
          <w:b w:val="0"/>
          <w:color w:val="auto"/>
          <w:sz w:val="21"/>
          <w:szCs w:val="21"/>
          <w:highlight w:val="none"/>
        </w:rPr>
      </w:pPr>
    </w:p>
    <w:p w14:paraId="3C7C8715">
      <w:pPr>
        <w:pStyle w:val="7"/>
        <w:rPr>
          <w:rFonts w:hint="eastAsia" w:ascii="宋体" w:hAnsi="宋体" w:cs="宋体"/>
          <w:b w:val="0"/>
          <w:color w:val="auto"/>
          <w:sz w:val="21"/>
          <w:szCs w:val="21"/>
          <w:highlight w:val="none"/>
        </w:rPr>
      </w:pPr>
    </w:p>
    <w:p w14:paraId="553C04B2">
      <w:pPr>
        <w:pStyle w:val="7"/>
        <w:rPr>
          <w:rFonts w:hint="eastAsia" w:ascii="宋体" w:hAnsi="宋体" w:cs="宋体"/>
          <w:b w:val="0"/>
          <w:color w:val="auto"/>
          <w:sz w:val="21"/>
          <w:szCs w:val="21"/>
          <w:highlight w:val="none"/>
        </w:rPr>
      </w:pPr>
    </w:p>
    <w:p w14:paraId="48E1CD67">
      <w:pPr>
        <w:pStyle w:val="7"/>
        <w:rPr>
          <w:rFonts w:hint="eastAsia" w:ascii="宋体" w:hAnsi="宋体" w:cs="宋体"/>
          <w:b w:val="0"/>
          <w:color w:val="auto"/>
          <w:sz w:val="21"/>
          <w:szCs w:val="21"/>
          <w:highlight w:val="none"/>
        </w:rPr>
      </w:pP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72"/>
        <w:gridCol w:w="1707"/>
        <w:gridCol w:w="1735"/>
        <w:gridCol w:w="1706"/>
      </w:tblGrid>
      <w:tr w14:paraId="2464B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72" w:type="dxa"/>
            <w:tcBorders>
              <w:tl2br w:val="single" w:color="auto" w:sz="4" w:space="0"/>
            </w:tcBorders>
          </w:tcPr>
          <w:p w14:paraId="0CE46ACA">
            <w:pPr>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               费率</w:t>
            </w:r>
          </w:p>
          <w:p w14:paraId="49E11A6E">
            <w:pPr>
              <w:spacing w:line="360" w:lineRule="exact"/>
              <w:rPr>
                <w:rFonts w:ascii="宋体" w:hAnsi="宋体" w:cs="宋体"/>
                <w:color w:val="auto"/>
                <w:szCs w:val="21"/>
                <w:highlight w:val="none"/>
              </w:rPr>
            </w:pPr>
            <w:r>
              <w:rPr>
                <w:rFonts w:hint="eastAsia" w:ascii="宋体" w:hAnsi="宋体" w:cs="宋体"/>
                <w:color w:val="auto"/>
                <w:szCs w:val="21"/>
                <w:highlight w:val="none"/>
              </w:rPr>
              <w:t>中标金额</w:t>
            </w:r>
          </w:p>
        </w:tc>
        <w:tc>
          <w:tcPr>
            <w:tcW w:w="1707" w:type="dxa"/>
            <w:vAlign w:val="center"/>
          </w:tcPr>
          <w:p w14:paraId="3F769CB0">
            <w:pPr>
              <w:spacing w:line="360" w:lineRule="exact"/>
              <w:ind w:firstLine="105" w:firstLineChars="50"/>
              <w:jc w:val="center"/>
              <w:rPr>
                <w:rFonts w:ascii="宋体" w:hAnsi="宋体" w:cs="宋体"/>
                <w:color w:val="auto"/>
                <w:szCs w:val="21"/>
                <w:highlight w:val="none"/>
              </w:rPr>
            </w:pPr>
            <w:r>
              <w:rPr>
                <w:rFonts w:hint="eastAsia" w:ascii="宋体" w:hAnsi="宋体" w:cs="宋体"/>
                <w:color w:val="auto"/>
                <w:szCs w:val="21"/>
                <w:highlight w:val="none"/>
              </w:rPr>
              <w:t>货物招标</w:t>
            </w:r>
          </w:p>
        </w:tc>
        <w:tc>
          <w:tcPr>
            <w:tcW w:w="1735" w:type="dxa"/>
            <w:vAlign w:val="center"/>
          </w:tcPr>
          <w:p w14:paraId="3313DB8C">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服务招标</w:t>
            </w:r>
          </w:p>
        </w:tc>
        <w:tc>
          <w:tcPr>
            <w:tcW w:w="1706" w:type="dxa"/>
            <w:vAlign w:val="center"/>
          </w:tcPr>
          <w:p w14:paraId="70282FB0">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工程招标</w:t>
            </w:r>
          </w:p>
        </w:tc>
      </w:tr>
      <w:tr w14:paraId="13C91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72" w:type="dxa"/>
          </w:tcPr>
          <w:p w14:paraId="076D4BE8">
            <w:pPr>
              <w:spacing w:line="360" w:lineRule="exact"/>
              <w:rPr>
                <w:rFonts w:ascii="宋体" w:hAnsi="宋体" w:cs="宋体"/>
                <w:color w:val="auto"/>
                <w:szCs w:val="21"/>
                <w:highlight w:val="none"/>
              </w:rPr>
            </w:pPr>
            <w:r>
              <w:rPr>
                <w:rFonts w:hint="eastAsia" w:ascii="宋体" w:hAnsi="宋体" w:cs="宋体"/>
                <w:color w:val="auto"/>
                <w:szCs w:val="21"/>
                <w:highlight w:val="none"/>
              </w:rPr>
              <w:t>100万元以下</w:t>
            </w:r>
          </w:p>
        </w:tc>
        <w:tc>
          <w:tcPr>
            <w:tcW w:w="1707" w:type="dxa"/>
          </w:tcPr>
          <w:p w14:paraId="7B0CD940">
            <w:pPr>
              <w:spacing w:line="360" w:lineRule="exact"/>
              <w:rPr>
                <w:rFonts w:ascii="宋体" w:hAnsi="宋体" w:cs="宋体"/>
                <w:color w:val="auto"/>
                <w:szCs w:val="21"/>
                <w:highlight w:val="none"/>
              </w:rPr>
            </w:pPr>
            <w:r>
              <w:rPr>
                <w:rFonts w:hint="eastAsia" w:ascii="宋体" w:hAnsi="宋体" w:cs="宋体"/>
                <w:color w:val="auto"/>
                <w:kern w:val="0"/>
                <w:szCs w:val="21"/>
                <w:highlight w:val="none"/>
              </w:rPr>
              <w:t xml:space="preserve">  1.5%                </w:t>
            </w:r>
          </w:p>
        </w:tc>
        <w:tc>
          <w:tcPr>
            <w:tcW w:w="1735" w:type="dxa"/>
          </w:tcPr>
          <w:p w14:paraId="06FBD771">
            <w:pPr>
              <w:spacing w:line="360" w:lineRule="exact"/>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1.5%</w:t>
            </w:r>
          </w:p>
        </w:tc>
        <w:tc>
          <w:tcPr>
            <w:tcW w:w="1706" w:type="dxa"/>
          </w:tcPr>
          <w:p w14:paraId="502F3C68">
            <w:pPr>
              <w:spacing w:line="360" w:lineRule="exact"/>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 xml:space="preserve">1.0% </w:t>
            </w:r>
          </w:p>
        </w:tc>
      </w:tr>
      <w:tr w14:paraId="4A41B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72" w:type="dxa"/>
          </w:tcPr>
          <w:p w14:paraId="318D4193">
            <w:pPr>
              <w:spacing w:line="360" w:lineRule="exact"/>
              <w:rPr>
                <w:rFonts w:ascii="宋体" w:hAnsi="宋体" w:cs="宋体"/>
                <w:color w:val="auto"/>
                <w:szCs w:val="21"/>
                <w:highlight w:val="none"/>
              </w:rPr>
            </w:pPr>
            <w:r>
              <w:rPr>
                <w:rFonts w:hint="eastAsia" w:ascii="宋体" w:hAnsi="宋体" w:cs="宋体"/>
                <w:color w:val="auto"/>
                <w:szCs w:val="21"/>
                <w:highlight w:val="none"/>
              </w:rPr>
              <w:t>100～500万元</w:t>
            </w:r>
          </w:p>
        </w:tc>
        <w:tc>
          <w:tcPr>
            <w:tcW w:w="1707" w:type="dxa"/>
          </w:tcPr>
          <w:p w14:paraId="2DE99A5E">
            <w:pPr>
              <w:spacing w:line="360" w:lineRule="exact"/>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 xml:space="preserve">1.1%                 </w:t>
            </w:r>
          </w:p>
        </w:tc>
        <w:tc>
          <w:tcPr>
            <w:tcW w:w="1735" w:type="dxa"/>
          </w:tcPr>
          <w:p w14:paraId="0EB83BB3">
            <w:pPr>
              <w:spacing w:line="360" w:lineRule="exact"/>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0.8%</w:t>
            </w:r>
          </w:p>
        </w:tc>
        <w:tc>
          <w:tcPr>
            <w:tcW w:w="1706" w:type="dxa"/>
          </w:tcPr>
          <w:p w14:paraId="4FDD7E2F">
            <w:pPr>
              <w:spacing w:line="360" w:lineRule="exact"/>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 xml:space="preserve">0.7% </w:t>
            </w:r>
          </w:p>
        </w:tc>
      </w:tr>
      <w:tr w14:paraId="6861D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72" w:type="dxa"/>
          </w:tcPr>
          <w:p w14:paraId="7B3EF05D">
            <w:pPr>
              <w:spacing w:line="360" w:lineRule="exact"/>
              <w:rPr>
                <w:rFonts w:ascii="宋体" w:hAnsi="宋体" w:cs="宋体"/>
                <w:color w:val="auto"/>
                <w:szCs w:val="21"/>
                <w:highlight w:val="none"/>
              </w:rPr>
            </w:pPr>
            <w:r>
              <w:rPr>
                <w:rFonts w:hint="eastAsia" w:ascii="宋体" w:hAnsi="宋体" w:cs="宋体"/>
                <w:color w:val="auto"/>
                <w:szCs w:val="21"/>
                <w:highlight w:val="none"/>
              </w:rPr>
              <w:t>500～1000万元</w:t>
            </w:r>
          </w:p>
        </w:tc>
        <w:tc>
          <w:tcPr>
            <w:tcW w:w="1707" w:type="dxa"/>
          </w:tcPr>
          <w:p w14:paraId="68278078">
            <w:pPr>
              <w:spacing w:line="360" w:lineRule="exact"/>
              <w:rPr>
                <w:rFonts w:ascii="宋体" w:hAnsi="宋体" w:cs="宋体"/>
                <w:color w:val="auto"/>
                <w:szCs w:val="21"/>
                <w:highlight w:val="none"/>
              </w:rPr>
            </w:pPr>
            <w:r>
              <w:rPr>
                <w:rFonts w:hint="eastAsia" w:ascii="宋体" w:hAnsi="宋体" w:cs="宋体"/>
                <w:color w:val="auto"/>
                <w:kern w:val="0"/>
                <w:szCs w:val="21"/>
                <w:highlight w:val="none"/>
              </w:rPr>
              <w:t xml:space="preserve">  0.8%                </w:t>
            </w:r>
          </w:p>
        </w:tc>
        <w:tc>
          <w:tcPr>
            <w:tcW w:w="1735" w:type="dxa"/>
          </w:tcPr>
          <w:p w14:paraId="3C2D8D53">
            <w:pPr>
              <w:spacing w:line="360" w:lineRule="exact"/>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0.45%</w:t>
            </w:r>
          </w:p>
        </w:tc>
        <w:tc>
          <w:tcPr>
            <w:tcW w:w="1706" w:type="dxa"/>
          </w:tcPr>
          <w:p w14:paraId="61FD0819">
            <w:pPr>
              <w:spacing w:line="360" w:lineRule="exact"/>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0.55%</w:t>
            </w:r>
          </w:p>
        </w:tc>
      </w:tr>
      <w:tr w14:paraId="08C78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72" w:type="dxa"/>
          </w:tcPr>
          <w:p w14:paraId="62A6DA62">
            <w:pPr>
              <w:spacing w:line="360" w:lineRule="exact"/>
              <w:rPr>
                <w:rFonts w:ascii="宋体" w:hAnsi="宋体" w:cs="宋体"/>
                <w:color w:val="auto"/>
                <w:szCs w:val="21"/>
                <w:highlight w:val="none"/>
              </w:rPr>
            </w:pPr>
            <w:r>
              <w:rPr>
                <w:rFonts w:hint="eastAsia" w:ascii="宋体" w:hAnsi="宋体" w:cs="宋体"/>
                <w:color w:val="auto"/>
                <w:szCs w:val="21"/>
                <w:highlight w:val="none"/>
              </w:rPr>
              <w:t>1000～5000万元</w:t>
            </w:r>
          </w:p>
        </w:tc>
        <w:tc>
          <w:tcPr>
            <w:tcW w:w="1707" w:type="dxa"/>
          </w:tcPr>
          <w:p w14:paraId="2853FAD3">
            <w:pPr>
              <w:spacing w:line="360" w:lineRule="exact"/>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 xml:space="preserve">0.5%                </w:t>
            </w:r>
          </w:p>
        </w:tc>
        <w:tc>
          <w:tcPr>
            <w:tcW w:w="1735" w:type="dxa"/>
          </w:tcPr>
          <w:p w14:paraId="33BFB850">
            <w:pPr>
              <w:spacing w:line="360" w:lineRule="exact"/>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0.25%</w:t>
            </w:r>
          </w:p>
        </w:tc>
        <w:tc>
          <w:tcPr>
            <w:tcW w:w="1706" w:type="dxa"/>
          </w:tcPr>
          <w:p w14:paraId="6CE3B6C9">
            <w:pPr>
              <w:spacing w:line="360" w:lineRule="exact"/>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 xml:space="preserve">0.35% </w:t>
            </w:r>
          </w:p>
        </w:tc>
      </w:tr>
      <w:tr w14:paraId="21A05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72" w:type="dxa"/>
          </w:tcPr>
          <w:p w14:paraId="0D458D0D">
            <w:pPr>
              <w:spacing w:line="360" w:lineRule="exact"/>
              <w:rPr>
                <w:rFonts w:ascii="宋体" w:hAnsi="宋体" w:cs="宋体"/>
                <w:color w:val="auto"/>
                <w:szCs w:val="21"/>
                <w:highlight w:val="none"/>
              </w:rPr>
            </w:pPr>
            <w:r>
              <w:rPr>
                <w:rFonts w:hint="eastAsia" w:ascii="宋体" w:hAnsi="宋体" w:cs="宋体"/>
                <w:color w:val="auto"/>
                <w:szCs w:val="21"/>
                <w:highlight w:val="none"/>
              </w:rPr>
              <w:t>5000万元～1亿元</w:t>
            </w:r>
          </w:p>
        </w:tc>
        <w:tc>
          <w:tcPr>
            <w:tcW w:w="1707" w:type="dxa"/>
          </w:tcPr>
          <w:p w14:paraId="0C9F1697">
            <w:pPr>
              <w:spacing w:line="360" w:lineRule="exact"/>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 xml:space="preserve">0.25%                 </w:t>
            </w:r>
          </w:p>
        </w:tc>
        <w:tc>
          <w:tcPr>
            <w:tcW w:w="1735" w:type="dxa"/>
          </w:tcPr>
          <w:p w14:paraId="580DD52C">
            <w:pPr>
              <w:spacing w:line="360" w:lineRule="exact"/>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0.1%</w:t>
            </w:r>
          </w:p>
        </w:tc>
        <w:tc>
          <w:tcPr>
            <w:tcW w:w="1706" w:type="dxa"/>
          </w:tcPr>
          <w:p w14:paraId="4FFB7F73">
            <w:pPr>
              <w:spacing w:line="360" w:lineRule="exact"/>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0.2%</w:t>
            </w:r>
          </w:p>
        </w:tc>
      </w:tr>
      <w:tr w14:paraId="436B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72" w:type="dxa"/>
          </w:tcPr>
          <w:p w14:paraId="58C613DF">
            <w:pPr>
              <w:spacing w:line="360" w:lineRule="exact"/>
              <w:rPr>
                <w:rFonts w:ascii="宋体" w:hAnsi="宋体" w:cs="宋体"/>
                <w:color w:val="auto"/>
                <w:szCs w:val="21"/>
                <w:highlight w:val="none"/>
              </w:rPr>
            </w:pPr>
            <w:r>
              <w:rPr>
                <w:rFonts w:hint="eastAsia" w:ascii="宋体" w:hAnsi="宋体" w:cs="宋体"/>
                <w:color w:val="auto"/>
                <w:szCs w:val="21"/>
                <w:highlight w:val="none"/>
              </w:rPr>
              <w:t>1～5亿元</w:t>
            </w:r>
          </w:p>
        </w:tc>
        <w:tc>
          <w:tcPr>
            <w:tcW w:w="1707" w:type="dxa"/>
          </w:tcPr>
          <w:p w14:paraId="16B453D3">
            <w:pPr>
              <w:spacing w:line="36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0.05%</w:t>
            </w:r>
          </w:p>
        </w:tc>
        <w:tc>
          <w:tcPr>
            <w:tcW w:w="1735" w:type="dxa"/>
          </w:tcPr>
          <w:p w14:paraId="47CA6C04">
            <w:pPr>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  0.05%</w:t>
            </w:r>
          </w:p>
        </w:tc>
        <w:tc>
          <w:tcPr>
            <w:tcW w:w="1706" w:type="dxa"/>
          </w:tcPr>
          <w:p w14:paraId="415212DD">
            <w:pPr>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  0.05%</w:t>
            </w:r>
          </w:p>
        </w:tc>
      </w:tr>
      <w:tr w14:paraId="547C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72" w:type="dxa"/>
          </w:tcPr>
          <w:p w14:paraId="1D03FB25">
            <w:pPr>
              <w:spacing w:line="360" w:lineRule="exact"/>
              <w:rPr>
                <w:rFonts w:ascii="宋体" w:hAnsi="宋体" w:cs="宋体"/>
                <w:color w:val="auto"/>
                <w:szCs w:val="21"/>
                <w:highlight w:val="none"/>
              </w:rPr>
            </w:pPr>
            <w:r>
              <w:rPr>
                <w:rFonts w:hint="eastAsia" w:ascii="宋体" w:hAnsi="宋体" w:cs="宋体"/>
                <w:color w:val="auto"/>
                <w:szCs w:val="21"/>
                <w:highlight w:val="none"/>
              </w:rPr>
              <w:t>5～10亿元</w:t>
            </w:r>
          </w:p>
        </w:tc>
        <w:tc>
          <w:tcPr>
            <w:tcW w:w="1707" w:type="dxa"/>
          </w:tcPr>
          <w:p w14:paraId="373A3AB8">
            <w:pPr>
              <w:spacing w:line="36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0.035%</w:t>
            </w:r>
          </w:p>
        </w:tc>
        <w:tc>
          <w:tcPr>
            <w:tcW w:w="1735" w:type="dxa"/>
          </w:tcPr>
          <w:p w14:paraId="4AC0B53B">
            <w:pPr>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  0.035%</w:t>
            </w:r>
          </w:p>
        </w:tc>
        <w:tc>
          <w:tcPr>
            <w:tcW w:w="1706" w:type="dxa"/>
          </w:tcPr>
          <w:p w14:paraId="0E616B2A">
            <w:pPr>
              <w:spacing w:line="36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0.035%</w:t>
            </w:r>
          </w:p>
        </w:tc>
      </w:tr>
      <w:tr w14:paraId="09048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72" w:type="dxa"/>
          </w:tcPr>
          <w:p w14:paraId="55030373">
            <w:pPr>
              <w:spacing w:line="360" w:lineRule="exact"/>
              <w:rPr>
                <w:rFonts w:ascii="宋体" w:hAnsi="宋体" w:cs="宋体"/>
                <w:color w:val="auto"/>
                <w:szCs w:val="21"/>
                <w:highlight w:val="none"/>
              </w:rPr>
            </w:pPr>
            <w:r>
              <w:rPr>
                <w:rFonts w:hint="eastAsia" w:ascii="宋体" w:hAnsi="宋体" w:cs="宋体"/>
                <w:color w:val="auto"/>
                <w:szCs w:val="21"/>
                <w:highlight w:val="none"/>
              </w:rPr>
              <w:t>10～50亿元</w:t>
            </w:r>
          </w:p>
        </w:tc>
        <w:tc>
          <w:tcPr>
            <w:tcW w:w="1707" w:type="dxa"/>
          </w:tcPr>
          <w:p w14:paraId="3B65B53B">
            <w:pPr>
              <w:spacing w:line="36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0.008%</w:t>
            </w:r>
          </w:p>
        </w:tc>
        <w:tc>
          <w:tcPr>
            <w:tcW w:w="1735" w:type="dxa"/>
          </w:tcPr>
          <w:p w14:paraId="19963094">
            <w:pPr>
              <w:spacing w:line="36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0.008%</w:t>
            </w:r>
          </w:p>
        </w:tc>
        <w:tc>
          <w:tcPr>
            <w:tcW w:w="1706" w:type="dxa"/>
          </w:tcPr>
          <w:p w14:paraId="580EB943">
            <w:pPr>
              <w:spacing w:line="36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0.008%</w:t>
            </w:r>
          </w:p>
        </w:tc>
      </w:tr>
      <w:tr w14:paraId="65ABA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72" w:type="dxa"/>
          </w:tcPr>
          <w:p w14:paraId="77F44771">
            <w:pPr>
              <w:spacing w:line="360" w:lineRule="exact"/>
              <w:rPr>
                <w:rFonts w:ascii="宋体" w:hAnsi="宋体" w:cs="宋体"/>
                <w:color w:val="auto"/>
                <w:szCs w:val="21"/>
                <w:highlight w:val="none"/>
              </w:rPr>
            </w:pPr>
            <w:r>
              <w:rPr>
                <w:rFonts w:hint="eastAsia" w:ascii="宋体" w:hAnsi="宋体" w:cs="宋体"/>
                <w:color w:val="auto"/>
                <w:szCs w:val="21"/>
                <w:highlight w:val="none"/>
              </w:rPr>
              <w:t>50～100亿元</w:t>
            </w:r>
          </w:p>
        </w:tc>
        <w:tc>
          <w:tcPr>
            <w:tcW w:w="1707" w:type="dxa"/>
          </w:tcPr>
          <w:p w14:paraId="3F8504F0">
            <w:pPr>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 0.006%</w:t>
            </w:r>
          </w:p>
        </w:tc>
        <w:tc>
          <w:tcPr>
            <w:tcW w:w="1735" w:type="dxa"/>
          </w:tcPr>
          <w:p w14:paraId="212E1834">
            <w:pPr>
              <w:spacing w:line="36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0.006%</w:t>
            </w:r>
          </w:p>
        </w:tc>
        <w:tc>
          <w:tcPr>
            <w:tcW w:w="1706" w:type="dxa"/>
          </w:tcPr>
          <w:p w14:paraId="0AEDF246">
            <w:pPr>
              <w:spacing w:line="36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0.006%</w:t>
            </w:r>
          </w:p>
        </w:tc>
      </w:tr>
      <w:tr w14:paraId="3EB7B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72" w:type="dxa"/>
          </w:tcPr>
          <w:p w14:paraId="663E7B91">
            <w:pPr>
              <w:spacing w:line="360" w:lineRule="exact"/>
              <w:rPr>
                <w:rFonts w:ascii="宋体" w:hAnsi="宋体" w:cs="宋体"/>
                <w:color w:val="auto"/>
                <w:szCs w:val="21"/>
                <w:highlight w:val="none"/>
              </w:rPr>
            </w:pPr>
            <w:r>
              <w:rPr>
                <w:rFonts w:hint="eastAsia" w:ascii="宋体" w:hAnsi="宋体" w:cs="宋体"/>
                <w:color w:val="auto"/>
                <w:szCs w:val="21"/>
                <w:highlight w:val="none"/>
              </w:rPr>
              <w:t>100亿以上</w:t>
            </w:r>
          </w:p>
        </w:tc>
        <w:tc>
          <w:tcPr>
            <w:tcW w:w="1707" w:type="dxa"/>
          </w:tcPr>
          <w:p w14:paraId="144A9723">
            <w:pPr>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 0.004%</w:t>
            </w:r>
          </w:p>
        </w:tc>
        <w:tc>
          <w:tcPr>
            <w:tcW w:w="1735" w:type="dxa"/>
          </w:tcPr>
          <w:p w14:paraId="1C951BC6">
            <w:pPr>
              <w:spacing w:line="36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0.004%</w:t>
            </w:r>
          </w:p>
        </w:tc>
        <w:tc>
          <w:tcPr>
            <w:tcW w:w="1706" w:type="dxa"/>
          </w:tcPr>
          <w:p w14:paraId="313E4979">
            <w:pPr>
              <w:spacing w:line="36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0.004%</w:t>
            </w:r>
          </w:p>
        </w:tc>
      </w:tr>
    </w:tbl>
    <w:p w14:paraId="6F5ECE27">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注: </w:t>
      </w:r>
    </w:p>
    <w:p w14:paraId="0BE7D8FA">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（1）按本表费率计算的收费为采购代理的收费基准价格；</w:t>
      </w:r>
    </w:p>
    <w:p w14:paraId="109DA1C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（2）采购代理收费按差额定率累进法计算。</w:t>
      </w:r>
    </w:p>
    <w:p w14:paraId="1D7A22B2">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例如：某货物采购代理业务中标金额或者暂定价为200万元，计算采购代理收费额如下：</w:t>
      </w:r>
    </w:p>
    <w:p w14:paraId="3E257B1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100 万元×1.5 ％＝ 1.5 万元</w:t>
      </w:r>
    </w:p>
    <w:p w14:paraId="5CA5AA87">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200－100 ）万元 ×1.1％＝1.1万元</w:t>
      </w:r>
    </w:p>
    <w:p w14:paraId="21C52B06">
      <w:pPr>
        <w:pStyle w:val="27"/>
        <w:snapToGrid w:val="0"/>
        <w:spacing w:before="120" w:after="120" w:line="360" w:lineRule="exact"/>
        <w:ind w:firstLine="420" w:firstLineChars="200"/>
        <w:rPr>
          <w:rFonts w:hAnsi="宋体" w:cs="宋体"/>
          <w:color w:val="auto"/>
          <w:sz w:val="21"/>
          <w:highlight w:val="none"/>
        </w:rPr>
      </w:pPr>
      <w:r>
        <w:rPr>
          <w:rFonts w:hint="eastAsia" w:hAnsi="宋体" w:cs="宋体"/>
          <w:color w:val="auto"/>
          <w:sz w:val="21"/>
          <w:highlight w:val="none"/>
        </w:rPr>
        <w:t>合计收费＝ 1.5+1.1＝ 2.6 （万元）</w:t>
      </w:r>
    </w:p>
    <w:p w14:paraId="5CF213C6">
      <w:pPr>
        <w:pStyle w:val="6"/>
        <w:keepNext w:val="0"/>
        <w:keepLines w:val="0"/>
        <w:spacing w:before="0" w:after="0" w:line="360" w:lineRule="exact"/>
        <w:ind w:left="420" w:leftChars="200" w:firstLine="602"/>
        <w:rPr>
          <w:rFonts w:ascii="宋体" w:hAnsi="宋体" w:cs="宋体"/>
          <w:color w:val="auto"/>
          <w:sz w:val="24"/>
          <w:highlight w:val="none"/>
        </w:rPr>
      </w:pPr>
      <w:r>
        <w:rPr>
          <w:rFonts w:hint="eastAsia" w:ascii="宋体" w:hAnsi="宋体" w:cs="宋体"/>
          <w:color w:val="auto"/>
          <w:sz w:val="24"/>
          <w:highlight w:val="none"/>
        </w:rPr>
        <w:t>40. 需要补充的其他内容</w:t>
      </w:r>
    </w:p>
    <w:p w14:paraId="06149337">
      <w:pPr>
        <w:pStyle w:val="27"/>
        <w:spacing w:before="120" w:after="120" w:line="360" w:lineRule="exact"/>
        <w:ind w:firstLine="420" w:firstLineChars="200"/>
        <w:contextualSpacing/>
        <w:rPr>
          <w:rFonts w:hAnsi="宋体" w:cs="宋体"/>
          <w:color w:val="auto"/>
          <w:sz w:val="21"/>
          <w:highlight w:val="none"/>
        </w:rPr>
      </w:pPr>
      <w:r>
        <w:rPr>
          <w:rFonts w:hint="eastAsia" w:hAnsi="宋体" w:cs="宋体"/>
          <w:color w:val="auto"/>
          <w:sz w:val="21"/>
          <w:highlight w:val="none"/>
        </w:rPr>
        <w:t>40.1本招标文件解释规则详见“投标人须知前附表”。</w:t>
      </w:r>
    </w:p>
    <w:p w14:paraId="4B6B556F">
      <w:pPr>
        <w:pStyle w:val="27"/>
        <w:spacing w:before="120" w:after="120" w:line="360" w:lineRule="exact"/>
        <w:ind w:firstLine="420" w:firstLineChars="200"/>
        <w:contextualSpacing/>
        <w:rPr>
          <w:rFonts w:hAnsi="宋体" w:cs="宋体"/>
          <w:color w:val="auto"/>
          <w:sz w:val="21"/>
          <w:highlight w:val="none"/>
        </w:rPr>
      </w:pPr>
      <w:r>
        <w:rPr>
          <w:rFonts w:hint="eastAsia" w:hAnsi="宋体" w:cs="宋体"/>
          <w:color w:val="auto"/>
          <w:sz w:val="21"/>
          <w:highlight w:val="none"/>
        </w:rPr>
        <w:t>40.2 其他事项详见“投标人须知前附表”。</w:t>
      </w:r>
    </w:p>
    <w:p w14:paraId="47279DD5">
      <w:pPr>
        <w:pStyle w:val="27"/>
        <w:spacing w:before="120" w:after="120" w:line="360" w:lineRule="exact"/>
        <w:ind w:firstLine="420" w:firstLineChars="200"/>
        <w:contextualSpacing/>
        <w:rPr>
          <w:rFonts w:hAnsi="宋体" w:cs="宋体"/>
          <w:color w:val="auto"/>
          <w:sz w:val="21"/>
          <w:highlight w:val="none"/>
        </w:rPr>
      </w:pPr>
      <w:r>
        <w:rPr>
          <w:rFonts w:hint="eastAsia" w:hAnsi="宋体" w:cs="宋体"/>
          <w:color w:val="auto"/>
          <w:sz w:val="21"/>
          <w:highlight w:val="none"/>
        </w:rPr>
        <w:t>40.3</w:t>
      </w:r>
      <w:bookmarkStart w:id="127" w:name="_Hlk65857140"/>
      <w:r>
        <w:rPr>
          <w:rFonts w:hint="eastAsia" w:hAnsi="宋体" w:cs="宋体"/>
          <w:color w:val="auto"/>
          <w:sz w:val="21"/>
          <w:highlight w:val="none"/>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6EC1E108">
      <w:pPr>
        <w:pStyle w:val="27"/>
        <w:spacing w:before="120" w:after="120" w:line="360" w:lineRule="exact"/>
        <w:ind w:firstLine="420" w:firstLineChars="200"/>
        <w:contextualSpacing/>
        <w:rPr>
          <w:rFonts w:hAnsi="宋体" w:cs="宋体"/>
          <w:color w:val="auto"/>
          <w:sz w:val="21"/>
          <w:highlight w:val="none"/>
        </w:rPr>
      </w:pPr>
      <w:r>
        <w:rPr>
          <w:rFonts w:hint="eastAsia" w:hAnsi="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67EEE893">
      <w:pPr>
        <w:pStyle w:val="27"/>
        <w:spacing w:before="120" w:after="120" w:line="360" w:lineRule="exact"/>
        <w:ind w:firstLine="420" w:firstLineChars="200"/>
        <w:contextualSpacing/>
        <w:rPr>
          <w:rFonts w:hAnsi="宋体" w:cs="宋体"/>
          <w:color w:val="auto"/>
          <w:sz w:val="21"/>
          <w:highlight w:val="none"/>
        </w:rPr>
      </w:pPr>
      <w:r>
        <w:rPr>
          <w:rFonts w:hint="eastAsia" w:hAnsi="宋体" w:cs="宋体"/>
          <w:color w:val="auto"/>
          <w:sz w:val="21"/>
          <w:highlight w:val="none"/>
        </w:rPr>
        <w:t>（2）在工程采购项目中，工程由中小企业承建，即工程施工单位为中小企业，不对其中涉及的货物的制造商和服务的承接商作出要求；</w:t>
      </w:r>
    </w:p>
    <w:p w14:paraId="483365FC">
      <w:pPr>
        <w:pStyle w:val="27"/>
        <w:spacing w:before="120" w:after="120" w:line="360" w:lineRule="exact"/>
        <w:ind w:firstLine="420" w:firstLineChars="200"/>
        <w:contextualSpacing/>
        <w:rPr>
          <w:rFonts w:hAnsi="宋体" w:cs="宋体"/>
          <w:color w:val="auto"/>
          <w:sz w:val="21"/>
          <w:highlight w:val="none"/>
        </w:rPr>
      </w:pPr>
      <w:r>
        <w:rPr>
          <w:rFonts w:hint="eastAsia" w:hAnsi="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48384796">
      <w:pPr>
        <w:pStyle w:val="27"/>
        <w:spacing w:before="120" w:after="120" w:line="360" w:lineRule="exact"/>
        <w:ind w:firstLine="420" w:firstLineChars="200"/>
        <w:contextualSpacing/>
        <w:rPr>
          <w:rFonts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4F80B82F">
      <w:pPr>
        <w:pStyle w:val="27"/>
        <w:spacing w:before="120" w:after="120" w:line="360" w:lineRule="exact"/>
        <w:ind w:firstLine="420" w:firstLineChars="200"/>
        <w:contextualSpacing/>
        <w:rPr>
          <w:rFonts w:hAnsi="宋体" w:cs="宋体"/>
          <w:color w:val="auto"/>
          <w:sz w:val="21"/>
          <w:highlight w:val="none"/>
        </w:rPr>
      </w:pPr>
      <w:r>
        <w:rPr>
          <w:rFonts w:hint="eastAsia" w:hAnsi="宋体" w:cs="宋体"/>
          <w:color w:val="auto"/>
          <w:sz w:val="21"/>
          <w:highlight w:val="none"/>
        </w:rPr>
        <w:t>依据本招标文件规定享受扶持政策获得政府采购合同的，小微企业不得将合同分包给大中型企业，中型企业不得将合同分包给大型企业。</w:t>
      </w:r>
      <w:bookmarkEnd w:id="127"/>
    </w:p>
    <w:p w14:paraId="7F7E3849">
      <w:pPr>
        <w:pStyle w:val="19"/>
        <w:ind w:left="479" w:leftChars="114" w:hanging="240" w:hangingChars="100"/>
        <w:rPr>
          <w:rFonts w:ascii="宋体" w:hAnsi="宋体" w:cs="宋体"/>
          <w:color w:val="auto"/>
          <w:highlight w:val="none"/>
        </w:rPr>
      </w:pPr>
    </w:p>
    <w:p w14:paraId="6656A687">
      <w:pPr>
        <w:pStyle w:val="27"/>
        <w:snapToGrid w:val="0"/>
        <w:spacing w:before="120" w:after="120"/>
        <w:ind w:firstLine="500"/>
        <w:rPr>
          <w:rFonts w:hAnsi="宋体" w:cs="宋体"/>
          <w:color w:val="auto"/>
          <w:highlight w:val="none"/>
        </w:rPr>
      </w:pPr>
      <w:r>
        <w:rPr>
          <w:rFonts w:hint="eastAsia" w:hAnsi="宋体" w:cs="宋体"/>
          <w:color w:val="auto"/>
          <w:highlight w:val="none"/>
        </w:rPr>
        <w:br w:type="page"/>
      </w:r>
    </w:p>
    <w:p w14:paraId="740EE14E">
      <w:pPr>
        <w:pStyle w:val="27"/>
        <w:snapToGrid w:val="0"/>
        <w:spacing w:before="120" w:after="120"/>
        <w:ind w:firstLine="500"/>
        <w:rPr>
          <w:rFonts w:hAnsi="宋体" w:cs="宋体"/>
          <w:color w:val="auto"/>
          <w:highlight w:val="none"/>
        </w:rPr>
      </w:pPr>
    </w:p>
    <w:p w14:paraId="141ED394">
      <w:pPr>
        <w:pStyle w:val="27"/>
        <w:snapToGrid w:val="0"/>
        <w:spacing w:before="120" w:after="120"/>
        <w:ind w:firstLine="500"/>
        <w:rPr>
          <w:rFonts w:hAnsi="宋体" w:cs="宋体"/>
          <w:color w:val="auto"/>
          <w:highlight w:val="none"/>
        </w:rPr>
      </w:pPr>
    </w:p>
    <w:p w14:paraId="6170F663">
      <w:pPr>
        <w:pStyle w:val="27"/>
        <w:snapToGrid w:val="0"/>
        <w:spacing w:before="120" w:after="120"/>
        <w:ind w:firstLine="500"/>
        <w:rPr>
          <w:rFonts w:hAnsi="宋体" w:cs="宋体"/>
          <w:color w:val="auto"/>
          <w:highlight w:val="none"/>
        </w:rPr>
      </w:pPr>
    </w:p>
    <w:p w14:paraId="060F8427">
      <w:pPr>
        <w:pStyle w:val="27"/>
        <w:snapToGrid w:val="0"/>
        <w:spacing w:before="120" w:after="120"/>
        <w:ind w:firstLine="500"/>
        <w:rPr>
          <w:rFonts w:hAnsi="宋体" w:cs="宋体"/>
          <w:color w:val="auto"/>
          <w:highlight w:val="none"/>
        </w:rPr>
      </w:pPr>
    </w:p>
    <w:p w14:paraId="7DC7AC44">
      <w:pPr>
        <w:pStyle w:val="27"/>
        <w:snapToGrid w:val="0"/>
        <w:spacing w:before="120" w:after="120"/>
        <w:ind w:firstLine="500"/>
        <w:rPr>
          <w:rFonts w:hAnsi="宋体" w:cs="宋体"/>
          <w:color w:val="auto"/>
          <w:highlight w:val="none"/>
        </w:rPr>
      </w:pPr>
    </w:p>
    <w:p w14:paraId="2DBFE393">
      <w:pPr>
        <w:pStyle w:val="27"/>
        <w:snapToGrid w:val="0"/>
        <w:spacing w:before="120" w:after="120"/>
        <w:ind w:firstLine="500"/>
        <w:rPr>
          <w:rFonts w:hAnsi="宋体" w:cs="宋体"/>
          <w:color w:val="auto"/>
          <w:highlight w:val="none"/>
        </w:rPr>
      </w:pPr>
    </w:p>
    <w:p w14:paraId="12126C26">
      <w:pPr>
        <w:pStyle w:val="2"/>
        <w:ind w:firstLine="2761" w:firstLineChars="625"/>
        <w:jc w:val="both"/>
        <w:rPr>
          <w:rFonts w:ascii="宋体" w:hAnsi="宋体" w:cs="宋体"/>
          <w:color w:val="auto"/>
          <w:highlight w:val="none"/>
        </w:rPr>
      </w:pPr>
      <w:bookmarkStart w:id="128" w:name="_Toc330456896"/>
      <w:bookmarkStart w:id="129" w:name="_Toc254970548"/>
      <w:bookmarkStart w:id="130" w:name="_Toc13949"/>
      <w:bookmarkStart w:id="131" w:name="_Toc254970689"/>
      <w:r>
        <w:rPr>
          <w:rFonts w:hint="eastAsia" w:ascii="宋体" w:hAnsi="宋体" w:cs="宋体"/>
          <w:color w:val="auto"/>
          <w:highlight w:val="none"/>
        </w:rPr>
        <w:t>第四章  评标方法及评标标准</w:t>
      </w:r>
      <w:bookmarkEnd w:id="128"/>
      <w:bookmarkEnd w:id="129"/>
      <w:bookmarkEnd w:id="130"/>
      <w:bookmarkEnd w:id="131"/>
    </w:p>
    <w:p w14:paraId="2813CCFD">
      <w:pPr>
        <w:pStyle w:val="27"/>
        <w:spacing w:before="120" w:after="120"/>
        <w:ind w:firstLine="502"/>
        <w:outlineLvl w:val="0"/>
        <w:rPr>
          <w:rFonts w:hAnsi="宋体" w:cs="宋体"/>
          <w:b/>
          <w:color w:val="auto"/>
          <w:highlight w:val="none"/>
        </w:rPr>
      </w:pPr>
      <w:bookmarkStart w:id="132" w:name="_Toc254970549"/>
      <w:bookmarkStart w:id="133" w:name="_Toc254970690"/>
    </w:p>
    <w:bookmarkEnd w:id="132"/>
    <w:bookmarkEnd w:id="133"/>
    <w:p w14:paraId="24D35326">
      <w:pPr>
        <w:pStyle w:val="27"/>
        <w:spacing w:before="120" w:after="120"/>
        <w:ind w:firstLine="800"/>
        <w:outlineLvl w:val="0"/>
        <w:rPr>
          <w:rFonts w:hAnsi="宋体" w:cs="宋体"/>
          <w:bCs/>
          <w:color w:val="auto"/>
          <w:sz w:val="32"/>
          <w:szCs w:val="32"/>
          <w:highlight w:val="none"/>
        </w:rPr>
      </w:pPr>
    </w:p>
    <w:p w14:paraId="6CD9AFB9">
      <w:pPr>
        <w:pStyle w:val="27"/>
        <w:spacing w:before="120" w:after="120"/>
        <w:ind w:firstLine="800"/>
        <w:outlineLvl w:val="0"/>
        <w:rPr>
          <w:rFonts w:hAnsi="宋体" w:cs="宋体"/>
          <w:bCs/>
          <w:color w:val="auto"/>
          <w:sz w:val="32"/>
          <w:szCs w:val="32"/>
          <w:highlight w:val="none"/>
        </w:rPr>
      </w:pPr>
    </w:p>
    <w:p w14:paraId="51E7D41B">
      <w:pPr>
        <w:pStyle w:val="27"/>
        <w:spacing w:before="120" w:after="120"/>
        <w:ind w:firstLine="800"/>
        <w:outlineLvl w:val="0"/>
        <w:rPr>
          <w:rFonts w:hAnsi="宋体" w:cs="宋体"/>
          <w:bCs/>
          <w:color w:val="auto"/>
          <w:sz w:val="32"/>
          <w:szCs w:val="32"/>
          <w:highlight w:val="none"/>
        </w:rPr>
      </w:pPr>
    </w:p>
    <w:p w14:paraId="00351AF0">
      <w:pPr>
        <w:spacing w:before="120" w:beforeLines="50" w:after="120" w:afterLines="50" w:line="400" w:lineRule="exact"/>
        <w:ind w:firstLine="602"/>
        <w:rPr>
          <w:rFonts w:ascii="宋体" w:hAnsi="宋体" w:cs="宋体"/>
          <w:b/>
          <w:color w:val="auto"/>
          <w:sz w:val="24"/>
          <w:highlight w:val="none"/>
        </w:rPr>
      </w:pPr>
    </w:p>
    <w:p w14:paraId="51144A4B">
      <w:pPr>
        <w:spacing w:before="120" w:beforeLines="50" w:after="120" w:afterLines="50" w:line="400" w:lineRule="exact"/>
        <w:ind w:firstLine="602"/>
        <w:rPr>
          <w:rFonts w:ascii="宋体" w:hAnsi="宋体" w:cs="宋体"/>
          <w:b/>
          <w:color w:val="auto"/>
          <w:sz w:val="24"/>
          <w:highlight w:val="none"/>
        </w:rPr>
      </w:pPr>
    </w:p>
    <w:p w14:paraId="76948146">
      <w:pPr>
        <w:spacing w:before="120" w:beforeLines="50" w:after="120" w:afterLines="50" w:line="400" w:lineRule="exact"/>
        <w:ind w:firstLine="602"/>
        <w:rPr>
          <w:rFonts w:ascii="宋体" w:hAnsi="宋体" w:cs="宋体"/>
          <w:b/>
          <w:color w:val="auto"/>
          <w:sz w:val="24"/>
          <w:highlight w:val="none"/>
        </w:rPr>
      </w:pPr>
    </w:p>
    <w:p w14:paraId="0B5E6E7A">
      <w:pPr>
        <w:spacing w:before="120" w:beforeLines="50" w:after="120" w:afterLines="50" w:line="400" w:lineRule="exact"/>
        <w:ind w:firstLine="602"/>
        <w:rPr>
          <w:rFonts w:ascii="宋体" w:hAnsi="宋体" w:cs="宋体"/>
          <w:b/>
          <w:color w:val="auto"/>
          <w:sz w:val="24"/>
          <w:highlight w:val="none"/>
        </w:rPr>
      </w:pPr>
    </w:p>
    <w:p w14:paraId="3CE967CB">
      <w:pPr>
        <w:pStyle w:val="27"/>
        <w:spacing w:line="360" w:lineRule="exact"/>
        <w:ind w:firstLine="602"/>
        <w:rPr>
          <w:rFonts w:hAnsi="宋体" w:cs="宋体"/>
          <w:b/>
          <w:color w:val="auto"/>
          <w:sz w:val="24"/>
          <w:highlight w:val="none"/>
        </w:rPr>
      </w:pPr>
    </w:p>
    <w:p w14:paraId="0FBC6374">
      <w:pPr>
        <w:ind w:firstLine="750"/>
        <w:rPr>
          <w:rFonts w:ascii="宋体" w:hAnsi="宋体" w:cs="宋体"/>
          <w:color w:val="auto"/>
          <w:sz w:val="30"/>
          <w:szCs w:val="30"/>
          <w:highlight w:val="none"/>
        </w:rPr>
      </w:pPr>
      <w:r>
        <w:rPr>
          <w:rFonts w:hint="eastAsia" w:ascii="宋体" w:hAnsi="宋体" w:cs="宋体"/>
          <w:color w:val="auto"/>
          <w:sz w:val="30"/>
          <w:szCs w:val="30"/>
          <w:highlight w:val="none"/>
        </w:rPr>
        <w:br w:type="page"/>
      </w:r>
    </w:p>
    <w:p w14:paraId="65E431BF">
      <w:pPr>
        <w:pStyle w:val="4"/>
        <w:keepNext w:val="0"/>
        <w:keepLines w:val="0"/>
        <w:spacing w:line="360" w:lineRule="exact"/>
        <w:ind w:firstLine="753"/>
        <w:jc w:val="center"/>
        <w:rPr>
          <w:rFonts w:ascii="宋体" w:hAnsi="宋体" w:cs="宋体"/>
          <w:color w:val="auto"/>
          <w:sz w:val="30"/>
          <w:szCs w:val="30"/>
          <w:highlight w:val="none"/>
        </w:rPr>
      </w:pPr>
      <w:r>
        <w:rPr>
          <w:rFonts w:hint="eastAsia" w:ascii="宋体" w:hAnsi="宋体" w:cs="宋体"/>
          <w:color w:val="auto"/>
          <w:sz w:val="30"/>
          <w:szCs w:val="30"/>
          <w:highlight w:val="none"/>
        </w:rPr>
        <w:t>一、评标方法</w:t>
      </w:r>
    </w:p>
    <w:p w14:paraId="258C388F">
      <w:pPr>
        <w:pStyle w:val="27"/>
        <w:spacing w:line="360" w:lineRule="exact"/>
        <w:ind w:firstLine="525"/>
        <w:rPr>
          <w:rFonts w:hAnsi="宋体" w:cs="宋体"/>
          <w:color w:val="auto"/>
          <w:sz w:val="21"/>
          <w:highlight w:val="none"/>
        </w:rPr>
      </w:pPr>
      <w:r>
        <w:rPr>
          <w:rFonts w:hint="eastAsia" w:hAnsi="宋体" w:cs="宋体"/>
          <w:color w:val="auto"/>
          <w:sz w:val="21"/>
          <w:highlight w:val="none"/>
        </w:rPr>
        <w:t>综合评分法，是指投标文件满足招标文件全部实质性要求，且按照评审因素的量化指标评审得分最高的投标人为中标候选人的评标方法。</w:t>
      </w:r>
    </w:p>
    <w:p w14:paraId="49757F4E">
      <w:pPr>
        <w:pStyle w:val="27"/>
        <w:spacing w:line="360" w:lineRule="exact"/>
        <w:ind w:firstLine="525"/>
        <w:rPr>
          <w:rFonts w:hAnsi="宋体" w:cs="宋体"/>
          <w:color w:val="auto"/>
          <w:sz w:val="21"/>
          <w:highlight w:val="none"/>
        </w:rPr>
      </w:pPr>
      <w:r>
        <w:rPr>
          <w:rFonts w:hint="eastAsia" w:hAnsi="宋体" w:cs="宋体"/>
          <w:color w:val="auto"/>
          <w:sz w:val="21"/>
          <w:highlight w:val="none"/>
        </w:rPr>
        <w:t>最低评标价法，是指投标文件满足招标文件全部实质性要求，且投标报价最低的投标人为中标候选人的评标方法。</w:t>
      </w:r>
    </w:p>
    <w:p w14:paraId="40778AFB">
      <w:pPr>
        <w:pStyle w:val="4"/>
        <w:keepNext w:val="0"/>
        <w:keepLines w:val="0"/>
        <w:spacing w:line="360" w:lineRule="exact"/>
        <w:ind w:firstLine="753"/>
        <w:jc w:val="center"/>
        <w:rPr>
          <w:rFonts w:ascii="宋体" w:hAnsi="宋体" w:cs="宋体"/>
          <w:color w:val="auto"/>
          <w:sz w:val="30"/>
          <w:szCs w:val="30"/>
          <w:highlight w:val="none"/>
        </w:rPr>
      </w:pPr>
      <w:r>
        <w:rPr>
          <w:rFonts w:hint="eastAsia" w:ascii="宋体" w:hAnsi="宋体" w:cs="宋体"/>
          <w:color w:val="auto"/>
          <w:sz w:val="30"/>
          <w:szCs w:val="30"/>
          <w:highlight w:val="none"/>
        </w:rPr>
        <w:t>二、评标程序</w:t>
      </w:r>
    </w:p>
    <w:p w14:paraId="2B27B49F">
      <w:pPr>
        <w:pStyle w:val="6"/>
        <w:keepNext w:val="0"/>
        <w:keepLines w:val="0"/>
        <w:spacing w:before="0" w:after="0" w:line="360" w:lineRule="exact"/>
        <w:ind w:left="420" w:leftChars="200" w:firstLine="527"/>
        <w:rPr>
          <w:rFonts w:ascii="宋体" w:hAnsi="宋体" w:cs="宋体"/>
          <w:color w:val="auto"/>
          <w:sz w:val="21"/>
          <w:szCs w:val="21"/>
          <w:highlight w:val="none"/>
        </w:rPr>
      </w:pPr>
      <w:r>
        <w:rPr>
          <w:rFonts w:hint="eastAsia" w:ascii="宋体" w:hAnsi="宋体" w:cs="宋体"/>
          <w:color w:val="auto"/>
          <w:sz w:val="21"/>
          <w:szCs w:val="21"/>
          <w:highlight w:val="none"/>
        </w:rPr>
        <w:t>1.符合性审查</w:t>
      </w:r>
    </w:p>
    <w:p w14:paraId="0F5AF970">
      <w:pPr>
        <w:pStyle w:val="27"/>
        <w:snapToGrid w:val="0"/>
        <w:spacing w:line="360" w:lineRule="exact"/>
        <w:ind w:left="-134" w:firstLine="527"/>
        <w:rPr>
          <w:rFonts w:hAnsi="宋体" w:cs="宋体"/>
          <w:b/>
          <w:color w:val="auto"/>
          <w:kern w:val="2"/>
          <w:sz w:val="21"/>
          <w:highlight w:val="none"/>
        </w:rPr>
      </w:pPr>
      <w:r>
        <w:rPr>
          <w:rFonts w:hint="eastAsia" w:hAnsi="宋体" w:cs="宋体"/>
          <w:b/>
          <w:color w:val="auto"/>
          <w:kern w:val="2"/>
          <w:sz w:val="21"/>
          <w:highlight w:val="none"/>
        </w:rPr>
        <w:t>评标委员会应当对符合资格的投标人的投标文件进行投标报价、商务、技术等实质性内容符合性审查，以确定其是否满足招标文件的实质性要求。</w:t>
      </w:r>
    </w:p>
    <w:p w14:paraId="26145726">
      <w:pPr>
        <w:pStyle w:val="6"/>
        <w:keepNext w:val="0"/>
        <w:keepLines w:val="0"/>
        <w:spacing w:before="0" w:after="0" w:line="360" w:lineRule="exact"/>
        <w:ind w:left="420" w:leftChars="200" w:firstLine="527"/>
        <w:rPr>
          <w:rFonts w:ascii="宋体" w:hAnsi="宋体" w:cs="宋体"/>
          <w:color w:val="auto"/>
          <w:sz w:val="21"/>
          <w:szCs w:val="21"/>
          <w:highlight w:val="none"/>
        </w:rPr>
      </w:pPr>
      <w:r>
        <w:rPr>
          <w:rFonts w:hint="eastAsia" w:ascii="宋体" w:hAnsi="宋体" w:cs="宋体"/>
          <w:color w:val="auto"/>
          <w:sz w:val="21"/>
          <w:szCs w:val="21"/>
          <w:highlight w:val="none"/>
        </w:rPr>
        <w:t>2.符合性审查不通过而导致投标无效的情形</w:t>
      </w:r>
    </w:p>
    <w:p w14:paraId="74F6F823">
      <w:pPr>
        <w:snapToGrid w:val="0"/>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投标人的投标文件中存在对招标文件的任何实质性要求和条件的负偏离，将被视为投标无效。</w:t>
      </w:r>
    </w:p>
    <w:p w14:paraId="40B27BAC">
      <w:pPr>
        <w:pStyle w:val="6"/>
        <w:keepNext w:val="0"/>
        <w:keepLines w:val="0"/>
        <w:spacing w:before="0" w:after="0" w:line="360" w:lineRule="exact"/>
        <w:ind w:left="420" w:leftChars="200" w:firstLine="527"/>
        <w:rPr>
          <w:rFonts w:ascii="宋体" w:hAnsi="宋体" w:cs="宋体"/>
          <w:color w:val="auto"/>
          <w:sz w:val="21"/>
          <w:szCs w:val="21"/>
          <w:highlight w:val="none"/>
        </w:rPr>
      </w:pPr>
      <w:r>
        <w:rPr>
          <w:rFonts w:hint="eastAsia" w:ascii="宋体" w:hAnsi="宋体" w:cs="宋体"/>
          <w:color w:val="auto"/>
          <w:sz w:val="21"/>
          <w:szCs w:val="21"/>
          <w:highlight w:val="none"/>
        </w:rPr>
        <w:t>2.1在报价评审时，如发现下列情形之一的，将被视为投标无效：</w:t>
      </w:r>
    </w:p>
    <w:p w14:paraId="3125FBE3">
      <w:pPr>
        <w:pStyle w:val="7"/>
        <w:numPr>
          <w:ilvl w:val="0"/>
          <w:numId w:val="5"/>
        </w:numPr>
        <w:spacing w:line="360" w:lineRule="exact"/>
        <w:ind w:left="-134" w:firstLine="497"/>
        <w:rPr>
          <w:rFonts w:ascii="宋体" w:hAnsi="宋体" w:cs="宋体"/>
          <w:b/>
          <w:color w:val="auto"/>
          <w:szCs w:val="21"/>
          <w:highlight w:val="none"/>
        </w:rPr>
      </w:pPr>
      <w:r>
        <w:rPr>
          <w:rFonts w:hint="eastAsia" w:ascii="宋体" w:hAnsi="宋体" w:cs="宋体"/>
          <w:b/>
          <w:color w:val="auto"/>
          <w:spacing w:val="-6"/>
          <w:szCs w:val="21"/>
          <w:highlight w:val="none"/>
        </w:rPr>
        <w:t>报价文件</w:t>
      </w:r>
      <w:r>
        <w:rPr>
          <w:rFonts w:hint="eastAsia" w:ascii="宋体" w:hAnsi="宋体" w:cs="宋体"/>
          <w:b/>
          <w:color w:val="auto"/>
          <w:szCs w:val="21"/>
          <w:highlight w:val="none"/>
        </w:rPr>
        <w:t>未提供“投标人须知前附表”第13.1条规定中“必须提供”的文件资料的；</w:t>
      </w:r>
    </w:p>
    <w:p w14:paraId="49AA2DC5">
      <w:pPr>
        <w:pStyle w:val="7"/>
        <w:numPr>
          <w:ilvl w:val="0"/>
          <w:numId w:val="5"/>
        </w:numPr>
        <w:spacing w:line="360" w:lineRule="exact"/>
        <w:ind w:left="-134" w:firstLine="527"/>
        <w:rPr>
          <w:rFonts w:ascii="宋体" w:hAnsi="宋体" w:cs="宋体"/>
          <w:b/>
          <w:color w:val="auto"/>
          <w:szCs w:val="21"/>
          <w:highlight w:val="none"/>
        </w:rPr>
      </w:pPr>
      <w:r>
        <w:rPr>
          <w:rFonts w:hint="eastAsia" w:ascii="宋体" w:hAnsi="宋体" w:cs="宋体"/>
          <w:b/>
          <w:color w:val="auto"/>
          <w:szCs w:val="21"/>
          <w:highlight w:val="none"/>
        </w:rPr>
        <w:t>未采用人民币报价或者未按照招标文件标明的币种报价的；</w:t>
      </w:r>
    </w:p>
    <w:p w14:paraId="09BCF660">
      <w:pPr>
        <w:pStyle w:val="7"/>
        <w:numPr>
          <w:ilvl w:val="0"/>
          <w:numId w:val="5"/>
        </w:numPr>
        <w:spacing w:line="360" w:lineRule="exact"/>
        <w:ind w:left="-134" w:firstLine="527"/>
        <w:rPr>
          <w:rFonts w:ascii="宋体" w:hAnsi="宋体" w:cs="宋体"/>
          <w:b/>
          <w:color w:val="auto"/>
          <w:szCs w:val="21"/>
          <w:highlight w:val="none"/>
        </w:rPr>
      </w:pPr>
      <w:r>
        <w:rPr>
          <w:rFonts w:hint="eastAsia" w:ascii="宋体" w:hAnsi="宋体" w:cs="宋体"/>
          <w:b/>
          <w:color w:val="auto"/>
          <w:szCs w:val="21"/>
          <w:highlight w:val="none"/>
        </w:rPr>
        <w:t>各分标报价超出招标文件相应分标规定最高限价，或者超出相应分标采购预算金额的；</w:t>
      </w:r>
    </w:p>
    <w:p w14:paraId="48C531B2">
      <w:pPr>
        <w:pStyle w:val="7"/>
        <w:numPr>
          <w:ilvl w:val="0"/>
          <w:numId w:val="5"/>
        </w:numPr>
        <w:spacing w:line="360" w:lineRule="exact"/>
        <w:ind w:left="-134" w:firstLine="527"/>
        <w:rPr>
          <w:rFonts w:ascii="宋体" w:hAnsi="宋体" w:cs="宋体"/>
          <w:b/>
          <w:color w:val="auto"/>
          <w:szCs w:val="21"/>
          <w:highlight w:val="none"/>
        </w:rPr>
      </w:pPr>
      <w:r>
        <w:rPr>
          <w:rFonts w:hint="eastAsia" w:ascii="宋体" w:hAnsi="宋体" w:cs="宋体"/>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7CF41B90">
      <w:pPr>
        <w:pStyle w:val="7"/>
        <w:numPr>
          <w:ilvl w:val="0"/>
          <w:numId w:val="5"/>
        </w:numPr>
        <w:spacing w:line="360" w:lineRule="exact"/>
        <w:ind w:left="-134" w:firstLine="527"/>
        <w:rPr>
          <w:rFonts w:ascii="宋体" w:hAnsi="宋体" w:cs="宋体"/>
          <w:b/>
          <w:color w:val="auto"/>
          <w:szCs w:val="21"/>
          <w:highlight w:val="none"/>
        </w:rPr>
      </w:pPr>
      <w:r>
        <w:rPr>
          <w:rFonts w:hint="eastAsia" w:ascii="宋体" w:hAnsi="宋体" w:cs="宋体"/>
          <w:b/>
          <w:color w:val="auto"/>
          <w:szCs w:val="21"/>
          <w:highlight w:val="none"/>
        </w:rPr>
        <w:t>修正后的报价，投标人不确认的；</w:t>
      </w:r>
    </w:p>
    <w:p w14:paraId="358725E5">
      <w:pPr>
        <w:pStyle w:val="7"/>
        <w:numPr>
          <w:ilvl w:val="0"/>
          <w:numId w:val="5"/>
        </w:numPr>
        <w:spacing w:line="360" w:lineRule="exact"/>
        <w:ind w:left="-134" w:firstLine="527"/>
        <w:rPr>
          <w:rFonts w:ascii="宋体" w:hAnsi="宋体" w:cs="宋体"/>
          <w:b/>
          <w:color w:val="auto"/>
          <w:szCs w:val="21"/>
          <w:highlight w:val="none"/>
        </w:rPr>
      </w:pPr>
      <w:r>
        <w:rPr>
          <w:rFonts w:hint="eastAsia" w:ascii="宋体" w:hAnsi="宋体" w:cs="宋体"/>
          <w:b/>
          <w:color w:val="auto"/>
          <w:szCs w:val="21"/>
          <w:highlight w:val="none"/>
        </w:rPr>
        <w:t>投标人属于本章第5.1条（2）或者第5.2条（2）项情形的；</w:t>
      </w:r>
    </w:p>
    <w:p w14:paraId="216E6B03">
      <w:pPr>
        <w:pStyle w:val="7"/>
        <w:numPr>
          <w:ilvl w:val="0"/>
          <w:numId w:val="5"/>
        </w:numPr>
        <w:spacing w:line="360" w:lineRule="exact"/>
        <w:ind w:left="-134" w:firstLine="497"/>
        <w:rPr>
          <w:rFonts w:ascii="宋体" w:hAnsi="宋体" w:cs="宋体"/>
          <w:b/>
          <w:color w:val="auto"/>
          <w:szCs w:val="21"/>
          <w:highlight w:val="none"/>
        </w:rPr>
      </w:pPr>
      <w:r>
        <w:rPr>
          <w:rFonts w:hint="eastAsia" w:ascii="宋体" w:hAnsi="宋体" w:cs="宋体"/>
          <w:b/>
          <w:color w:val="auto"/>
          <w:spacing w:val="-6"/>
          <w:szCs w:val="21"/>
          <w:highlight w:val="none"/>
        </w:rPr>
        <w:t>报价文件</w:t>
      </w:r>
      <w:r>
        <w:rPr>
          <w:rFonts w:hint="eastAsia" w:ascii="宋体" w:hAnsi="宋体" w:cs="宋体"/>
          <w:b/>
          <w:color w:val="auto"/>
          <w:szCs w:val="21"/>
          <w:highlight w:val="none"/>
        </w:rPr>
        <w:t>响应的标的数量及单位与招标文件要求实质性不一致的。</w:t>
      </w:r>
    </w:p>
    <w:p w14:paraId="74AA9507">
      <w:pPr>
        <w:pStyle w:val="6"/>
        <w:keepNext w:val="0"/>
        <w:keepLines w:val="0"/>
        <w:spacing w:before="0" w:after="0" w:line="360" w:lineRule="exact"/>
        <w:ind w:left="420" w:leftChars="200" w:firstLine="527"/>
        <w:rPr>
          <w:rFonts w:ascii="宋体" w:hAnsi="宋体" w:cs="宋体"/>
          <w:color w:val="auto"/>
          <w:sz w:val="21"/>
          <w:szCs w:val="21"/>
          <w:highlight w:val="none"/>
        </w:rPr>
      </w:pPr>
      <w:r>
        <w:rPr>
          <w:rFonts w:hint="eastAsia" w:ascii="宋体" w:hAnsi="宋体" w:cs="宋体"/>
          <w:color w:val="auto"/>
          <w:sz w:val="21"/>
          <w:szCs w:val="21"/>
          <w:highlight w:val="none"/>
        </w:rPr>
        <w:t>2.2在商务评审时，如发现下列情形之一的，将被视为投标无效：</w:t>
      </w:r>
    </w:p>
    <w:p w14:paraId="74329E68">
      <w:pPr>
        <w:numPr>
          <w:ilvl w:val="0"/>
          <w:numId w:val="6"/>
        </w:numPr>
        <w:snapToGrid w:val="0"/>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投标文件未按招标文件要求签署、盖章的；</w:t>
      </w:r>
    </w:p>
    <w:p w14:paraId="590D1BDD">
      <w:pPr>
        <w:numPr>
          <w:ilvl w:val="0"/>
          <w:numId w:val="6"/>
        </w:numPr>
        <w:snapToGrid w:val="0"/>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委托代理人未能出具有效身份证或者出具的身份证与授权委托书中的信息不符的；</w:t>
      </w:r>
    </w:p>
    <w:p w14:paraId="0B208D14">
      <w:pPr>
        <w:numPr>
          <w:ilvl w:val="0"/>
          <w:numId w:val="6"/>
        </w:numPr>
        <w:snapToGrid w:val="0"/>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为无效投标保证金的或者未按照招标文件的规定提交投标保证金的；</w:t>
      </w:r>
    </w:p>
    <w:p w14:paraId="5277B508">
      <w:pPr>
        <w:numPr>
          <w:ilvl w:val="0"/>
          <w:numId w:val="6"/>
        </w:numPr>
        <w:snapToGrid w:val="0"/>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投标文件未提供“投标人须知前附表”第13.1条规定中“必须提供”或者“委托时必须提供”的文件资料的；</w:t>
      </w:r>
    </w:p>
    <w:p w14:paraId="663233D2">
      <w:pPr>
        <w:numPr>
          <w:ilvl w:val="0"/>
          <w:numId w:val="6"/>
        </w:numPr>
        <w:snapToGrid w:val="0"/>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商务要求评审允许负偏离的条款数超过“投标人须知前附表”规定项数的；</w:t>
      </w:r>
    </w:p>
    <w:p w14:paraId="286B3AE9">
      <w:pPr>
        <w:numPr>
          <w:ilvl w:val="0"/>
          <w:numId w:val="6"/>
        </w:numPr>
        <w:snapToGrid w:val="0"/>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投标文件的实质性内容未使用中文表述、使用计量单位不符合招标文件要求的；</w:t>
      </w:r>
    </w:p>
    <w:p w14:paraId="1C207879">
      <w:pPr>
        <w:numPr>
          <w:ilvl w:val="0"/>
          <w:numId w:val="6"/>
        </w:numPr>
        <w:snapToGrid w:val="0"/>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投标文件中的文件资料因填写不齐全或者内容虚假或者出现其他情形而导致被评标委员会认定无效的；</w:t>
      </w:r>
    </w:p>
    <w:p w14:paraId="61F95F72">
      <w:pPr>
        <w:numPr>
          <w:ilvl w:val="0"/>
          <w:numId w:val="6"/>
        </w:numPr>
        <w:snapToGrid w:val="0"/>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投标文件含有采购人不能接受的附加条件的；</w:t>
      </w:r>
    </w:p>
    <w:p w14:paraId="4BA42870">
      <w:pPr>
        <w:numPr>
          <w:ilvl w:val="0"/>
          <w:numId w:val="6"/>
        </w:numPr>
        <w:snapToGrid w:val="0"/>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属于投标人须知正文第9.2条情形的；</w:t>
      </w:r>
    </w:p>
    <w:p w14:paraId="084541AE">
      <w:pPr>
        <w:numPr>
          <w:ilvl w:val="0"/>
          <w:numId w:val="6"/>
        </w:numPr>
        <w:snapToGrid w:val="0"/>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投标文件标注的项目名称或者项目编号与招标文件标注的项目名称或者项目编号不一致的；</w:t>
      </w:r>
    </w:p>
    <w:p w14:paraId="2AF08A0E">
      <w:pPr>
        <w:numPr>
          <w:ilvl w:val="0"/>
          <w:numId w:val="6"/>
        </w:numPr>
        <w:snapToGrid w:val="0"/>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招标文件明确不允许分包，投标文件拟分包的；</w:t>
      </w:r>
    </w:p>
    <w:p w14:paraId="2F52BEC7">
      <w:pPr>
        <w:numPr>
          <w:ilvl w:val="0"/>
          <w:numId w:val="6"/>
        </w:numPr>
        <w:snapToGrid w:val="0"/>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未响应招标文件实质性要求的；</w:t>
      </w:r>
    </w:p>
    <w:p w14:paraId="2ED9FEBF">
      <w:pPr>
        <w:numPr>
          <w:ilvl w:val="0"/>
          <w:numId w:val="6"/>
        </w:numPr>
        <w:snapToGrid w:val="0"/>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法律、法规和招标文件规定的其他无效情形。</w:t>
      </w:r>
    </w:p>
    <w:p w14:paraId="13330312">
      <w:pPr>
        <w:pStyle w:val="6"/>
        <w:keepNext w:val="0"/>
        <w:keepLines w:val="0"/>
        <w:spacing w:before="0" w:after="0" w:line="360" w:lineRule="exact"/>
        <w:ind w:left="420" w:leftChars="200" w:firstLine="527"/>
        <w:rPr>
          <w:rFonts w:ascii="宋体" w:hAnsi="宋体" w:cs="宋体"/>
          <w:color w:val="auto"/>
          <w:sz w:val="21"/>
          <w:szCs w:val="21"/>
          <w:highlight w:val="none"/>
        </w:rPr>
      </w:pPr>
      <w:r>
        <w:rPr>
          <w:rFonts w:hint="eastAsia" w:ascii="宋体" w:hAnsi="宋体" w:cs="宋体"/>
          <w:color w:val="auto"/>
          <w:sz w:val="21"/>
          <w:szCs w:val="21"/>
          <w:highlight w:val="none"/>
        </w:rPr>
        <w:t>2.3在技术评审时，如发现下列情形之一的，将被视为投标无效：</w:t>
      </w:r>
    </w:p>
    <w:p w14:paraId="091F2802">
      <w:pPr>
        <w:pStyle w:val="20"/>
        <w:snapToGrid w:val="0"/>
        <w:spacing w:line="360" w:lineRule="exact"/>
        <w:ind w:firstLine="413" w:firstLineChars="196"/>
        <w:rPr>
          <w:rFonts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（1）技术要求评审允许负偏离的条款数超过“投标人须知前附表”规定项数的；</w:t>
      </w:r>
    </w:p>
    <w:p w14:paraId="06B4EED3">
      <w:pPr>
        <w:pStyle w:val="20"/>
        <w:snapToGrid w:val="0"/>
        <w:spacing w:line="360" w:lineRule="exact"/>
        <w:ind w:firstLine="413" w:firstLineChars="196"/>
        <w:rPr>
          <w:rFonts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（2）投标文件未提供“投标人须知前附表”第13.1条规定中“必须提供”的文件资料的；</w:t>
      </w:r>
    </w:p>
    <w:p w14:paraId="442F9E61">
      <w:pPr>
        <w:pStyle w:val="20"/>
        <w:snapToGrid w:val="0"/>
        <w:spacing w:line="360" w:lineRule="exact"/>
        <w:ind w:firstLine="413" w:firstLineChars="196"/>
        <w:rPr>
          <w:rFonts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（3）虚假投标，或者出现其他情形而导致被评标委员会认定无效的；</w:t>
      </w:r>
    </w:p>
    <w:p w14:paraId="45C57D28">
      <w:pPr>
        <w:pStyle w:val="20"/>
        <w:snapToGrid w:val="0"/>
        <w:spacing w:line="360" w:lineRule="exact"/>
        <w:ind w:firstLine="413" w:firstLineChars="196"/>
        <w:rPr>
          <w:rFonts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（4）</w:t>
      </w:r>
      <w:bookmarkStart w:id="134" w:name="_Hlk71706244"/>
      <w:r>
        <w:rPr>
          <w:rFonts w:hint="eastAsia" w:ascii="宋体" w:hAnsi="宋体" w:eastAsia="宋体" w:cs="宋体"/>
          <w:b/>
          <w:color w:val="auto"/>
          <w:kern w:val="2"/>
          <w:sz w:val="21"/>
          <w:szCs w:val="21"/>
          <w:highlight w:val="none"/>
        </w:rPr>
        <w:t>招标文件未载明允许提供备选（替代）投标方案或明确不允许提供备选（替代）投标方案时，投标人提供了备选（替代）投标方案的；</w:t>
      </w:r>
      <w:bookmarkEnd w:id="134"/>
    </w:p>
    <w:p w14:paraId="04CE2EE1">
      <w:pPr>
        <w:pStyle w:val="20"/>
        <w:snapToGrid w:val="0"/>
        <w:spacing w:line="360" w:lineRule="exact"/>
        <w:ind w:firstLine="413" w:firstLineChars="196"/>
        <w:rPr>
          <w:rFonts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（5）未响应招标文件实质性要求的。</w:t>
      </w:r>
    </w:p>
    <w:p w14:paraId="72D8642C">
      <w:pPr>
        <w:pStyle w:val="6"/>
        <w:keepNext w:val="0"/>
        <w:keepLines w:val="0"/>
        <w:spacing w:before="0" w:after="0" w:line="360" w:lineRule="exact"/>
        <w:ind w:left="420" w:leftChars="200" w:firstLine="527"/>
        <w:rPr>
          <w:rFonts w:ascii="宋体" w:hAnsi="宋体" w:cs="宋体"/>
          <w:color w:val="auto"/>
          <w:sz w:val="21"/>
          <w:szCs w:val="21"/>
          <w:highlight w:val="none"/>
        </w:rPr>
      </w:pPr>
      <w:r>
        <w:rPr>
          <w:rFonts w:hint="eastAsia" w:ascii="宋体" w:hAnsi="宋体" w:cs="宋体"/>
          <w:color w:val="auto"/>
          <w:sz w:val="21"/>
          <w:szCs w:val="21"/>
          <w:highlight w:val="none"/>
        </w:rPr>
        <w:t>3.澄清补正</w:t>
      </w:r>
    </w:p>
    <w:p w14:paraId="22BCF047">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对投标文件中含义不明确、同类问题表述不一致或者有明显文字和计算错误的内容，评标委员会应在</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发布电子澄清函，要求投标人在规定时间内作出必要的澄清、说明或者补正。投标人在</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接收到电子澄清函后根据澄清函内容上传PDF格式回函，电子澄清答复函使用CA证书加盖单位公章后在线上传至评标委员会。投标人的澄清、说明或者补正不得超出投标文件的范围或者改变投标文件的实质性内容。</w:t>
      </w:r>
    </w:p>
    <w:p w14:paraId="434246F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05EC29AA">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未按评标委员会的要求作出明确澄清、说明或者更正的投标人的投标文件将按照有利于采购人的原则由评标委员会进行判定。</w:t>
      </w:r>
    </w:p>
    <w:p w14:paraId="386F7C4D">
      <w:pPr>
        <w:pStyle w:val="6"/>
        <w:keepNext w:val="0"/>
        <w:keepLines w:val="0"/>
        <w:spacing w:before="0" w:after="0" w:line="360" w:lineRule="exact"/>
        <w:ind w:left="420" w:leftChars="200" w:firstLine="527"/>
        <w:rPr>
          <w:rFonts w:ascii="宋体" w:hAnsi="宋体" w:cs="宋体"/>
          <w:color w:val="auto"/>
          <w:sz w:val="21"/>
          <w:szCs w:val="21"/>
          <w:highlight w:val="none"/>
        </w:rPr>
      </w:pPr>
      <w:r>
        <w:rPr>
          <w:rFonts w:hint="eastAsia" w:ascii="宋体" w:hAnsi="宋体" w:cs="宋体"/>
          <w:color w:val="auto"/>
          <w:sz w:val="21"/>
          <w:szCs w:val="21"/>
          <w:highlight w:val="none"/>
        </w:rPr>
        <w:t>4.投标文件修正</w:t>
      </w:r>
    </w:p>
    <w:p w14:paraId="1B55CBE8">
      <w:pPr>
        <w:pStyle w:val="6"/>
        <w:keepNext w:val="0"/>
        <w:keepLines w:val="0"/>
        <w:spacing w:before="0" w:after="0" w:line="360" w:lineRule="exact"/>
        <w:ind w:left="420" w:leftChars="200" w:firstLine="525"/>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4.1投标文件报价出现前后不一致的，按照下列规定修正： </w:t>
      </w:r>
    </w:p>
    <w:p w14:paraId="02492B00">
      <w:pPr>
        <w:pStyle w:val="27"/>
        <w:snapToGrid w:val="0"/>
        <w:spacing w:line="360" w:lineRule="exact"/>
        <w:ind w:firstLine="420" w:firstLineChars="200"/>
        <w:rPr>
          <w:rFonts w:hAnsi="宋体" w:cs="宋体"/>
          <w:color w:val="auto"/>
          <w:sz w:val="21"/>
          <w:highlight w:val="none"/>
        </w:rPr>
      </w:pPr>
      <w:r>
        <w:rPr>
          <w:rFonts w:hint="eastAsia" w:hAnsi="宋体" w:cs="宋体"/>
          <w:color w:val="auto"/>
          <w:sz w:val="21"/>
          <w:highlight w:val="none"/>
        </w:rPr>
        <w:t>（1）投标文件中开标一览表（报价表）内容与投标文件中相应内容不一致的，以开标一览表（报价表）为准；</w:t>
      </w:r>
    </w:p>
    <w:p w14:paraId="05D9ECB9">
      <w:pPr>
        <w:pStyle w:val="27"/>
        <w:snapToGrid w:val="0"/>
        <w:spacing w:line="360" w:lineRule="exact"/>
        <w:ind w:firstLine="420" w:firstLineChars="200"/>
        <w:rPr>
          <w:rFonts w:hAnsi="宋体" w:cs="宋体"/>
          <w:color w:val="auto"/>
          <w:sz w:val="21"/>
          <w:highlight w:val="none"/>
        </w:rPr>
      </w:pPr>
      <w:r>
        <w:rPr>
          <w:rFonts w:hint="eastAsia" w:hAnsi="宋体" w:cs="宋体"/>
          <w:color w:val="auto"/>
          <w:sz w:val="21"/>
          <w:highlight w:val="none"/>
        </w:rPr>
        <w:t>（2）大写金额和小写金额不一致的，以大写金额为准；</w:t>
      </w:r>
    </w:p>
    <w:p w14:paraId="518DC38D">
      <w:pPr>
        <w:pStyle w:val="27"/>
        <w:snapToGrid w:val="0"/>
        <w:spacing w:line="360" w:lineRule="exact"/>
        <w:ind w:firstLine="420" w:firstLineChars="200"/>
        <w:rPr>
          <w:rFonts w:hAnsi="宋体" w:cs="宋体"/>
          <w:color w:val="auto"/>
          <w:sz w:val="21"/>
          <w:highlight w:val="none"/>
        </w:rPr>
      </w:pPr>
      <w:r>
        <w:rPr>
          <w:rFonts w:hint="eastAsia" w:hAnsi="宋体" w:cs="宋体"/>
          <w:color w:val="auto"/>
          <w:sz w:val="21"/>
          <w:highlight w:val="none"/>
        </w:rPr>
        <w:t>（3）单价金额小数点或者百分比有明显错位的，以开标一览表的总价为准，并修改单价；</w:t>
      </w:r>
    </w:p>
    <w:p w14:paraId="324D4037">
      <w:pPr>
        <w:pStyle w:val="27"/>
        <w:snapToGrid w:val="0"/>
        <w:spacing w:line="360" w:lineRule="exact"/>
        <w:ind w:firstLine="420" w:firstLineChars="200"/>
        <w:rPr>
          <w:rFonts w:hAnsi="宋体" w:cs="宋体"/>
          <w:color w:val="auto"/>
          <w:sz w:val="21"/>
          <w:highlight w:val="none"/>
        </w:rPr>
      </w:pPr>
      <w:r>
        <w:rPr>
          <w:rFonts w:hint="eastAsia" w:hAnsi="宋体" w:cs="宋体"/>
          <w:color w:val="auto"/>
          <w:sz w:val="21"/>
          <w:highlight w:val="none"/>
        </w:rPr>
        <w:t>（4）总价金额与按单价汇总金额不一致的，以单价金额计算结果为准。</w:t>
      </w:r>
    </w:p>
    <w:p w14:paraId="0C45266F">
      <w:pPr>
        <w:pStyle w:val="27"/>
        <w:snapToGrid w:val="0"/>
        <w:spacing w:line="360" w:lineRule="exact"/>
        <w:ind w:firstLine="420" w:firstLineChars="200"/>
        <w:rPr>
          <w:rFonts w:hAnsi="宋体" w:cs="宋体"/>
          <w:color w:val="auto"/>
          <w:sz w:val="21"/>
          <w:highlight w:val="none"/>
        </w:rPr>
      </w:pPr>
      <w:r>
        <w:rPr>
          <w:rFonts w:hint="eastAsia" w:hAnsi="宋体" w:cs="宋体"/>
          <w:color w:val="auto"/>
          <w:sz w:val="21"/>
          <w:highlight w:val="none"/>
        </w:rPr>
        <w:t>同时出现两种以上不一致的，按照以上（1）-（4）规定的顺序修正。修正后的报价经投标人确认后产生约束力，投标人不确认的，</w:t>
      </w:r>
      <w:r>
        <w:rPr>
          <w:rFonts w:hint="eastAsia" w:hAnsi="宋体" w:cs="宋体"/>
          <w:b/>
          <w:color w:val="auto"/>
          <w:kern w:val="2"/>
          <w:sz w:val="21"/>
          <w:highlight w:val="none"/>
        </w:rPr>
        <w:t>其投标无效</w:t>
      </w:r>
      <w:r>
        <w:rPr>
          <w:rFonts w:hint="eastAsia" w:hAnsi="宋体" w:cs="宋体"/>
          <w:color w:val="auto"/>
          <w:sz w:val="21"/>
          <w:highlight w:val="none"/>
        </w:rPr>
        <w:t>。</w:t>
      </w:r>
    </w:p>
    <w:p w14:paraId="34AAB298">
      <w:pPr>
        <w:pStyle w:val="6"/>
        <w:keepNext w:val="0"/>
        <w:keepLines w:val="0"/>
        <w:spacing w:before="0" w:after="0" w:line="360" w:lineRule="exact"/>
        <w:ind w:left="-134" w:firstLine="525"/>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4.2经投标人确认修正后的报价若超过采购预算金额或者最高限价，</w:t>
      </w:r>
      <w:r>
        <w:rPr>
          <w:rFonts w:hint="eastAsia" w:ascii="宋体" w:hAnsi="宋体" w:cs="宋体"/>
          <w:color w:val="auto"/>
          <w:sz w:val="21"/>
          <w:szCs w:val="21"/>
          <w:highlight w:val="none"/>
        </w:rPr>
        <w:t>投标人的投标文件作无效投标处理</w:t>
      </w:r>
      <w:r>
        <w:rPr>
          <w:rFonts w:hint="eastAsia" w:ascii="宋体" w:hAnsi="宋体" w:cs="宋体"/>
          <w:b w:val="0"/>
          <w:color w:val="auto"/>
          <w:sz w:val="21"/>
          <w:szCs w:val="21"/>
          <w:highlight w:val="none"/>
        </w:rPr>
        <w:t>。</w:t>
      </w:r>
    </w:p>
    <w:p w14:paraId="72B44BD9">
      <w:pPr>
        <w:snapToGrid w:val="0"/>
        <w:spacing w:line="360" w:lineRule="exact"/>
        <w:ind w:firstLine="840" w:firstLineChars="400"/>
        <w:rPr>
          <w:rFonts w:hint="eastAsia" w:ascii="宋体" w:hAnsi="宋体" w:cs="宋体"/>
          <w:color w:val="auto"/>
          <w:szCs w:val="21"/>
          <w:highlight w:val="none"/>
        </w:rPr>
      </w:pPr>
      <w:r>
        <w:rPr>
          <w:rFonts w:hint="eastAsia" w:ascii="宋体" w:hAnsi="宋体" w:cs="宋体"/>
          <w:color w:val="auto"/>
          <w:szCs w:val="21"/>
          <w:highlight w:val="none"/>
        </w:rPr>
        <w:t>4.3经投标人确认修正后的报价作为签订合同的依据，并以此报价计算价格分。</w:t>
      </w:r>
    </w:p>
    <w:p w14:paraId="75ABCDA9">
      <w:pPr>
        <w:pStyle w:val="6"/>
        <w:keepNext w:val="0"/>
        <w:keepLines w:val="0"/>
        <w:spacing w:before="0" w:after="0" w:line="360" w:lineRule="exact"/>
        <w:ind w:left="420" w:leftChars="200" w:firstLine="527"/>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5.采购异常低价审查</w:t>
      </w:r>
    </w:p>
    <w:p w14:paraId="170D5181">
      <w:pPr>
        <w:spacing w:line="360" w:lineRule="exact"/>
        <w:ind w:firstLine="840" w:firstLineChars="4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5.1采购评审中出现下列情形之一的，评审委员会应当启动异常低价投标（响应）审查程序：</w:t>
      </w:r>
    </w:p>
    <w:p w14:paraId="1433E96C">
      <w:pPr>
        <w:spacing w:line="36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（1）投标（响应）报价低于全部通过符合性审查供应商投标（响应）报价平均值50%的，即投标（响应）报价&lt;全部通过符合性审查供应商投标（响应）报价平均值×50%；</w:t>
      </w:r>
    </w:p>
    <w:p w14:paraId="3C6C6782">
      <w:pPr>
        <w:spacing w:line="36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（2）投标（响应）报价低于通过符合性审查的次低报价供应商投标（响应）报价50%的，即投标（响应）报价&lt;通过符合性审查的次低报价供应商投标（响应）报价×50%；</w:t>
      </w:r>
    </w:p>
    <w:p w14:paraId="23D31CE1">
      <w:pPr>
        <w:spacing w:line="36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（3）投标（响应）报价低于采购项目最高限价50%的，即投标（响应）报价&lt;采购项目最高限价×50%；</w:t>
      </w:r>
    </w:p>
    <w:p w14:paraId="2FD53E56">
      <w:pPr>
        <w:spacing w:line="36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（4）评审委员会基于专业判断，认为供应商报价过低，有可能影响产品质量或者不能诚信履约的其他情形。</w:t>
      </w:r>
    </w:p>
    <w:p w14:paraId="79167C03">
      <w:pPr>
        <w:spacing w:line="360" w:lineRule="exact"/>
        <w:ind w:firstLine="840" w:firstLineChars="4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相关法律法规对供应商报价有规定的，从其规定。</w:t>
      </w:r>
    </w:p>
    <w:p w14:paraId="2158DA4E">
      <w:pPr>
        <w:snapToGrid w:val="0"/>
        <w:spacing w:line="360" w:lineRule="exact"/>
        <w:ind w:firstLine="630" w:firstLineChars="3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5.2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2E462948">
      <w:pPr>
        <w:snapToGrid w:val="0"/>
        <w:spacing w:line="36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3C152A21">
      <w:pPr>
        <w:snapToGrid w:val="0"/>
        <w:spacing w:line="36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采购人、采购代理机构应当为评审委员会在评审现场及时获取同类项目中标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BAB90BE">
      <w:pPr>
        <w:snapToGrid w:val="0"/>
        <w:spacing w:line="360" w:lineRule="exact"/>
        <w:ind w:firstLine="420" w:firstLineChars="200"/>
        <w:rPr>
          <w:rFonts w:hint="default" w:eastAsia="宋体"/>
          <w:color w:val="auto"/>
          <w:highlight w:val="none"/>
          <w:lang w:val="en-US" w:eastAsia="zh-CN"/>
        </w:rPr>
      </w:pPr>
      <w:r>
        <w:rPr>
          <w:rFonts w:hint="default" w:ascii="宋体" w:hAnsi="宋体" w:eastAsia="宋体" w:cs="宋体"/>
          <w:color w:val="auto"/>
          <w:szCs w:val="21"/>
          <w:highlight w:val="none"/>
          <w:lang w:val="en-US" w:eastAsia="zh-CN"/>
        </w:rPr>
        <w:t>异常低价投标审查的启动原因、审查意见和审查结果应当在评审报告中记录，并随供应商提供的相关书面说明及证明材料，以及评审委员会有关互联网浏览、查询历史一并归档。</w:t>
      </w:r>
    </w:p>
    <w:p w14:paraId="5B3FEE25">
      <w:pPr>
        <w:pStyle w:val="6"/>
        <w:keepNext w:val="0"/>
        <w:keepLines w:val="0"/>
        <w:spacing w:before="0" w:after="0" w:line="360" w:lineRule="exact"/>
        <w:ind w:left="420" w:leftChars="200" w:firstLine="527"/>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.比较与评价</w:t>
      </w:r>
    </w:p>
    <w:p w14:paraId="6B380513">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.1采用综合评分法的</w:t>
      </w:r>
    </w:p>
    <w:p w14:paraId="76A79E8D">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（1）评标委员会按照招标文件中规定的评标方法及评标标准，对符合性审查合格的投标文件进行商务和技术评估，综合比较与评价。</w:t>
      </w:r>
    </w:p>
    <w:p w14:paraId="533DCC45">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（2）评标委员会独立对每个投标人的投标文件进行评价，并汇总每个投标人的得分。</w:t>
      </w:r>
    </w:p>
    <w:p w14:paraId="7BA845EA">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cs="宋体"/>
          <w:b/>
          <w:color w:val="auto"/>
          <w:szCs w:val="21"/>
          <w:highlight w:val="none"/>
        </w:rPr>
        <w:t>投标人不能证明其报价合理性的，评标委员会将其作为无效投标处理</w:t>
      </w:r>
      <w:r>
        <w:rPr>
          <w:rFonts w:hint="eastAsia" w:ascii="宋体" w:hAnsi="宋体" w:cs="宋体"/>
          <w:color w:val="auto"/>
          <w:szCs w:val="21"/>
          <w:highlight w:val="none"/>
        </w:rPr>
        <w:t>。</w:t>
      </w:r>
    </w:p>
    <w:p w14:paraId="1C142C82">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（3）评标委员会按照招标文件中规定的评标方法和标准计算各投标人的报价得分。在计算过程中，不得去掉最高报价或者最低报价。</w:t>
      </w:r>
    </w:p>
    <w:p w14:paraId="19B19DAD">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（4）各投标人的得分为所有评委的有效评分的算术平均数。</w:t>
      </w:r>
    </w:p>
    <w:p w14:paraId="76A8F366">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（5）评标委员会按照招标文件中的规定推荐中标候选人。</w:t>
      </w:r>
    </w:p>
    <w:p w14:paraId="2EFE649E">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20149317">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.2采用</w:t>
      </w:r>
      <w:r>
        <w:rPr>
          <w:rFonts w:hint="eastAsia" w:ascii="宋体" w:hAnsi="宋体" w:cs="宋体"/>
          <w:color w:val="auto"/>
          <w:highlight w:val="none"/>
        </w:rPr>
        <w:t>最低评标价法</w:t>
      </w:r>
      <w:r>
        <w:rPr>
          <w:rFonts w:hint="eastAsia" w:ascii="宋体" w:hAnsi="宋体" w:cs="宋体"/>
          <w:color w:val="auto"/>
          <w:szCs w:val="21"/>
          <w:highlight w:val="none"/>
        </w:rPr>
        <w:t>的</w:t>
      </w:r>
    </w:p>
    <w:p w14:paraId="4CB5D705">
      <w:pPr>
        <w:snapToGrid w:val="0"/>
        <w:spacing w:line="360" w:lineRule="exact"/>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（1）评标委员会按照招标文件中规定的评标方法及评标标准，对符合性审查合格的投标文件报价进行比较。</w:t>
      </w:r>
    </w:p>
    <w:p w14:paraId="4EF4C52F">
      <w:pPr>
        <w:snapToGrid w:val="0"/>
        <w:spacing w:line="360" w:lineRule="exact"/>
        <w:ind w:firstLine="399" w:firstLineChars="202"/>
        <w:jc w:val="left"/>
        <w:rPr>
          <w:rFonts w:ascii="宋体" w:hAnsi="宋体" w:cs="宋体"/>
          <w:color w:val="auto"/>
          <w:spacing w:val="-6"/>
          <w:szCs w:val="21"/>
          <w:highlight w:val="none"/>
        </w:rPr>
      </w:pPr>
      <w:r>
        <w:rPr>
          <w:rFonts w:hint="eastAsia" w:ascii="宋体" w:hAnsi="宋体" w:cs="宋体"/>
          <w:color w:val="auto"/>
          <w:spacing w:val="-6"/>
          <w:szCs w:val="21"/>
          <w:highlight w:val="none"/>
        </w:rPr>
        <w:t>（2）评标委员会认为投标人的报价明显低于其他通过符合性审查投标人的报价，有可能影响产品质量或者不能诚信履约的，应当要求其在评标现场合理的时间内提供书面说明，必要时提交相关证明材料；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cs="宋体"/>
          <w:b/>
          <w:color w:val="auto"/>
          <w:spacing w:val="-6"/>
          <w:szCs w:val="21"/>
          <w:highlight w:val="none"/>
        </w:rPr>
        <w:t>投标人不能证明其报价合理性的，评标委员会将其作为无效投标处理</w:t>
      </w:r>
      <w:r>
        <w:rPr>
          <w:rFonts w:hint="eastAsia" w:ascii="宋体" w:hAnsi="宋体" w:cs="宋体"/>
          <w:color w:val="auto"/>
          <w:spacing w:val="-6"/>
          <w:szCs w:val="21"/>
          <w:highlight w:val="none"/>
        </w:rPr>
        <w:t>。</w:t>
      </w:r>
    </w:p>
    <w:p w14:paraId="16B6EA9A">
      <w:pPr>
        <w:snapToGrid w:val="0"/>
        <w:spacing w:line="360" w:lineRule="exact"/>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（3）评标委员会按照招标文件中的规定推荐中标候选人。</w:t>
      </w:r>
    </w:p>
    <w:p w14:paraId="4950A6E5">
      <w:pPr>
        <w:snapToGrid w:val="0"/>
        <w:spacing w:line="360" w:lineRule="exact"/>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04258CA1">
      <w:pPr>
        <w:snapToGrid w:val="0"/>
        <w:spacing w:line="360" w:lineRule="exact"/>
        <w:ind w:firstLine="424" w:firstLineChars="202"/>
        <w:jc w:val="center"/>
        <w:rPr>
          <w:rFonts w:hint="eastAsia" w:ascii="宋体" w:hAnsi="宋体" w:cs="宋体"/>
          <w:color w:val="auto"/>
          <w:highlight w:val="none"/>
        </w:rPr>
      </w:pPr>
      <w:r>
        <w:rPr>
          <w:rFonts w:hint="eastAsia" w:ascii="宋体" w:hAnsi="宋体" w:cs="宋体"/>
          <w:color w:val="auto"/>
          <w:highlight w:val="none"/>
        </w:rPr>
        <w:br w:type="page"/>
      </w:r>
    </w:p>
    <w:p w14:paraId="1F9C653F">
      <w:pPr>
        <w:snapToGrid w:val="0"/>
        <w:spacing w:line="360" w:lineRule="exact"/>
        <w:ind w:firstLine="2894" w:firstLineChars="901"/>
        <w:jc w:val="both"/>
        <w:rPr>
          <w:rFonts w:ascii="宋体" w:hAnsi="宋体" w:cs="宋体"/>
          <w:b/>
          <w:bCs/>
          <w:color w:val="auto"/>
          <w:sz w:val="32"/>
          <w:szCs w:val="32"/>
          <w:highlight w:val="none"/>
        </w:rPr>
      </w:pPr>
      <w:r>
        <w:rPr>
          <w:rFonts w:hint="eastAsia" w:ascii="宋体" w:hAnsi="宋体" w:cs="宋体"/>
          <w:b/>
          <w:bCs/>
          <w:color w:val="auto"/>
          <w:sz w:val="32"/>
          <w:szCs w:val="32"/>
          <w:highlight w:val="none"/>
        </w:rPr>
        <w:t>三、评标标准</w:t>
      </w:r>
    </w:p>
    <w:p w14:paraId="3D2E620B">
      <w:pPr>
        <w:pStyle w:val="24"/>
        <w:ind w:left="1470" w:right="1470"/>
        <w:rPr>
          <w:rFonts w:ascii="宋体" w:hAnsi="宋体" w:cs="宋体"/>
          <w:color w:val="auto"/>
          <w:highlight w:val="none"/>
        </w:rPr>
      </w:pPr>
    </w:p>
    <w:p w14:paraId="00E2345E">
      <w:pPr>
        <w:widowControl/>
        <w:ind w:firstLine="3188" w:firstLineChars="1134"/>
        <w:jc w:val="both"/>
        <w:textAlignment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综合评分法</w:t>
      </w:r>
    </w:p>
    <w:p w14:paraId="4F8E79D9">
      <w:pPr>
        <w:widowControl/>
        <w:jc w:val="both"/>
        <w:textAlignment w:val="center"/>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eastAsia="zh-CN"/>
        </w:rPr>
        <w:t>分标</w:t>
      </w:r>
      <w:r>
        <w:rPr>
          <w:rFonts w:hint="eastAsia" w:ascii="宋体" w:hAnsi="宋体" w:cs="宋体"/>
          <w:b/>
          <w:bCs/>
          <w:color w:val="auto"/>
          <w:sz w:val="21"/>
          <w:szCs w:val="21"/>
          <w:highlight w:val="none"/>
          <w:lang w:val="en-US" w:eastAsia="zh-CN"/>
        </w:rPr>
        <w:t>1：高中理化生实验室成套设备采购项目</w:t>
      </w:r>
    </w:p>
    <w:tbl>
      <w:tblPr>
        <w:tblStyle w:val="5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4"/>
        <w:gridCol w:w="1071"/>
        <w:gridCol w:w="7199"/>
        <w:gridCol w:w="835"/>
      </w:tblGrid>
      <w:tr w14:paraId="2FF56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7" w:type="pct"/>
            <w:vAlign w:val="center"/>
          </w:tcPr>
          <w:p w14:paraId="2042F671">
            <w:pPr>
              <w:widowControl/>
              <w:spacing w:line="360" w:lineRule="auto"/>
              <w:ind w:right="-34" w:rightChars="-16"/>
              <w:jc w:val="both"/>
              <w:rPr>
                <w:rFonts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553" w:type="pct"/>
            <w:vAlign w:val="center"/>
          </w:tcPr>
          <w:p w14:paraId="1F30CECC">
            <w:pPr>
              <w:widowControl/>
              <w:spacing w:line="360" w:lineRule="auto"/>
              <w:jc w:val="both"/>
              <w:rPr>
                <w:rFonts w:ascii="宋体" w:hAnsi="宋体" w:cs="宋体"/>
                <w:b/>
                <w:bCs/>
                <w:color w:val="auto"/>
                <w:kern w:val="0"/>
                <w:szCs w:val="21"/>
                <w:highlight w:val="none"/>
              </w:rPr>
            </w:pPr>
            <w:r>
              <w:rPr>
                <w:rFonts w:hint="eastAsia" w:ascii="宋体" w:hAnsi="宋体" w:cs="宋体"/>
                <w:b/>
                <w:bCs/>
                <w:color w:val="auto"/>
                <w:kern w:val="0"/>
                <w:szCs w:val="21"/>
                <w:highlight w:val="none"/>
              </w:rPr>
              <w:t>评审因素</w:t>
            </w:r>
          </w:p>
        </w:tc>
        <w:tc>
          <w:tcPr>
            <w:tcW w:w="3717" w:type="pct"/>
            <w:vAlign w:val="center"/>
          </w:tcPr>
          <w:p w14:paraId="147D4997">
            <w:pPr>
              <w:widowControl/>
              <w:spacing w:line="360" w:lineRule="auto"/>
              <w:ind w:firstLine="527"/>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评审因素具体内容</w:t>
            </w:r>
          </w:p>
        </w:tc>
        <w:tc>
          <w:tcPr>
            <w:tcW w:w="431" w:type="pct"/>
            <w:vAlign w:val="center"/>
          </w:tcPr>
          <w:p w14:paraId="1E24C3DE">
            <w:pPr>
              <w:widowControl/>
              <w:spacing w:line="360" w:lineRule="auto"/>
              <w:jc w:val="both"/>
              <w:rPr>
                <w:rFonts w:ascii="宋体" w:hAnsi="宋体" w:cs="宋体"/>
                <w:b/>
                <w:bCs/>
                <w:color w:val="auto"/>
                <w:kern w:val="0"/>
                <w:szCs w:val="21"/>
                <w:highlight w:val="none"/>
              </w:rPr>
            </w:pPr>
            <w:r>
              <w:rPr>
                <w:rFonts w:hint="eastAsia" w:ascii="宋体" w:hAnsi="宋体" w:cs="宋体"/>
                <w:b/>
                <w:bCs/>
                <w:color w:val="auto"/>
                <w:kern w:val="0"/>
                <w:szCs w:val="21"/>
                <w:highlight w:val="none"/>
              </w:rPr>
              <w:t>分值</w:t>
            </w:r>
          </w:p>
        </w:tc>
      </w:tr>
      <w:tr w14:paraId="20BE6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1" w:hRule="atLeast"/>
          <w:jc w:val="center"/>
        </w:trPr>
        <w:tc>
          <w:tcPr>
            <w:tcW w:w="297" w:type="pct"/>
            <w:vAlign w:val="center"/>
          </w:tcPr>
          <w:p w14:paraId="7B24D3AE">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553" w:type="pct"/>
            <w:vAlign w:val="center"/>
          </w:tcPr>
          <w:p w14:paraId="2D438B6C">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价格分</w:t>
            </w:r>
          </w:p>
        </w:tc>
        <w:tc>
          <w:tcPr>
            <w:tcW w:w="3717" w:type="pct"/>
          </w:tcPr>
          <w:p w14:paraId="4D085E68">
            <w:pPr>
              <w:pStyle w:val="27"/>
              <w:numPr>
                <w:ilvl w:val="0"/>
                <w:numId w:val="7"/>
              </w:numPr>
              <w:spacing w:line="360" w:lineRule="auto"/>
              <w:jc w:val="left"/>
              <w:rPr>
                <w:rFonts w:hAnsi="宋体" w:cs="宋体"/>
                <w:bCs/>
                <w:color w:val="auto"/>
                <w:sz w:val="21"/>
                <w:highlight w:val="none"/>
              </w:rPr>
            </w:pPr>
            <w:r>
              <w:rPr>
                <w:rFonts w:hint="eastAsia" w:hAnsi="宋体" w:cs="宋体"/>
                <w:bCs/>
                <w:color w:val="auto"/>
                <w:sz w:val="21"/>
                <w:highlight w:val="none"/>
              </w:rPr>
              <w:t>政府采购政策性扣除计算方法：</w:t>
            </w:r>
          </w:p>
          <w:p w14:paraId="25CB501D">
            <w:pPr>
              <w:numPr>
                <w:ilvl w:val="0"/>
                <w:numId w:val="0"/>
              </w:numPr>
              <w:snapToGrid w:val="0"/>
              <w:spacing w:line="360" w:lineRule="auto"/>
              <w:ind w:firstLine="234" w:firstLineChars="111"/>
              <w:rPr>
                <w:rFonts w:hint="eastAsia" w:ascii="宋体" w:hAnsi="宋体"/>
                <w:b/>
                <w:color w:val="auto"/>
                <w:szCs w:val="21"/>
                <w:highlight w:val="none"/>
              </w:rPr>
            </w:pPr>
            <w:r>
              <w:rPr>
                <w:rFonts w:hint="eastAsia" w:ascii="宋体" w:hAnsi="宋体" w:eastAsia="宋体" w:cs="Times New Roman"/>
                <w:b/>
                <w:color w:val="auto"/>
                <w:kern w:val="2"/>
                <w:sz w:val="21"/>
                <w:szCs w:val="21"/>
                <w:highlight w:val="none"/>
                <w:lang w:val="en-US" w:eastAsia="zh-CN" w:bidi="ar-SA"/>
              </w:rPr>
              <w:t>1）</w:t>
            </w:r>
            <w:r>
              <w:rPr>
                <w:rFonts w:hint="eastAsia" w:ascii="宋体" w:hAnsi="宋体" w:cs="新宋体"/>
                <w:b/>
                <w:color w:val="auto"/>
                <w:szCs w:val="21"/>
                <w:highlight w:val="none"/>
              </w:rPr>
              <w:t>本项目已按</w:t>
            </w:r>
            <w:r>
              <w:rPr>
                <w:rFonts w:hint="eastAsia" w:ascii="宋体" w:hAnsi="宋体"/>
                <w:b/>
                <w:color w:val="auto"/>
                <w:szCs w:val="21"/>
                <w:highlight w:val="none"/>
              </w:rPr>
              <w:t>《政府采购促进中小企业发展管理办法》（财库〔2020〕46号）预留份额</w:t>
            </w:r>
            <w:r>
              <w:rPr>
                <w:rFonts w:hint="eastAsia" w:ascii="宋体" w:hAnsi="宋体"/>
                <w:b/>
                <w:color w:val="auto"/>
                <w:szCs w:val="21"/>
                <w:highlight w:val="none"/>
                <w:lang w:val="en-US" w:eastAsia="zh-CN"/>
              </w:rPr>
              <w:t>3</w:t>
            </w:r>
            <w:r>
              <w:rPr>
                <w:rFonts w:hint="eastAsia" w:ascii="宋体" w:hAnsi="宋体"/>
                <w:b/>
                <w:color w:val="auto"/>
                <w:szCs w:val="21"/>
                <w:highlight w:val="none"/>
              </w:rPr>
              <w:t>0%，不再执行价格</w:t>
            </w:r>
            <w:r>
              <w:rPr>
                <w:rFonts w:hint="eastAsia" w:ascii="宋体" w:hAnsi="宋体"/>
                <w:b/>
                <w:color w:val="auto"/>
                <w:szCs w:val="21"/>
                <w:highlight w:val="none"/>
                <w:lang w:eastAsia="zh-CN"/>
              </w:rPr>
              <w:t>的中小微企业</w:t>
            </w:r>
            <w:r>
              <w:rPr>
                <w:rFonts w:hint="eastAsia" w:ascii="宋体" w:hAnsi="宋体"/>
                <w:b/>
                <w:color w:val="auto"/>
                <w:szCs w:val="21"/>
                <w:highlight w:val="none"/>
              </w:rPr>
              <w:t>扣除政策。</w:t>
            </w:r>
          </w:p>
          <w:p w14:paraId="581DFA01">
            <w:pPr>
              <w:numPr>
                <w:ilvl w:val="0"/>
                <w:numId w:val="0"/>
              </w:numPr>
              <w:snapToGrid w:val="0"/>
              <w:spacing w:line="360" w:lineRule="auto"/>
              <w:ind w:firstLine="234" w:firstLineChars="111"/>
              <w:rPr>
                <w:rFonts w:hint="eastAsia" w:ascii="宋体" w:hAnsi="宋体"/>
                <w:b/>
                <w:color w:val="auto"/>
                <w:szCs w:val="21"/>
                <w:highlight w:val="none"/>
              </w:rPr>
            </w:pPr>
            <w:r>
              <w:rPr>
                <w:rFonts w:hint="eastAsia" w:ascii="宋体" w:hAnsi="宋体" w:eastAsia="宋体" w:cs="Times New Roman"/>
                <w:b/>
                <w:color w:val="auto"/>
                <w:kern w:val="2"/>
                <w:sz w:val="21"/>
                <w:szCs w:val="21"/>
                <w:highlight w:val="none"/>
                <w:lang w:val="en-US" w:eastAsia="zh-CN" w:bidi="ar-SA"/>
              </w:rPr>
              <w:t>2）</w:t>
            </w:r>
            <w:r>
              <w:rPr>
                <w:rFonts w:hint="eastAsia" w:ascii="宋体" w:hAnsi="宋体" w:eastAsia="宋体" w:cs="Times New Roman"/>
                <w:bCs/>
                <w:color w:val="auto"/>
                <w:sz w:val="21"/>
                <w:szCs w:val="21"/>
                <w:highlight w:val="none"/>
              </w:rPr>
              <w:t>根据《国务院办公厅关于在政府采购中实施本国产品标准及相关政策的通知》国办发〔2025〕34号</w:t>
            </w:r>
            <w:r>
              <w:rPr>
                <w:rFonts w:hint="eastAsia" w:ascii="宋体" w:hAnsi="宋体" w:eastAsia="宋体" w:cs="Times New Roman"/>
                <w:bCs/>
                <w:color w:val="auto"/>
                <w:sz w:val="21"/>
                <w:szCs w:val="21"/>
                <w:highlight w:val="none"/>
                <w:lang w:eastAsia="zh-CN"/>
              </w:rPr>
              <w:t>，</w:t>
            </w:r>
            <w:r>
              <w:rPr>
                <w:rFonts w:hint="eastAsia" w:ascii="宋体" w:hAnsi="宋体" w:eastAsia="宋体" w:cs="Times New Roman"/>
                <w:bCs/>
                <w:color w:val="auto"/>
                <w:sz w:val="21"/>
                <w:szCs w:val="21"/>
                <w:highlight w:val="none"/>
              </w:rPr>
              <w:t>投标人在其投标文件中提供《关于符合本国产品标准的声明函》</w:t>
            </w:r>
            <w:r>
              <w:rPr>
                <w:rFonts w:hint="eastAsia" w:ascii="宋体" w:hAnsi="宋体" w:eastAsia="宋体" w:cs="Times New Roman"/>
                <w:bCs/>
                <w:color w:val="auto"/>
                <w:sz w:val="21"/>
                <w:szCs w:val="21"/>
                <w:highlight w:val="none"/>
                <w:lang w:eastAsia="zh-CN"/>
              </w:rPr>
              <w:t>，且政府采购活动中</w:t>
            </w:r>
            <w:r>
              <w:rPr>
                <w:rFonts w:hint="eastAsia" w:ascii="宋体" w:hAnsi="宋体" w:eastAsia="宋体" w:cs="Times New Roman"/>
                <w:bCs/>
                <w:color w:val="auto"/>
                <w:sz w:val="21"/>
                <w:szCs w:val="21"/>
                <w:highlight w:val="none"/>
              </w:rPr>
              <w:t>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ascii="宋体" w:hAnsi="宋体" w:eastAsia="宋体" w:cs="Times New Roman"/>
                <w:bCs/>
                <w:color w:val="auto"/>
                <w:sz w:val="21"/>
                <w:szCs w:val="21"/>
                <w:highlight w:val="none"/>
                <w:lang w:eastAsia="zh-CN"/>
              </w:rPr>
              <w:t>，</w:t>
            </w:r>
            <w:r>
              <w:rPr>
                <w:rFonts w:hint="eastAsia" w:ascii="宋体" w:hAnsi="宋体" w:eastAsia="宋体"/>
                <w:bCs/>
                <w:color w:val="auto"/>
                <w:sz w:val="21"/>
                <w:szCs w:val="21"/>
                <w:highlight w:val="none"/>
              </w:rPr>
              <w:t>即评标报价=投标报价×（1-</w:t>
            </w:r>
            <w:r>
              <w:rPr>
                <w:rFonts w:hint="eastAsia" w:ascii="宋体" w:hAnsi="宋体" w:eastAsia="宋体"/>
                <w:bCs/>
                <w:color w:val="auto"/>
                <w:sz w:val="21"/>
                <w:szCs w:val="21"/>
                <w:highlight w:val="none"/>
                <w:lang w:val="en-US" w:eastAsia="zh-CN"/>
              </w:rPr>
              <w:t>2</w:t>
            </w:r>
            <w:r>
              <w:rPr>
                <w:rFonts w:hint="eastAsia" w:ascii="宋体" w:hAnsi="宋体" w:eastAsia="宋体"/>
                <w:bCs/>
                <w:color w:val="auto"/>
                <w:sz w:val="21"/>
                <w:szCs w:val="21"/>
                <w:highlight w:val="none"/>
              </w:rPr>
              <w:t>0%）</w:t>
            </w:r>
            <w:r>
              <w:rPr>
                <w:rFonts w:hint="eastAsia" w:ascii="宋体" w:hAnsi="宋体" w:eastAsia="宋体"/>
                <w:bCs/>
                <w:color w:val="auto"/>
                <w:sz w:val="21"/>
                <w:szCs w:val="21"/>
                <w:highlight w:val="none"/>
                <w:lang w:val="en-US" w:eastAsia="zh-CN"/>
              </w:rPr>
              <w:t>。</w:t>
            </w:r>
          </w:p>
          <w:p w14:paraId="0385C3DA">
            <w:pPr>
              <w:numPr>
                <w:ilvl w:val="0"/>
                <w:numId w:val="0"/>
              </w:numPr>
              <w:snapToGrid w:val="0"/>
              <w:spacing w:line="360" w:lineRule="auto"/>
              <w:ind w:leftChars="0" w:firstLine="210" w:firstLineChars="100"/>
              <w:rPr>
                <w:rFonts w:hint="eastAsia" w:ascii="宋体" w:hAnsi="宋体" w:cs="宋体"/>
                <w:bCs/>
                <w:color w:val="auto"/>
                <w:szCs w:val="21"/>
                <w:highlight w:val="none"/>
                <w:lang w:eastAsia="zh-CN"/>
              </w:rPr>
            </w:pPr>
            <w:r>
              <w:rPr>
                <w:rFonts w:hint="eastAsia" w:ascii="宋体" w:hAnsi="宋体" w:cs="宋体"/>
                <w:bCs/>
                <w:color w:val="auto"/>
                <w:szCs w:val="21"/>
                <w:highlight w:val="none"/>
                <w:lang w:val="en-US" w:eastAsia="zh-CN"/>
              </w:rPr>
              <w:t>3）投标人满足以上政策时，</w:t>
            </w:r>
            <w:r>
              <w:rPr>
                <w:rFonts w:hint="eastAsia" w:ascii="宋体" w:hAnsi="宋体" w:cs="宋体"/>
                <w:bCs/>
                <w:color w:val="auto"/>
                <w:szCs w:val="21"/>
                <w:highlight w:val="none"/>
              </w:rPr>
              <w:t>扣除后的价格为评标报价，即评标报价=投标报价×（1</w:t>
            </w:r>
            <w:r>
              <w:rPr>
                <w:rFonts w:hint="eastAsia" w:ascii="宋体" w:hAnsi="宋体" w:cs="宋体"/>
                <w:bCs/>
                <w:color w:val="auto"/>
                <w:szCs w:val="21"/>
                <w:highlight w:val="none"/>
                <w:lang w:val="en-US" w:eastAsia="zh-CN"/>
              </w:rPr>
              <w:t>-20%</w:t>
            </w:r>
            <w:r>
              <w:rPr>
                <w:rFonts w:hint="eastAsia" w:ascii="宋体" w:hAnsi="宋体" w:cs="宋体"/>
                <w:bCs/>
                <w:color w:val="auto"/>
                <w:szCs w:val="21"/>
                <w:highlight w:val="none"/>
              </w:rPr>
              <w:t>）</w:t>
            </w:r>
            <w:r>
              <w:rPr>
                <w:rFonts w:hint="eastAsia" w:ascii="宋体" w:hAnsi="宋体" w:cs="宋体"/>
                <w:bCs/>
                <w:color w:val="auto"/>
                <w:szCs w:val="21"/>
                <w:highlight w:val="none"/>
                <w:lang w:eastAsia="zh-CN"/>
              </w:rPr>
              <w:t>。</w:t>
            </w:r>
          </w:p>
          <w:p w14:paraId="01FFB86A">
            <w:pPr>
              <w:autoSpaceDE w:val="0"/>
              <w:snapToGrid w:val="0"/>
              <w:spacing w:line="360" w:lineRule="auto"/>
              <w:ind w:firstLine="200" w:firstLineChars="100"/>
              <w:rPr>
                <w:rFonts w:hint="eastAsia" w:ascii="宋体" w:hAnsi="宋体" w:eastAsia="Times New Roman" w:cs="宋体"/>
                <w:bCs/>
                <w:color w:val="auto"/>
                <w:kern w:val="0"/>
                <w:sz w:val="20"/>
                <w:szCs w:val="21"/>
                <w:highlight w:val="none"/>
              </w:rPr>
            </w:pPr>
            <w:r>
              <w:rPr>
                <w:rFonts w:hint="eastAsia" w:ascii="宋体" w:hAnsi="宋体" w:eastAsia="宋体" w:cs="宋体"/>
                <w:bCs/>
                <w:color w:val="auto"/>
                <w:kern w:val="0"/>
                <w:sz w:val="20"/>
                <w:szCs w:val="21"/>
                <w:highlight w:val="none"/>
                <w:lang w:val="en-US" w:eastAsia="zh-CN"/>
              </w:rPr>
              <w:t>4）</w:t>
            </w:r>
            <w:r>
              <w:rPr>
                <w:rFonts w:hint="eastAsia" w:ascii="宋体" w:hAnsi="宋体" w:eastAsia="Times New Roman" w:cs="宋体"/>
                <w:bCs/>
                <w:color w:val="auto"/>
                <w:kern w:val="0"/>
                <w:sz w:val="20"/>
                <w:szCs w:val="21"/>
                <w:highlight w:val="none"/>
              </w:rPr>
              <w:t>除上述情况外，评标报价=投标报价。</w:t>
            </w:r>
          </w:p>
          <w:p w14:paraId="0E740BA8">
            <w:pPr>
              <w:numPr>
                <w:ilvl w:val="0"/>
                <w:numId w:val="7"/>
              </w:numPr>
              <w:snapToGrid w:val="0"/>
              <w:spacing w:line="360" w:lineRule="auto"/>
              <w:ind w:left="0" w:leftChars="0" w:firstLine="0" w:firstLineChars="0"/>
              <w:rPr>
                <w:rFonts w:hint="eastAsia" w:ascii="宋体" w:hAnsi="宋体" w:cs="宋体"/>
                <w:bCs/>
                <w:color w:val="auto"/>
                <w:szCs w:val="21"/>
                <w:highlight w:val="none"/>
                <w:lang w:eastAsia="zh-CN"/>
              </w:rPr>
            </w:pPr>
            <w:r>
              <w:rPr>
                <w:rFonts w:hint="eastAsia" w:ascii="宋体" w:hAnsi="宋体" w:cs="宋体"/>
                <w:bCs/>
                <w:color w:val="auto"/>
                <w:szCs w:val="21"/>
                <w:highlight w:val="none"/>
                <w:lang w:eastAsia="zh-CN"/>
              </w:rPr>
              <w:t>满足招标文件要求且评标报价最低的评标报价为评标基准价，其价格分为满分。</w:t>
            </w:r>
          </w:p>
          <w:p w14:paraId="6EB3BF19">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（3）价格分计算公式：价格分=(评标基准价／评标报价)×30分</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 xml:space="preserve"> </w:t>
            </w:r>
            <w:r>
              <w:rPr>
                <w:rFonts w:hint="eastAsia" w:ascii="宋体" w:hAnsi="宋体" w:cs="宋体"/>
                <w:color w:val="auto"/>
                <w:szCs w:val="21"/>
                <w:highlight w:val="none"/>
              </w:rPr>
              <w:t xml:space="preserve">  </w:t>
            </w:r>
          </w:p>
          <w:p w14:paraId="1AC45C77">
            <w:pPr>
              <w:spacing w:line="360" w:lineRule="auto"/>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lang w:eastAsia="zh-CN"/>
              </w:rPr>
              <w:t>）</w:t>
            </w:r>
            <w:r>
              <w:rPr>
                <w:rFonts w:hint="eastAsia" w:ascii="宋体" w:hAnsi="宋体" w:eastAsia="Times New Roman" w:cs="宋体"/>
                <w:color w:val="auto"/>
                <w:spacing w:val="0"/>
                <w:sz w:val="21"/>
                <w:szCs w:val="21"/>
                <w:highlight w:val="none"/>
                <w:lang w:eastAsia="zh-CN"/>
              </w:rPr>
              <w:t>依据《</w:t>
            </w:r>
            <w:r>
              <w:rPr>
                <w:rFonts w:hint="eastAsia" w:ascii="宋体" w:hAnsi="宋体" w:eastAsia="Times New Roman" w:cs="宋体"/>
                <w:color w:val="auto"/>
                <w:spacing w:val="0"/>
                <w:sz w:val="21"/>
                <w:szCs w:val="21"/>
                <w:highlight w:val="none"/>
                <w:lang w:eastAsia="zh-CN"/>
              </w:rPr>
              <w:fldChar w:fldCharType="begin"/>
            </w:r>
            <w:r>
              <w:rPr>
                <w:rFonts w:hint="eastAsia" w:ascii="宋体" w:hAnsi="宋体" w:eastAsia="Times New Roman" w:cs="宋体"/>
                <w:color w:val="auto"/>
                <w:spacing w:val="0"/>
                <w:sz w:val="21"/>
                <w:szCs w:val="21"/>
                <w:highlight w:val="none"/>
                <w:lang w:eastAsia="zh-CN"/>
              </w:rPr>
              <w:instrText xml:space="preserve"> HYPERLINK "https://weixin.caigou2003.com/ycait/law/" \l "/lawDetail?id=6059" </w:instrText>
            </w:r>
            <w:r>
              <w:rPr>
                <w:rFonts w:hint="eastAsia" w:ascii="宋体" w:hAnsi="宋体" w:eastAsia="Times New Roman" w:cs="宋体"/>
                <w:color w:val="auto"/>
                <w:spacing w:val="0"/>
                <w:sz w:val="21"/>
                <w:szCs w:val="21"/>
                <w:highlight w:val="none"/>
                <w:lang w:eastAsia="zh-CN"/>
              </w:rPr>
              <w:fldChar w:fldCharType="separate"/>
            </w:r>
            <w:r>
              <w:rPr>
                <w:rFonts w:hint="eastAsia" w:ascii="宋体" w:hAnsi="宋体" w:eastAsia="Times New Roman" w:cs="宋体"/>
                <w:color w:val="auto"/>
                <w:spacing w:val="0"/>
                <w:sz w:val="21"/>
                <w:szCs w:val="21"/>
                <w:highlight w:val="none"/>
                <w:lang w:eastAsia="zh-CN"/>
              </w:rPr>
              <w:t>关于推动解决政府采购异常低价问题的通知</w:t>
            </w:r>
            <w:r>
              <w:rPr>
                <w:rFonts w:hint="eastAsia" w:ascii="宋体" w:hAnsi="宋体" w:eastAsia="Times New Roman" w:cs="宋体"/>
                <w:color w:val="auto"/>
                <w:spacing w:val="0"/>
                <w:sz w:val="21"/>
                <w:szCs w:val="21"/>
                <w:highlight w:val="none"/>
                <w:lang w:eastAsia="zh-CN"/>
              </w:rPr>
              <w:fldChar w:fldCharType="end"/>
            </w:r>
            <w:r>
              <w:rPr>
                <w:rFonts w:hint="eastAsia" w:ascii="宋体" w:hAnsi="宋体" w:eastAsia="Times New Roman" w:cs="宋体"/>
                <w:color w:val="auto"/>
                <w:spacing w:val="0"/>
                <w:sz w:val="21"/>
                <w:szCs w:val="21"/>
                <w:highlight w:val="none"/>
                <w:lang w:eastAsia="zh-CN"/>
              </w:rPr>
              <w:t>》(财库〔2026〕2号)规定，</w:t>
            </w:r>
            <w:r>
              <w:rPr>
                <w:rFonts w:hint="eastAsia" w:ascii="宋体" w:hAnsi="宋体" w:eastAsia="Times New Roman" w:cs="宋体"/>
                <w:i w:val="0"/>
                <w:iCs w:val="0"/>
                <w:caps w:val="0"/>
                <w:color w:val="auto"/>
                <w:spacing w:val="0"/>
                <w:sz w:val="21"/>
                <w:szCs w:val="21"/>
                <w:highlight w:val="none"/>
                <w:shd w:val="clear" w:color="auto" w:fill="auto"/>
                <w:lang w:eastAsia="zh-CN"/>
              </w:rPr>
              <w:t>本项目评审中出现招标文件约定异常低价情形的，</w:t>
            </w:r>
            <w:r>
              <w:rPr>
                <w:rFonts w:hint="eastAsia" w:ascii="宋体" w:hAnsi="宋体" w:eastAsia="Times New Roman" w:cs="宋体"/>
                <w:color w:val="auto"/>
                <w:spacing w:val="0"/>
                <w:sz w:val="21"/>
                <w:szCs w:val="21"/>
                <w:highlight w:val="none"/>
                <w:lang w:eastAsia="zh-CN"/>
              </w:rPr>
              <w:t>评标委员会</w:t>
            </w:r>
            <w:r>
              <w:rPr>
                <w:rFonts w:hint="eastAsia" w:ascii="宋体" w:hAnsi="宋体" w:eastAsia="Times New Roman" w:cs="宋体"/>
                <w:i w:val="0"/>
                <w:iCs w:val="0"/>
                <w:caps w:val="0"/>
                <w:color w:val="auto"/>
                <w:spacing w:val="0"/>
                <w:sz w:val="21"/>
                <w:szCs w:val="21"/>
                <w:highlight w:val="none"/>
                <w:shd w:val="clear" w:color="auto" w:fill="auto"/>
                <w:lang w:eastAsia="zh-CN"/>
              </w:rPr>
              <w:t>应当启动异常低价投标审查程序。</w:t>
            </w:r>
          </w:p>
        </w:tc>
        <w:tc>
          <w:tcPr>
            <w:tcW w:w="431" w:type="pct"/>
            <w:vAlign w:val="center"/>
          </w:tcPr>
          <w:p w14:paraId="6AF3CA3A">
            <w:pPr>
              <w:widowControl/>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30</w:t>
            </w:r>
            <w:r>
              <w:rPr>
                <w:rFonts w:hint="eastAsia" w:ascii="宋体" w:hAnsi="宋体" w:cs="宋体"/>
                <w:color w:val="auto"/>
                <w:kern w:val="0"/>
                <w:szCs w:val="21"/>
                <w:highlight w:val="none"/>
                <w:lang w:eastAsia="zh-CN"/>
              </w:rPr>
              <w:t>分</w:t>
            </w:r>
          </w:p>
        </w:tc>
      </w:tr>
      <w:tr w14:paraId="33EF1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7" w:type="pct"/>
            <w:vAlign w:val="center"/>
          </w:tcPr>
          <w:p w14:paraId="022F5FC8">
            <w:pPr>
              <w:widowControl/>
              <w:spacing w:line="36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2</w:t>
            </w:r>
          </w:p>
        </w:tc>
        <w:tc>
          <w:tcPr>
            <w:tcW w:w="553" w:type="pct"/>
            <w:vAlign w:val="center"/>
          </w:tcPr>
          <w:p w14:paraId="7F826562">
            <w:pPr>
              <w:widowControl/>
              <w:spacing w:line="36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技术分</w:t>
            </w:r>
          </w:p>
        </w:tc>
        <w:tc>
          <w:tcPr>
            <w:tcW w:w="4148" w:type="pct"/>
            <w:gridSpan w:val="2"/>
          </w:tcPr>
          <w:p w14:paraId="2435D08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评审因素</w:t>
            </w:r>
          </w:p>
        </w:tc>
      </w:tr>
      <w:tr w14:paraId="3BA0A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297" w:type="pct"/>
            <w:vAlign w:val="center"/>
          </w:tcPr>
          <w:p w14:paraId="3611A137">
            <w:pPr>
              <w:adjustRightInd w:val="0"/>
              <w:spacing w:line="360" w:lineRule="auto"/>
              <w:ind w:left="-105" w:leftChars="-50" w:right="-105" w:rightChars="-50"/>
              <w:jc w:val="center"/>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2.1</w:t>
            </w:r>
          </w:p>
        </w:tc>
        <w:tc>
          <w:tcPr>
            <w:tcW w:w="553" w:type="pct"/>
            <w:vAlign w:val="center"/>
          </w:tcPr>
          <w:p w14:paraId="36810067">
            <w:pPr>
              <w:spacing w:line="360" w:lineRule="auto"/>
              <w:jc w:val="center"/>
              <w:rPr>
                <w:rFonts w:hint="eastAsia" w:ascii="宋体" w:hAnsi="宋体" w:cs="宋体"/>
                <w:bCs/>
                <w:color w:val="auto"/>
                <w:kern w:val="0"/>
                <w:szCs w:val="21"/>
                <w:highlight w:val="none"/>
              </w:rPr>
            </w:pPr>
            <w:r>
              <w:rPr>
                <w:rFonts w:hint="eastAsia" w:hAnsi="宋体"/>
                <w:bCs/>
                <w:color w:val="auto"/>
                <w:szCs w:val="21"/>
                <w:highlight w:val="none"/>
              </w:rPr>
              <w:t>产品性能分</w:t>
            </w: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分）</w:t>
            </w:r>
          </w:p>
        </w:tc>
        <w:tc>
          <w:tcPr>
            <w:tcW w:w="3717" w:type="pct"/>
            <w:vAlign w:val="top"/>
          </w:tcPr>
          <w:p w14:paraId="3CF25CE8">
            <w:pPr>
              <w:pStyle w:val="19"/>
              <w:spacing w:line="360" w:lineRule="auto"/>
              <w:rPr>
                <w:rFonts w:hAnsi="宋体"/>
                <w:bCs/>
                <w:color w:val="auto"/>
                <w:sz w:val="21"/>
                <w:szCs w:val="21"/>
                <w:highlight w:val="none"/>
              </w:rPr>
            </w:pPr>
            <w:r>
              <w:rPr>
                <w:rFonts w:hint="eastAsia" w:hAnsi="宋体"/>
                <w:bCs/>
                <w:color w:val="auto"/>
                <w:sz w:val="21"/>
                <w:szCs w:val="21"/>
                <w:highlight w:val="none"/>
              </w:rPr>
              <w:t>投标产品性能参数全部满足</w:t>
            </w:r>
            <w:r>
              <w:rPr>
                <w:rFonts w:hint="eastAsia" w:hAnsi="宋体"/>
                <w:bCs/>
                <w:color w:val="auto"/>
                <w:sz w:val="21"/>
                <w:szCs w:val="21"/>
                <w:highlight w:val="none"/>
                <w:lang w:eastAsia="zh-CN"/>
              </w:rPr>
              <w:t>招标文件</w:t>
            </w:r>
            <w:r>
              <w:rPr>
                <w:rFonts w:hint="eastAsia" w:hAnsi="宋体"/>
                <w:bCs/>
                <w:color w:val="auto"/>
                <w:sz w:val="21"/>
                <w:szCs w:val="21"/>
                <w:highlight w:val="none"/>
              </w:rPr>
              <w:t>要求，内容系指与产品性能相关紧密的技术指标、功能项目条款，作为评审依据，所提供产品必须满足。由评标委员会成员根据各投标人所投产品技术参数性能进行横向对比，综合评定，各评委在相应档次内独立打。</w:t>
            </w:r>
          </w:p>
          <w:p w14:paraId="2E0D0A6D">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rPr>
              <w:t>一档（</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分）：投标产品技术参数、性能指标及配置基本满足招标文件要求的</w:t>
            </w:r>
            <w:r>
              <w:rPr>
                <w:rFonts w:hint="eastAsia" w:ascii="宋体" w:hAnsi="宋体" w:cs="宋体"/>
                <w:color w:val="auto"/>
                <w:szCs w:val="21"/>
                <w:highlight w:val="none"/>
                <w:lang w:val="en-US" w:eastAsia="zh-CN"/>
              </w:rPr>
              <w:t>且</w:t>
            </w:r>
            <w:r>
              <w:rPr>
                <w:rFonts w:hint="eastAsia" w:ascii="宋体" w:hAnsi="宋体" w:eastAsia="宋体" w:cs="宋体"/>
                <w:color w:val="auto"/>
                <w:szCs w:val="21"/>
                <w:highlight w:val="none"/>
                <w:lang w:val="en-US" w:eastAsia="zh-CN"/>
              </w:rPr>
              <w:t>一般性</w:t>
            </w:r>
            <w:r>
              <w:rPr>
                <w:rFonts w:hint="eastAsia" w:ascii="宋体" w:hAnsi="宋体" w:eastAsia="宋体" w:cs="宋体"/>
                <w:color w:val="auto"/>
                <w:szCs w:val="21"/>
                <w:highlight w:val="none"/>
              </w:rPr>
              <w:t>技术参数</w:t>
            </w:r>
            <w:r>
              <w:rPr>
                <w:rFonts w:hint="eastAsia" w:ascii="宋体" w:hAnsi="宋体" w:eastAsia="宋体" w:cs="宋体"/>
                <w:color w:val="auto"/>
                <w:szCs w:val="21"/>
                <w:highlight w:val="none"/>
                <w:lang w:val="en-US" w:eastAsia="zh-CN"/>
              </w:rPr>
              <w:t>负偏离总数</w:t>
            </w:r>
            <w:r>
              <w:rPr>
                <w:rFonts w:hint="default" w:ascii="Arial" w:hAnsi="Arial" w:eastAsia="宋体" w:cs="Arial"/>
                <w:color w:val="auto"/>
                <w:szCs w:val="21"/>
                <w:highlight w:val="none"/>
                <w:lang w:val="en-US" w:eastAsia="zh-CN"/>
              </w:rPr>
              <w:t>≤</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lang w:val="en-US" w:eastAsia="zh-CN"/>
              </w:rPr>
              <w:t>项</w:t>
            </w:r>
            <w:r>
              <w:rPr>
                <w:rFonts w:hint="eastAsia" w:ascii="宋体" w:hAnsi="宋体" w:cs="宋体"/>
                <w:color w:val="auto"/>
                <w:szCs w:val="21"/>
                <w:highlight w:val="none"/>
                <w:lang w:val="en-US" w:eastAsia="zh-CN"/>
              </w:rPr>
              <w:t>，</w:t>
            </w:r>
          </w:p>
          <w:p w14:paraId="6D05CEE1">
            <w:pPr>
              <w:snapToGrid w:val="0"/>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rPr>
              <w:t>二档（</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分）：设备技术参数、性能指标及配置满足招标文件要求</w:t>
            </w:r>
            <w:r>
              <w:rPr>
                <w:rFonts w:hint="eastAsia" w:ascii="宋体" w:hAnsi="宋体" w:cs="宋体"/>
                <w:color w:val="auto"/>
                <w:szCs w:val="21"/>
                <w:highlight w:val="none"/>
                <w:lang w:eastAsia="zh-CN"/>
              </w:rPr>
              <w:t>且技术参数无</w:t>
            </w:r>
            <w:r>
              <w:rPr>
                <w:rFonts w:hint="eastAsia" w:ascii="宋体" w:hAnsi="宋体" w:cs="宋体"/>
                <w:color w:val="auto"/>
                <w:szCs w:val="21"/>
                <w:highlight w:val="none"/>
              </w:rPr>
              <w:t>负偏离</w:t>
            </w:r>
            <w:r>
              <w:rPr>
                <w:rFonts w:hint="eastAsia" w:ascii="宋体" w:hAnsi="宋体" w:cs="宋体"/>
                <w:color w:val="auto"/>
                <w:szCs w:val="21"/>
                <w:highlight w:val="none"/>
                <w:lang w:eastAsia="zh-CN"/>
              </w:rPr>
              <w:t>。</w:t>
            </w:r>
          </w:p>
        </w:tc>
        <w:tc>
          <w:tcPr>
            <w:tcW w:w="431" w:type="pct"/>
            <w:vAlign w:val="center"/>
          </w:tcPr>
          <w:p w14:paraId="29C5B8EF">
            <w:pPr>
              <w:spacing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12</w:t>
            </w:r>
            <w:r>
              <w:rPr>
                <w:rFonts w:hint="eastAsia" w:ascii="宋体" w:hAnsi="宋体" w:cs="宋体"/>
                <w:color w:val="auto"/>
                <w:kern w:val="0"/>
                <w:szCs w:val="21"/>
                <w:highlight w:val="none"/>
              </w:rPr>
              <w:t>分</w:t>
            </w:r>
          </w:p>
        </w:tc>
      </w:tr>
      <w:tr w14:paraId="062B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3" w:hRule="atLeast"/>
          <w:jc w:val="center"/>
        </w:trPr>
        <w:tc>
          <w:tcPr>
            <w:tcW w:w="297" w:type="pct"/>
            <w:shd w:val="clear" w:color="auto" w:fill="auto"/>
            <w:vAlign w:val="center"/>
          </w:tcPr>
          <w:p w14:paraId="379B966C">
            <w:pPr>
              <w:adjustRightInd w:val="0"/>
              <w:spacing w:line="360" w:lineRule="auto"/>
              <w:ind w:left="-105" w:leftChars="-50" w:right="-105" w:rightChars="-50"/>
              <w:jc w:val="center"/>
              <w:textAlignment w:val="baseline"/>
              <w:rPr>
                <w:rFonts w:ascii="宋体" w:hAnsi="宋体" w:eastAsia="宋体" w:cs="宋体"/>
                <w:bCs/>
                <w:color w:val="auto"/>
                <w:kern w:val="0"/>
                <w:sz w:val="21"/>
                <w:szCs w:val="21"/>
                <w:highlight w:val="none"/>
                <w:lang w:val="en-US" w:eastAsia="zh-CN" w:bidi="ar-SA"/>
              </w:rPr>
            </w:pPr>
            <w:r>
              <w:rPr>
                <w:rFonts w:hint="eastAsia" w:ascii="宋体" w:hAnsi="宋体" w:cs="宋体"/>
                <w:bCs/>
                <w:color w:val="auto"/>
                <w:kern w:val="0"/>
                <w:szCs w:val="21"/>
                <w:highlight w:val="none"/>
              </w:rPr>
              <w:t>2.2</w:t>
            </w:r>
          </w:p>
        </w:tc>
        <w:tc>
          <w:tcPr>
            <w:tcW w:w="553" w:type="pct"/>
            <w:shd w:val="clear" w:color="auto" w:fill="auto"/>
            <w:vAlign w:val="center"/>
          </w:tcPr>
          <w:p w14:paraId="03F4ADC2">
            <w:pPr>
              <w:spacing w:line="360" w:lineRule="auto"/>
              <w:jc w:val="center"/>
              <w:rPr>
                <w:rFonts w:ascii="宋体" w:hAnsi="宋体" w:eastAsia="宋体" w:cs="宋体"/>
                <w:bCs/>
                <w:color w:val="auto"/>
                <w:kern w:val="2"/>
                <w:sz w:val="21"/>
                <w:szCs w:val="21"/>
                <w:highlight w:val="none"/>
                <w:lang w:val="en-US" w:eastAsia="zh-CN" w:bidi="ar-SA"/>
              </w:rPr>
            </w:pPr>
            <w:r>
              <w:rPr>
                <w:rFonts w:hint="eastAsia" w:hAnsi="宋体"/>
                <w:bCs/>
                <w:color w:val="auto"/>
                <w:szCs w:val="21"/>
                <w:highlight w:val="none"/>
              </w:rPr>
              <w:t>实施方案</w:t>
            </w: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分）</w:t>
            </w:r>
          </w:p>
        </w:tc>
        <w:tc>
          <w:tcPr>
            <w:tcW w:w="3717" w:type="pct"/>
            <w:shd w:val="clear" w:color="auto" w:fill="auto"/>
            <w:vAlign w:val="top"/>
          </w:tcPr>
          <w:p w14:paraId="02D057F3">
            <w:pPr>
              <w:pStyle w:val="27"/>
              <w:spacing w:line="360" w:lineRule="auto"/>
              <w:ind w:left="-134" w:leftChars="-64" w:firstLine="525" w:firstLineChars="250"/>
              <w:rPr>
                <w:rFonts w:hAnsi="宋体" w:cs="宋体"/>
                <w:bCs/>
                <w:color w:val="auto"/>
                <w:sz w:val="21"/>
                <w:highlight w:val="none"/>
                <w:lang w:val="en-US"/>
              </w:rPr>
            </w:pPr>
            <w:r>
              <w:rPr>
                <w:rFonts w:hint="eastAsia" w:hAnsi="宋体"/>
                <w:bCs/>
                <w:color w:val="auto"/>
                <w:sz w:val="21"/>
                <w:highlight w:val="none"/>
              </w:rPr>
              <w:t>由评标委员会成员根据投标人提供的项目实施方案进行横向对比，综合评定，然后评委在各档次内独立打分。</w:t>
            </w:r>
          </w:p>
          <w:p w14:paraId="3D560B34">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分）：项目管理实施方案进度安排合理，方案推进保证具体措施到位；配套有货物存放场地、运输工具、项目实施人员配备基本合理，供货配送方案、安装质量和安全保证措施一般。</w:t>
            </w:r>
          </w:p>
          <w:p w14:paraId="58E2E9DD">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rPr>
              <w:t>分）：项目各项关键工作安排合理，交货日期优于采购需求，对本项目的风险预见、风险应对措施完备，有完善的项目解决方案；配套有货物存放场地、运输工具、项目实施人员配备较充足，供货配送方案、安装质量和安全保证措施较详细，可操作性较强。</w:t>
            </w:r>
          </w:p>
          <w:p w14:paraId="296045C0">
            <w:pPr>
              <w:spacing w:line="400" w:lineRule="exact"/>
              <w:ind w:firstLine="420" w:firstLineChars="200"/>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三档（</w:t>
            </w:r>
            <w:r>
              <w:rPr>
                <w:rFonts w:hint="eastAsia" w:ascii="宋体" w:hAnsi="宋体" w:cs="宋体"/>
                <w:color w:val="auto"/>
                <w:sz w:val="21"/>
                <w:szCs w:val="21"/>
                <w:highlight w:val="none"/>
                <w:lang w:val="en-US" w:eastAsia="zh-CN"/>
              </w:rPr>
              <w:t>30</w:t>
            </w:r>
            <w:r>
              <w:rPr>
                <w:rFonts w:hint="eastAsia" w:ascii="宋体" w:hAnsi="宋体" w:eastAsia="宋体" w:cs="宋体"/>
                <w:color w:val="auto"/>
                <w:sz w:val="21"/>
                <w:szCs w:val="21"/>
                <w:highlight w:val="none"/>
              </w:rPr>
              <w:t>分）：优于二档，项目管理实施方案完整，组织机构合理，分工与职责明确，提出具有建设性的方案优化建议；提供应急预案，具有对突发计划外供货需求的应对能力，大件</w:t>
            </w:r>
            <w:r>
              <w:rPr>
                <w:rFonts w:hint="eastAsia" w:ascii="宋体" w:hAnsi="宋体" w:eastAsia="宋体" w:cs="宋体"/>
                <w:color w:val="auto"/>
                <w:sz w:val="21"/>
                <w:szCs w:val="21"/>
                <w:highlight w:val="none"/>
                <w:lang w:eastAsia="zh-CN"/>
              </w:rPr>
              <w:t>设备</w:t>
            </w:r>
            <w:r>
              <w:rPr>
                <w:rFonts w:hint="eastAsia" w:ascii="宋体" w:hAnsi="宋体" w:eastAsia="宋体" w:cs="宋体"/>
                <w:color w:val="auto"/>
                <w:sz w:val="21"/>
                <w:szCs w:val="21"/>
                <w:highlight w:val="none"/>
              </w:rPr>
              <w:t>需要紧急搬运重组需求的应对能力，承诺紧急服务时限；配套有货物存放场地、运输工具、项目实施人员配备充足合理（项目负责人及技术人员必须为投标人正式在册员工，提供投标人为本公司正式员工的相关证明材料（如劳动合同、协议等），有详细的供货配送方案、安装质量和安全保证措施。</w:t>
            </w:r>
          </w:p>
        </w:tc>
        <w:tc>
          <w:tcPr>
            <w:tcW w:w="431" w:type="pct"/>
            <w:shd w:val="clear" w:color="auto" w:fill="auto"/>
            <w:vAlign w:val="center"/>
          </w:tcPr>
          <w:p w14:paraId="33F33347">
            <w:pPr>
              <w:spacing w:line="360" w:lineRule="auto"/>
              <w:jc w:val="center"/>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30分</w:t>
            </w:r>
          </w:p>
        </w:tc>
      </w:tr>
      <w:tr w14:paraId="6369B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8" w:hRule="atLeast"/>
          <w:jc w:val="center"/>
        </w:trPr>
        <w:tc>
          <w:tcPr>
            <w:tcW w:w="297" w:type="pct"/>
            <w:shd w:val="clear" w:color="auto" w:fill="auto"/>
            <w:vAlign w:val="center"/>
          </w:tcPr>
          <w:p w14:paraId="6303B5B1">
            <w:pPr>
              <w:adjustRightInd w:val="0"/>
              <w:spacing w:line="360" w:lineRule="auto"/>
              <w:ind w:left="-105" w:leftChars="-50" w:right="-105" w:rightChars="-50"/>
              <w:jc w:val="center"/>
              <w:textAlignment w:val="baseline"/>
              <w:rPr>
                <w:rFonts w:ascii="宋体" w:hAnsi="宋体" w:eastAsia="宋体" w:cs="宋体"/>
                <w:bCs/>
                <w:color w:val="auto"/>
                <w:kern w:val="0"/>
                <w:sz w:val="21"/>
                <w:szCs w:val="21"/>
                <w:highlight w:val="none"/>
                <w:lang w:val="en-US" w:eastAsia="zh-CN" w:bidi="ar-SA"/>
              </w:rPr>
            </w:pPr>
            <w:r>
              <w:rPr>
                <w:rFonts w:hint="eastAsia" w:ascii="宋体" w:hAnsi="宋体" w:cs="宋体"/>
                <w:bCs/>
                <w:color w:val="auto"/>
                <w:kern w:val="0"/>
                <w:szCs w:val="21"/>
                <w:highlight w:val="none"/>
              </w:rPr>
              <w:t>2.3</w:t>
            </w:r>
          </w:p>
        </w:tc>
        <w:tc>
          <w:tcPr>
            <w:tcW w:w="553" w:type="pct"/>
            <w:shd w:val="clear" w:color="auto" w:fill="auto"/>
            <w:vAlign w:val="center"/>
          </w:tcPr>
          <w:p w14:paraId="4400837D">
            <w:pPr>
              <w:spacing w:line="360" w:lineRule="auto"/>
              <w:jc w:val="center"/>
              <w:rPr>
                <w:rFonts w:ascii="宋体" w:hAnsi="宋体" w:eastAsia="宋体" w:cs="宋体"/>
                <w:bCs/>
                <w:color w:val="auto"/>
                <w:kern w:val="2"/>
                <w:sz w:val="21"/>
                <w:szCs w:val="21"/>
                <w:highlight w:val="none"/>
                <w:lang w:val="en-US" w:eastAsia="zh-CN" w:bidi="ar-SA"/>
              </w:rPr>
            </w:pPr>
            <w:r>
              <w:rPr>
                <w:rFonts w:hint="eastAsia" w:ascii="宋体" w:hAnsi="宋体" w:cs="宋体"/>
                <w:b/>
                <w:snapToGrid w:val="0"/>
                <w:color w:val="auto"/>
                <w:szCs w:val="21"/>
                <w:highlight w:val="none"/>
              </w:rPr>
              <w:t>培训方案分 （满分</w:t>
            </w:r>
            <w:r>
              <w:rPr>
                <w:rFonts w:hint="eastAsia" w:ascii="宋体" w:hAnsi="宋体" w:cs="宋体"/>
                <w:b/>
                <w:snapToGrid w:val="0"/>
                <w:color w:val="auto"/>
                <w:szCs w:val="21"/>
                <w:highlight w:val="none"/>
                <w:lang w:val="en-US" w:eastAsia="zh-CN"/>
              </w:rPr>
              <w:t>12</w:t>
            </w:r>
            <w:r>
              <w:rPr>
                <w:rFonts w:hint="eastAsia" w:ascii="宋体" w:hAnsi="宋体" w:cs="宋体"/>
                <w:b/>
                <w:snapToGrid w:val="0"/>
                <w:color w:val="auto"/>
                <w:szCs w:val="21"/>
                <w:highlight w:val="none"/>
              </w:rPr>
              <w:t>分）</w:t>
            </w:r>
          </w:p>
        </w:tc>
        <w:tc>
          <w:tcPr>
            <w:tcW w:w="3717" w:type="pct"/>
            <w:shd w:val="clear" w:color="auto" w:fill="auto"/>
            <w:vAlign w:val="top"/>
          </w:tcPr>
          <w:p w14:paraId="5451DF15">
            <w:pPr>
              <w:spacing w:line="460" w:lineRule="exact"/>
              <w:rPr>
                <w:rFonts w:hint="eastAsia" w:ascii="宋体" w:hAnsi="宋体" w:cs="宋体"/>
                <w:bCs/>
                <w:color w:val="auto"/>
                <w:szCs w:val="21"/>
                <w:highlight w:val="none"/>
              </w:rPr>
            </w:pPr>
            <w:r>
              <w:rPr>
                <w:rFonts w:hint="eastAsia" w:ascii="宋体" w:hAnsi="宋体" w:cs="宋体"/>
                <w:bCs/>
                <w:color w:val="auto"/>
                <w:szCs w:val="21"/>
                <w:highlight w:val="none"/>
              </w:rPr>
              <w:t>一档（</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 xml:space="preserve">分）：具有设备和维护培训计划，提供专业技术人员对采购人进行培训，培训内容有标准操作方法、使用注意事项、基础维护知识。 </w:t>
            </w:r>
          </w:p>
          <w:p w14:paraId="29A38922">
            <w:pPr>
              <w:spacing w:line="460" w:lineRule="exact"/>
              <w:rPr>
                <w:rFonts w:hint="eastAsia" w:ascii="宋体" w:hAnsi="宋体" w:cs="宋体"/>
                <w:bCs/>
                <w:color w:val="auto"/>
                <w:szCs w:val="21"/>
                <w:highlight w:val="none"/>
              </w:rPr>
            </w:pPr>
            <w:r>
              <w:rPr>
                <w:rFonts w:hint="eastAsia" w:ascii="宋体" w:hAnsi="宋体" w:cs="宋体"/>
                <w:bCs/>
                <w:color w:val="auto"/>
                <w:szCs w:val="21"/>
                <w:highlight w:val="none"/>
              </w:rPr>
              <w:t>二档（</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 xml:space="preserve">分）：具有设备和维护培训计划，提供专业 技术人员对采购人进行培训，培训内容有标准操作方法、使用注意事项、基础维护知识、一般故障处理方法、重大故障处理方法、维护保养细则。 </w:t>
            </w:r>
          </w:p>
          <w:p w14:paraId="5B525467">
            <w:pPr>
              <w:spacing w:line="460" w:lineRule="exact"/>
              <w:jc w:val="left"/>
              <w:rPr>
                <w:rFonts w:ascii="宋体" w:hAnsi="宋体" w:eastAsia="宋体" w:cs="宋体"/>
                <w:color w:val="auto"/>
                <w:kern w:val="2"/>
                <w:sz w:val="21"/>
                <w:szCs w:val="21"/>
                <w:highlight w:val="none"/>
                <w:lang w:val="en-US" w:eastAsia="zh-CN" w:bidi="ar-SA"/>
              </w:rPr>
            </w:pPr>
            <w:r>
              <w:rPr>
                <w:rFonts w:hint="eastAsia" w:ascii="宋体" w:hAnsi="宋体" w:cs="宋体"/>
                <w:bCs/>
                <w:color w:val="auto"/>
                <w:szCs w:val="21"/>
                <w:highlight w:val="none"/>
              </w:rPr>
              <w:t>三档（</w:t>
            </w:r>
            <w:r>
              <w:rPr>
                <w:rFonts w:hint="eastAsia" w:ascii="宋体" w:hAnsi="宋体" w:cs="宋体"/>
                <w:bCs/>
                <w:color w:val="auto"/>
                <w:szCs w:val="21"/>
                <w:highlight w:val="none"/>
                <w:lang w:val="en-US" w:eastAsia="zh-CN"/>
              </w:rPr>
              <w:t>12</w:t>
            </w:r>
            <w:r>
              <w:rPr>
                <w:rFonts w:hint="eastAsia" w:ascii="宋体" w:hAnsi="宋体" w:cs="宋体"/>
                <w:bCs/>
                <w:color w:val="auto"/>
                <w:szCs w:val="21"/>
                <w:highlight w:val="none"/>
              </w:rPr>
              <w:t xml:space="preserve">分）：具有设备和维护培训计划，提供专业技术人员对采购人进行培训，培训内容有标准操作方法、使用注意事项、基础维护知识、一般故障处理方法、重大故障处理方法、维护保养细则、使用技术指导。 </w:t>
            </w:r>
          </w:p>
        </w:tc>
        <w:tc>
          <w:tcPr>
            <w:tcW w:w="431" w:type="pct"/>
            <w:shd w:val="clear" w:color="auto" w:fill="auto"/>
            <w:vAlign w:val="center"/>
          </w:tcPr>
          <w:p w14:paraId="4427DA55">
            <w:pPr>
              <w:spacing w:line="360" w:lineRule="auto"/>
              <w:jc w:val="center"/>
              <w:rPr>
                <w:rFonts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lang w:val="en-US" w:eastAsia="zh-CN"/>
              </w:rPr>
              <w:t>12</w:t>
            </w:r>
            <w:r>
              <w:rPr>
                <w:rFonts w:hint="eastAsia" w:ascii="宋体" w:hAnsi="宋体" w:cs="宋体"/>
                <w:color w:val="auto"/>
                <w:kern w:val="0"/>
                <w:szCs w:val="21"/>
                <w:highlight w:val="none"/>
              </w:rPr>
              <w:t>分</w:t>
            </w:r>
          </w:p>
        </w:tc>
      </w:tr>
      <w:tr w14:paraId="0DC94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7" w:type="pct"/>
            <w:vAlign w:val="center"/>
          </w:tcPr>
          <w:p w14:paraId="74B6B923">
            <w:pPr>
              <w:adjustRightInd w:val="0"/>
              <w:spacing w:line="360" w:lineRule="auto"/>
              <w:ind w:left="-105" w:leftChars="-50" w:right="-105" w:rightChars="-50"/>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2.4</w:t>
            </w:r>
          </w:p>
        </w:tc>
        <w:tc>
          <w:tcPr>
            <w:tcW w:w="553" w:type="pct"/>
            <w:vAlign w:val="center"/>
          </w:tcPr>
          <w:p w14:paraId="23134027">
            <w:pPr>
              <w:spacing w:line="360" w:lineRule="auto"/>
              <w:jc w:val="center"/>
              <w:rPr>
                <w:rFonts w:ascii="宋体" w:hAnsi="宋体" w:cs="宋体"/>
                <w:bCs/>
                <w:color w:val="auto"/>
                <w:szCs w:val="21"/>
                <w:highlight w:val="none"/>
              </w:rPr>
            </w:pPr>
            <w:r>
              <w:rPr>
                <w:rFonts w:hint="eastAsia" w:ascii="宋体" w:hAnsi="宋体" w:cs="宋体"/>
                <w:color w:val="auto"/>
                <w:kern w:val="0"/>
                <w:szCs w:val="21"/>
                <w:highlight w:val="none"/>
              </w:rPr>
              <w:t>售后服务</w:t>
            </w:r>
            <w:r>
              <w:rPr>
                <w:rFonts w:hint="eastAsia" w:ascii="宋体" w:hAnsi="宋体" w:cs="宋体"/>
                <w:bCs/>
                <w:color w:val="auto"/>
                <w:szCs w:val="21"/>
                <w:highlight w:val="none"/>
              </w:rPr>
              <w:t>方案</w:t>
            </w: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p>
        </w:tc>
        <w:tc>
          <w:tcPr>
            <w:tcW w:w="3717" w:type="pct"/>
          </w:tcPr>
          <w:p w14:paraId="7269BB2A">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一档（</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分）：不切合项目实际，内容冗杂、多余；方案包含有简单的服务承诺、应急保障方案、定期上门维护、到达故障现场时间、故障出现解决方案、售后服务技术人员配备的。</w:t>
            </w:r>
          </w:p>
          <w:p w14:paraId="20D4087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二档（</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符合实际，内容措施满足项目需求；服务承诺提供有项目服务维护、保密承诺等内容，应急保障措施提供有应急项目内容、各应急项目的保障措施；方案能提供定期上门维护时间列表，到达故障现场的响应时间满足需求，提供的售后服务技术人员配备满足项目需求、专业技术水平较高。</w:t>
            </w:r>
          </w:p>
          <w:p w14:paraId="51040191">
            <w:pPr>
              <w:pStyle w:val="7"/>
              <w:spacing w:line="360" w:lineRule="auto"/>
              <w:ind w:firstLine="525"/>
              <w:rPr>
                <w:rFonts w:ascii="宋体" w:hAnsi="宋体" w:cs="宋体"/>
                <w:color w:val="auto"/>
                <w:szCs w:val="21"/>
                <w:highlight w:val="none"/>
              </w:rPr>
            </w:pPr>
            <w:r>
              <w:rPr>
                <w:rFonts w:hint="eastAsia" w:ascii="宋体" w:hAnsi="宋体" w:cs="宋体"/>
                <w:color w:val="auto"/>
                <w:szCs w:val="21"/>
                <w:highlight w:val="none"/>
              </w:rPr>
              <w:t>三档（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售后服务方案针对需求，切合实际，简练；服务承诺提供有详细的项目服务维护、保密承诺等内容，应急保障措施提供有详细的应急项目内容、各应急项目的保障措施，且能详细描述其实现方式；方案能提供定期上门维护具体时间列表，到达故障现场的响应时间完全满足或优于采购需求，提供的售后服务技术人员配备齐全、专业技术水平高，整体方案考虑周全。</w:t>
            </w:r>
          </w:p>
        </w:tc>
        <w:tc>
          <w:tcPr>
            <w:tcW w:w="431" w:type="pct"/>
            <w:vAlign w:val="center"/>
          </w:tcPr>
          <w:p w14:paraId="1FF44EF0">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分</w:t>
            </w:r>
          </w:p>
        </w:tc>
      </w:tr>
      <w:tr w14:paraId="7F1F3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7" w:type="pct"/>
            <w:vAlign w:val="center"/>
          </w:tcPr>
          <w:p w14:paraId="769051CB">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553" w:type="pct"/>
            <w:vAlign w:val="center"/>
          </w:tcPr>
          <w:p w14:paraId="2EF5D5CC">
            <w:pPr>
              <w:widowControl/>
              <w:spacing w:line="360" w:lineRule="auto"/>
              <w:jc w:val="center"/>
              <w:rPr>
                <w:rFonts w:ascii="宋体" w:hAnsi="宋体" w:cs="宋体"/>
                <w:bCs/>
                <w:color w:val="auto"/>
                <w:szCs w:val="21"/>
                <w:highlight w:val="none"/>
              </w:rPr>
            </w:pPr>
            <w:r>
              <w:rPr>
                <w:rFonts w:hint="eastAsia" w:ascii="宋体" w:hAnsi="宋体" w:cs="宋体"/>
                <w:bCs/>
                <w:color w:val="auto"/>
                <w:szCs w:val="21"/>
                <w:highlight w:val="none"/>
              </w:rPr>
              <w:t>商务分</w:t>
            </w:r>
          </w:p>
        </w:tc>
        <w:tc>
          <w:tcPr>
            <w:tcW w:w="4148" w:type="pct"/>
            <w:gridSpan w:val="2"/>
            <w:vAlign w:val="center"/>
          </w:tcPr>
          <w:p w14:paraId="65B0D10E">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评审因素</w:t>
            </w:r>
          </w:p>
        </w:tc>
      </w:tr>
      <w:tr w14:paraId="52A8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7" w:type="pct"/>
            <w:shd w:val="clear" w:color="auto" w:fill="auto"/>
            <w:vAlign w:val="center"/>
          </w:tcPr>
          <w:p w14:paraId="067D6BEC">
            <w:pPr>
              <w:widowControl/>
              <w:spacing w:line="360" w:lineRule="auto"/>
              <w:jc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3.1</w:t>
            </w:r>
          </w:p>
        </w:tc>
        <w:tc>
          <w:tcPr>
            <w:tcW w:w="553" w:type="pct"/>
            <w:vAlign w:val="center"/>
          </w:tcPr>
          <w:p w14:paraId="02D0302F">
            <w:pPr>
              <w:widowControl/>
              <w:spacing w:line="360" w:lineRule="auto"/>
              <w:jc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eastAsia="zh-CN"/>
              </w:rPr>
              <w:t>质保期分（满分</w:t>
            </w:r>
            <w:r>
              <w:rPr>
                <w:rFonts w:hint="eastAsia" w:ascii="宋体" w:hAnsi="宋体" w:cs="宋体"/>
                <w:bCs/>
                <w:color w:val="auto"/>
                <w:szCs w:val="21"/>
                <w:highlight w:val="none"/>
                <w:lang w:val="en-US" w:eastAsia="zh-CN"/>
              </w:rPr>
              <w:t>3分</w:t>
            </w:r>
            <w:r>
              <w:rPr>
                <w:rFonts w:hint="eastAsia" w:ascii="宋体" w:hAnsi="宋体" w:cs="宋体"/>
                <w:bCs/>
                <w:color w:val="auto"/>
                <w:szCs w:val="21"/>
                <w:highlight w:val="none"/>
                <w:lang w:eastAsia="zh-CN"/>
              </w:rPr>
              <w:t>）</w:t>
            </w:r>
          </w:p>
        </w:tc>
        <w:tc>
          <w:tcPr>
            <w:tcW w:w="3717" w:type="pct"/>
            <w:vAlign w:val="center"/>
          </w:tcPr>
          <w:p w14:paraId="0131D4DE">
            <w:pPr>
              <w:widowControl/>
              <w:spacing w:line="360" w:lineRule="auto"/>
              <w:jc w:val="left"/>
              <w:rPr>
                <w:rFonts w:hint="eastAsia" w:ascii="宋体" w:hAnsi="宋体" w:cs="宋体"/>
                <w:color w:val="auto"/>
                <w:kern w:val="0"/>
                <w:szCs w:val="21"/>
                <w:highlight w:val="none"/>
              </w:rPr>
            </w:pPr>
            <w:r>
              <w:rPr>
                <w:rFonts w:hint="eastAsia" w:ascii="宋体" w:hAnsi="宋体"/>
                <w:color w:val="auto"/>
                <w:highlight w:val="none"/>
              </w:rPr>
              <w:t>在满足本项目质保期基础上，投标文件中承诺项目整体免费质保期每超过招标文件要求半年的，加 1分，满分</w:t>
            </w:r>
            <w:r>
              <w:rPr>
                <w:rFonts w:hint="eastAsia" w:ascii="宋体" w:hAnsi="宋体"/>
                <w:color w:val="auto"/>
                <w:highlight w:val="none"/>
                <w:lang w:val="en-US" w:eastAsia="zh-CN"/>
              </w:rPr>
              <w:t>3</w:t>
            </w:r>
            <w:r>
              <w:rPr>
                <w:rFonts w:hint="eastAsia" w:ascii="宋体" w:hAnsi="宋体"/>
                <w:color w:val="auto"/>
                <w:highlight w:val="none"/>
              </w:rPr>
              <w:t>分</w:t>
            </w:r>
          </w:p>
        </w:tc>
        <w:tc>
          <w:tcPr>
            <w:tcW w:w="431" w:type="pct"/>
            <w:shd w:val="clear" w:color="auto" w:fill="auto"/>
            <w:vAlign w:val="center"/>
          </w:tcPr>
          <w:p w14:paraId="125FC15C">
            <w:pPr>
              <w:spacing w:line="360" w:lineRule="auto"/>
              <w:jc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分</w:t>
            </w:r>
          </w:p>
        </w:tc>
      </w:tr>
      <w:tr w14:paraId="1E29A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7" w:type="pct"/>
            <w:vAlign w:val="center"/>
          </w:tcPr>
          <w:p w14:paraId="3B6D8C33">
            <w:pPr>
              <w:widowControl/>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2</w:t>
            </w:r>
          </w:p>
        </w:tc>
        <w:tc>
          <w:tcPr>
            <w:tcW w:w="553" w:type="pct"/>
            <w:vAlign w:val="center"/>
          </w:tcPr>
          <w:p w14:paraId="36176E4D">
            <w:pPr>
              <w:widowControl/>
              <w:spacing w:line="360" w:lineRule="auto"/>
              <w:jc w:val="center"/>
              <w:rPr>
                <w:rFonts w:ascii="宋体" w:hAnsi="宋体" w:cs="宋体"/>
                <w:color w:val="auto"/>
                <w:kern w:val="0"/>
                <w:szCs w:val="21"/>
                <w:highlight w:val="none"/>
              </w:rPr>
            </w:pPr>
            <w:r>
              <w:rPr>
                <w:rFonts w:hint="eastAsia" w:ascii="宋体" w:hAnsi="宋体" w:cs="宋体"/>
                <w:color w:val="auto"/>
                <w:szCs w:val="21"/>
                <w:highlight w:val="none"/>
              </w:rPr>
              <w:t>业绩</w:t>
            </w:r>
            <w:r>
              <w:rPr>
                <w:rFonts w:hint="eastAsia" w:ascii="宋体" w:hAnsi="宋体" w:cs="宋体"/>
                <w:color w:val="auto"/>
                <w:szCs w:val="21"/>
                <w:highlight w:val="none"/>
                <w:lang w:eastAsia="zh-CN"/>
              </w:rPr>
              <w:t>信誉</w:t>
            </w:r>
            <w:r>
              <w:rPr>
                <w:rFonts w:hint="eastAsia" w:ascii="宋体" w:hAnsi="宋体" w:cs="宋体"/>
                <w:color w:val="auto"/>
                <w:szCs w:val="21"/>
                <w:highlight w:val="none"/>
              </w:rPr>
              <w:t>分（满分</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w:t>
            </w:r>
          </w:p>
        </w:tc>
        <w:tc>
          <w:tcPr>
            <w:tcW w:w="3717" w:type="pct"/>
          </w:tcPr>
          <w:p w14:paraId="6E38AE35">
            <w:pPr>
              <w:numPr>
                <w:ilvl w:val="0"/>
                <w:numId w:val="0"/>
              </w:numPr>
              <w:snapToGrid w:val="0"/>
              <w:spacing w:line="360" w:lineRule="auto"/>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1</w:t>
            </w:r>
            <w:r>
              <w:rPr>
                <w:rFonts w:hint="eastAsia" w:ascii="宋体" w:hAnsi="宋体" w:cs="宋体"/>
                <w:color w:val="auto"/>
                <w:highlight w:val="none"/>
                <w:lang w:eastAsia="zh-CN"/>
              </w:rPr>
              <w:t>）</w:t>
            </w:r>
            <w:r>
              <w:rPr>
                <w:rFonts w:hint="eastAsia" w:ascii="宋体" w:hAnsi="宋体" w:cs="宋体"/>
                <w:color w:val="auto"/>
                <w:highlight w:val="none"/>
              </w:rPr>
              <w:t>投标人或投标产品生产厂家通过ISO9001质量管理体系认证，提供证书扫描件得</w:t>
            </w:r>
            <w:r>
              <w:rPr>
                <w:rFonts w:hint="eastAsia" w:ascii="宋体" w:hAnsi="宋体" w:cs="宋体"/>
                <w:color w:val="auto"/>
                <w:highlight w:val="none"/>
                <w:lang w:val="en-US" w:eastAsia="zh-CN"/>
              </w:rPr>
              <w:t>1</w:t>
            </w:r>
            <w:r>
              <w:rPr>
                <w:rFonts w:hint="eastAsia" w:ascii="宋体" w:hAnsi="宋体" w:cs="宋体"/>
                <w:color w:val="auto"/>
                <w:highlight w:val="none"/>
              </w:rPr>
              <w:t>分，（满分</w:t>
            </w:r>
            <w:r>
              <w:rPr>
                <w:rFonts w:hint="eastAsia" w:ascii="宋体" w:hAnsi="宋体" w:cs="宋体"/>
                <w:color w:val="auto"/>
                <w:highlight w:val="none"/>
                <w:lang w:val="en-US" w:eastAsia="zh-CN"/>
              </w:rPr>
              <w:t>1</w:t>
            </w:r>
            <w:r>
              <w:rPr>
                <w:rFonts w:hint="eastAsia" w:ascii="宋体" w:hAnsi="宋体" w:cs="宋体"/>
                <w:color w:val="auto"/>
                <w:highlight w:val="none"/>
              </w:rPr>
              <w:t>分）。</w:t>
            </w:r>
          </w:p>
          <w:p w14:paraId="649E42A6">
            <w:pPr>
              <w:spacing w:line="360" w:lineRule="auto"/>
              <w:rPr>
                <w:rFonts w:ascii="宋体" w:hAnsi="宋体" w:cs="宋体"/>
                <w:color w:val="auto"/>
                <w:szCs w:val="21"/>
                <w:highlight w:val="none"/>
              </w:rPr>
            </w:pPr>
            <w:r>
              <w:rPr>
                <w:rFonts w:hint="eastAsia" w:ascii="宋体" w:hAnsi="宋体" w:eastAsia="Times New Roman" w:cs="宋体"/>
                <w:bCs/>
                <w:color w:val="auto"/>
                <w:kern w:val="0"/>
                <w:szCs w:val="21"/>
                <w:highlight w:val="none"/>
              </w:rPr>
              <w:t>（2）投标人或投标产品</w:t>
            </w:r>
            <w:r>
              <w:rPr>
                <w:rFonts w:hint="eastAsia" w:ascii="宋体" w:hAnsi="宋体" w:cs="宋体"/>
                <w:bCs/>
                <w:color w:val="auto"/>
                <w:kern w:val="0"/>
                <w:szCs w:val="21"/>
                <w:highlight w:val="none"/>
              </w:rPr>
              <w:t>20</w:t>
            </w:r>
            <w:r>
              <w:rPr>
                <w:rFonts w:hint="eastAsia" w:ascii="宋体" w:hAnsi="宋体" w:cs="宋体"/>
                <w:bCs/>
                <w:color w:val="auto"/>
                <w:kern w:val="0"/>
                <w:szCs w:val="21"/>
                <w:highlight w:val="none"/>
                <w:lang w:val="en-US" w:eastAsia="zh-CN"/>
              </w:rPr>
              <w:t>23</w:t>
            </w:r>
            <w:r>
              <w:rPr>
                <w:rFonts w:hint="eastAsia" w:ascii="宋体" w:hAnsi="宋体" w:eastAsia="Times New Roman" w:cs="宋体"/>
                <w:bCs/>
                <w:color w:val="auto"/>
                <w:kern w:val="0"/>
                <w:szCs w:val="21"/>
                <w:highlight w:val="none"/>
              </w:rPr>
              <w:t>年以来完成的同类项目的业绩，以签订的采购合同或中标通知书为准，每份得1分，（满分</w:t>
            </w:r>
            <w:r>
              <w:rPr>
                <w:rFonts w:hint="eastAsia" w:ascii="宋体" w:hAnsi="宋体" w:eastAsia="宋体" w:cs="宋体"/>
                <w:bCs/>
                <w:color w:val="auto"/>
                <w:kern w:val="0"/>
                <w:szCs w:val="21"/>
                <w:highlight w:val="none"/>
                <w:lang w:val="en-US" w:eastAsia="zh-CN"/>
              </w:rPr>
              <w:t>2</w:t>
            </w:r>
            <w:r>
              <w:rPr>
                <w:rFonts w:hint="eastAsia" w:ascii="宋体" w:hAnsi="宋体" w:eastAsia="Times New Roman" w:cs="宋体"/>
                <w:bCs/>
                <w:color w:val="auto"/>
                <w:kern w:val="0"/>
                <w:szCs w:val="21"/>
                <w:highlight w:val="none"/>
              </w:rPr>
              <w:t>分）。[采购合同或中标通知书必须能清晰反映所销售的货物、类别及金额，同一个编号的招标项目有2个（含2个）以上的分标中标的只算一次]</w:t>
            </w:r>
          </w:p>
        </w:tc>
        <w:tc>
          <w:tcPr>
            <w:tcW w:w="431" w:type="pct"/>
            <w:vAlign w:val="center"/>
          </w:tcPr>
          <w:p w14:paraId="6893C4C7">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分</w:t>
            </w:r>
          </w:p>
        </w:tc>
      </w:tr>
      <w:tr w14:paraId="20FC3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297" w:type="pct"/>
            <w:vAlign w:val="center"/>
          </w:tcPr>
          <w:p w14:paraId="7386A389">
            <w:pPr>
              <w:widowControl/>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3</w:t>
            </w:r>
          </w:p>
        </w:tc>
        <w:tc>
          <w:tcPr>
            <w:tcW w:w="553" w:type="pct"/>
            <w:vAlign w:val="center"/>
          </w:tcPr>
          <w:p w14:paraId="7AA85669">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 xml:space="preserve">政策分（满分 </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 xml:space="preserve"> 分）</w:t>
            </w:r>
          </w:p>
        </w:tc>
        <w:tc>
          <w:tcPr>
            <w:tcW w:w="3717" w:type="pct"/>
          </w:tcPr>
          <w:p w14:paraId="685F25D8">
            <w:pPr>
              <w:spacing w:line="360" w:lineRule="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1）属于财政部《节能产品政府采购品目清单》内优先采购（清单内未标注“★”的品目）的产品[投标文件中提供有效的认证证书复印件及品目清单（标注出投标产品在品目清单中所属的品目），并加盖投标人电子签章]，根据其所占项目（或者分标）预算金额比例得</w:t>
            </w:r>
            <w:r>
              <w:rPr>
                <w:rFonts w:hint="eastAsia" w:ascii="宋体" w:hAnsi="宋体" w:eastAsia="宋体" w:cs="宋体"/>
                <w:bCs/>
                <w:color w:val="auto"/>
                <w:sz w:val="21"/>
                <w:szCs w:val="21"/>
                <w:highlight w:val="none"/>
                <w:u w:val="single"/>
              </w:rPr>
              <w:t xml:space="preserve">  0 </w:t>
            </w:r>
            <w:r>
              <w:rPr>
                <w:rFonts w:hint="eastAsia" w:ascii="宋体" w:hAnsi="宋体" w:eastAsia="宋体" w:cs="宋体"/>
                <w:bCs/>
                <w:color w:val="auto"/>
                <w:sz w:val="21"/>
                <w:szCs w:val="21"/>
                <w:highlight w:val="none"/>
              </w:rPr>
              <w:t>至</w:t>
            </w:r>
            <w:r>
              <w:rPr>
                <w:rFonts w:hint="eastAsia" w:ascii="宋体" w:hAnsi="宋体" w:eastAsia="宋体" w:cs="宋体"/>
                <w:bCs/>
                <w:color w:val="auto"/>
                <w:sz w:val="21"/>
                <w:szCs w:val="21"/>
                <w:highlight w:val="none"/>
                <w:u w:val="single"/>
              </w:rPr>
              <w:t xml:space="preserve"> </w:t>
            </w:r>
            <w:r>
              <w:rPr>
                <w:rFonts w:hint="eastAsia" w:ascii="宋体" w:hAnsi="宋体" w:cs="宋体"/>
                <w:bCs/>
                <w:color w:val="auto"/>
                <w:sz w:val="21"/>
                <w:szCs w:val="21"/>
                <w:highlight w:val="none"/>
                <w:u w:val="single"/>
                <w:lang w:val="en-US" w:eastAsia="zh-CN"/>
              </w:rPr>
              <w:t>0.5</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分，满分</w:t>
            </w:r>
            <w:r>
              <w:rPr>
                <w:rFonts w:hint="eastAsia" w:ascii="宋体" w:hAnsi="宋体" w:eastAsia="宋体" w:cs="宋体"/>
                <w:bCs/>
                <w:color w:val="auto"/>
                <w:sz w:val="21"/>
                <w:szCs w:val="21"/>
                <w:highlight w:val="none"/>
                <w:u w:val="single"/>
              </w:rPr>
              <w:t xml:space="preserve"> </w:t>
            </w:r>
            <w:r>
              <w:rPr>
                <w:rFonts w:hint="eastAsia" w:ascii="宋体" w:hAnsi="宋体" w:cs="宋体"/>
                <w:bCs/>
                <w:color w:val="auto"/>
                <w:sz w:val="21"/>
                <w:szCs w:val="21"/>
                <w:highlight w:val="none"/>
                <w:u w:val="single"/>
                <w:lang w:val="en-US" w:eastAsia="zh-CN"/>
              </w:rPr>
              <w:t>0.5</w:t>
            </w:r>
            <w:r>
              <w:rPr>
                <w:rFonts w:hint="eastAsia" w:ascii="宋体" w:hAnsi="宋体" w:eastAsia="宋体" w:cs="宋体"/>
                <w:bCs/>
                <w:color w:val="auto"/>
                <w:sz w:val="21"/>
                <w:szCs w:val="21"/>
                <w:highlight w:val="none"/>
              </w:rPr>
              <w:t>分</w:t>
            </w:r>
            <w:r>
              <w:rPr>
                <w:rFonts w:hint="eastAsia" w:ascii="宋体" w:hAnsi="宋体" w:eastAsia="宋体" w:cs="宋体"/>
                <w:bCs/>
                <w:color w:val="auto"/>
                <w:sz w:val="21"/>
                <w:szCs w:val="21"/>
                <w:highlight w:val="none"/>
                <w:lang w:val="en-US" w:eastAsia="zh-CN"/>
              </w:rPr>
              <w:t>；</w:t>
            </w:r>
          </w:p>
          <w:p w14:paraId="168534AF">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属于财政部《环境标志产品政府采购品目清单》内的产品[投标文件中提供有效的认证证书复印件及品目清单（标注出投标产品在品目清单中所属的品目），并加盖投标人电子签章，根据其所占项目（或者分标）预算金额比例得</w:t>
            </w:r>
            <w:r>
              <w:rPr>
                <w:rFonts w:hint="eastAsia" w:ascii="宋体" w:hAnsi="宋体" w:eastAsia="宋体" w:cs="宋体"/>
                <w:bCs/>
                <w:color w:val="auto"/>
                <w:sz w:val="21"/>
                <w:szCs w:val="21"/>
                <w:highlight w:val="none"/>
                <w:u w:val="single"/>
              </w:rPr>
              <w:t xml:space="preserve"> 0 </w:t>
            </w:r>
            <w:r>
              <w:rPr>
                <w:rFonts w:hint="eastAsia" w:ascii="宋体" w:hAnsi="宋体" w:eastAsia="宋体" w:cs="宋体"/>
                <w:bCs/>
                <w:color w:val="auto"/>
                <w:sz w:val="21"/>
                <w:szCs w:val="21"/>
                <w:highlight w:val="none"/>
              </w:rPr>
              <w:t>至</w:t>
            </w:r>
            <w:r>
              <w:rPr>
                <w:rFonts w:hint="eastAsia" w:ascii="宋体" w:hAnsi="宋体" w:eastAsia="宋体" w:cs="宋体"/>
                <w:bCs/>
                <w:color w:val="auto"/>
                <w:sz w:val="21"/>
                <w:szCs w:val="21"/>
                <w:highlight w:val="none"/>
                <w:u w:val="single"/>
              </w:rPr>
              <w:t xml:space="preserve"> </w:t>
            </w:r>
            <w:r>
              <w:rPr>
                <w:rFonts w:hint="eastAsia" w:ascii="宋体" w:hAnsi="宋体" w:cs="宋体"/>
                <w:bCs/>
                <w:color w:val="auto"/>
                <w:sz w:val="21"/>
                <w:szCs w:val="21"/>
                <w:highlight w:val="none"/>
                <w:u w:val="single"/>
                <w:lang w:val="en-US" w:eastAsia="zh-CN"/>
              </w:rPr>
              <w:t>0.5</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分，满分</w:t>
            </w:r>
            <w:r>
              <w:rPr>
                <w:rFonts w:hint="eastAsia" w:ascii="宋体" w:hAnsi="宋体" w:eastAsia="宋体" w:cs="宋体"/>
                <w:bCs/>
                <w:color w:val="auto"/>
                <w:sz w:val="21"/>
                <w:szCs w:val="21"/>
                <w:highlight w:val="none"/>
                <w:u w:val="single"/>
              </w:rPr>
              <w:t xml:space="preserve"> </w:t>
            </w:r>
            <w:r>
              <w:rPr>
                <w:rFonts w:hint="eastAsia" w:ascii="宋体" w:hAnsi="宋体" w:cs="宋体"/>
                <w:bCs/>
                <w:color w:val="auto"/>
                <w:sz w:val="21"/>
                <w:szCs w:val="21"/>
                <w:highlight w:val="none"/>
                <w:u w:val="single"/>
                <w:lang w:val="en-US" w:eastAsia="zh-CN"/>
              </w:rPr>
              <w:t>0.5</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分；</w:t>
            </w:r>
          </w:p>
          <w:p w14:paraId="3A0C42F3">
            <w:pPr>
              <w:numPr>
                <w:ilvl w:val="0"/>
                <w:numId w:val="0"/>
              </w:numPr>
              <w:adjustRightInd w:val="0"/>
              <w:snapToGrid w:val="0"/>
              <w:spacing w:line="360" w:lineRule="auto"/>
              <w:rPr>
                <w:color w:val="auto"/>
                <w:szCs w:val="21"/>
                <w:highlight w:val="none"/>
              </w:rPr>
            </w:pPr>
            <w:r>
              <w:rPr>
                <w:rFonts w:hint="eastAsia" w:ascii="宋体" w:hAnsi="宋体" w:eastAsia="宋体" w:cs="宋体"/>
                <w:bCs/>
                <w:color w:val="auto"/>
                <w:sz w:val="21"/>
                <w:szCs w:val="21"/>
                <w:highlight w:val="none"/>
              </w:rPr>
              <w:t>（3）非节能、环境标志产品的不得分。</w:t>
            </w:r>
          </w:p>
        </w:tc>
        <w:tc>
          <w:tcPr>
            <w:tcW w:w="431" w:type="pct"/>
            <w:vAlign w:val="center"/>
          </w:tcPr>
          <w:p w14:paraId="01230506">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分</w:t>
            </w:r>
          </w:p>
        </w:tc>
      </w:tr>
      <w:tr w14:paraId="0E12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568" w:type="pct"/>
            <w:gridSpan w:val="3"/>
          </w:tcPr>
          <w:p w14:paraId="2898625A">
            <w:pPr>
              <w:spacing w:line="360" w:lineRule="auto"/>
              <w:rPr>
                <w:rFonts w:ascii="宋体" w:hAnsi="宋体" w:cs="宋体"/>
                <w:bCs/>
                <w:color w:val="auto"/>
                <w:kern w:val="0"/>
                <w:szCs w:val="21"/>
                <w:highlight w:val="none"/>
              </w:rPr>
            </w:pPr>
            <w:r>
              <w:rPr>
                <w:rFonts w:hint="eastAsia" w:ascii="宋体" w:hAnsi="宋体" w:cs="宋体"/>
                <w:bCs/>
                <w:color w:val="auto"/>
                <w:kern w:val="0"/>
                <w:szCs w:val="21"/>
                <w:highlight w:val="none"/>
              </w:rPr>
              <w:t>4.总得分＝1+2+3</w:t>
            </w:r>
          </w:p>
        </w:tc>
        <w:tc>
          <w:tcPr>
            <w:tcW w:w="431" w:type="pct"/>
            <w:vAlign w:val="center"/>
          </w:tcPr>
          <w:p w14:paraId="3AA32BDE">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p>
        </w:tc>
      </w:tr>
    </w:tbl>
    <w:p w14:paraId="48A84E86">
      <w:pPr>
        <w:rPr>
          <w:rFonts w:ascii="宋体" w:hAnsi="宋体" w:cs="宋体"/>
          <w:color w:val="auto"/>
          <w:highlight w:val="none"/>
        </w:rPr>
      </w:pPr>
    </w:p>
    <w:p w14:paraId="4C164C7C">
      <w:pPr>
        <w:rPr>
          <w:rFonts w:hint="eastAsia" w:ascii="宋体" w:hAnsi="宋体" w:cs="宋体"/>
          <w:color w:val="auto"/>
          <w:highlight w:val="none"/>
        </w:rPr>
      </w:pPr>
      <w:r>
        <w:rPr>
          <w:rFonts w:hint="eastAsia" w:ascii="宋体" w:hAnsi="宋体" w:cs="宋体"/>
          <w:color w:val="auto"/>
          <w:highlight w:val="none"/>
        </w:rPr>
        <w:br w:type="page"/>
      </w:r>
    </w:p>
    <w:p w14:paraId="5E2CC71D">
      <w:pPr>
        <w:rPr>
          <w:rFonts w:hint="eastAsia" w:ascii="宋体" w:hAnsi="宋体" w:cs="宋体"/>
          <w:color w:val="auto"/>
          <w:highlight w:val="none"/>
        </w:rPr>
      </w:pPr>
    </w:p>
    <w:p w14:paraId="46603D12">
      <w:pPr>
        <w:rPr>
          <w:rFonts w:hint="default" w:ascii="宋体" w:hAnsi="宋体" w:cs="宋体"/>
          <w:b/>
          <w:bCs/>
          <w:dstrike w:val="0"/>
          <w:color w:val="auto"/>
          <w:sz w:val="21"/>
          <w:szCs w:val="21"/>
          <w:highlight w:val="none"/>
          <w:lang w:val="en-US" w:eastAsia="zh-CN"/>
        </w:rPr>
      </w:pPr>
      <w:r>
        <w:rPr>
          <w:rFonts w:hint="eastAsia" w:ascii="宋体" w:hAnsi="宋体" w:cs="宋体"/>
          <w:b/>
          <w:bCs/>
          <w:color w:val="auto"/>
          <w:sz w:val="21"/>
          <w:szCs w:val="21"/>
          <w:highlight w:val="none"/>
          <w:lang w:eastAsia="zh-CN"/>
        </w:rPr>
        <w:t>分标</w:t>
      </w:r>
      <w:r>
        <w:rPr>
          <w:rFonts w:hint="eastAsia" w:ascii="宋体" w:hAnsi="宋体" w:cs="宋体"/>
          <w:b/>
          <w:bCs/>
          <w:color w:val="auto"/>
          <w:sz w:val="21"/>
          <w:szCs w:val="21"/>
          <w:highlight w:val="none"/>
          <w:lang w:val="en-US" w:eastAsia="zh-CN"/>
        </w:rPr>
        <w:t>2：</w:t>
      </w:r>
      <w:r>
        <w:rPr>
          <w:rFonts w:hint="eastAsia" w:ascii="宋体" w:hAnsi="宋体" w:cs="宋体"/>
          <w:b/>
          <w:bCs/>
          <w:strike w:val="0"/>
          <w:dstrike w:val="0"/>
          <w:color w:val="auto"/>
          <w:sz w:val="21"/>
          <w:szCs w:val="21"/>
          <w:highlight w:val="none"/>
          <w:lang w:val="en-US" w:eastAsia="zh-CN"/>
        </w:rPr>
        <w:t>大新县中小学校设备更新计算机教室及录播教室设备采购</w:t>
      </w:r>
    </w:p>
    <w:p w14:paraId="189FEC65">
      <w:pPr>
        <w:pStyle w:val="62"/>
        <w:rPr>
          <w:rFonts w:hint="eastAsia" w:ascii="宋体" w:hAnsi="宋体" w:cs="宋体"/>
          <w:b/>
          <w:bCs/>
          <w:color w:val="auto"/>
          <w:sz w:val="21"/>
          <w:szCs w:val="21"/>
          <w:highlight w:val="none"/>
          <w:lang w:val="en-US" w:eastAsia="zh-CN"/>
        </w:rPr>
      </w:pPr>
    </w:p>
    <w:tbl>
      <w:tblPr>
        <w:tblStyle w:val="5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2"/>
        <w:gridCol w:w="1071"/>
        <w:gridCol w:w="7191"/>
        <w:gridCol w:w="835"/>
      </w:tblGrid>
      <w:tr w14:paraId="45649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1" w:type="pct"/>
            <w:vAlign w:val="center"/>
          </w:tcPr>
          <w:p w14:paraId="0070D1E3">
            <w:pPr>
              <w:widowControl/>
              <w:spacing w:line="360" w:lineRule="auto"/>
              <w:ind w:right="-34" w:rightChars="-16"/>
              <w:jc w:val="both"/>
              <w:rPr>
                <w:rFonts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553" w:type="pct"/>
            <w:vAlign w:val="center"/>
          </w:tcPr>
          <w:p w14:paraId="5BB33BA2">
            <w:pPr>
              <w:widowControl/>
              <w:spacing w:line="360" w:lineRule="auto"/>
              <w:jc w:val="both"/>
              <w:rPr>
                <w:rFonts w:ascii="宋体" w:hAnsi="宋体" w:cs="宋体"/>
                <w:b/>
                <w:bCs/>
                <w:color w:val="auto"/>
                <w:kern w:val="0"/>
                <w:szCs w:val="21"/>
                <w:highlight w:val="none"/>
              </w:rPr>
            </w:pPr>
            <w:r>
              <w:rPr>
                <w:rFonts w:hint="eastAsia" w:ascii="宋体" w:hAnsi="宋体" w:cs="宋体"/>
                <w:b/>
                <w:bCs/>
                <w:color w:val="auto"/>
                <w:kern w:val="0"/>
                <w:szCs w:val="21"/>
                <w:highlight w:val="none"/>
              </w:rPr>
              <w:t>评审因素</w:t>
            </w:r>
          </w:p>
        </w:tc>
        <w:tc>
          <w:tcPr>
            <w:tcW w:w="3713" w:type="pct"/>
            <w:vAlign w:val="center"/>
          </w:tcPr>
          <w:p w14:paraId="1BE59096">
            <w:pPr>
              <w:widowControl/>
              <w:spacing w:line="360" w:lineRule="auto"/>
              <w:ind w:firstLine="527"/>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评审因素具体内容</w:t>
            </w:r>
          </w:p>
        </w:tc>
        <w:tc>
          <w:tcPr>
            <w:tcW w:w="431" w:type="pct"/>
            <w:vAlign w:val="center"/>
          </w:tcPr>
          <w:p w14:paraId="39768F2A">
            <w:pPr>
              <w:widowControl/>
              <w:spacing w:line="360" w:lineRule="auto"/>
              <w:jc w:val="both"/>
              <w:rPr>
                <w:rFonts w:ascii="宋体" w:hAnsi="宋体" w:cs="宋体"/>
                <w:b/>
                <w:bCs/>
                <w:color w:val="auto"/>
                <w:kern w:val="0"/>
                <w:szCs w:val="21"/>
                <w:highlight w:val="none"/>
              </w:rPr>
            </w:pPr>
            <w:r>
              <w:rPr>
                <w:rFonts w:hint="eastAsia" w:ascii="宋体" w:hAnsi="宋体" w:cs="宋体"/>
                <w:b/>
                <w:bCs/>
                <w:color w:val="auto"/>
                <w:kern w:val="0"/>
                <w:szCs w:val="21"/>
                <w:highlight w:val="none"/>
              </w:rPr>
              <w:t>分值</w:t>
            </w:r>
          </w:p>
        </w:tc>
      </w:tr>
      <w:tr w14:paraId="4E00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1" w:hRule="atLeast"/>
          <w:jc w:val="center"/>
        </w:trPr>
        <w:tc>
          <w:tcPr>
            <w:tcW w:w="301" w:type="pct"/>
            <w:vAlign w:val="center"/>
          </w:tcPr>
          <w:p w14:paraId="4D211D88">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553" w:type="pct"/>
            <w:vAlign w:val="center"/>
          </w:tcPr>
          <w:p w14:paraId="5DB8622C">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价格分</w:t>
            </w:r>
          </w:p>
        </w:tc>
        <w:tc>
          <w:tcPr>
            <w:tcW w:w="3713" w:type="pct"/>
          </w:tcPr>
          <w:p w14:paraId="18C2F1FF">
            <w:pPr>
              <w:pStyle w:val="27"/>
              <w:numPr>
                <w:ilvl w:val="0"/>
                <w:numId w:val="7"/>
              </w:numPr>
              <w:spacing w:line="360" w:lineRule="auto"/>
              <w:jc w:val="left"/>
              <w:rPr>
                <w:rFonts w:hAnsi="宋体" w:cs="宋体"/>
                <w:bCs/>
                <w:color w:val="auto"/>
                <w:sz w:val="21"/>
                <w:highlight w:val="none"/>
              </w:rPr>
            </w:pPr>
            <w:r>
              <w:rPr>
                <w:rFonts w:hint="eastAsia" w:hAnsi="宋体" w:cs="宋体"/>
                <w:bCs/>
                <w:color w:val="auto"/>
                <w:sz w:val="21"/>
                <w:highlight w:val="none"/>
              </w:rPr>
              <w:t>政府采购政策性扣除计算方法：</w:t>
            </w:r>
          </w:p>
          <w:p w14:paraId="766D84AF">
            <w:pPr>
              <w:numPr>
                <w:ilvl w:val="0"/>
                <w:numId w:val="0"/>
              </w:numPr>
              <w:snapToGrid w:val="0"/>
              <w:spacing w:line="360" w:lineRule="auto"/>
              <w:ind w:firstLine="234" w:firstLineChars="111"/>
              <w:rPr>
                <w:rFonts w:hint="eastAsia" w:ascii="宋体" w:hAnsi="宋体"/>
                <w:b/>
                <w:color w:val="auto"/>
                <w:szCs w:val="21"/>
                <w:highlight w:val="none"/>
              </w:rPr>
            </w:pPr>
            <w:r>
              <w:rPr>
                <w:rFonts w:hint="eastAsia" w:ascii="宋体" w:hAnsi="宋体" w:eastAsia="宋体" w:cs="Times New Roman"/>
                <w:b/>
                <w:color w:val="auto"/>
                <w:kern w:val="2"/>
                <w:sz w:val="21"/>
                <w:szCs w:val="21"/>
                <w:highlight w:val="none"/>
                <w:lang w:val="en-US" w:eastAsia="zh-CN" w:bidi="ar-SA"/>
              </w:rPr>
              <w:t>1）</w:t>
            </w:r>
            <w:r>
              <w:rPr>
                <w:rFonts w:hint="eastAsia" w:ascii="宋体" w:hAnsi="宋体" w:cs="新宋体"/>
                <w:b/>
                <w:color w:val="auto"/>
                <w:szCs w:val="21"/>
                <w:highlight w:val="none"/>
              </w:rPr>
              <w:t>本项目已按</w:t>
            </w:r>
            <w:r>
              <w:rPr>
                <w:rFonts w:hint="eastAsia" w:ascii="宋体" w:hAnsi="宋体"/>
                <w:b/>
                <w:color w:val="auto"/>
                <w:szCs w:val="21"/>
                <w:highlight w:val="none"/>
              </w:rPr>
              <w:t>《政府采购促进中小企业发展管理办法》（财库〔2020〕46号）预留份额</w:t>
            </w:r>
            <w:r>
              <w:rPr>
                <w:rFonts w:hint="eastAsia" w:ascii="宋体" w:hAnsi="宋体"/>
                <w:b/>
                <w:color w:val="auto"/>
                <w:szCs w:val="21"/>
                <w:highlight w:val="none"/>
                <w:lang w:val="en-US" w:eastAsia="zh-CN"/>
              </w:rPr>
              <w:t>3</w:t>
            </w:r>
            <w:r>
              <w:rPr>
                <w:rFonts w:hint="eastAsia" w:ascii="宋体" w:hAnsi="宋体"/>
                <w:b/>
                <w:color w:val="auto"/>
                <w:szCs w:val="21"/>
                <w:highlight w:val="none"/>
              </w:rPr>
              <w:t>0%，不再执行价格</w:t>
            </w:r>
            <w:r>
              <w:rPr>
                <w:rFonts w:hint="eastAsia" w:ascii="宋体" w:hAnsi="宋体"/>
                <w:b/>
                <w:color w:val="auto"/>
                <w:szCs w:val="21"/>
                <w:highlight w:val="none"/>
                <w:lang w:eastAsia="zh-CN"/>
              </w:rPr>
              <w:t>的中小微企业</w:t>
            </w:r>
            <w:r>
              <w:rPr>
                <w:rFonts w:hint="eastAsia" w:ascii="宋体" w:hAnsi="宋体"/>
                <w:b/>
                <w:color w:val="auto"/>
                <w:szCs w:val="21"/>
                <w:highlight w:val="none"/>
              </w:rPr>
              <w:t>扣除政策。</w:t>
            </w:r>
          </w:p>
          <w:p w14:paraId="3ACCF5C0">
            <w:pPr>
              <w:numPr>
                <w:ilvl w:val="0"/>
                <w:numId w:val="0"/>
              </w:numPr>
              <w:snapToGrid w:val="0"/>
              <w:spacing w:line="360" w:lineRule="auto"/>
              <w:ind w:firstLine="234" w:firstLineChars="111"/>
              <w:rPr>
                <w:rFonts w:hint="eastAsia" w:ascii="宋体" w:hAnsi="宋体"/>
                <w:b/>
                <w:color w:val="auto"/>
                <w:szCs w:val="21"/>
                <w:highlight w:val="none"/>
              </w:rPr>
            </w:pPr>
            <w:r>
              <w:rPr>
                <w:rFonts w:hint="eastAsia" w:ascii="宋体" w:hAnsi="宋体" w:eastAsia="宋体" w:cs="Times New Roman"/>
                <w:b/>
                <w:color w:val="auto"/>
                <w:kern w:val="2"/>
                <w:sz w:val="21"/>
                <w:szCs w:val="21"/>
                <w:highlight w:val="none"/>
                <w:lang w:val="en-US" w:eastAsia="zh-CN" w:bidi="ar-SA"/>
              </w:rPr>
              <w:t>2）</w:t>
            </w:r>
            <w:r>
              <w:rPr>
                <w:rFonts w:hint="eastAsia" w:ascii="宋体" w:hAnsi="宋体" w:eastAsia="宋体" w:cs="Times New Roman"/>
                <w:bCs/>
                <w:color w:val="auto"/>
                <w:sz w:val="21"/>
                <w:szCs w:val="21"/>
                <w:highlight w:val="none"/>
              </w:rPr>
              <w:t>根据《国务院办公厅关于在政府采购中实施本国产品标准及相关政策的通知》国办发〔2025〕34号</w:t>
            </w:r>
            <w:r>
              <w:rPr>
                <w:rFonts w:hint="eastAsia" w:ascii="宋体" w:hAnsi="宋体" w:eastAsia="宋体" w:cs="Times New Roman"/>
                <w:bCs/>
                <w:color w:val="auto"/>
                <w:sz w:val="21"/>
                <w:szCs w:val="21"/>
                <w:highlight w:val="none"/>
                <w:lang w:eastAsia="zh-CN"/>
              </w:rPr>
              <w:t>，</w:t>
            </w:r>
            <w:r>
              <w:rPr>
                <w:rFonts w:hint="eastAsia" w:ascii="宋体" w:hAnsi="宋体" w:eastAsia="宋体" w:cs="Times New Roman"/>
                <w:bCs/>
                <w:color w:val="auto"/>
                <w:sz w:val="21"/>
                <w:szCs w:val="21"/>
                <w:highlight w:val="none"/>
              </w:rPr>
              <w:t>投标人在其投标文件中提供《关于符合本国产品标准的声明函》</w:t>
            </w:r>
            <w:r>
              <w:rPr>
                <w:rFonts w:hint="eastAsia" w:ascii="宋体" w:hAnsi="宋体" w:eastAsia="宋体" w:cs="Times New Roman"/>
                <w:bCs/>
                <w:color w:val="auto"/>
                <w:sz w:val="21"/>
                <w:szCs w:val="21"/>
                <w:highlight w:val="none"/>
                <w:lang w:eastAsia="zh-CN"/>
              </w:rPr>
              <w:t>，且政府采购活动中</w:t>
            </w:r>
            <w:r>
              <w:rPr>
                <w:rFonts w:hint="eastAsia" w:ascii="宋体" w:hAnsi="宋体" w:eastAsia="宋体" w:cs="Times New Roman"/>
                <w:bCs/>
                <w:color w:val="auto"/>
                <w:sz w:val="21"/>
                <w:szCs w:val="21"/>
                <w:highlight w:val="none"/>
              </w:rPr>
              <w:t>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ascii="宋体" w:hAnsi="宋体" w:eastAsia="宋体" w:cs="Times New Roman"/>
                <w:bCs/>
                <w:color w:val="auto"/>
                <w:sz w:val="21"/>
                <w:szCs w:val="21"/>
                <w:highlight w:val="none"/>
                <w:lang w:eastAsia="zh-CN"/>
              </w:rPr>
              <w:t>，</w:t>
            </w:r>
            <w:r>
              <w:rPr>
                <w:rFonts w:hint="eastAsia" w:ascii="宋体" w:hAnsi="宋体" w:eastAsia="宋体"/>
                <w:bCs/>
                <w:color w:val="auto"/>
                <w:sz w:val="21"/>
                <w:szCs w:val="21"/>
                <w:highlight w:val="none"/>
              </w:rPr>
              <w:t>即评标报价=投标报价×（1-</w:t>
            </w:r>
            <w:r>
              <w:rPr>
                <w:rFonts w:hint="eastAsia" w:ascii="宋体" w:hAnsi="宋体" w:eastAsia="宋体"/>
                <w:bCs/>
                <w:color w:val="auto"/>
                <w:sz w:val="21"/>
                <w:szCs w:val="21"/>
                <w:highlight w:val="none"/>
                <w:lang w:val="en-US" w:eastAsia="zh-CN"/>
              </w:rPr>
              <w:t>2</w:t>
            </w:r>
            <w:r>
              <w:rPr>
                <w:rFonts w:hint="eastAsia" w:ascii="宋体" w:hAnsi="宋体" w:eastAsia="宋体"/>
                <w:bCs/>
                <w:color w:val="auto"/>
                <w:sz w:val="21"/>
                <w:szCs w:val="21"/>
                <w:highlight w:val="none"/>
              </w:rPr>
              <w:t>0%）</w:t>
            </w:r>
            <w:r>
              <w:rPr>
                <w:rFonts w:hint="eastAsia" w:ascii="宋体" w:hAnsi="宋体" w:eastAsia="宋体"/>
                <w:bCs/>
                <w:color w:val="auto"/>
                <w:sz w:val="21"/>
                <w:szCs w:val="21"/>
                <w:highlight w:val="none"/>
                <w:lang w:val="en-US" w:eastAsia="zh-CN"/>
              </w:rPr>
              <w:t>。</w:t>
            </w:r>
          </w:p>
          <w:p w14:paraId="452F2AD4">
            <w:pPr>
              <w:numPr>
                <w:ilvl w:val="0"/>
                <w:numId w:val="0"/>
              </w:numPr>
              <w:snapToGrid w:val="0"/>
              <w:spacing w:line="360" w:lineRule="auto"/>
              <w:ind w:leftChars="0" w:firstLine="210" w:firstLineChars="100"/>
              <w:rPr>
                <w:rFonts w:hint="eastAsia" w:ascii="宋体" w:hAnsi="宋体" w:cs="宋体"/>
                <w:bCs/>
                <w:color w:val="auto"/>
                <w:szCs w:val="21"/>
                <w:highlight w:val="none"/>
                <w:lang w:eastAsia="zh-CN"/>
              </w:rPr>
            </w:pPr>
            <w:r>
              <w:rPr>
                <w:rFonts w:hint="eastAsia" w:ascii="宋体" w:hAnsi="宋体" w:cs="宋体"/>
                <w:bCs/>
                <w:color w:val="auto"/>
                <w:szCs w:val="21"/>
                <w:highlight w:val="none"/>
                <w:lang w:val="en-US" w:eastAsia="zh-CN"/>
              </w:rPr>
              <w:t>3）投标人满足以上政策时，</w:t>
            </w:r>
            <w:r>
              <w:rPr>
                <w:rFonts w:hint="eastAsia" w:ascii="宋体" w:hAnsi="宋体" w:cs="宋体"/>
                <w:bCs/>
                <w:color w:val="auto"/>
                <w:szCs w:val="21"/>
                <w:highlight w:val="none"/>
              </w:rPr>
              <w:t>扣除后的价格为评标报价，即评标报价=投标报价×（1</w:t>
            </w:r>
            <w:r>
              <w:rPr>
                <w:rFonts w:hint="eastAsia" w:ascii="宋体" w:hAnsi="宋体" w:cs="宋体"/>
                <w:bCs/>
                <w:color w:val="auto"/>
                <w:szCs w:val="21"/>
                <w:highlight w:val="none"/>
                <w:lang w:val="en-US" w:eastAsia="zh-CN"/>
              </w:rPr>
              <w:t>-20%</w:t>
            </w:r>
            <w:r>
              <w:rPr>
                <w:rFonts w:hint="eastAsia" w:ascii="宋体" w:hAnsi="宋体" w:cs="宋体"/>
                <w:bCs/>
                <w:color w:val="auto"/>
                <w:szCs w:val="21"/>
                <w:highlight w:val="none"/>
              </w:rPr>
              <w:t>）</w:t>
            </w:r>
            <w:r>
              <w:rPr>
                <w:rFonts w:hint="eastAsia" w:ascii="宋体" w:hAnsi="宋体" w:cs="宋体"/>
                <w:bCs/>
                <w:color w:val="auto"/>
                <w:szCs w:val="21"/>
                <w:highlight w:val="none"/>
                <w:lang w:eastAsia="zh-CN"/>
              </w:rPr>
              <w:t>。</w:t>
            </w:r>
          </w:p>
          <w:p w14:paraId="3BB44EC1">
            <w:pPr>
              <w:autoSpaceDE w:val="0"/>
              <w:snapToGrid w:val="0"/>
              <w:spacing w:line="360" w:lineRule="auto"/>
              <w:ind w:firstLine="200" w:firstLineChars="100"/>
              <w:rPr>
                <w:rFonts w:hint="eastAsia" w:ascii="宋体" w:hAnsi="宋体" w:eastAsia="Times New Roman" w:cs="宋体"/>
                <w:bCs/>
                <w:color w:val="auto"/>
                <w:kern w:val="0"/>
                <w:sz w:val="20"/>
                <w:szCs w:val="21"/>
                <w:highlight w:val="none"/>
              </w:rPr>
            </w:pPr>
            <w:r>
              <w:rPr>
                <w:rFonts w:hint="eastAsia" w:ascii="宋体" w:hAnsi="宋体" w:eastAsia="宋体" w:cs="宋体"/>
                <w:bCs/>
                <w:color w:val="auto"/>
                <w:kern w:val="0"/>
                <w:sz w:val="20"/>
                <w:szCs w:val="21"/>
                <w:highlight w:val="none"/>
                <w:lang w:val="en-US" w:eastAsia="zh-CN"/>
              </w:rPr>
              <w:t>4）</w:t>
            </w:r>
            <w:r>
              <w:rPr>
                <w:rFonts w:hint="eastAsia" w:ascii="宋体" w:hAnsi="宋体" w:eastAsia="Times New Roman" w:cs="宋体"/>
                <w:bCs/>
                <w:color w:val="auto"/>
                <w:kern w:val="0"/>
                <w:sz w:val="20"/>
                <w:szCs w:val="21"/>
                <w:highlight w:val="none"/>
              </w:rPr>
              <w:t>除上述情况外，评标报价=投标报价。</w:t>
            </w:r>
          </w:p>
          <w:p w14:paraId="3B81914C">
            <w:pPr>
              <w:numPr>
                <w:ilvl w:val="0"/>
                <w:numId w:val="7"/>
              </w:numPr>
              <w:snapToGrid w:val="0"/>
              <w:spacing w:line="360" w:lineRule="auto"/>
              <w:ind w:left="0" w:leftChars="0" w:firstLine="0" w:firstLineChars="0"/>
              <w:rPr>
                <w:rFonts w:hint="eastAsia" w:ascii="宋体" w:hAnsi="宋体" w:cs="宋体"/>
                <w:bCs/>
                <w:color w:val="auto"/>
                <w:szCs w:val="21"/>
                <w:highlight w:val="none"/>
                <w:lang w:eastAsia="zh-CN"/>
              </w:rPr>
            </w:pPr>
            <w:r>
              <w:rPr>
                <w:rFonts w:hint="eastAsia" w:ascii="宋体" w:hAnsi="宋体" w:cs="宋体"/>
                <w:bCs/>
                <w:color w:val="auto"/>
                <w:szCs w:val="21"/>
                <w:highlight w:val="none"/>
                <w:lang w:eastAsia="zh-CN"/>
              </w:rPr>
              <w:t>满足招标文件要求且评标报价最低的评标报价为评标基准价，其价格分为满分。</w:t>
            </w:r>
          </w:p>
          <w:p w14:paraId="70A4A3D5">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（3）价格分计算公式：价格分=(评标基准价／评标报价)×30分</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 xml:space="preserve"> </w:t>
            </w:r>
            <w:r>
              <w:rPr>
                <w:rFonts w:hint="eastAsia" w:ascii="宋体" w:hAnsi="宋体" w:cs="宋体"/>
                <w:color w:val="auto"/>
                <w:szCs w:val="21"/>
                <w:highlight w:val="none"/>
              </w:rPr>
              <w:t xml:space="preserve">  </w:t>
            </w:r>
          </w:p>
          <w:p w14:paraId="6FF4AD10">
            <w:pPr>
              <w:spacing w:line="360" w:lineRule="auto"/>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lang w:eastAsia="zh-CN"/>
              </w:rPr>
              <w:t>）</w:t>
            </w:r>
            <w:r>
              <w:rPr>
                <w:rFonts w:hint="eastAsia" w:ascii="宋体" w:hAnsi="宋体" w:eastAsia="Times New Roman" w:cs="宋体"/>
                <w:color w:val="auto"/>
                <w:spacing w:val="0"/>
                <w:sz w:val="21"/>
                <w:szCs w:val="21"/>
                <w:highlight w:val="none"/>
                <w:lang w:eastAsia="zh-CN"/>
              </w:rPr>
              <w:t>依据《</w:t>
            </w:r>
            <w:r>
              <w:rPr>
                <w:rFonts w:hint="eastAsia" w:ascii="宋体" w:hAnsi="宋体" w:eastAsia="Times New Roman" w:cs="宋体"/>
                <w:color w:val="auto"/>
                <w:spacing w:val="0"/>
                <w:sz w:val="21"/>
                <w:szCs w:val="21"/>
                <w:highlight w:val="none"/>
                <w:lang w:eastAsia="zh-CN"/>
              </w:rPr>
              <w:fldChar w:fldCharType="begin"/>
            </w:r>
            <w:r>
              <w:rPr>
                <w:rFonts w:hint="eastAsia" w:ascii="宋体" w:hAnsi="宋体" w:eastAsia="Times New Roman" w:cs="宋体"/>
                <w:color w:val="auto"/>
                <w:spacing w:val="0"/>
                <w:sz w:val="21"/>
                <w:szCs w:val="21"/>
                <w:highlight w:val="none"/>
                <w:lang w:eastAsia="zh-CN"/>
              </w:rPr>
              <w:instrText xml:space="preserve"> HYPERLINK "https://weixin.caigou2003.com/ycait/law/" \l "/lawDetail?id=6059" </w:instrText>
            </w:r>
            <w:r>
              <w:rPr>
                <w:rFonts w:hint="eastAsia" w:ascii="宋体" w:hAnsi="宋体" w:eastAsia="Times New Roman" w:cs="宋体"/>
                <w:color w:val="auto"/>
                <w:spacing w:val="0"/>
                <w:sz w:val="21"/>
                <w:szCs w:val="21"/>
                <w:highlight w:val="none"/>
                <w:lang w:eastAsia="zh-CN"/>
              </w:rPr>
              <w:fldChar w:fldCharType="separate"/>
            </w:r>
            <w:r>
              <w:rPr>
                <w:rFonts w:hint="eastAsia" w:ascii="宋体" w:hAnsi="宋体" w:eastAsia="Times New Roman" w:cs="宋体"/>
                <w:color w:val="auto"/>
                <w:spacing w:val="0"/>
                <w:sz w:val="21"/>
                <w:szCs w:val="21"/>
                <w:highlight w:val="none"/>
                <w:lang w:eastAsia="zh-CN"/>
              </w:rPr>
              <w:t>关于推动解决政府采购异常低价问题的通知</w:t>
            </w:r>
            <w:r>
              <w:rPr>
                <w:rFonts w:hint="eastAsia" w:ascii="宋体" w:hAnsi="宋体" w:eastAsia="Times New Roman" w:cs="宋体"/>
                <w:color w:val="auto"/>
                <w:spacing w:val="0"/>
                <w:sz w:val="21"/>
                <w:szCs w:val="21"/>
                <w:highlight w:val="none"/>
                <w:lang w:eastAsia="zh-CN"/>
              </w:rPr>
              <w:fldChar w:fldCharType="end"/>
            </w:r>
            <w:r>
              <w:rPr>
                <w:rFonts w:hint="eastAsia" w:ascii="宋体" w:hAnsi="宋体" w:eastAsia="Times New Roman" w:cs="宋体"/>
                <w:color w:val="auto"/>
                <w:spacing w:val="0"/>
                <w:sz w:val="21"/>
                <w:szCs w:val="21"/>
                <w:highlight w:val="none"/>
                <w:lang w:eastAsia="zh-CN"/>
              </w:rPr>
              <w:t>》(财库〔2026〕2号)规定，</w:t>
            </w:r>
            <w:r>
              <w:rPr>
                <w:rFonts w:hint="eastAsia" w:ascii="宋体" w:hAnsi="宋体" w:eastAsia="Times New Roman" w:cs="宋体"/>
                <w:i w:val="0"/>
                <w:iCs w:val="0"/>
                <w:caps w:val="0"/>
                <w:color w:val="auto"/>
                <w:spacing w:val="0"/>
                <w:sz w:val="21"/>
                <w:szCs w:val="21"/>
                <w:highlight w:val="none"/>
                <w:shd w:val="clear" w:color="auto" w:fill="auto"/>
                <w:lang w:eastAsia="zh-CN"/>
              </w:rPr>
              <w:t>本项目评审中出现招标文件约定异常低价情形的，</w:t>
            </w:r>
            <w:r>
              <w:rPr>
                <w:rFonts w:hint="eastAsia" w:ascii="宋体" w:hAnsi="宋体" w:eastAsia="Times New Roman" w:cs="宋体"/>
                <w:color w:val="auto"/>
                <w:spacing w:val="0"/>
                <w:sz w:val="21"/>
                <w:szCs w:val="21"/>
                <w:highlight w:val="none"/>
                <w:lang w:eastAsia="zh-CN"/>
              </w:rPr>
              <w:t>评标委员会</w:t>
            </w:r>
            <w:r>
              <w:rPr>
                <w:rFonts w:hint="eastAsia" w:ascii="宋体" w:hAnsi="宋体" w:eastAsia="Times New Roman" w:cs="宋体"/>
                <w:i w:val="0"/>
                <w:iCs w:val="0"/>
                <w:caps w:val="0"/>
                <w:color w:val="auto"/>
                <w:spacing w:val="0"/>
                <w:sz w:val="21"/>
                <w:szCs w:val="21"/>
                <w:highlight w:val="none"/>
                <w:shd w:val="clear" w:color="auto" w:fill="auto"/>
                <w:lang w:eastAsia="zh-CN"/>
              </w:rPr>
              <w:t>应当启动异常低价投标审查程序。</w:t>
            </w:r>
          </w:p>
        </w:tc>
        <w:tc>
          <w:tcPr>
            <w:tcW w:w="431" w:type="pct"/>
            <w:vAlign w:val="center"/>
          </w:tcPr>
          <w:p w14:paraId="5BE89841">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30</w:t>
            </w:r>
          </w:p>
        </w:tc>
      </w:tr>
      <w:tr w14:paraId="62EDB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1" w:type="pct"/>
            <w:vAlign w:val="center"/>
          </w:tcPr>
          <w:p w14:paraId="61130A6A">
            <w:pPr>
              <w:widowControl/>
              <w:spacing w:line="36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2</w:t>
            </w:r>
          </w:p>
        </w:tc>
        <w:tc>
          <w:tcPr>
            <w:tcW w:w="553" w:type="pct"/>
            <w:vAlign w:val="center"/>
          </w:tcPr>
          <w:p w14:paraId="75640286">
            <w:pPr>
              <w:widowControl/>
              <w:spacing w:line="36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技术分</w:t>
            </w:r>
          </w:p>
        </w:tc>
        <w:tc>
          <w:tcPr>
            <w:tcW w:w="4144" w:type="pct"/>
            <w:gridSpan w:val="2"/>
          </w:tcPr>
          <w:p w14:paraId="5BBFB28B">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评审因素</w:t>
            </w:r>
          </w:p>
        </w:tc>
      </w:tr>
      <w:tr w14:paraId="099C9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7" w:hRule="atLeast"/>
          <w:jc w:val="center"/>
        </w:trPr>
        <w:tc>
          <w:tcPr>
            <w:tcW w:w="301" w:type="pct"/>
            <w:vAlign w:val="center"/>
          </w:tcPr>
          <w:p w14:paraId="3C60C972">
            <w:pPr>
              <w:adjustRightInd w:val="0"/>
              <w:spacing w:line="360" w:lineRule="auto"/>
              <w:ind w:left="-105" w:leftChars="-50" w:right="-105" w:rightChars="-50"/>
              <w:jc w:val="center"/>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2.1</w:t>
            </w:r>
          </w:p>
        </w:tc>
        <w:tc>
          <w:tcPr>
            <w:tcW w:w="553" w:type="pct"/>
            <w:vAlign w:val="center"/>
          </w:tcPr>
          <w:p w14:paraId="3ADAD6ED">
            <w:pPr>
              <w:spacing w:line="360" w:lineRule="auto"/>
              <w:jc w:val="center"/>
              <w:rPr>
                <w:rFonts w:hint="eastAsia" w:ascii="宋体" w:hAnsi="宋体" w:cs="宋体"/>
                <w:bCs/>
                <w:color w:val="auto"/>
                <w:kern w:val="0"/>
                <w:szCs w:val="21"/>
                <w:highlight w:val="none"/>
              </w:rPr>
            </w:pPr>
            <w:r>
              <w:rPr>
                <w:rFonts w:hint="eastAsia" w:hAnsi="宋体"/>
                <w:bCs/>
                <w:color w:val="auto"/>
                <w:szCs w:val="21"/>
                <w:highlight w:val="none"/>
              </w:rPr>
              <w:t>产品性能分</w:t>
            </w: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分）</w:t>
            </w:r>
          </w:p>
        </w:tc>
        <w:tc>
          <w:tcPr>
            <w:tcW w:w="3713" w:type="pct"/>
            <w:vAlign w:val="top"/>
          </w:tcPr>
          <w:p w14:paraId="48D2FE0D">
            <w:pPr>
              <w:pStyle w:val="50"/>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（1）产品基本分（</w:t>
            </w:r>
            <w:r>
              <w:rPr>
                <w:rFonts w:hint="eastAsia" w:ascii="宋体" w:hAnsi="宋体" w:cs="宋体"/>
                <w:color w:val="auto"/>
                <w:kern w:val="0"/>
                <w:szCs w:val="21"/>
                <w:highlight w:val="none"/>
                <w:lang w:val="en-US" w:eastAsia="zh-CN"/>
              </w:rPr>
              <w:t>满分</w:t>
            </w:r>
            <w:r>
              <w:rPr>
                <w:rFonts w:hint="eastAsia" w:cs="宋体"/>
                <w:color w:val="auto"/>
                <w:kern w:val="0"/>
                <w:szCs w:val="21"/>
                <w:highlight w:val="none"/>
                <w:lang w:val="en-US" w:eastAsia="zh-CN"/>
              </w:rPr>
              <w:t>5</w:t>
            </w:r>
            <w:r>
              <w:rPr>
                <w:rFonts w:hint="eastAsia" w:ascii="宋体" w:hAnsi="宋体" w:cs="宋体"/>
                <w:color w:val="auto"/>
                <w:kern w:val="0"/>
                <w:szCs w:val="21"/>
                <w:highlight w:val="none"/>
              </w:rPr>
              <w:t>分）：</w:t>
            </w:r>
          </w:p>
          <w:p w14:paraId="0362620E">
            <w:pPr>
              <w:pStyle w:val="50"/>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完全满足招标文件技术参数要求的得</w:t>
            </w:r>
            <w:r>
              <w:rPr>
                <w:rFonts w:hint="eastAsia" w:cs="宋体"/>
                <w:color w:val="auto"/>
                <w:kern w:val="0"/>
                <w:szCs w:val="21"/>
                <w:highlight w:val="none"/>
                <w:lang w:val="en-US" w:eastAsia="zh-CN"/>
              </w:rPr>
              <w:t>5</w:t>
            </w:r>
            <w:r>
              <w:rPr>
                <w:rFonts w:hint="eastAsia" w:ascii="宋体" w:hAnsi="宋体" w:cs="宋体"/>
                <w:color w:val="auto"/>
                <w:kern w:val="0"/>
                <w:szCs w:val="21"/>
                <w:highlight w:val="none"/>
              </w:rPr>
              <w:t xml:space="preserve">分；不标注“▲”号的技术参数，出现负偏离的，每一项扣减 </w:t>
            </w:r>
            <w:r>
              <w:rPr>
                <w:rFonts w:hint="eastAsia" w:cs="宋体"/>
                <w:color w:val="auto"/>
                <w:kern w:val="0"/>
                <w:szCs w:val="21"/>
                <w:highlight w:val="none"/>
                <w:lang w:val="en-US" w:eastAsia="zh-CN"/>
              </w:rPr>
              <w:t>1</w:t>
            </w:r>
            <w:r>
              <w:rPr>
                <w:rFonts w:hint="eastAsia" w:ascii="宋体" w:hAnsi="宋体" w:cs="宋体"/>
                <w:color w:val="auto"/>
                <w:kern w:val="0"/>
                <w:szCs w:val="21"/>
                <w:highlight w:val="none"/>
              </w:rPr>
              <w:t>分，扣完</w:t>
            </w:r>
            <w:r>
              <w:rPr>
                <w:rFonts w:hint="eastAsia" w:cs="宋体"/>
                <w:color w:val="auto"/>
                <w:kern w:val="0"/>
                <w:szCs w:val="21"/>
                <w:highlight w:val="none"/>
                <w:lang w:val="en-US" w:eastAsia="zh-CN"/>
              </w:rPr>
              <w:t>5</w:t>
            </w:r>
            <w:r>
              <w:rPr>
                <w:rFonts w:hint="eastAsia" w:ascii="宋体" w:hAnsi="宋体" w:cs="宋体"/>
                <w:color w:val="auto"/>
                <w:kern w:val="0"/>
                <w:szCs w:val="21"/>
                <w:highlight w:val="none"/>
              </w:rPr>
              <w:t>分为止。</w:t>
            </w:r>
          </w:p>
          <w:p w14:paraId="22255E5C">
            <w:pPr>
              <w:pStyle w:val="50"/>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）产品性能分（满分</w:t>
            </w:r>
            <w:r>
              <w:rPr>
                <w:rFonts w:hint="eastAsia" w:cs="宋体"/>
                <w:color w:val="auto"/>
                <w:kern w:val="0"/>
                <w:szCs w:val="21"/>
                <w:highlight w:val="none"/>
                <w:lang w:val="en-US" w:eastAsia="zh-CN"/>
              </w:rPr>
              <w:t>25</w:t>
            </w:r>
            <w:r>
              <w:rPr>
                <w:rFonts w:hint="eastAsia" w:ascii="宋体" w:hAnsi="宋体" w:cs="宋体"/>
                <w:color w:val="auto"/>
                <w:kern w:val="0"/>
                <w:szCs w:val="21"/>
                <w:highlight w:val="none"/>
              </w:rPr>
              <w:t>分）</w:t>
            </w:r>
          </w:p>
          <w:p w14:paraId="4F50E57E">
            <w:pPr>
              <w:pStyle w:val="50"/>
              <w:ind w:left="0" w:leftChars="0" w:firstLine="0" w:firstLineChars="0"/>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采购需求中标注“★”号的技术参数，</w:t>
            </w:r>
            <w:r>
              <w:rPr>
                <w:rFonts w:hint="eastAsia" w:cs="宋体"/>
                <w:color w:val="auto"/>
                <w:kern w:val="0"/>
                <w:szCs w:val="21"/>
                <w:highlight w:val="none"/>
                <w:lang w:eastAsia="zh-CN"/>
              </w:rPr>
              <w:t>提供证明材料的，每提供一项得</w:t>
            </w:r>
            <w:r>
              <w:rPr>
                <w:rFonts w:hint="eastAsia" w:cs="宋体"/>
                <w:color w:val="auto"/>
                <w:kern w:val="0"/>
                <w:szCs w:val="21"/>
                <w:highlight w:val="none"/>
                <w:lang w:val="en-US" w:eastAsia="zh-CN"/>
              </w:rPr>
              <w:t>0.5分，满分25分。(</w:t>
            </w:r>
            <w:r>
              <w:rPr>
                <w:rFonts w:hint="eastAsia" w:ascii="宋体" w:hAnsi="宋体" w:eastAsia="宋体" w:cs="宋体"/>
                <w:i w:val="0"/>
                <w:iCs w:val="0"/>
                <w:color w:val="auto"/>
                <w:kern w:val="0"/>
                <w:sz w:val="21"/>
                <w:szCs w:val="21"/>
                <w:highlight w:val="none"/>
                <w:u w:val="none"/>
                <w:lang w:val="en-US" w:eastAsia="zh-CN" w:bidi="ar"/>
              </w:rPr>
              <w:t>证明材料可以是国家认可的第三方检验（测）机构出具的合格有效的检验（测）报告、官网截图、功能截图或产品彩页等，</w:t>
            </w:r>
            <w:r>
              <w:rPr>
                <w:rFonts w:hint="eastAsia"/>
                <w:color w:val="auto"/>
                <w:highlight w:val="none"/>
                <w:lang w:eastAsia="zh-CN"/>
              </w:rPr>
              <w:t>不提供不计分</w:t>
            </w:r>
            <w:r>
              <w:rPr>
                <w:rFonts w:hint="eastAsia" w:cs="宋体"/>
                <w:i w:val="0"/>
                <w:iCs w:val="0"/>
                <w:color w:val="auto"/>
                <w:kern w:val="0"/>
                <w:sz w:val="21"/>
                <w:szCs w:val="21"/>
                <w:highlight w:val="none"/>
                <w:u w:val="none"/>
                <w:lang w:val="en-US" w:eastAsia="zh-CN" w:bidi="ar"/>
              </w:rPr>
              <w:t>。)</w:t>
            </w:r>
          </w:p>
        </w:tc>
        <w:tc>
          <w:tcPr>
            <w:tcW w:w="431" w:type="pct"/>
            <w:vAlign w:val="center"/>
          </w:tcPr>
          <w:p w14:paraId="71CEFDA0">
            <w:pPr>
              <w:spacing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rPr>
              <w:t>分</w:t>
            </w:r>
          </w:p>
        </w:tc>
      </w:tr>
      <w:tr w14:paraId="14A8B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3" w:hRule="atLeast"/>
          <w:jc w:val="center"/>
        </w:trPr>
        <w:tc>
          <w:tcPr>
            <w:tcW w:w="301" w:type="pct"/>
            <w:shd w:val="clear" w:color="auto" w:fill="auto"/>
            <w:vAlign w:val="center"/>
          </w:tcPr>
          <w:p w14:paraId="21F63505">
            <w:pPr>
              <w:adjustRightInd w:val="0"/>
              <w:spacing w:line="360" w:lineRule="auto"/>
              <w:ind w:left="-105" w:leftChars="-50" w:right="-105" w:rightChars="-50"/>
              <w:jc w:val="center"/>
              <w:textAlignment w:val="baseline"/>
              <w:rPr>
                <w:rFonts w:ascii="宋体" w:hAnsi="宋体" w:eastAsia="宋体" w:cs="宋体"/>
                <w:bCs/>
                <w:color w:val="auto"/>
                <w:kern w:val="0"/>
                <w:sz w:val="21"/>
                <w:szCs w:val="21"/>
                <w:highlight w:val="none"/>
                <w:lang w:val="en-US" w:eastAsia="zh-CN" w:bidi="ar-SA"/>
              </w:rPr>
            </w:pPr>
            <w:r>
              <w:rPr>
                <w:rFonts w:hint="eastAsia" w:ascii="宋体" w:hAnsi="宋体" w:cs="宋体"/>
                <w:bCs/>
                <w:color w:val="auto"/>
                <w:kern w:val="0"/>
                <w:szCs w:val="21"/>
                <w:highlight w:val="none"/>
              </w:rPr>
              <w:t>2.2</w:t>
            </w:r>
          </w:p>
        </w:tc>
        <w:tc>
          <w:tcPr>
            <w:tcW w:w="553" w:type="pct"/>
            <w:shd w:val="clear" w:color="auto" w:fill="auto"/>
            <w:vAlign w:val="center"/>
          </w:tcPr>
          <w:p w14:paraId="4DC2AD8A">
            <w:pPr>
              <w:spacing w:line="360" w:lineRule="auto"/>
              <w:jc w:val="center"/>
              <w:rPr>
                <w:rFonts w:ascii="宋体" w:hAnsi="宋体" w:eastAsia="宋体" w:cs="宋体"/>
                <w:bCs/>
                <w:color w:val="auto"/>
                <w:kern w:val="2"/>
                <w:sz w:val="21"/>
                <w:szCs w:val="21"/>
                <w:highlight w:val="none"/>
                <w:lang w:val="en-US" w:eastAsia="zh-CN" w:bidi="ar-SA"/>
              </w:rPr>
            </w:pPr>
            <w:r>
              <w:rPr>
                <w:rFonts w:hint="eastAsia" w:hAnsi="宋体"/>
                <w:bCs/>
                <w:color w:val="auto"/>
                <w:szCs w:val="21"/>
                <w:highlight w:val="none"/>
              </w:rPr>
              <w:t>实施方案</w:t>
            </w: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18</w:t>
            </w:r>
            <w:r>
              <w:rPr>
                <w:rFonts w:hint="eastAsia" w:ascii="宋体" w:hAnsi="宋体" w:cs="宋体"/>
                <w:color w:val="auto"/>
                <w:szCs w:val="21"/>
                <w:highlight w:val="none"/>
              </w:rPr>
              <w:t>分）</w:t>
            </w:r>
          </w:p>
        </w:tc>
        <w:tc>
          <w:tcPr>
            <w:tcW w:w="3713" w:type="pct"/>
            <w:shd w:val="clear" w:color="auto" w:fill="auto"/>
            <w:vAlign w:val="top"/>
          </w:tcPr>
          <w:p w14:paraId="620D3A05">
            <w:pPr>
              <w:spacing w:line="40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投标人应根据招标文件要求提供具体详实的系统整体设计方案和实施方案（包括但不限于对项目建设内容、时间进度安排、项目安全措施、质量措施、技术控制措施、人员分工安排情况、风险分析等）：</w:t>
            </w:r>
          </w:p>
          <w:p w14:paraId="704E72E6">
            <w:pPr>
              <w:spacing w:line="40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一档（6分）：方案较详细，包含项目整体设计、管理措施、具体实施流程、进度安排、质量保证措施等，技术服务、技术培训的服务内容和措施简单。</w:t>
            </w:r>
          </w:p>
          <w:p w14:paraId="1E052442">
            <w:pPr>
              <w:spacing w:line="40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二档（12分）：方案完整，包含项目整体设计、管理措施、具体实施流程、进度安排、质量保证措施、风险防范措施， 技术服务、技术培训的服务内容和措施可行，培训方案较科学，为学校提供优质教育云平台。</w:t>
            </w:r>
          </w:p>
          <w:p w14:paraId="20EA4ACF">
            <w:pPr>
              <w:spacing w:line="40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三档（18分）：方案详细全面完善，包含项目整体设计、管理措施、具体实施流程、进度安排、质量保证措施、风险防范措施，整体方案针对性极强，可行性极高。技术服务、技术培训的服务内容和措施完整，提供培训人员配置且结构合理、培训时间计划切实可行、培训方案详实科学。</w:t>
            </w:r>
          </w:p>
          <w:p w14:paraId="496D8722">
            <w:pPr>
              <w:spacing w:line="400" w:lineRule="exact"/>
              <w:ind w:firstLine="420" w:firstLineChars="200"/>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备注：未提供方案的，得0分。</w:t>
            </w:r>
          </w:p>
        </w:tc>
        <w:tc>
          <w:tcPr>
            <w:tcW w:w="431" w:type="pct"/>
            <w:shd w:val="clear" w:color="auto" w:fill="auto"/>
            <w:vAlign w:val="center"/>
          </w:tcPr>
          <w:p w14:paraId="4911EDF7">
            <w:pPr>
              <w:spacing w:line="360" w:lineRule="auto"/>
              <w:jc w:val="center"/>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18分</w:t>
            </w:r>
          </w:p>
        </w:tc>
      </w:tr>
      <w:tr w14:paraId="3CA3D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8" w:hRule="atLeast"/>
          <w:jc w:val="center"/>
        </w:trPr>
        <w:tc>
          <w:tcPr>
            <w:tcW w:w="301" w:type="pct"/>
            <w:shd w:val="clear" w:color="auto" w:fill="auto"/>
            <w:vAlign w:val="center"/>
          </w:tcPr>
          <w:p w14:paraId="6E03C6FC">
            <w:pPr>
              <w:adjustRightInd w:val="0"/>
              <w:spacing w:line="360" w:lineRule="auto"/>
              <w:ind w:left="-105" w:leftChars="-50" w:right="-105" w:rightChars="-50"/>
              <w:jc w:val="center"/>
              <w:textAlignment w:val="baseline"/>
              <w:rPr>
                <w:rFonts w:ascii="宋体" w:hAnsi="宋体" w:eastAsia="宋体" w:cs="宋体"/>
                <w:bCs/>
                <w:color w:val="auto"/>
                <w:kern w:val="0"/>
                <w:sz w:val="21"/>
                <w:szCs w:val="21"/>
                <w:highlight w:val="none"/>
                <w:lang w:val="en-US" w:eastAsia="zh-CN" w:bidi="ar-SA"/>
              </w:rPr>
            </w:pPr>
            <w:r>
              <w:rPr>
                <w:rFonts w:hint="eastAsia" w:ascii="宋体" w:hAnsi="宋体" w:cs="宋体"/>
                <w:bCs/>
                <w:color w:val="auto"/>
                <w:kern w:val="0"/>
                <w:szCs w:val="21"/>
                <w:highlight w:val="none"/>
              </w:rPr>
              <w:t>2.3</w:t>
            </w:r>
          </w:p>
        </w:tc>
        <w:tc>
          <w:tcPr>
            <w:tcW w:w="553" w:type="pct"/>
            <w:shd w:val="clear" w:color="auto" w:fill="auto"/>
            <w:vAlign w:val="center"/>
          </w:tcPr>
          <w:p w14:paraId="17A30DC1">
            <w:pPr>
              <w:spacing w:line="360" w:lineRule="auto"/>
              <w:jc w:val="center"/>
              <w:rPr>
                <w:rFonts w:ascii="宋体" w:hAnsi="宋体" w:eastAsia="宋体" w:cs="宋体"/>
                <w:bCs/>
                <w:color w:val="auto"/>
                <w:kern w:val="2"/>
                <w:sz w:val="21"/>
                <w:szCs w:val="21"/>
                <w:highlight w:val="none"/>
                <w:lang w:val="en-US" w:eastAsia="zh-CN" w:bidi="ar-SA"/>
              </w:rPr>
            </w:pPr>
            <w:r>
              <w:rPr>
                <w:rFonts w:hint="eastAsia" w:ascii="宋体" w:hAnsi="宋体" w:cs="宋体"/>
                <w:b/>
                <w:snapToGrid w:val="0"/>
                <w:color w:val="auto"/>
                <w:szCs w:val="21"/>
                <w:highlight w:val="none"/>
              </w:rPr>
              <w:t>培训方案分 （满分</w:t>
            </w:r>
            <w:r>
              <w:rPr>
                <w:rFonts w:hint="eastAsia" w:ascii="宋体" w:hAnsi="宋体" w:cs="宋体"/>
                <w:b/>
                <w:snapToGrid w:val="0"/>
                <w:color w:val="auto"/>
                <w:szCs w:val="21"/>
                <w:highlight w:val="none"/>
                <w:lang w:val="en-US" w:eastAsia="zh-CN"/>
              </w:rPr>
              <w:t>9</w:t>
            </w:r>
            <w:r>
              <w:rPr>
                <w:rFonts w:hint="eastAsia" w:ascii="宋体" w:hAnsi="宋体" w:cs="宋体"/>
                <w:b/>
                <w:snapToGrid w:val="0"/>
                <w:color w:val="auto"/>
                <w:szCs w:val="21"/>
                <w:highlight w:val="none"/>
              </w:rPr>
              <w:t>分）</w:t>
            </w:r>
          </w:p>
        </w:tc>
        <w:tc>
          <w:tcPr>
            <w:tcW w:w="3713" w:type="pct"/>
            <w:shd w:val="clear" w:color="auto" w:fill="auto"/>
            <w:vAlign w:val="top"/>
          </w:tcPr>
          <w:p w14:paraId="7D93C566">
            <w:pPr>
              <w:spacing w:line="460" w:lineRule="exact"/>
              <w:rPr>
                <w:rFonts w:hint="eastAsia" w:ascii="宋体" w:hAnsi="宋体" w:cs="宋体"/>
                <w:bCs/>
                <w:color w:val="auto"/>
                <w:szCs w:val="21"/>
                <w:highlight w:val="none"/>
              </w:rPr>
            </w:pPr>
            <w:r>
              <w:rPr>
                <w:rFonts w:hint="eastAsia" w:ascii="宋体" w:hAnsi="宋体" w:cs="宋体"/>
                <w:bCs/>
                <w:color w:val="auto"/>
                <w:szCs w:val="21"/>
                <w:highlight w:val="none"/>
              </w:rPr>
              <w:t>一档（</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 xml:space="preserve">分）：具有设备和维护培训计划，提供专业技术人员对采购人进行培训，培训内容有标准操作方法、使用注意事项、基础维护知识。 </w:t>
            </w:r>
          </w:p>
          <w:p w14:paraId="18056D12">
            <w:pPr>
              <w:spacing w:line="460" w:lineRule="exact"/>
              <w:rPr>
                <w:rFonts w:hint="eastAsia" w:ascii="宋体" w:hAnsi="宋体" w:cs="宋体"/>
                <w:bCs/>
                <w:color w:val="auto"/>
                <w:szCs w:val="21"/>
                <w:highlight w:val="none"/>
              </w:rPr>
            </w:pPr>
            <w:r>
              <w:rPr>
                <w:rFonts w:hint="eastAsia" w:ascii="宋体" w:hAnsi="宋体" w:cs="宋体"/>
                <w:bCs/>
                <w:color w:val="auto"/>
                <w:szCs w:val="21"/>
                <w:highlight w:val="none"/>
              </w:rPr>
              <w:t>二档（</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 xml:space="preserve">分）：具有设备和维护培训计划，提供专业 技术人员对采购人进行培训，培训内容有标准操作方法、使用注意事项、基础维护知识、一般故障处理方法、重大故障处理方法、维护保养细则。 </w:t>
            </w:r>
          </w:p>
          <w:p w14:paraId="6D1F7D2F">
            <w:pPr>
              <w:spacing w:line="460" w:lineRule="exact"/>
              <w:jc w:val="left"/>
              <w:rPr>
                <w:rFonts w:hint="eastAsia" w:ascii="宋体" w:hAnsi="宋体" w:cs="宋体"/>
                <w:bCs/>
                <w:color w:val="auto"/>
                <w:szCs w:val="21"/>
                <w:highlight w:val="none"/>
              </w:rPr>
            </w:pPr>
            <w:r>
              <w:rPr>
                <w:rFonts w:hint="eastAsia" w:ascii="宋体" w:hAnsi="宋体" w:cs="宋体"/>
                <w:bCs/>
                <w:color w:val="auto"/>
                <w:szCs w:val="21"/>
                <w:highlight w:val="none"/>
              </w:rPr>
              <w:t>三档（</w:t>
            </w:r>
            <w:r>
              <w:rPr>
                <w:rFonts w:hint="eastAsia" w:ascii="宋体" w:hAnsi="宋体" w:cs="宋体"/>
                <w:bCs/>
                <w:color w:val="auto"/>
                <w:szCs w:val="21"/>
                <w:highlight w:val="none"/>
                <w:lang w:val="en-US" w:eastAsia="zh-CN"/>
              </w:rPr>
              <w:t>9</w:t>
            </w:r>
            <w:r>
              <w:rPr>
                <w:rFonts w:hint="eastAsia" w:ascii="宋体" w:hAnsi="宋体" w:cs="宋体"/>
                <w:bCs/>
                <w:color w:val="auto"/>
                <w:szCs w:val="21"/>
                <w:highlight w:val="none"/>
              </w:rPr>
              <w:t xml:space="preserve">分）：具有设备和维护培训计划，提供专业技术人员对采购人进行培训，培训内容有标准操作方法、使用注意事项、基础维护知识、一般故障处理方法、重大故障处理方法、维护保养细则、使用技术指导。 </w:t>
            </w:r>
          </w:p>
          <w:p w14:paraId="4E1EFF35">
            <w:pPr>
              <w:pStyle w:val="7"/>
              <w:spacing w:line="360" w:lineRule="auto"/>
              <w:ind w:left="-134" w:leftChars="0" w:firstLine="525" w:firstLineChars="0"/>
              <w:rPr>
                <w:rFonts w:ascii="宋体" w:hAnsi="宋体" w:eastAsia="宋体" w:cs="宋体"/>
                <w:color w:val="auto"/>
                <w:kern w:val="2"/>
                <w:sz w:val="21"/>
                <w:szCs w:val="21"/>
                <w:highlight w:val="none"/>
                <w:lang w:val="en-US" w:eastAsia="zh-CN" w:bidi="ar-SA"/>
              </w:rPr>
            </w:pPr>
          </w:p>
        </w:tc>
        <w:tc>
          <w:tcPr>
            <w:tcW w:w="431" w:type="pct"/>
            <w:shd w:val="clear" w:color="auto" w:fill="auto"/>
            <w:vAlign w:val="center"/>
          </w:tcPr>
          <w:p w14:paraId="4B47EE5F">
            <w:pPr>
              <w:spacing w:line="360" w:lineRule="auto"/>
              <w:jc w:val="center"/>
              <w:rPr>
                <w:rFonts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分</w:t>
            </w:r>
          </w:p>
        </w:tc>
      </w:tr>
      <w:tr w14:paraId="75D5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1" w:type="pct"/>
            <w:vAlign w:val="center"/>
          </w:tcPr>
          <w:p w14:paraId="57DE7873">
            <w:pPr>
              <w:adjustRightInd w:val="0"/>
              <w:spacing w:line="360" w:lineRule="auto"/>
              <w:ind w:left="-105" w:leftChars="-50" w:right="-105" w:rightChars="-50"/>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2.4</w:t>
            </w:r>
          </w:p>
        </w:tc>
        <w:tc>
          <w:tcPr>
            <w:tcW w:w="553" w:type="pct"/>
            <w:vAlign w:val="center"/>
          </w:tcPr>
          <w:p w14:paraId="185D8197">
            <w:pPr>
              <w:spacing w:line="360" w:lineRule="auto"/>
              <w:jc w:val="center"/>
              <w:rPr>
                <w:rFonts w:ascii="宋体" w:hAnsi="宋体" w:cs="宋体"/>
                <w:bCs/>
                <w:color w:val="auto"/>
                <w:szCs w:val="21"/>
                <w:highlight w:val="none"/>
              </w:rPr>
            </w:pPr>
            <w:r>
              <w:rPr>
                <w:rFonts w:hint="eastAsia" w:ascii="宋体" w:hAnsi="宋体" w:cs="宋体"/>
                <w:color w:val="auto"/>
                <w:kern w:val="0"/>
                <w:szCs w:val="21"/>
                <w:highlight w:val="none"/>
              </w:rPr>
              <w:t>售后服务</w:t>
            </w:r>
            <w:r>
              <w:rPr>
                <w:rFonts w:hint="eastAsia" w:ascii="宋体" w:hAnsi="宋体" w:cs="宋体"/>
                <w:bCs/>
                <w:color w:val="auto"/>
                <w:szCs w:val="21"/>
                <w:highlight w:val="none"/>
              </w:rPr>
              <w:t>方案</w:t>
            </w:r>
            <w:r>
              <w:rPr>
                <w:rFonts w:hint="eastAsia" w:ascii="宋体" w:hAnsi="宋体" w:cs="宋体"/>
                <w:color w:val="auto"/>
                <w:szCs w:val="21"/>
                <w:highlight w:val="none"/>
              </w:rPr>
              <w:t>（满分10分）</w:t>
            </w:r>
          </w:p>
        </w:tc>
        <w:tc>
          <w:tcPr>
            <w:tcW w:w="3713" w:type="pct"/>
          </w:tcPr>
          <w:p w14:paraId="1A53EF6A">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一档（3分）：不切合项目实际，内容冗杂、多余；方案包含有简单的服务承诺、应急保障方案、定期上门维护、到达故障现场时间、故障出现解决方案、售后服务技术人员配备的。</w:t>
            </w:r>
          </w:p>
          <w:p w14:paraId="11FB78E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二档（6分）：符合实际，内容措施满足项目需求；服务承诺提供有项目服务维护、保密承诺等内容，应急保障措施提供有应急项目内容、各应急项目的保障措施；方案能提供定期上门维护时间列表，到达故障现场的响应时间满足需求，提供的售后服务技术人员配备满足项目需求、专业技术水平较高。</w:t>
            </w:r>
          </w:p>
          <w:p w14:paraId="4E51667A">
            <w:pPr>
              <w:pStyle w:val="7"/>
              <w:spacing w:line="360" w:lineRule="auto"/>
              <w:ind w:firstLine="525"/>
              <w:rPr>
                <w:rFonts w:ascii="宋体" w:hAnsi="宋体" w:cs="宋体"/>
                <w:color w:val="auto"/>
                <w:szCs w:val="21"/>
                <w:highlight w:val="none"/>
              </w:rPr>
            </w:pPr>
            <w:r>
              <w:rPr>
                <w:rFonts w:hint="eastAsia" w:ascii="宋体" w:hAnsi="宋体" w:cs="宋体"/>
                <w:color w:val="auto"/>
                <w:szCs w:val="21"/>
                <w:highlight w:val="none"/>
              </w:rPr>
              <w:t>三档（10分）：售后服务方案针对需求，切合实际，简练；服务承诺提供有详细的项目服务维护、保密承诺等内容，应急保障措施提供有详细的应急项目内容、各应急项目的保障措施，且能详细描述其实现方式；方案能提供定期上门维护具体时间列表，到达故障现场的响应时间完全满足或优于采购需求，提供的售后服务技术人员配备齐全、专业技术水平高，整体方案考虑周全。</w:t>
            </w:r>
          </w:p>
        </w:tc>
        <w:tc>
          <w:tcPr>
            <w:tcW w:w="431" w:type="pct"/>
            <w:vAlign w:val="center"/>
          </w:tcPr>
          <w:p w14:paraId="3C185E30">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10分</w:t>
            </w:r>
          </w:p>
        </w:tc>
      </w:tr>
      <w:tr w14:paraId="5E16A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1" w:type="pct"/>
            <w:vAlign w:val="center"/>
          </w:tcPr>
          <w:p w14:paraId="45BFC48E">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553" w:type="pct"/>
            <w:vAlign w:val="center"/>
          </w:tcPr>
          <w:p w14:paraId="4FE83C02">
            <w:pPr>
              <w:widowControl/>
              <w:spacing w:line="360" w:lineRule="auto"/>
              <w:jc w:val="center"/>
              <w:rPr>
                <w:rFonts w:ascii="宋体" w:hAnsi="宋体" w:cs="宋体"/>
                <w:bCs/>
                <w:color w:val="auto"/>
                <w:szCs w:val="21"/>
                <w:highlight w:val="none"/>
              </w:rPr>
            </w:pPr>
            <w:r>
              <w:rPr>
                <w:rFonts w:hint="eastAsia" w:ascii="宋体" w:hAnsi="宋体" w:cs="宋体"/>
                <w:bCs/>
                <w:color w:val="auto"/>
                <w:szCs w:val="21"/>
                <w:highlight w:val="none"/>
              </w:rPr>
              <w:t>商务分</w:t>
            </w:r>
          </w:p>
        </w:tc>
        <w:tc>
          <w:tcPr>
            <w:tcW w:w="4144" w:type="pct"/>
            <w:gridSpan w:val="2"/>
            <w:vAlign w:val="center"/>
          </w:tcPr>
          <w:p w14:paraId="01486B35">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评审因素</w:t>
            </w:r>
          </w:p>
        </w:tc>
      </w:tr>
      <w:tr w14:paraId="6C4EF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1" w:type="pct"/>
            <w:vAlign w:val="center"/>
          </w:tcPr>
          <w:p w14:paraId="617CA4AB">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3.1</w:t>
            </w:r>
          </w:p>
        </w:tc>
        <w:tc>
          <w:tcPr>
            <w:tcW w:w="553" w:type="pct"/>
            <w:vAlign w:val="center"/>
          </w:tcPr>
          <w:p w14:paraId="70354A7D">
            <w:pPr>
              <w:widowControl/>
              <w:spacing w:line="360" w:lineRule="auto"/>
              <w:jc w:val="center"/>
              <w:rPr>
                <w:rFonts w:ascii="宋体" w:hAnsi="宋体" w:cs="宋体"/>
                <w:color w:val="auto"/>
                <w:kern w:val="0"/>
                <w:szCs w:val="21"/>
                <w:highlight w:val="none"/>
              </w:rPr>
            </w:pPr>
            <w:r>
              <w:rPr>
                <w:rFonts w:hint="eastAsia" w:ascii="宋体" w:hAnsi="宋体" w:cs="宋体"/>
                <w:color w:val="auto"/>
                <w:szCs w:val="21"/>
                <w:highlight w:val="none"/>
              </w:rPr>
              <w:t>业绩</w:t>
            </w:r>
            <w:r>
              <w:rPr>
                <w:rFonts w:hint="eastAsia" w:ascii="宋体" w:hAnsi="宋体" w:cs="宋体"/>
                <w:color w:val="auto"/>
                <w:szCs w:val="21"/>
                <w:highlight w:val="none"/>
                <w:lang w:eastAsia="zh-CN"/>
              </w:rPr>
              <w:t>信誉</w:t>
            </w:r>
            <w:r>
              <w:rPr>
                <w:rFonts w:hint="eastAsia" w:ascii="宋体" w:hAnsi="宋体" w:cs="宋体"/>
                <w:color w:val="auto"/>
                <w:szCs w:val="21"/>
                <w:highlight w:val="none"/>
              </w:rPr>
              <w:t>分（满分</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w:t>
            </w:r>
          </w:p>
        </w:tc>
        <w:tc>
          <w:tcPr>
            <w:tcW w:w="3713" w:type="pct"/>
          </w:tcPr>
          <w:p w14:paraId="55F9AF38">
            <w:pPr>
              <w:numPr>
                <w:ilvl w:val="0"/>
                <w:numId w:val="0"/>
              </w:numPr>
              <w:snapToGrid w:val="0"/>
              <w:spacing w:line="360" w:lineRule="auto"/>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1</w:t>
            </w:r>
            <w:r>
              <w:rPr>
                <w:rFonts w:hint="eastAsia" w:ascii="宋体" w:hAnsi="宋体" w:cs="宋体"/>
                <w:color w:val="auto"/>
                <w:highlight w:val="none"/>
                <w:lang w:eastAsia="zh-CN"/>
              </w:rPr>
              <w:t>）</w:t>
            </w:r>
            <w:r>
              <w:rPr>
                <w:rFonts w:hint="eastAsia" w:ascii="宋体" w:hAnsi="宋体" w:cs="宋体"/>
                <w:color w:val="auto"/>
                <w:highlight w:val="none"/>
              </w:rPr>
              <w:t>投标人或投标产品生产厂家通过ISO9001质量管理体系认证，提供证书扫描件得</w:t>
            </w:r>
            <w:r>
              <w:rPr>
                <w:rFonts w:hint="eastAsia" w:ascii="宋体" w:hAnsi="宋体" w:cs="宋体"/>
                <w:color w:val="auto"/>
                <w:highlight w:val="none"/>
                <w:lang w:val="en-US" w:eastAsia="zh-CN"/>
              </w:rPr>
              <w:t>1</w:t>
            </w:r>
            <w:r>
              <w:rPr>
                <w:rFonts w:hint="eastAsia" w:ascii="宋体" w:hAnsi="宋体" w:cs="宋体"/>
                <w:color w:val="auto"/>
                <w:highlight w:val="none"/>
              </w:rPr>
              <w:t>分，（满分</w:t>
            </w:r>
            <w:r>
              <w:rPr>
                <w:rFonts w:hint="eastAsia" w:ascii="宋体" w:hAnsi="宋体" w:cs="宋体"/>
                <w:color w:val="auto"/>
                <w:highlight w:val="none"/>
                <w:lang w:val="en-US" w:eastAsia="zh-CN"/>
              </w:rPr>
              <w:t>1</w:t>
            </w:r>
            <w:r>
              <w:rPr>
                <w:rFonts w:hint="eastAsia" w:ascii="宋体" w:hAnsi="宋体" w:cs="宋体"/>
                <w:color w:val="auto"/>
                <w:highlight w:val="none"/>
              </w:rPr>
              <w:t>分）。</w:t>
            </w:r>
          </w:p>
          <w:p w14:paraId="1AEF4F2B">
            <w:pPr>
              <w:spacing w:line="360" w:lineRule="auto"/>
              <w:rPr>
                <w:rFonts w:ascii="宋体" w:hAnsi="宋体" w:cs="宋体"/>
                <w:color w:val="auto"/>
                <w:szCs w:val="21"/>
                <w:highlight w:val="none"/>
              </w:rPr>
            </w:pPr>
            <w:r>
              <w:rPr>
                <w:rFonts w:hint="eastAsia" w:ascii="宋体" w:hAnsi="宋体" w:eastAsia="Times New Roman" w:cs="宋体"/>
                <w:bCs/>
                <w:color w:val="auto"/>
                <w:kern w:val="0"/>
                <w:szCs w:val="21"/>
                <w:highlight w:val="none"/>
              </w:rPr>
              <w:t>（2）投标人或投标产品</w:t>
            </w:r>
            <w:r>
              <w:rPr>
                <w:rFonts w:hint="eastAsia" w:ascii="宋体" w:hAnsi="宋体" w:cs="宋体"/>
                <w:bCs/>
                <w:color w:val="auto"/>
                <w:kern w:val="0"/>
                <w:szCs w:val="21"/>
                <w:highlight w:val="none"/>
              </w:rPr>
              <w:t>20</w:t>
            </w:r>
            <w:r>
              <w:rPr>
                <w:rFonts w:hint="eastAsia" w:ascii="宋体" w:hAnsi="宋体" w:cs="宋体"/>
                <w:bCs/>
                <w:color w:val="auto"/>
                <w:kern w:val="0"/>
                <w:szCs w:val="21"/>
                <w:highlight w:val="none"/>
                <w:lang w:val="en-US" w:eastAsia="zh-CN"/>
              </w:rPr>
              <w:t>23</w:t>
            </w:r>
            <w:r>
              <w:rPr>
                <w:rFonts w:hint="eastAsia" w:ascii="宋体" w:hAnsi="宋体" w:eastAsia="Times New Roman" w:cs="宋体"/>
                <w:bCs/>
                <w:color w:val="auto"/>
                <w:kern w:val="0"/>
                <w:szCs w:val="21"/>
                <w:highlight w:val="none"/>
              </w:rPr>
              <w:t>年以来完成的同类项目的业绩，以签订的采购合同或中标通知书为准，每份得1分，（满分</w:t>
            </w:r>
            <w:r>
              <w:rPr>
                <w:rFonts w:hint="eastAsia" w:ascii="宋体" w:hAnsi="宋体" w:cs="宋体"/>
                <w:bCs/>
                <w:color w:val="auto"/>
                <w:kern w:val="0"/>
                <w:szCs w:val="21"/>
                <w:highlight w:val="none"/>
                <w:lang w:val="en-US" w:eastAsia="zh-CN"/>
              </w:rPr>
              <w:t>1</w:t>
            </w:r>
            <w:r>
              <w:rPr>
                <w:rFonts w:hint="eastAsia" w:ascii="宋体" w:hAnsi="宋体" w:eastAsia="Times New Roman" w:cs="宋体"/>
                <w:bCs/>
                <w:color w:val="auto"/>
                <w:kern w:val="0"/>
                <w:szCs w:val="21"/>
                <w:highlight w:val="none"/>
              </w:rPr>
              <w:t>分）。[采购合同或中标通知书必须能清晰反映所销售的货物、类别及金额，同一个编号的招标项目有2个（含2个）以上的分标中标的只算一次]</w:t>
            </w:r>
          </w:p>
        </w:tc>
        <w:tc>
          <w:tcPr>
            <w:tcW w:w="431" w:type="pct"/>
            <w:vAlign w:val="center"/>
          </w:tcPr>
          <w:p w14:paraId="6A582EBD">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分</w:t>
            </w:r>
          </w:p>
        </w:tc>
      </w:tr>
      <w:tr w14:paraId="69FE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301" w:type="pct"/>
            <w:vAlign w:val="center"/>
          </w:tcPr>
          <w:p w14:paraId="7F079D0C">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3.2</w:t>
            </w:r>
          </w:p>
        </w:tc>
        <w:tc>
          <w:tcPr>
            <w:tcW w:w="553" w:type="pct"/>
            <w:vAlign w:val="center"/>
          </w:tcPr>
          <w:p w14:paraId="10837E04">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 xml:space="preserve">政策分（满分 </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 xml:space="preserve"> 分）</w:t>
            </w:r>
          </w:p>
        </w:tc>
        <w:tc>
          <w:tcPr>
            <w:tcW w:w="3713" w:type="pct"/>
          </w:tcPr>
          <w:p w14:paraId="7D681B5D">
            <w:pPr>
              <w:spacing w:line="360" w:lineRule="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1）属于财政部《节能产品政府采购品目清单》内优先采购（清单内未标注“★”的品目）的产品[投标文件中提供有效的认证证书复印件及品目清单（标注出投标产品在品目清单中所属的品目），并加盖投标人电子签章]，根据其所占项目（或者分标）预算金额比例得</w:t>
            </w:r>
            <w:r>
              <w:rPr>
                <w:rFonts w:hint="eastAsia" w:ascii="宋体" w:hAnsi="宋体" w:eastAsia="宋体" w:cs="宋体"/>
                <w:bCs/>
                <w:color w:val="auto"/>
                <w:sz w:val="21"/>
                <w:szCs w:val="21"/>
                <w:highlight w:val="none"/>
                <w:u w:val="single"/>
              </w:rPr>
              <w:t xml:space="preserve">  0 </w:t>
            </w:r>
            <w:r>
              <w:rPr>
                <w:rFonts w:hint="eastAsia" w:ascii="宋体" w:hAnsi="宋体" w:eastAsia="宋体" w:cs="宋体"/>
                <w:bCs/>
                <w:color w:val="auto"/>
                <w:sz w:val="21"/>
                <w:szCs w:val="21"/>
                <w:highlight w:val="none"/>
              </w:rPr>
              <w:t>至</w:t>
            </w:r>
            <w:r>
              <w:rPr>
                <w:rFonts w:hint="eastAsia" w:ascii="宋体" w:hAnsi="宋体" w:eastAsia="宋体" w:cs="宋体"/>
                <w:bCs/>
                <w:color w:val="auto"/>
                <w:sz w:val="21"/>
                <w:szCs w:val="21"/>
                <w:highlight w:val="none"/>
                <w:u w:val="single"/>
              </w:rPr>
              <w:t xml:space="preserve"> </w:t>
            </w:r>
            <w:r>
              <w:rPr>
                <w:rFonts w:hint="eastAsia" w:ascii="宋体" w:hAnsi="宋体" w:cs="宋体"/>
                <w:bCs/>
                <w:color w:val="auto"/>
                <w:sz w:val="21"/>
                <w:szCs w:val="21"/>
                <w:highlight w:val="none"/>
                <w:u w:val="single"/>
                <w:lang w:val="en-US" w:eastAsia="zh-CN"/>
              </w:rPr>
              <w:t>0.5</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分，满分</w:t>
            </w:r>
            <w:r>
              <w:rPr>
                <w:rFonts w:hint="eastAsia" w:ascii="宋体" w:hAnsi="宋体" w:eastAsia="宋体" w:cs="宋体"/>
                <w:bCs/>
                <w:color w:val="auto"/>
                <w:sz w:val="21"/>
                <w:szCs w:val="21"/>
                <w:highlight w:val="none"/>
                <w:u w:val="single"/>
              </w:rPr>
              <w:t xml:space="preserve"> </w:t>
            </w:r>
            <w:r>
              <w:rPr>
                <w:rFonts w:hint="eastAsia" w:ascii="宋体" w:hAnsi="宋体" w:cs="宋体"/>
                <w:bCs/>
                <w:color w:val="auto"/>
                <w:sz w:val="21"/>
                <w:szCs w:val="21"/>
                <w:highlight w:val="none"/>
                <w:u w:val="single"/>
                <w:lang w:val="en-US" w:eastAsia="zh-CN"/>
              </w:rPr>
              <w:t>0.5</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分</w:t>
            </w:r>
            <w:r>
              <w:rPr>
                <w:rFonts w:hint="eastAsia" w:ascii="宋体" w:hAnsi="宋体" w:eastAsia="宋体" w:cs="宋体"/>
                <w:bCs/>
                <w:color w:val="auto"/>
                <w:sz w:val="21"/>
                <w:szCs w:val="21"/>
                <w:highlight w:val="none"/>
                <w:lang w:val="en-US" w:eastAsia="zh-CN"/>
              </w:rPr>
              <w:t>；</w:t>
            </w:r>
          </w:p>
          <w:p w14:paraId="4F88F9B6">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属于财政部《环境标志产品政府采购品目清单》内的产品[投标文件中提供有效的认证证书复印件及品目清单（标注出投标产品在品目清单中所属的品目），并加盖投标人电子签章，根据其所占项目（或者分标）预算金额比例得</w:t>
            </w:r>
            <w:r>
              <w:rPr>
                <w:rFonts w:hint="eastAsia" w:ascii="宋体" w:hAnsi="宋体" w:eastAsia="宋体" w:cs="宋体"/>
                <w:bCs/>
                <w:color w:val="auto"/>
                <w:sz w:val="21"/>
                <w:szCs w:val="21"/>
                <w:highlight w:val="none"/>
                <w:u w:val="single"/>
              </w:rPr>
              <w:t xml:space="preserve"> 0 </w:t>
            </w:r>
            <w:r>
              <w:rPr>
                <w:rFonts w:hint="eastAsia" w:ascii="宋体" w:hAnsi="宋体" w:eastAsia="宋体" w:cs="宋体"/>
                <w:bCs/>
                <w:color w:val="auto"/>
                <w:sz w:val="21"/>
                <w:szCs w:val="21"/>
                <w:highlight w:val="none"/>
              </w:rPr>
              <w:t>至</w:t>
            </w:r>
            <w:r>
              <w:rPr>
                <w:rFonts w:hint="eastAsia" w:ascii="宋体" w:hAnsi="宋体" w:eastAsia="宋体" w:cs="宋体"/>
                <w:bCs/>
                <w:color w:val="auto"/>
                <w:sz w:val="21"/>
                <w:szCs w:val="21"/>
                <w:highlight w:val="none"/>
                <w:u w:val="single"/>
              </w:rPr>
              <w:t xml:space="preserve"> </w:t>
            </w:r>
            <w:r>
              <w:rPr>
                <w:rFonts w:hint="eastAsia" w:ascii="宋体" w:hAnsi="宋体" w:cs="宋体"/>
                <w:bCs/>
                <w:color w:val="auto"/>
                <w:sz w:val="21"/>
                <w:szCs w:val="21"/>
                <w:highlight w:val="none"/>
                <w:u w:val="single"/>
                <w:lang w:val="en-US" w:eastAsia="zh-CN"/>
              </w:rPr>
              <w:t>0.5</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分，满分</w:t>
            </w:r>
            <w:r>
              <w:rPr>
                <w:rFonts w:hint="eastAsia" w:ascii="宋体" w:hAnsi="宋体" w:eastAsia="宋体" w:cs="宋体"/>
                <w:bCs/>
                <w:color w:val="auto"/>
                <w:sz w:val="21"/>
                <w:szCs w:val="21"/>
                <w:highlight w:val="none"/>
                <w:u w:val="single"/>
              </w:rPr>
              <w:t xml:space="preserve"> </w:t>
            </w:r>
            <w:r>
              <w:rPr>
                <w:rFonts w:hint="eastAsia" w:ascii="宋体" w:hAnsi="宋体" w:cs="宋体"/>
                <w:bCs/>
                <w:color w:val="auto"/>
                <w:sz w:val="21"/>
                <w:szCs w:val="21"/>
                <w:highlight w:val="none"/>
                <w:u w:val="single"/>
                <w:lang w:val="en-US" w:eastAsia="zh-CN"/>
              </w:rPr>
              <w:t>0.5</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分；</w:t>
            </w:r>
          </w:p>
          <w:p w14:paraId="7C15CF24">
            <w:pPr>
              <w:numPr>
                <w:ilvl w:val="0"/>
                <w:numId w:val="0"/>
              </w:numPr>
              <w:adjustRightInd w:val="0"/>
              <w:snapToGrid w:val="0"/>
              <w:spacing w:line="360" w:lineRule="auto"/>
              <w:rPr>
                <w:color w:val="auto"/>
                <w:szCs w:val="21"/>
                <w:highlight w:val="none"/>
              </w:rPr>
            </w:pPr>
            <w:r>
              <w:rPr>
                <w:rFonts w:hint="eastAsia" w:ascii="宋体" w:hAnsi="宋体" w:eastAsia="宋体" w:cs="宋体"/>
                <w:bCs/>
                <w:color w:val="auto"/>
                <w:sz w:val="21"/>
                <w:szCs w:val="21"/>
                <w:highlight w:val="none"/>
              </w:rPr>
              <w:t>（3）非节能、环境标志产品的不得分。</w:t>
            </w:r>
          </w:p>
        </w:tc>
        <w:tc>
          <w:tcPr>
            <w:tcW w:w="431" w:type="pct"/>
            <w:vAlign w:val="center"/>
          </w:tcPr>
          <w:p w14:paraId="46A9D0DF">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分</w:t>
            </w:r>
          </w:p>
        </w:tc>
      </w:tr>
      <w:tr w14:paraId="72311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568" w:type="pct"/>
            <w:gridSpan w:val="3"/>
          </w:tcPr>
          <w:p w14:paraId="46DD8BE7">
            <w:pPr>
              <w:spacing w:line="360" w:lineRule="auto"/>
              <w:rPr>
                <w:rFonts w:ascii="宋体" w:hAnsi="宋体" w:cs="宋体"/>
                <w:bCs/>
                <w:color w:val="auto"/>
                <w:kern w:val="0"/>
                <w:szCs w:val="21"/>
                <w:highlight w:val="none"/>
              </w:rPr>
            </w:pPr>
            <w:r>
              <w:rPr>
                <w:rFonts w:hint="eastAsia" w:ascii="宋体" w:hAnsi="宋体" w:cs="宋体"/>
                <w:bCs/>
                <w:color w:val="auto"/>
                <w:kern w:val="0"/>
                <w:szCs w:val="21"/>
                <w:highlight w:val="none"/>
              </w:rPr>
              <w:t>4.总得分＝1+2+3</w:t>
            </w:r>
          </w:p>
        </w:tc>
        <w:tc>
          <w:tcPr>
            <w:tcW w:w="431" w:type="pct"/>
            <w:vAlign w:val="center"/>
          </w:tcPr>
          <w:p w14:paraId="4222FAD5">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p>
        </w:tc>
      </w:tr>
    </w:tbl>
    <w:p w14:paraId="23A0F559">
      <w:pPr>
        <w:pStyle w:val="62"/>
        <w:rPr>
          <w:rFonts w:hint="eastAsia" w:ascii="宋体" w:hAnsi="宋体" w:cs="宋体"/>
          <w:b/>
          <w:bCs/>
          <w:color w:val="auto"/>
          <w:sz w:val="21"/>
          <w:szCs w:val="21"/>
          <w:highlight w:val="none"/>
          <w:lang w:val="en-US" w:eastAsia="zh-CN"/>
        </w:rPr>
      </w:pPr>
    </w:p>
    <w:p w14:paraId="1B7118E3">
      <w:pPr>
        <w:rPr>
          <w:rFonts w:hint="eastAsia" w:ascii="宋体" w:hAnsi="宋体" w:cs="宋体"/>
          <w:color w:val="auto"/>
          <w:highlight w:val="none"/>
        </w:rPr>
      </w:pPr>
      <w:r>
        <w:rPr>
          <w:rFonts w:hint="eastAsia" w:ascii="宋体" w:hAnsi="宋体" w:cs="宋体"/>
          <w:color w:val="auto"/>
          <w:highlight w:val="none"/>
        </w:rPr>
        <w:br w:type="page"/>
      </w:r>
    </w:p>
    <w:p w14:paraId="386320D8">
      <w:pPr>
        <w:rPr>
          <w:rFonts w:hint="eastAsia" w:ascii="宋体" w:hAnsi="宋体" w:cs="宋体"/>
          <w:color w:val="auto"/>
          <w:highlight w:val="none"/>
        </w:rPr>
      </w:pPr>
    </w:p>
    <w:p w14:paraId="49DFBF1A">
      <w:pPr>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eastAsia="zh-CN"/>
        </w:rPr>
        <w:t>分标</w:t>
      </w:r>
      <w:r>
        <w:rPr>
          <w:rFonts w:hint="eastAsia" w:ascii="宋体" w:hAnsi="宋体" w:cs="宋体"/>
          <w:b/>
          <w:bCs/>
          <w:color w:val="auto"/>
          <w:sz w:val="21"/>
          <w:szCs w:val="21"/>
          <w:highlight w:val="none"/>
          <w:lang w:val="en-US" w:eastAsia="zh-CN"/>
        </w:rPr>
        <w:t>3：大新县3所学校人工智能实验室设备及大新县城南小学等3所学校图书采购</w:t>
      </w:r>
    </w:p>
    <w:p w14:paraId="3FA2C69E">
      <w:pPr>
        <w:pStyle w:val="41"/>
        <w:rPr>
          <w:rFonts w:hint="eastAsia"/>
          <w:color w:val="auto"/>
          <w:highlight w:val="none"/>
        </w:rPr>
      </w:pPr>
    </w:p>
    <w:tbl>
      <w:tblPr>
        <w:tblStyle w:val="51"/>
        <w:tblW w:w="50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1086"/>
        <w:gridCol w:w="7194"/>
        <w:gridCol w:w="833"/>
      </w:tblGrid>
      <w:tr w14:paraId="24215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40" w:type="pct"/>
            <w:vAlign w:val="center"/>
          </w:tcPr>
          <w:p w14:paraId="3B935B5D">
            <w:pPr>
              <w:widowControl/>
              <w:spacing w:line="360" w:lineRule="auto"/>
              <w:ind w:right="-34" w:rightChars="-16"/>
              <w:jc w:val="both"/>
              <w:rPr>
                <w:rFonts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555" w:type="pct"/>
            <w:vAlign w:val="center"/>
          </w:tcPr>
          <w:p w14:paraId="4D5DE32E">
            <w:pPr>
              <w:widowControl/>
              <w:spacing w:line="360" w:lineRule="auto"/>
              <w:jc w:val="both"/>
              <w:rPr>
                <w:rFonts w:ascii="宋体" w:hAnsi="宋体" w:cs="宋体"/>
                <w:b/>
                <w:bCs/>
                <w:color w:val="auto"/>
                <w:kern w:val="0"/>
                <w:szCs w:val="21"/>
                <w:highlight w:val="none"/>
              </w:rPr>
            </w:pPr>
            <w:r>
              <w:rPr>
                <w:rFonts w:hint="eastAsia" w:ascii="宋体" w:hAnsi="宋体" w:cs="宋体"/>
                <w:b/>
                <w:bCs/>
                <w:color w:val="auto"/>
                <w:kern w:val="0"/>
                <w:szCs w:val="21"/>
                <w:highlight w:val="none"/>
              </w:rPr>
              <w:t>评审因素</w:t>
            </w:r>
          </w:p>
        </w:tc>
        <w:tc>
          <w:tcPr>
            <w:tcW w:w="3678" w:type="pct"/>
            <w:vAlign w:val="center"/>
          </w:tcPr>
          <w:p w14:paraId="781B0448">
            <w:pPr>
              <w:widowControl/>
              <w:spacing w:line="360" w:lineRule="auto"/>
              <w:ind w:firstLine="527"/>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评审因素具体内容</w:t>
            </w:r>
          </w:p>
        </w:tc>
        <w:tc>
          <w:tcPr>
            <w:tcW w:w="426" w:type="pct"/>
            <w:vAlign w:val="center"/>
          </w:tcPr>
          <w:p w14:paraId="0488624A">
            <w:pPr>
              <w:widowControl/>
              <w:spacing w:line="360" w:lineRule="auto"/>
              <w:jc w:val="both"/>
              <w:rPr>
                <w:rFonts w:ascii="宋体" w:hAnsi="宋体" w:cs="宋体"/>
                <w:b/>
                <w:bCs/>
                <w:color w:val="auto"/>
                <w:kern w:val="0"/>
                <w:szCs w:val="21"/>
                <w:highlight w:val="none"/>
              </w:rPr>
            </w:pPr>
            <w:r>
              <w:rPr>
                <w:rFonts w:hint="eastAsia" w:ascii="宋体" w:hAnsi="宋体" w:cs="宋体"/>
                <w:b/>
                <w:bCs/>
                <w:color w:val="auto"/>
                <w:kern w:val="0"/>
                <w:szCs w:val="21"/>
                <w:highlight w:val="none"/>
              </w:rPr>
              <w:t>分值</w:t>
            </w:r>
          </w:p>
        </w:tc>
      </w:tr>
      <w:tr w14:paraId="4900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1" w:hRule="atLeast"/>
          <w:jc w:val="center"/>
        </w:trPr>
        <w:tc>
          <w:tcPr>
            <w:tcW w:w="340" w:type="pct"/>
            <w:vAlign w:val="center"/>
          </w:tcPr>
          <w:p w14:paraId="5586308F">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555" w:type="pct"/>
            <w:vAlign w:val="center"/>
          </w:tcPr>
          <w:p w14:paraId="06B331F8">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价格分</w:t>
            </w:r>
          </w:p>
        </w:tc>
        <w:tc>
          <w:tcPr>
            <w:tcW w:w="3678" w:type="pct"/>
          </w:tcPr>
          <w:p w14:paraId="41710470">
            <w:pPr>
              <w:pStyle w:val="27"/>
              <w:numPr>
                <w:ilvl w:val="0"/>
                <w:numId w:val="7"/>
              </w:numPr>
              <w:spacing w:line="360" w:lineRule="auto"/>
              <w:jc w:val="left"/>
              <w:rPr>
                <w:rFonts w:hAnsi="宋体" w:cs="宋体"/>
                <w:bCs/>
                <w:color w:val="auto"/>
                <w:sz w:val="21"/>
                <w:highlight w:val="none"/>
              </w:rPr>
            </w:pPr>
            <w:r>
              <w:rPr>
                <w:rFonts w:hint="eastAsia" w:hAnsi="宋体" w:cs="宋体"/>
                <w:bCs/>
                <w:color w:val="auto"/>
                <w:sz w:val="21"/>
                <w:highlight w:val="none"/>
              </w:rPr>
              <w:t>政府采购政策性扣除计算方法：</w:t>
            </w:r>
          </w:p>
          <w:p w14:paraId="4114099D">
            <w:pPr>
              <w:numPr>
                <w:ilvl w:val="0"/>
                <w:numId w:val="0"/>
              </w:numPr>
              <w:snapToGrid w:val="0"/>
              <w:spacing w:line="360" w:lineRule="auto"/>
              <w:ind w:firstLine="234" w:firstLineChars="111"/>
              <w:rPr>
                <w:rFonts w:hint="eastAsia" w:ascii="宋体" w:hAnsi="宋体"/>
                <w:b/>
                <w:color w:val="auto"/>
                <w:szCs w:val="21"/>
                <w:highlight w:val="none"/>
              </w:rPr>
            </w:pPr>
            <w:r>
              <w:rPr>
                <w:rFonts w:hint="eastAsia" w:ascii="宋体" w:hAnsi="宋体" w:eastAsia="宋体" w:cs="Times New Roman"/>
                <w:b/>
                <w:color w:val="auto"/>
                <w:kern w:val="2"/>
                <w:sz w:val="21"/>
                <w:szCs w:val="21"/>
                <w:highlight w:val="none"/>
                <w:lang w:val="en-US" w:eastAsia="zh-CN" w:bidi="ar-SA"/>
              </w:rPr>
              <w:t>1）</w:t>
            </w:r>
            <w:r>
              <w:rPr>
                <w:rFonts w:hint="eastAsia" w:ascii="宋体" w:hAnsi="宋体" w:cs="新宋体"/>
                <w:b/>
                <w:color w:val="auto"/>
                <w:szCs w:val="21"/>
                <w:highlight w:val="none"/>
              </w:rPr>
              <w:t>本项目已按</w:t>
            </w:r>
            <w:r>
              <w:rPr>
                <w:rFonts w:hint="eastAsia" w:ascii="宋体" w:hAnsi="宋体"/>
                <w:b/>
                <w:color w:val="auto"/>
                <w:szCs w:val="21"/>
                <w:highlight w:val="none"/>
              </w:rPr>
              <w:t>《政府采购促进中小企业发展管理办法》（财库〔2020〕46号）预留份额</w:t>
            </w:r>
            <w:r>
              <w:rPr>
                <w:rFonts w:hint="eastAsia" w:ascii="宋体" w:hAnsi="宋体"/>
                <w:b/>
                <w:color w:val="auto"/>
                <w:szCs w:val="21"/>
                <w:highlight w:val="none"/>
                <w:lang w:val="en-US" w:eastAsia="zh-CN"/>
              </w:rPr>
              <w:t>3</w:t>
            </w:r>
            <w:r>
              <w:rPr>
                <w:rFonts w:hint="eastAsia" w:ascii="宋体" w:hAnsi="宋体"/>
                <w:b/>
                <w:color w:val="auto"/>
                <w:szCs w:val="21"/>
                <w:highlight w:val="none"/>
              </w:rPr>
              <w:t>0%，不再执行价格</w:t>
            </w:r>
            <w:r>
              <w:rPr>
                <w:rFonts w:hint="eastAsia" w:ascii="宋体" w:hAnsi="宋体"/>
                <w:b/>
                <w:color w:val="auto"/>
                <w:szCs w:val="21"/>
                <w:highlight w:val="none"/>
                <w:lang w:eastAsia="zh-CN"/>
              </w:rPr>
              <w:t>的中小微企业</w:t>
            </w:r>
            <w:r>
              <w:rPr>
                <w:rFonts w:hint="eastAsia" w:ascii="宋体" w:hAnsi="宋体"/>
                <w:b/>
                <w:color w:val="auto"/>
                <w:szCs w:val="21"/>
                <w:highlight w:val="none"/>
              </w:rPr>
              <w:t>扣除政策。</w:t>
            </w:r>
          </w:p>
          <w:p w14:paraId="761803A6">
            <w:pPr>
              <w:numPr>
                <w:ilvl w:val="0"/>
                <w:numId w:val="0"/>
              </w:numPr>
              <w:snapToGrid w:val="0"/>
              <w:spacing w:line="360" w:lineRule="auto"/>
              <w:ind w:firstLine="234" w:firstLineChars="111"/>
              <w:rPr>
                <w:rFonts w:hint="eastAsia" w:ascii="宋体" w:hAnsi="宋体"/>
                <w:b/>
                <w:color w:val="auto"/>
                <w:szCs w:val="21"/>
                <w:highlight w:val="none"/>
              </w:rPr>
            </w:pPr>
            <w:r>
              <w:rPr>
                <w:rFonts w:hint="eastAsia" w:ascii="宋体" w:hAnsi="宋体" w:eastAsia="宋体" w:cs="Times New Roman"/>
                <w:b/>
                <w:color w:val="auto"/>
                <w:kern w:val="2"/>
                <w:sz w:val="21"/>
                <w:szCs w:val="21"/>
                <w:highlight w:val="none"/>
                <w:lang w:val="en-US" w:eastAsia="zh-CN" w:bidi="ar-SA"/>
              </w:rPr>
              <w:t>2）</w:t>
            </w:r>
            <w:r>
              <w:rPr>
                <w:rFonts w:hint="eastAsia" w:ascii="宋体" w:hAnsi="宋体" w:eastAsia="宋体" w:cs="Times New Roman"/>
                <w:bCs/>
                <w:color w:val="auto"/>
                <w:sz w:val="21"/>
                <w:szCs w:val="21"/>
                <w:highlight w:val="none"/>
              </w:rPr>
              <w:t>根据《国务院办公厅关于在政府采购中实施本国产品标准及相关政策的通知》国办发〔2025〕34号</w:t>
            </w:r>
            <w:r>
              <w:rPr>
                <w:rFonts w:hint="eastAsia" w:ascii="宋体" w:hAnsi="宋体" w:eastAsia="宋体" w:cs="Times New Roman"/>
                <w:bCs/>
                <w:color w:val="auto"/>
                <w:sz w:val="21"/>
                <w:szCs w:val="21"/>
                <w:highlight w:val="none"/>
                <w:lang w:eastAsia="zh-CN"/>
              </w:rPr>
              <w:t>，</w:t>
            </w:r>
            <w:r>
              <w:rPr>
                <w:rFonts w:hint="eastAsia" w:ascii="宋体" w:hAnsi="宋体" w:eastAsia="宋体" w:cs="Times New Roman"/>
                <w:bCs/>
                <w:color w:val="auto"/>
                <w:sz w:val="21"/>
                <w:szCs w:val="21"/>
                <w:highlight w:val="none"/>
              </w:rPr>
              <w:t>投标人在其投标文件中提供《关于符合本国产品标准的声明函》</w:t>
            </w:r>
            <w:r>
              <w:rPr>
                <w:rFonts w:hint="eastAsia" w:ascii="宋体" w:hAnsi="宋体" w:eastAsia="宋体" w:cs="Times New Roman"/>
                <w:bCs/>
                <w:color w:val="auto"/>
                <w:sz w:val="21"/>
                <w:szCs w:val="21"/>
                <w:highlight w:val="none"/>
                <w:lang w:eastAsia="zh-CN"/>
              </w:rPr>
              <w:t>，且政府采购活动中</w:t>
            </w:r>
            <w:r>
              <w:rPr>
                <w:rFonts w:hint="eastAsia" w:ascii="宋体" w:hAnsi="宋体" w:eastAsia="宋体" w:cs="Times New Roman"/>
                <w:bCs/>
                <w:color w:val="auto"/>
                <w:sz w:val="21"/>
                <w:szCs w:val="21"/>
                <w:highlight w:val="none"/>
              </w:rPr>
              <w:t>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ascii="宋体" w:hAnsi="宋体" w:eastAsia="宋体" w:cs="Times New Roman"/>
                <w:bCs/>
                <w:color w:val="auto"/>
                <w:sz w:val="21"/>
                <w:szCs w:val="21"/>
                <w:highlight w:val="none"/>
                <w:lang w:eastAsia="zh-CN"/>
              </w:rPr>
              <w:t>，</w:t>
            </w:r>
            <w:r>
              <w:rPr>
                <w:rFonts w:hint="eastAsia" w:ascii="宋体" w:hAnsi="宋体" w:eastAsia="宋体"/>
                <w:bCs/>
                <w:color w:val="auto"/>
                <w:sz w:val="21"/>
                <w:szCs w:val="21"/>
                <w:highlight w:val="none"/>
              </w:rPr>
              <w:t>即评标报价=投标报价×（1-</w:t>
            </w:r>
            <w:r>
              <w:rPr>
                <w:rFonts w:hint="eastAsia" w:ascii="宋体" w:hAnsi="宋体" w:eastAsia="宋体"/>
                <w:bCs/>
                <w:color w:val="auto"/>
                <w:sz w:val="21"/>
                <w:szCs w:val="21"/>
                <w:highlight w:val="none"/>
                <w:lang w:val="en-US" w:eastAsia="zh-CN"/>
              </w:rPr>
              <w:t>2</w:t>
            </w:r>
            <w:r>
              <w:rPr>
                <w:rFonts w:hint="eastAsia" w:ascii="宋体" w:hAnsi="宋体" w:eastAsia="宋体"/>
                <w:bCs/>
                <w:color w:val="auto"/>
                <w:sz w:val="21"/>
                <w:szCs w:val="21"/>
                <w:highlight w:val="none"/>
              </w:rPr>
              <w:t>0%）</w:t>
            </w:r>
            <w:r>
              <w:rPr>
                <w:rFonts w:hint="eastAsia" w:ascii="宋体" w:hAnsi="宋体" w:eastAsia="宋体"/>
                <w:bCs/>
                <w:color w:val="auto"/>
                <w:sz w:val="21"/>
                <w:szCs w:val="21"/>
                <w:highlight w:val="none"/>
                <w:lang w:val="en-US" w:eastAsia="zh-CN"/>
              </w:rPr>
              <w:t>。</w:t>
            </w:r>
          </w:p>
          <w:p w14:paraId="1D557953">
            <w:pPr>
              <w:numPr>
                <w:ilvl w:val="0"/>
                <w:numId w:val="0"/>
              </w:numPr>
              <w:snapToGrid w:val="0"/>
              <w:spacing w:line="360" w:lineRule="auto"/>
              <w:ind w:leftChars="0" w:firstLine="210" w:firstLineChars="100"/>
              <w:rPr>
                <w:rFonts w:hint="eastAsia" w:ascii="宋体" w:hAnsi="宋体" w:cs="宋体"/>
                <w:bCs/>
                <w:color w:val="auto"/>
                <w:szCs w:val="21"/>
                <w:highlight w:val="none"/>
                <w:lang w:eastAsia="zh-CN"/>
              </w:rPr>
            </w:pPr>
            <w:r>
              <w:rPr>
                <w:rFonts w:hint="eastAsia" w:ascii="宋体" w:hAnsi="宋体" w:cs="宋体"/>
                <w:bCs/>
                <w:color w:val="auto"/>
                <w:szCs w:val="21"/>
                <w:highlight w:val="none"/>
                <w:lang w:val="en-US" w:eastAsia="zh-CN"/>
              </w:rPr>
              <w:t>3）投标人满足以上政策时，</w:t>
            </w:r>
            <w:r>
              <w:rPr>
                <w:rFonts w:hint="eastAsia" w:ascii="宋体" w:hAnsi="宋体" w:cs="宋体"/>
                <w:bCs/>
                <w:color w:val="auto"/>
                <w:szCs w:val="21"/>
                <w:highlight w:val="none"/>
              </w:rPr>
              <w:t>扣除后的价格为评标报价，即评标报价=投标报价×（1</w:t>
            </w:r>
            <w:r>
              <w:rPr>
                <w:rFonts w:hint="eastAsia" w:ascii="宋体" w:hAnsi="宋体" w:cs="宋体"/>
                <w:bCs/>
                <w:color w:val="auto"/>
                <w:szCs w:val="21"/>
                <w:highlight w:val="none"/>
                <w:lang w:val="en-US" w:eastAsia="zh-CN"/>
              </w:rPr>
              <w:t>-20%</w:t>
            </w:r>
            <w:r>
              <w:rPr>
                <w:rFonts w:hint="eastAsia" w:ascii="宋体" w:hAnsi="宋体" w:cs="宋体"/>
                <w:bCs/>
                <w:color w:val="auto"/>
                <w:szCs w:val="21"/>
                <w:highlight w:val="none"/>
              </w:rPr>
              <w:t>）</w:t>
            </w:r>
            <w:r>
              <w:rPr>
                <w:rFonts w:hint="eastAsia" w:ascii="宋体" w:hAnsi="宋体" w:cs="宋体"/>
                <w:bCs/>
                <w:color w:val="auto"/>
                <w:szCs w:val="21"/>
                <w:highlight w:val="none"/>
                <w:lang w:eastAsia="zh-CN"/>
              </w:rPr>
              <w:t>。</w:t>
            </w:r>
          </w:p>
          <w:p w14:paraId="5A52E2E9">
            <w:pPr>
              <w:autoSpaceDE w:val="0"/>
              <w:snapToGrid w:val="0"/>
              <w:spacing w:line="360" w:lineRule="auto"/>
              <w:ind w:firstLine="200" w:firstLineChars="100"/>
              <w:rPr>
                <w:rFonts w:hint="eastAsia" w:ascii="宋体" w:hAnsi="宋体" w:eastAsia="Times New Roman" w:cs="宋体"/>
                <w:bCs/>
                <w:color w:val="auto"/>
                <w:kern w:val="0"/>
                <w:sz w:val="20"/>
                <w:szCs w:val="21"/>
                <w:highlight w:val="none"/>
              </w:rPr>
            </w:pPr>
            <w:r>
              <w:rPr>
                <w:rFonts w:hint="eastAsia" w:ascii="宋体" w:hAnsi="宋体" w:eastAsia="宋体" w:cs="宋体"/>
                <w:bCs/>
                <w:color w:val="auto"/>
                <w:kern w:val="0"/>
                <w:sz w:val="20"/>
                <w:szCs w:val="21"/>
                <w:highlight w:val="none"/>
                <w:lang w:val="en-US" w:eastAsia="zh-CN"/>
              </w:rPr>
              <w:t>4）</w:t>
            </w:r>
            <w:r>
              <w:rPr>
                <w:rFonts w:hint="eastAsia" w:ascii="宋体" w:hAnsi="宋体" w:eastAsia="Times New Roman" w:cs="宋体"/>
                <w:bCs/>
                <w:color w:val="auto"/>
                <w:kern w:val="0"/>
                <w:sz w:val="20"/>
                <w:szCs w:val="21"/>
                <w:highlight w:val="none"/>
              </w:rPr>
              <w:t>除上述情况外，评标报价=投标报价。</w:t>
            </w:r>
          </w:p>
          <w:p w14:paraId="2C9F72CB">
            <w:pPr>
              <w:numPr>
                <w:ilvl w:val="0"/>
                <w:numId w:val="7"/>
              </w:numPr>
              <w:snapToGrid w:val="0"/>
              <w:spacing w:line="360" w:lineRule="auto"/>
              <w:ind w:left="0" w:leftChars="0" w:firstLine="0" w:firstLineChars="0"/>
              <w:rPr>
                <w:rFonts w:hint="eastAsia" w:ascii="宋体" w:hAnsi="宋体" w:cs="宋体"/>
                <w:bCs/>
                <w:color w:val="auto"/>
                <w:szCs w:val="21"/>
                <w:highlight w:val="none"/>
                <w:lang w:eastAsia="zh-CN"/>
              </w:rPr>
            </w:pPr>
            <w:r>
              <w:rPr>
                <w:rFonts w:hint="eastAsia" w:ascii="宋体" w:hAnsi="宋体" w:cs="宋体"/>
                <w:bCs/>
                <w:color w:val="auto"/>
                <w:szCs w:val="21"/>
                <w:highlight w:val="none"/>
                <w:lang w:eastAsia="zh-CN"/>
              </w:rPr>
              <w:t>满足招标文件要求且评标报价最低的评标报价为评标基准价，其价格分为满分。</w:t>
            </w:r>
          </w:p>
          <w:p w14:paraId="361BA60D">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（3）价格分计算公式：价格分=(评标基准价／评标报价)×30分</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 xml:space="preserve"> </w:t>
            </w:r>
            <w:r>
              <w:rPr>
                <w:rFonts w:hint="eastAsia" w:ascii="宋体" w:hAnsi="宋体" w:cs="宋体"/>
                <w:color w:val="auto"/>
                <w:szCs w:val="21"/>
                <w:highlight w:val="none"/>
              </w:rPr>
              <w:t xml:space="preserve">  </w:t>
            </w:r>
          </w:p>
          <w:p w14:paraId="4DD604E5">
            <w:pPr>
              <w:spacing w:line="360" w:lineRule="auto"/>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lang w:eastAsia="zh-CN"/>
              </w:rPr>
              <w:t>）</w:t>
            </w:r>
            <w:r>
              <w:rPr>
                <w:rFonts w:hint="eastAsia" w:ascii="宋体" w:hAnsi="宋体" w:eastAsia="Times New Roman" w:cs="宋体"/>
                <w:color w:val="auto"/>
                <w:spacing w:val="0"/>
                <w:sz w:val="21"/>
                <w:szCs w:val="21"/>
                <w:highlight w:val="none"/>
                <w:lang w:eastAsia="zh-CN"/>
              </w:rPr>
              <w:t>依据《</w:t>
            </w:r>
            <w:r>
              <w:rPr>
                <w:rFonts w:hint="eastAsia" w:ascii="宋体" w:hAnsi="宋体" w:eastAsia="Times New Roman" w:cs="宋体"/>
                <w:color w:val="auto"/>
                <w:spacing w:val="0"/>
                <w:sz w:val="21"/>
                <w:szCs w:val="21"/>
                <w:highlight w:val="none"/>
                <w:lang w:eastAsia="zh-CN"/>
              </w:rPr>
              <w:fldChar w:fldCharType="begin"/>
            </w:r>
            <w:r>
              <w:rPr>
                <w:rFonts w:hint="eastAsia" w:ascii="宋体" w:hAnsi="宋体" w:eastAsia="Times New Roman" w:cs="宋体"/>
                <w:color w:val="auto"/>
                <w:spacing w:val="0"/>
                <w:sz w:val="21"/>
                <w:szCs w:val="21"/>
                <w:highlight w:val="none"/>
                <w:lang w:eastAsia="zh-CN"/>
              </w:rPr>
              <w:instrText xml:space="preserve"> HYPERLINK "https://weixin.caigou2003.com/ycait/law/" \l "/lawDetail?id=6059" </w:instrText>
            </w:r>
            <w:r>
              <w:rPr>
                <w:rFonts w:hint="eastAsia" w:ascii="宋体" w:hAnsi="宋体" w:eastAsia="Times New Roman" w:cs="宋体"/>
                <w:color w:val="auto"/>
                <w:spacing w:val="0"/>
                <w:sz w:val="21"/>
                <w:szCs w:val="21"/>
                <w:highlight w:val="none"/>
                <w:lang w:eastAsia="zh-CN"/>
              </w:rPr>
              <w:fldChar w:fldCharType="separate"/>
            </w:r>
            <w:r>
              <w:rPr>
                <w:rFonts w:hint="eastAsia" w:ascii="宋体" w:hAnsi="宋体" w:eastAsia="Times New Roman" w:cs="宋体"/>
                <w:color w:val="auto"/>
                <w:spacing w:val="0"/>
                <w:sz w:val="21"/>
                <w:szCs w:val="21"/>
                <w:highlight w:val="none"/>
                <w:lang w:eastAsia="zh-CN"/>
              </w:rPr>
              <w:t>关于推动解决政府采购异常低价问题的通知</w:t>
            </w:r>
            <w:r>
              <w:rPr>
                <w:rFonts w:hint="eastAsia" w:ascii="宋体" w:hAnsi="宋体" w:eastAsia="Times New Roman" w:cs="宋体"/>
                <w:color w:val="auto"/>
                <w:spacing w:val="0"/>
                <w:sz w:val="21"/>
                <w:szCs w:val="21"/>
                <w:highlight w:val="none"/>
                <w:lang w:eastAsia="zh-CN"/>
              </w:rPr>
              <w:fldChar w:fldCharType="end"/>
            </w:r>
            <w:r>
              <w:rPr>
                <w:rFonts w:hint="eastAsia" w:ascii="宋体" w:hAnsi="宋体" w:eastAsia="Times New Roman" w:cs="宋体"/>
                <w:color w:val="auto"/>
                <w:spacing w:val="0"/>
                <w:sz w:val="21"/>
                <w:szCs w:val="21"/>
                <w:highlight w:val="none"/>
                <w:lang w:eastAsia="zh-CN"/>
              </w:rPr>
              <w:t>》(财库〔2026〕2号)规定，</w:t>
            </w:r>
            <w:r>
              <w:rPr>
                <w:rFonts w:hint="eastAsia" w:ascii="宋体" w:hAnsi="宋体" w:eastAsia="Times New Roman" w:cs="宋体"/>
                <w:i w:val="0"/>
                <w:iCs w:val="0"/>
                <w:caps w:val="0"/>
                <w:color w:val="auto"/>
                <w:spacing w:val="0"/>
                <w:sz w:val="21"/>
                <w:szCs w:val="21"/>
                <w:highlight w:val="none"/>
                <w:shd w:val="clear" w:color="auto" w:fill="auto"/>
                <w:lang w:eastAsia="zh-CN"/>
              </w:rPr>
              <w:t>本项目评审中出现招标文件约定异常低价情形的，</w:t>
            </w:r>
            <w:r>
              <w:rPr>
                <w:rFonts w:hint="eastAsia" w:ascii="宋体" w:hAnsi="宋体" w:eastAsia="Times New Roman" w:cs="宋体"/>
                <w:color w:val="auto"/>
                <w:spacing w:val="0"/>
                <w:sz w:val="21"/>
                <w:szCs w:val="21"/>
                <w:highlight w:val="none"/>
                <w:lang w:eastAsia="zh-CN"/>
              </w:rPr>
              <w:t>评标委员会</w:t>
            </w:r>
            <w:r>
              <w:rPr>
                <w:rFonts w:hint="eastAsia" w:ascii="宋体" w:hAnsi="宋体" w:eastAsia="Times New Roman" w:cs="宋体"/>
                <w:i w:val="0"/>
                <w:iCs w:val="0"/>
                <w:caps w:val="0"/>
                <w:color w:val="auto"/>
                <w:spacing w:val="0"/>
                <w:sz w:val="21"/>
                <w:szCs w:val="21"/>
                <w:highlight w:val="none"/>
                <w:shd w:val="clear" w:color="auto" w:fill="auto"/>
                <w:lang w:eastAsia="zh-CN"/>
              </w:rPr>
              <w:t>应当启动异常低价投标审查程序。</w:t>
            </w:r>
          </w:p>
        </w:tc>
        <w:tc>
          <w:tcPr>
            <w:tcW w:w="426" w:type="pct"/>
            <w:vAlign w:val="center"/>
          </w:tcPr>
          <w:p w14:paraId="1C23341E">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30</w:t>
            </w:r>
          </w:p>
        </w:tc>
      </w:tr>
      <w:tr w14:paraId="24D3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5F223AA3">
            <w:pPr>
              <w:widowControl/>
              <w:spacing w:line="36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2</w:t>
            </w:r>
          </w:p>
        </w:tc>
        <w:tc>
          <w:tcPr>
            <w:tcW w:w="555" w:type="pct"/>
            <w:vAlign w:val="center"/>
          </w:tcPr>
          <w:p w14:paraId="20FFC63E">
            <w:pPr>
              <w:widowControl/>
              <w:spacing w:line="36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技术分</w:t>
            </w:r>
          </w:p>
        </w:tc>
        <w:tc>
          <w:tcPr>
            <w:tcW w:w="4104" w:type="pct"/>
            <w:gridSpan w:val="2"/>
          </w:tcPr>
          <w:p w14:paraId="4C465489">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评审因素</w:t>
            </w:r>
          </w:p>
        </w:tc>
      </w:tr>
      <w:tr w14:paraId="2713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340" w:type="pct"/>
            <w:vAlign w:val="center"/>
          </w:tcPr>
          <w:p w14:paraId="1DC682ED">
            <w:pPr>
              <w:adjustRightInd w:val="0"/>
              <w:spacing w:line="360" w:lineRule="auto"/>
              <w:ind w:left="-105" w:leftChars="-50" w:right="-105" w:rightChars="-50"/>
              <w:jc w:val="center"/>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2.1</w:t>
            </w:r>
          </w:p>
        </w:tc>
        <w:tc>
          <w:tcPr>
            <w:tcW w:w="555" w:type="pct"/>
            <w:vAlign w:val="center"/>
          </w:tcPr>
          <w:p w14:paraId="0F5E83DF">
            <w:pPr>
              <w:spacing w:line="360" w:lineRule="auto"/>
              <w:jc w:val="center"/>
              <w:rPr>
                <w:rFonts w:hint="eastAsia" w:ascii="宋体" w:hAnsi="宋体" w:cs="宋体"/>
                <w:bCs/>
                <w:color w:val="auto"/>
                <w:kern w:val="0"/>
                <w:szCs w:val="21"/>
                <w:highlight w:val="none"/>
              </w:rPr>
            </w:pPr>
            <w:r>
              <w:rPr>
                <w:rFonts w:hint="eastAsia"/>
                <w:color w:val="auto"/>
                <w:highlight w:val="none"/>
                <w:lang w:eastAsia="zh-CN"/>
              </w:rPr>
              <w:t>智能实验室</w:t>
            </w:r>
            <w:r>
              <w:rPr>
                <w:rFonts w:hint="eastAsia" w:hAnsi="宋体"/>
                <w:bCs/>
                <w:color w:val="auto"/>
                <w:szCs w:val="21"/>
                <w:highlight w:val="none"/>
              </w:rPr>
              <w:t>产品性能分</w:t>
            </w: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tc>
        <w:tc>
          <w:tcPr>
            <w:tcW w:w="3678" w:type="pct"/>
            <w:vAlign w:val="top"/>
          </w:tcPr>
          <w:p w14:paraId="34BCC2A7">
            <w:pPr>
              <w:pStyle w:val="50"/>
              <w:ind w:left="0" w:leftChars="0" w:firstLine="210" w:firstLineChars="100"/>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产品性能分</w:t>
            </w:r>
            <w:r>
              <w:rPr>
                <w:rFonts w:hint="eastAsia" w:ascii="宋体" w:hAnsi="宋体" w:cs="宋体"/>
                <w:color w:val="auto"/>
                <w:kern w:val="0"/>
                <w:szCs w:val="21"/>
                <w:highlight w:val="none"/>
                <w:lang w:eastAsia="zh-CN"/>
              </w:rPr>
              <w:t>（满分</w:t>
            </w:r>
            <w:r>
              <w:rPr>
                <w:rFonts w:hint="eastAsia" w:ascii="宋体" w:hAnsi="宋体" w:cs="宋体"/>
                <w:color w:val="auto"/>
                <w:kern w:val="0"/>
                <w:szCs w:val="21"/>
                <w:highlight w:val="none"/>
                <w:lang w:val="en-US" w:eastAsia="zh-CN"/>
              </w:rPr>
              <w:t>10分</w:t>
            </w:r>
            <w:r>
              <w:rPr>
                <w:rFonts w:hint="eastAsia" w:ascii="宋体" w:hAnsi="宋体" w:cs="宋体"/>
                <w:color w:val="auto"/>
                <w:kern w:val="0"/>
                <w:szCs w:val="21"/>
                <w:highlight w:val="none"/>
                <w:lang w:eastAsia="zh-CN"/>
              </w:rPr>
              <w:t>）</w:t>
            </w:r>
          </w:p>
          <w:p w14:paraId="09570C17">
            <w:pPr>
              <w:pStyle w:val="50"/>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（1）产品基本分（</w:t>
            </w:r>
            <w:r>
              <w:rPr>
                <w:rFonts w:hint="eastAsia" w:ascii="宋体" w:hAnsi="宋体" w:cs="宋体"/>
                <w:color w:val="auto"/>
                <w:kern w:val="0"/>
                <w:szCs w:val="21"/>
                <w:highlight w:val="none"/>
                <w:lang w:val="en-US" w:eastAsia="zh-CN"/>
              </w:rPr>
              <w:t>满分</w:t>
            </w:r>
            <w:r>
              <w:rPr>
                <w:rFonts w:hint="eastAsia" w:cs="宋体"/>
                <w:color w:val="auto"/>
                <w:kern w:val="0"/>
                <w:szCs w:val="21"/>
                <w:highlight w:val="none"/>
                <w:lang w:val="en-US" w:eastAsia="zh-CN"/>
              </w:rPr>
              <w:t>5</w:t>
            </w:r>
            <w:r>
              <w:rPr>
                <w:rFonts w:hint="eastAsia" w:ascii="宋体" w:hAnsi="宋体" w:cs="宋体"/>
                <w:color w:val="auto"/>
                <w:kern w:val="0"/>
                <w:szCs w:val="21"/>
                <w:highlight w:val="none"/>
              </w:rPr>
              <w:t>分）：</w:t>
            </w:r>
          </w:p>
          <w:p w14:paraId="1C28DE26">
            <w:pPr>
              <w:pStyle w:val="50"/>
              <w:ind w:left="0" w:leftChars="0" w:firstLine="210" w:firstLineChars="100"/>
              <w:rPr>
                <w:rFonts w:hint="eastAsia" w:ascii="宋体" w:hAnsi="宋体" w:cs="宋体"/>
                <w:color w:val="auto"/>
                <w:kern w:val="0"/>
                <w:szCs w:val="21"/>
                <w:highlight w:val="none"/>
              </w:rPr>
            </w:pPr>
            <w:r>
              <w:rPr>
                <w:rFonts w:hint="eastAsia" w:ascii="宋体" w:hAnsi="宋体" w:cs="宋体"/>
                <w:color w:val="auto"/>
                <w:kern w:val="0"/>
                <w:szCs w:val="21"/>
                <w:highlight w:val="none"/>
              </w:rPr>
              <w:t>完全满足招标文件技术参数要求的得</w:t>
            </w:r>
            <w:r>
              <w:rPr>
                <w:rFonts w:hint="eastAsia" w:cs="宋体"/>
                <w:color w:val="auto"/>
                <w:kern w:val="0"/>
                <w:szCs w:val="21"/>
                <w:highlight w:val="none"/>
                <w:lang w:val="en-US" w:eastAsia="zh-CN"/>
              </w:rPr>
              <w:t>5</w:t>
            </w:r>
            <w:r>
              <w:rPr>
                <w:rFonts w:hint="eastAsia" w:ascii="宋体" w:hAnsi="宋体" w:cs="宋体"/>
                <w:color w:val="auto"/>
                <w:kern w:val="0"/>
                <w:szCs w:val="21"/>
                <w:highlight w:val="none"/>
              </w:rPr>
              <w:t xml:space="preserve">分；不标注“▲”号的技术参数，出现负偏离的，每一项扣减 </w:t>
            </w:r>
            <w:r>
              <w:rPr>
                <w:rFonts w:hint="eastAsia" w:cs="宋体"/>
                <w:color w:val="auto"/>
                <w:kern w:val="0"/>
                <w:szCs w:val="21"/>
                <w:highlight w:val="none"/>
                <w:lang w:val="en-US" w:eastAsia="zh-CN"/>
              </w:rPr>
              <w:t>1</w:t>
            </w:r>
            <w:r>
              <w:rPr>
                <w:rFonts w:hint="eastAsia" w:ascii="宋体" w:hAnsi="宋体" w:cs="宋体"/>
                <w:color w:val="auto"/>
                <w:kern w:val="0"/>
                <w:szCs w:val="21"/>
                <w:highlight w:val="none"/>
              </w:rPr>
              <w:t>分，扣完</w:t>
            </w:r>
            <w:r>
              <w:rPr>
                <w:rFonts w:hint="eastAsia" w:cs="宋体"/>
                <w:color w:val="auto"/>
                <w:kern w:val="0"/>
                <w:szCs w:val="21"/>
                <w:highlight w:val="none"/>
                <w:lang w:val="en-US" w:eastAsia="zh-CN"/>
              </w:rPr>
              <w:t>5</w:t>
            </w:r>
            <w:r>
              <w:rPr>
                <w:rFonts w:hint="eastAsia" w:ascii="宋体" w:hAnsi="宋体" w:cs="宋体"/>
                <w:color w:val="auto"/>
                <w:kern w:val="0"/>
                <w:szCs w:val="21"/>
                <w:highlight w:val="none"/>
              </w:rPr>
              <w:t>分为止。</w:t>
            </w:r>
          </w:p>
          <w:p w14:paraId="5BA79037">
            <w:pPr>
              <w:pStyle w:val="50"/>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）产品性能分（满分</w:t>
            </w:r>
            <w:r>
              <w:rPr>
                <w:rFonts w:hint="eastAsia" w:cs="宋体"/>
                <w:color w:val="auto"/>
                <w:kern w:val="0"/>
                <w:szCs w:val="21"/>
                <w:highlight w:val="none"/>
                <w:lang w:val="en-US" w:eastAsia="zh-CN"/>
              </w:rPr>
              <w:t>5</w:t>
            </w:r>
            <w:r>
              <w:rPr>
                <w:rFonts w:hint="eastAsia" w:ascii="宋体" w:hAnsi="宋体" w:cs="宋体"/>
                <w:color w:val="auto"/>
                <w:kern w:val="0"/>
                <w:szCs w:val="21"/>
                <w:highlight w:val="none"/>
              </w:rPr>
              <w:t>分）</w:t>
            </w:r>
          </w:p>
          <w:p w14:paraId="45F9AF0F">
            <w:pPr>
              <w:pStyle w:val="50"/>
              <w:ind w:left="0" w:leftChars="0" w:firstLine="210" w:firstLineChars="10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rPr>
              <w:t>采购需求中标注“★”号的技术参数，</w:t>
            </w:r>
            <w:r>
              <w:rPr>
                <w:rFonts w:hint="eastAsia" w:cs="宋体"/>
                <w:color w:val="auto"/>
                <w:kern w:val="0"/>
                <w:szCs w:val="21"/>
                <w:highlight w:val="none"/>
                <w:lang w:eastAsia="zh-CN"/>
              </w:rPr>
              <w:t>提供证明材料的，每提供一项得</w:t>
            </w:r>
            <w:r>
              <w:rPr>
                <w:rFonts w:hint="eastAsia" w:cs="宋体"/>
                <w:color w:val="auto"/>
                <w:kern w:val="0"/>
                <w:szCs w:val="21"/>
                <w:highlight w:val="none"/>
                <w:lang w:val="en-US" w:eastAsia="zh-CN"/>
              </w:rPr>
              <w:t>1分，满分5分。</w:t>
            </w:r>
          </w:p>
          <w:p w14:paraId="307C7BF5">
            <w:pPr>
              <w:snapToGrid w:val="0"/>
              <w:spacing w:line="360" w:lineRule="auto"/>
              <w:ind w:firstLine="210" w:firstLineChars="100"/>
              <w:rPr>
                <w:rFonts w:hint="eastAsia" w:ascii="宋体" w:hAnsi="宋体" w:cs="宋体"/>
                <w:color w:val="auto"/>
                <w:kern w:val="0"/>
                <w:szCs w:val="21"/>
                <w:highlight w:val="none"/>
              </w:rPr>
            </w:pPr>
            <w:r>
              <w:rPr>
                <w:rFonts w:hint="eastAsia"/>
                <w:color w:val="auto"/>
                <w:highlight w:val="none"/>
              </w:rPr>
              <w:t>(注：</w:t>
            </w:r>
            <w:r>
              <w:rPr>
                <w:rFonts w:hint="eastAsia" w:ascii="宋体" w:hAnsi="宋体" w:eastAsia="宋体" w:cs="宋体"/>
                <w:i w:val="0"/>
                <w:iCs w:val="0"/>
                <w:color w:val="auto"/>
                <w:kern w:val="0"/>
                <w:sz w:val="21"/>
                <w:szCs w:val="21"/>
                <w:highlight w:val="none"/>
                <w:u w:val="none"/>
                <w:lang w:val="en-US" w:eastAsia="zh-CN" w:bidi="ar"/>
              </w:rPr>
              <w:t>证明材料可以是</w:t>
            </w:r>
            <w:r>
              <w:rPr>
                <w:rFonts w:hint="eastAsia"/>
                <w:color w:val="auto"/>
                <w:highlight w:val="none"/>
              </w:rPr>
              <w:t>制造厂家公开发布的产品图册或产品说明书证明或</w:t>
            </w:r>
            <w:r>
              <w:rPr>
                <w:rFonts w:hint="eastAsia"/>
                <w:color w:val="auto"/>
                <w:highlight w:val="none"/>
                <w:lang w:eastAsia="zh-CN"/>
              </w:rPr>
              <w:t>国家认可的</w:t>
            </w:r>
            <w:r>
              <w:rPr>
                <w:rFonts w:hint="eastAsia"/>
                <w:color w:val="auto"/>
                <w:highlight w:val="none"/>
              </w:rPr>
              <w:t>第三方检验机构出具的检测检验报告</w:t>
            </w:r>
            <w:r>
              <w:rPr>
                <w:rFonts w:hint="eastAsia"/>
                <w:color w:val="auto"/>
                <w:highlight w:val="none"/>
                <w:lang w:eastAsia="zh-CN"/>
              </w:rPr>
              <w:t>，不提供不计分</w:t>
            </w:r>
            <w:r>
              <w:rPr>
                <w:rFonts w:hint="eastAsia"/>
                <w:color w:val="auto"/>
                <w:highlight w:val="none"/>
              </w:rPr>
              <w:t>)</w:t>
            </w:r>
          </w:p>
        </w:tc>
        <w:tc>
          <w:tcPr>
            <w:tcW w:w="426" w:type="pct"/>
            <w:vAlign w:val="center"/>
          </w:tcPr>
          <w:p w14:paraId="2372A14D">
            <w:pPr>
              <w:spacing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10</w:t>
            </w:r>
            <w:r>
              <w:rPr>
                <w:rFonts w:hint="eastAsia" w:ascii="宋体" w:hAnsi="宋体" w:cs="宋体"/>
                <w:color w:val="auto"/>
                <w:kern w:val="0"/>
                <w:szCs w:val="21"/>
                <w:highlight w:val="none"/>
              </w:rPr>
              <w:t>分</w:t>
            </w:r>
          </w:p>
        </w:tc>
      </w:tr>
      <w:tr w14:paraId="3792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3" w:hRule="atLeast"/>
          <w:jc w:val="center"/>
        </w:trPr>
        <w:tc>
          <w:tcPr>
            <w:tcW w:w="340" w:type="pct"/>
            <w:shd w:val="clear" w:color="auto" w:fill="auto"/>
            <w:vAlign w:val="center"/>
          </w:tcPr>
          <w:p w14:paraId="4F862F08">
            <w:pPr>
              <w:adjustRightInd w:val="0"/>
              <w:spacing w:line="360" w:lineRule="auto"/>
              <w:ind w:left="-105" w:leftChars="-50" w:right="-105" w:rightChars="-50"/>
              <w:jc w:val="center"/>
              <w:textAlignment w:val="baseline"/>
              <w:rPr>
                <w:rFonts w:ascii="宋体" w:hAnsi="宋体" w:eastAsia="宋体" w:cs="宋体"/>
                <w:bCs/>
                <w:color w:val="auto"/>
                <w:kern w:val="0"/>
                <w:sz w:val="21"/>
                <w:szCs w:val="21"/>
                <w:highlight w:val="none"/>
                <w:lang w:val="en-US" w:eastAsia="zh-CN" w:bidi="ar-SA"/>
              </w:rPr>
            </w:pPr>
            <w:r>
              <w:rPr>
                <w:rFonts w:hint="eastAsia" w:ascii="宋体" w:hAnsi="宋体" w:cs="宋体"/>
                <w:bCs/>
                <w:color w:val="auto"/>
                <w:kern w:val="0"/>
                <w:szCs w:val="21"/>
                <w:highlight w:val="none"/>
              </w:rPr>
              <w:t>2.2</w:t>
            </w:r>
          </w:p>
        </w:tc>
        <w:tc>
          <w:tcPr>
            <w:tcW w:w="555" w:type="pct"/>
            <w:shd w:val="clear" w:color="auto" w:fill="auto"/>
            <w:vAlign w:val="center"/>
          </w:tcPr>
          <w:p w14:paraId="182AE30A">
            <w:pPr>
              <w:spacing w:line="360" w:lineRule="auto"/>
              <w:jc w:val="center"/>
              <w:rPr>
                <w:rFonts w:ascii="宋体" w:hAnsi="宋体" w:eastAsia="宋体" w:cs="宋体"/>
                <w:bCs/>
                <w:color w:val="auto"/>
                <w:kern w:val="2"/>
                <w:sz w:val="21"/>
                <w:szCs w:val="21"/>
                <w:highlight w:val="none"/>
                <w:lang w:val="en-US" w:eastAsia="zh-CN" w:bidi="ar-SA"/>
              </w:rPr>
            </w:pPr>
            <w:r>
              <w:rPr>
                <w:rFonts w:hint="eastAsia" w:hAnsi="宋体"/>
                <w:bCs/>
                <w:color w:val="auto"/>
                <w:szCs w:val="21"/>
                <w:highlight w:val="none"/>
                <w:lang w:eastAsia="zh-CN"/>
              </w:rPr>
              <w:t>智能实验室</w:t>
            </w:r>
            <w:r>
              <w:rPr>
                <w:rFonts w:hint="eastAsia" w:hAnsi="宋体"/>
                <w:bCs/>
                <w:color w:val="auto"/>
                <w:szCs w:val="21"/>
                <w:highlight w:val="none"/>
              </w:rPr>
              <w:t>实施方案</w:t>
            </w: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分）</w:t>
            </w:r>
          </w:p>
        </w:tc>
        <w:tc>
          <w:tcPr>
            <w:tcW w:w="3678" w:type="pct"/>
            <w:shd w:val="clear" w:color="auto" w:fill="auto"/>
            <w:vAlign w:val="top"/>
          </w:tcPr>
          <w:p w14:paraId="2D9BA9F4">
            <w:pPr>
              <w:spacing w:line="40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投标人应根据招标文件要求提供具体详实的</w:t>
            </w:r>
            <w:r>
              <w:rPr>
                <w:rFonts w:hint="eastAsia" w:ascii="宋体" w:hAnsi="宋体" w:eastAsia="宋体" w:cs="宋体"/>
                <w:b/>
                <w:bCs/>
                <w:color w:val="auto"/>
                <w:kern w:val="2"/>
                <w:sz w:val="21"/>
                <w:szCs w:val="21"/>
                <w:highlight w:val="none"/>
                <w:lang w:val="en-US" w:eastAsia="zh-CN" w:bidi="ar-SA"/>
              </w:rPr>
              <w:t>智能实验室</w:t>
            </w:r>
            <w:r>
              <w:rPr>
                <w:rFonts w:hint="eastAsia" w:ascii="宋体" w:hAnsi="宋体" w:eastAsia="宋体" w:cs="宋体"/>
                <w:color w:val="auto"/>
                <w:kern w:val="2"/>
                <w:sz w:val="21"/>
                <w:szCs w:val="21"/>
                <w:highlight w:val="none"/>
                <w:lang w:val="en-US" w:eastAsia="zh-CN" w:bidi="ar-SA"/>
              </w:rPr>
              <w:t>整体设计方案和实施方案（包括但不限于对项目建设内容、时间进度安排、项目安全措施、质量措施、技术控制措施、人员分工安排情况、风险分析等）：</w:t>
            </w:r>
          </w:p>
          <w:p w14:paraId="2B98E536">
            <w:pPr>
              <w:spacing w:line="40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一档（3分）：投标人的项目实施方案进度安排、相关保障措施能力、对各项关键工作安排、对本项目的风险预见、风险应对措施、项目管理方案、组织机构安排及分工与职责安排等描述较为简单。</w:t>
            </w:r>
          </w:p>
          <w:p w14:paraId="31B95974">
            <w:pPr>
              <w:spacing w:line="40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二档（6分）：投标人的项目实施方案进度安排、相关保障措施能力、对各项关键工作安排、对本项目的风险预见、风险应对措施、项目管理方案、组织机构安排及分工与职责安排基本合理，满足需求。</w:t>
            </w:r>
          </w:p>
          <w:p w14:paraId="3FAC1DA3">
            <w:pPr>
              <w:spacing w:line="40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三档（9分）：投标人的项目实施方案进度安排、相关保障措施能力；对各项关键工作安排、对本项目的风险预见、风险应对措施、管理方案、组织机构安排内容详细完整，人员有保障，分工与职责比较明确。有建设性的方案优化建议，项目方案较贴近本项目实际执行内容与要求。</w:t>
            </w:r>
          </w:p>
          <w:p w14:paraId="2177C285">
            <w:pPr>
              <w:spacing w:line="40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四档（12分）：投标人的项目实施方案进度安排、相关保障措施能力；对各项关键工作安排、对本项目的风险预见、风险应对措施、管理方案、组织机构安排内容科学合理，条理清晰，对风预见有完善的解决方案，人员保障充分，分工与职责明确。有建设性的方案优化建议，项目方案贴近本项目实际执行内容与要求，总体方案优秀。</w:t>
            </w:r>
          </w:p>
          <w:p w14:paraId="52A73489">
            <w:pPr>
              <w:spacing w:line="400" w:lineRule="exact"/>
              <w:ind w:firstLine="420" w:firstLineChars="200"/>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注：未提供或不满足进档要求不得分。</w:t>
            </w:r>
          </w:p>
        </w:tc>
        <w:tc>
          <w:tcPr>
            <w:tcW w:w="426" w:type="pct"/>
            <w:shd w:val="clear" w:color="auto" w:fill="auto"/>
            <w:vAlign w:val="center"/>
          </w:tcPr>
          <w:p w14:paraId="5D232666">
            <w:pPr>
              <w:spacing w:line="360" w:lineRule="auto"/>
              <w:jc w:val="center"/>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12分</w:t>
            </w:r>
          </w:p>
        </w:tc>
      </w:tr>
      <w:tr w14:paraId="13E7D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340" w:type="pct"/>
            <w:shd w:val="clear" w:color="auto" w:fill="auto"/>
            <w:vAlign w:val="center"/>
          </w:tcPr>
          <w:p w14:paraId="3008966B">
            <w:pPr>
              <w:adjustRightInd w:val="0"/>
              <w:spacing w:line="360" w:lineRule="auto"/>
              <w:ind w:left="-105" w:leftChars="-50" w:right="-105" w:rightChars="-50"/>
              <w:jc w:val="center"/>
              <w:textAlignment w:val="baseline"/>
              <w:rPr>
                <w:rFonts w:hint="default"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2.3</w:t>
            </w:r>
          </w:p>
        </w:tc>
        <w:tc>
          <w:tcPr>
            <w:tcW w:w="555" w:type="pct"/>
            <w:shd w:val="clear" w:color="auto" w:fill="auto"/>
            <w:vAlign w:val="center"/>
          </w:tcPr>
          <w:p w14:paraId="3FDE64C5">
            <w:pPr>
              <w:spacing w:line="360" w:lineRule="auto"/>
              <w:jc w:val="center"/>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图书采购实施方案（满分12分）</w:t>
            </w:r>
          </w:p>
        </w:tc>
        <w:tc>
          <w:tcPr>
            <w:tcW w:w="3678" w:type="pct"/>
            <w:shd w:val="clear" w:color="auto" w:fill="auto"/>
            <w:vAlign w:val="top"/>
          </w:tcPr>
          <w:p w14:paraId="1F21317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由</w:t>
            </w:r>
            <w:r>
              <w:rPr>
                <w:rFonts w:hint="eastAsia" w:ascii="宋体" w:hAnsi="宋体" w:eastAsia="宋体" w:cs="宋体"/>
                <w:color w:val="auto"/>
                <w:sz w:val="21"/>
                <w:szCs w:val="21"/>
                <w:highlight w:val="none"/>
              </w:rPr>
              <w:t>评审专家</w:t>
            </w:r>
            <w:r>
              <w:rPr>
                <w:rFonts w:hint="eastAsia" w:ascii="宋体" w:hAnsi="宋体" w:eastAsia="宋体" w:cs="宋体"/>
                <w:color w:val="auto"/>
                <w:sz w:val="21"/>
                <w:szCs w:val="21"/>
                <w:highlight w:val="none"/>
                <w:lang w:val="zh-CN"/>
              </w:rPr>
              <w:t>根据各</w:t>
            </w: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lang w:val="zh-CN"/>
              </w:rPr>
              <w:t>针对本项目的工作实施方案</w:t>
            </w:r>
            <w:r>
              <w:rPr>
                <w:rFonts w:hint="eastAsia" w:ascii="宋体" w:hAnsi="宋体" w:eastAsia="宋体" w:cs="宋体"/>
                <w:color w:val="auto"/>
                <w:sz w:val="21"/>
                <w:szCs w:val="21"/>
                <w:highlight w:val="none"/>
              </w:rPr>
              <w:t>描述</w:t>
            </w:r>
            <w:r>
              <w:rPr>
                <w:rFonts w:hint="eastAsia" w:ascii="宋体" w:hAnsi="宋体" w:eastAsia="宋体" w:cs="宋体"/>
                <w:color w:val="auto"/>
                <w:sz w:val="21"/>
                <w:szCs w:val="21"/>
                <w:highlight w:val="none"/>
                <w:lang w:val="zh-CN"/>
              </w:rPr>
              <w:t>，从图书质量保证、图书征订、图书回告、图书送货、发放、退货等方面</w:t>
            </w:r>
            <w:r>
              <w:rPr>
                <w:rFonts w:hint="eastAsia" w:ascii="宋体" w:hAnsi="宋体" w:eastAsia="宋体" w:cs="宋体"/>
                <w:color w:val="auto"/>
                <w:sz w:val="21"/>
                <w:szCs w:val="21"/>
                <w:highlight w:val="none"/>
              </w:rPr>
              <w:t>独立评分：</w:t>
            </w:r>
          </w:p>
          <w:p w14:paraId="24E5184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分）：提供简单的实施方案及相应措施等内容。</w:t>
            </w:r>
          </w:p>
          <w:p w14:paraId="52CF5FE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分）：实施方案优于一档，包含相应的措施，对</w:t>
            </w:r>
            <w:r>
              <w:rPr>
                <w:rFonts w:hint="eastAsia" w:ascii="宋体" w:hAnsi="宋体" w:eastAsia="宋体" w:cs="宋体"/>
                <w:color w:val="auto"/>
                <w:sz w:val="21"/>
                <w:szCs w:val="21"/>
                <w:highlight w:val="none"/>
                <w:lang w:eastAsia="zh-CN"/>
              </w:rPr>
              <w:t>图书</w:t>
            </w:r>
            <w:r>
              <w:rPr>
                <w:rFonts w:hint="eastAsia" w:ascii="宋体" w:hAnsi="宋体" w:eastAsia="宋体" w:cs="宋体"/>
                <w:color w:val="auto"/>
                <w:sz w:val="21"/>
                <w:szCs w:val="21"/>
                <w:highlight w:val="none"/>
              </w:rPr>
              <w:t>质量保证、</w:t>
            </w:r>
            <w:r>
              <w:rPr>
                <w:rFonts w:hint="eastAsia" w:ascii="宋体" w:hAnsi="宋体" w:eastAsia="宋体" w:cs="宋体"/>
                <w:color w:val="auto"/>
                <w:sz w:val="21"/>
                <w:szCs w:val="21"/>
                <w:highlight w:val="none"/>
                <w:lang w:eastAsia="zh-CN"/>
              </w:rPr>
              <w:t>图书</w:t>
            </w:r>
            <w:r>
              <w:rPr>
                <w:rFonts w:hint="eastAsia" w:ascii="宋体" w:hAnsi="宋体" w:eastAsia="宋体" w:cs="宋体"/>
                <w:color w:val="auto"/>
                <w:sz w:val="21"/>
                <w:szCs w:val="21"/>
                <w:highlight w:val="none"/>
              </w:rPr>
              <w:t>征订、</w:t>
            </w:r>
            <w:r>
              <w:rPr>
                <w:rFonts w:hint="eastAsia" w:ascii="宋体" w:hAnsi="宋体" w:eastAsia="宋体" w:cs="宋体"/>
                <w:color w:val="auto"/>
                <w:sz w:val="21"/>
                <w:szCs w:val="21"/>
                <w:highlight w:val="none"/>
                <w:lang w:eastAsia="zh-CN"/>
              </w:rPr>
              <w:t>图书</w:t>
            </w:r>
            <w:r>
              <w:rPr>
                <w:rFonts w:hint="eastAsia" w:ascii="宋体" w:hAnsi="宋体" w:eastAsia="宋体" w:cs="宋体"/>
                <w:color w:val="auto"/>
                <w:sz w:val="21"/>
                <w:szCs w:val="21"/>
                <w:highlight w:val="none"/>
              </w:rPr>
              <w:t>回告等内容有较详细的描述，可行性较强，服务响应及时。</w:t>
            </w:r>
          </w:p>
          <w:p w14:paraId="5C9B2A2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三档（</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分）：实施方案优于二档，包含相应的措施，对</w:t>
            </w:r>
            <w:r>
              <w:rPr>
                <w:rFonts w:hint="eastAsia" w:ascii="宋体" w:hAnsi="宋体" w:eastAsia="宋体" w:cs="宋体"/>
                <w:color w:val="auto"/>
                <w:sz w:val="21"/>
                <w:szCs w:val="21"/>
                <w:highlight w:val="none"/>
                <w:lang w:eastAsia="zh-CN"/>
              </w:rPr>
              <w:t>图书</w:t>
            </w:r>
            <w:r>
              <w:rPr>
                <w:rFonts w:hint="eastAsia" w:ascii="宋体" w:hAnsi="宋体" w:eastAsia="宋体" w:cs="宋体"/>
                <w:color w:val="auto"/>
                <w:sz w:val="21"/>
                <w:szCs w:val="21"/>
                <w:highlight w:val="none"/>
              </w:rPr>
              <w:t>质量保证、</w:t>
            </w:r>
            <w:r>
              <w:rPr>
                <w:rFonts w:hint="eastAsia" w:ascii="宋体" w:hAnsi="宋体" w:eastAsia="宋体" w:cs="宋体"/>
                <w:color w:val="auto"/>
                <w:sz w:val="21"/>
                <w:szCs w:val="21"/>
                <w:highlight w:val="none"/>
                <w:lang w:eastAsia="zh-CN"/>
              </w:rPr>
              <w:t>图书</w:t>
            </w:r>
            <w:r>
              <w:rPr>
                <w:rFonts w:hint="eastAsia" w:ascii="宋体" w:hAnsi="宋体" w:eastAsia="宋体" w:cs="宋体"/>
                <w:color w:val="auto"/>
                <w:sz w:val="21"/>
                <w:szCs w:val="21"/>
                <w:highlight w:val="none"/>
              </w:rPr>
              <w:t>征订、</w:t>
            </w:r>
            <w:r>
              <w:rPr>
                <w:rFonts w:hint="eastAsia" w:ascii="宋体" w:hAnsi="宋体" w:eastAsia="宋体" w:cs="宋体"/>
                <w:color w:val="auto"/>
                <w:sz w:val="21"/>
                <w:szCs w:val="21"/>
                <w:highlight w:val="none"/>
                <w:lang w:eastAsia="zh-CN"/>
              </w:rPr>
              <w:t>图书</w:t>
            </w:r>
            <w:r>
              <w:rPr>
                <w:rFonts w:hint="eastAsia" w:ascii="宋体" w:hAnsi="宋体" w:eastAsia="宋体" w:cs="宋体"/>
                <w:color w:val="auto"/>
                <w:sz w:val="21"/>
                <w:szCs w:val="21"/>
                <w:highlight w:val="none"/>
              </w:rPr>
              <w:t>回告、</w:t>
            </w:r>
            <w:r>
              <w:rPr>
                <w:rFonts w:hint="eastAsia" w:ascii="宋体" w:hAnsi="宋体" w:eastAsia="宋体" w:cs="宋体"/>
                <w:color w:val="auto"/>
                <w:sz w:val="21"/>
                <w:szCs w:val="21"/>
                <w:highlight w:val="none"/>
                <w:lang w:eastAsia="zh-CN"/>
              </w:rPr>
              <w:t>图书</w:t>
            </w:r>
            <w:r>
              <w:rPr>
                <w:rFonts w:hint="eastAsia" w:ascii="宋体" w:hAnsi="宋体" w:eastAsia="宋体" w:cs="宋体"/>
                <w:color w:val="auto"/>
                <w:sz w:val="21"/>
                <w:szCs w:val="21"/>
                <w:highlight w:val="none"/>
              </w:rPr>
              <w:t>送货、发放、退货等内容有详细完整的描述，可行性较强，服务响应及时。</w:t>
            </w:r>
          </w:p>
          <w:p w14:paraId="4E9DF589">
            <w:pPr>
              <w:pStyle w:val="7"/>
              <w:spacing w:line="360" w:lineRule="auto"/>
              <w:ind w:left="-134" w:leftChars="0" w:firstLine="525" w:firstLineChars="0"/>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注：未提供或不满足进档要求不得分。</w:t>
            </w:r>
          </w:p>
        </w:tc>
        <w:tc>
          <w:tcPr>
            <w:tcW w:w="426" w:type="pct"/>
            <w:shd w:val="clear" w:color="auto" w:fill="auto"/>
            <w:vAlign w:val="center"/>
          </w:tcPr>
          <w:p w14:paraId="0979AA71">
            <w:pPr>
              <w:spacing w:line="360" w:lineRule="auto"/>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12分</w:t>
            </w:r>
          </w:p>
        </w:tc>
      </w:tr>
      <w:tr w14:paraId="11BEF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8" w:hRule="atLeast"/>
          <w:jc w:val="center"/>
        </w:trPr>
        <w:tc>
          <w:tcPr>
            <w:tcW w:w="340" w:type="pct"/>
            <w:shd w:val="clear" w:color="auto" w:fill="auto"/>
            <w:vAlign w:val="center"/>
          </w:tcPr>
          <w:p w14:paraId="234051F3">
            <w:pPr>
              <w:adjustRightInd w:val="0"/>
              <w:spacing w:line="360" w:lineRule="auto"/>
              <w:ind w:left="-105" w:leftChars="-50" w:right="-105" w:rightChars="-50"/>
              <w:jc w:val="center"/>
              <w:textAlignment w:val="baseline"/>
              <w:rPr>
                <w:rFonts w:hint="eastAsia" w:ascii="宋体" w:hAnsi="宋体" w:eastAsia="宋体" w:cs="宋体"/>
                <w:bCs/>
                <w:color w:val="auto"/>
                <w:kern w:val="0"/>
                <w:sz w:val="21"/>
                <w:szCs w:val="21"/>
                <w:highlight w:val="none"/>
                <w:lang w:val="en-US" w:eastAsia="zh-CN" w:bidi="ar-SA"/>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4</w:t>
            </w:r>
          </w:p>
        </w:tc>
        <w:tc>
          <w:tcPr>
            <w:tcW w:w="555" w:type="pct"/>
            <w:shd w:val="clear" w:color="auto" w:fill="auto"/>
            <w:vAlign w:val="center"/>
          </w:tcPr>
          <w:p w14:paraId="77FB0EC9">
            <w:pPr>
              <w:spacing w:line="360" w:lineRule="auto"/>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
                <w:snapToGrid w:val="0"/>
                <w:color w:val="auto"/>
                <w:szCs w:val="21"/>
                <w:highlight w:val="none"/>
              </w:rPr>
              <w:t>培训方案分 （满分</w:t>
            </w:r>
            <w:r>
              <w:rPr>
                <w:rFonts w:hint="eastAsia" w:ascii="宋体" w:hAnsi="宋体" w:cs="宋体"/>
                <w:b/>
                <w:snapToGrid w:val="0"/>
                <w:color w:val="auto"/>
                <w:szCs w:val="21"/>
                <w:highlight w:val="none"/>
                <w:lang w:val="en-US" w:eastAsia="zh-CN"/>
              </w:rPr>
              <w:t>10</w:t>
            </w:r>
            <w:r>
              <w:rPr>
                <w:rFonts w:hint="eastAsia" w:ascii="宋体" w:hAnsi="宋体" w:cs="宋体"/>
                <w:b/>
                <w:snapToGrid w:val="0"/>
                <w:color w:val="auto"/>
                <w:szCs w:val="21"/>
                <w:highlight w:val="none"/>
              </w:rPr>
              <w:t>分）</w:t>
            </w:r>
          </w:p>
        </w:tc>
        <w:tc>
          <w:tcPr>
            <w:tcW w:w="3678" w:type="pct"/>
            <w:shd w:val="clear" w:color="auto" w:fill="auto"/>
            <w:vAlign w:val="top"/>
          </w:tcPr>
          <w:p w14:paraId="37B0244F">
            <w:pPr>
              <w:spacing w:line="460" w:lineRule="exact"/>
              <w:rPr>
                <w:rFonts w:hint="eastAsia" w:ascii="宋体" w:hAnsi="宋体" w:cs="宋体"/>
                <w:bCs/>
                <w:color w:val="auto"/>
                <w:szCs w:val="21"/>
                <w:highlight w:val="none"/>
              </w:rPr>
            </w:pPr>
            <w:r>
              <w:rPr>
                <w:rFonts w:hint="eastAsia" w:ascii="宋体" w:hAnsi="宋体" w:cs="宋体"/>
                <w:bCs/>
                <w:color w:val="auto"/>
                <w:szCs w:val="21"/>
                <w:highlight w:val="none"/>
              </w:rPr>
              <w:t>一档（</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 xml:space="preserve">分）：具有设备和维护培训计划，提供专业技术人员对采购人进行培训，培训内容有标准操作方法、使用注意事项、基础维护知识。 </w:t>
            </w:r>
          </w:p>
          <w:p w14:paraId="7315BA30">
            <w:pPr>
              <w:spacing w:line="460" w:lineRule="exact"/>
              <w:rPr>
                <w:rFonts w:hint="eastAsia" w:ascii="宋体" w:hAnsi="宋体" w:cs="宋体"/>
                <w:bCs/>
                <w:color w:val="auto"/>
                <w:szCs w:val="21"/>
                <w:highlight w:val="none"/>
              </w:rPr>
            </w:pPr>
            <w:r>
              <w:rPr>
                <w:rFonts w:hint="eastAsia" w:ascii="宋体" w:hAnsi="宋体" w:cs="宋体"/>
                <w:bCs/>
                <w:color w:val="auto"/>
                <w:szCs w:val="21"/>
                <w:highlight w:val="none"/>
              </w:rPr>
              <w:t>二档（</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 xml:space="preserve">分）：具有设备和维护培训计划，提供专业 技术人员对采购人进行培训，培训内容有标准操作方法、使用注意事项、基础维护知识、一般故障处理方法、重大故障处理方法、维护保养细则。 </w:t>
            </w:r>
          </w:p>
          <w:p w14:paraId="29ADD5E7">
            <w:pPr>
              <w:spacing w:line="460" w:lineRule="exact"/>
              <w:jc w:val="left"/>
              <w:rPr>
                <w:rFonts w:hint="eastAsia" w:ascii="宋体" w:hAnsi="宋体" w:cs="宋体"/>
                <w:bCs/>
                <w:color w:val="auto"/>
                <w:szCs w:val="21"/>
                <w:highlight w:val="none"/>
              </w:rPr>
            </w:pPr>
            <w:r>
              <w:rPr>
                <w:rFonts w:hint="eastAsia" w:ascii="宋体" w:hAnsi="宋体" w:cs="宋体"/>
                <w:bCs/>
                <w:color w:val="auto"/>
                <w:szCs w:val="21"/>
                <w:highlight w:val="none"/>
              </w:rPr>
              <w:t>三档（</w:t>
            </w: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 xml:space="preserve">分）：具有设备和维护培训计划，提供专业技术人员对采购人进行培训，培训内容有标准操作方法、使用注意事项、基础维护知识、一般故障处理方法、重大故障处理方法、维护保养细则、使用技术指导。 </w:t>
            </w:r>
          </w:p>
          <w:p w14:paraId="2BB899DD">
            <w:pPr>
              <w:pStyle w:val="7"/>
              <w:spacing w:line="360" w:lineRule="auto"/>
              <w:ind w:left="-134" w:leftChars="0" w:firstLine="525" w:firstLineChars="0"/>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注：未提供或不满足进档要求不得分。</w:t>
            </w:r>
          </w:p>
        </w:tc>
        <w:tc>
          <w:tcPr>
            <w:tcW w:w="426" w:type="pct"/>
            <w:shd w:val="clear" w:color="auto" w:fill="auto"/>
            <w:vAlign w:val="center"/>
          </w:tcPr>
          <w:p w14:paraId="5BEAAD39">
            <w:pPr>
              <w:spacing w:line="360" w:lineRule="auto"/>
              <w:jc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lang w:val="en-US" w:eastAsia="zh-CN"/>
              </w:rPr>
              <w:t>10</w:t>
            </w:r>
            <w:r>
              <w:rPr>
                <w:rFonts w:hint="eastAsia" w:ascii="宋体" w:hAnsi="宋体" w:cs="宋体"/>
                <w:color w:val="auto"/>
                <w:kern w:val="0"/>
                <w:szCs w:val="21"/>
                <w:highlight w:val="none"/>
              </w:rPr>
              <w:t>分</w:t>
            </w:r>
          </w:p>
        </w:tc>
      </w:tr>
      <w:tr w14:paraId="7B57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1" w:hRule="atLeast"/>
          <w:jc w:val="center"/>
        </w:trPr>
        <w:tc>
          <w:tcPr>
            <w:tcW w:w="340" w:type="pct"/>
            <w:vAlign w:val="center"/>
          </w:tcPr>
          <w:p w14:paraId="74F5CBD9">
            <w:pPr>
              <w:adjustRightInd w:val="0"/>
              <w:spacing w:line="360" w:lineRule="auto"/>
              <w:ind w:left="-105" w:leftChars="-50" w:right="-105" w:rightChars="-50"/>
              <w:jc w:val="center"/>
              <w:textAlignment w:val="baseline"/>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5</w:t>
            </w:r>
          </w:p>
        </w:tc>
        <w:tc>
          <w:tcPr>
            <w:tcW w:w="555" w:type="pct"/>
            <w:vAlign w:val="center"/>
          </w:tcPr>
          <w:p w14:paraId="03FA7BF5">
            <w:pPr>
              <w:spacing w:line="360" w:lineRule="auto"/>
              <w:jc w:val="center"/>
              <w:rPr>
                <w:rFonts w:ascii="宋体" w:hAnsi="宋体" w:cs="宋体"/>
                <w:bCs/>
                <w:color w:val="auto"/>
                <w:szCs w:val="21"/>
                <w:highlight w:val="none"/>
              </w:rPr>
            </w:pPr>
            <w:r>
              <w:rPr>
                <w:rFonts w:hint="eastAsia" w:ascii="宋体" w:hAnsi="宋体" w:cs="宋体"/>
                <w:color w:val="auto"/>
                <w:kern w:val="0"/>
                <w:szCs w:val="21"/>
                <w:highlight w:val="none"/>
              </w:rPr>
              <w:t>售后服务</w:t>
            </w:r>
            <w:r>
              <w:rPr>
                <w:rFonts w:hint="eastAsia" w:ascii="宋体" w:hAnsi="宋体" w:cs="宋体"/>
                <w:bCs/>
                <w:color w:val="auto"/>
                <w:szCs w:val="21"/>
                <w:highlight w:val="none"/>
              </w:rPr>
              <w:t>方案</w:t>
            </w: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分）</w:t>
            </w:r>
          </w:p>
        </w:tc>
        <w:tc>
          <w:tcPr>
            <w:tcW w:w="3678" w:type="pct"/>
          </w:tcPr>
          <w:p w14:paraId="241F188C">
            <w:pPr>
              <w:spacing w:line="400" w:lineRule="exact"/>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lang w:eastAsia="zh-CN"/>
              </w:rPr>
              <w:t>评标委员会依据包含智能实验室和图书采购售后服务方案进行横向对比打分。</w:t>
            </w:r>
          </w:p>
          <w:p w14:paraId="415A8A54">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一档（</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分）：不切合项目实际，内容冗杂、多余；方案包含有简单的服务承诺、应急保障方案、定期上门维护、到达故障现场时间、故障出现解决方案、售后服务技术人员配备的。</w:t>
            </w:r>
          </w:p>
          <w:p w14:paraId="5ACB0FAD">
            <w:pPr>
              <w:spacing w:line="400" w:lineRule="exact"/>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rPr>
              <w:t>二档（</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分）：符合实际，内容措施满足项目需求；服务承诺提供有项目服务维护、保密承诺等内容，应急保障措施提供有应急项目内容、各应急项目的保障措施；方案能提供定期上门维</w:t>
            </w:r>
            <w:r>
              <w:rPr>
                <w:rFonts w:hint="eastAsia" w:ascii="宋体" w:hAnsi="宋体" w:eastAsia="宋体" w:cs="宋体"/>
                <w:color w:val="auto"/>
                <w:szCs w:val="21"/>
                <w:highlight w:val="none"/>
              </w:rPr>
              <w:t>护时间列表，到达故障现场的响应时间满足需求，提供的售后服务技术人员配备满足项目需求、专业技术水平较高。</w:t>
            </w:r>
          </w:p>
          <w:p w14:paraId="3E5CE884">
            <w:pPr>
              <w:spacing w:line="400" w:lineRule="exact"/>
              <w:ind w:firstLine="420" w:firstLineChars="200"/>
              <w:rPr>
                <w:rFonts w:hint="eastAsia" w:ascii="宋体" w:hAnsi="宋体" w:cs="宋体"/>
                <w:color w:val="auto"/>
                <w:szCs w:val="21"/>
                <w:highlight w:val="none"/>
              </w:rPr>
            </w:pPr>
            <w:r>
              <w:rPr>
                <w:rFonts w:hint="eastAsia" w:ascii="宋体" w:hAnsi="宋体" w:eastAsia="宋体" w:cs="宋体"/>
                <w:color w:val="auto"/>
                <w:szCs w:val="21"/>
                <w:highlight w:val="none"/>
              </w:rPr>
              <w:t>三档（</w:t>
            </w:r>
            <w:r>
              <w:rPr>
                <w:rFonts w:hint="eastAsia" w:ascii="宋体" w:hAnsi="宋体" w:eastAsia="宋体" w:cs="宋体"/>
                <w:color w:val="auto"/>
                <w:szCs w:val="21"/>
                <w:highlight w:val="none"/>
                <w:lang w:val="en-US" w:eastAsia="zh-CN"/>
              </w:rPr>
              <w:t>12</w:t>
            </w:r>
            <w:r>
              <w:rPr>
                <w:rFonts w:hint="eastAsia" w:ascii="宋体" w:hAnsi="宋体" w:eastAsia="宋体" w:cs="宋体"/>
                <w:color w:val="auto"/>
                <w:szCs w:val="21"/>
                <w:highlight w:val="none"/>
              </w:rPr>
              <w:t>分）：售后服务方案针对需求，切合实际，简练；服务承诺提</w:t>
            </w:r>
            <w:r>
              <w:rPr>
                <w:rFonts w:hint="eastAsia" w:ascii="宋体" w:hAnsi="宋体" w:cs="宋体"/>
                <w:color w:val="auto"/>
                <w:szCs w:val="21"/>
                <w:highlight w:val="none"/>
              </w:rPr>
              <w:t>供有详细的项目服务维护、保密承诺等内容，应急保障措施提供有详细的应急项目内容、各应急项目的保障措施，且能详细描述其实现方式；方案能提供定期上门维护具体时间列表，到达故障现场的响应时间完全满足或优于采购需求，提供的售后服务技术人员配备齐全、专业技术水平高，整体方案考虑周全。</w:t>
            </w:r>
          </w:p>
          <w:p w14:paraId="0D7A0264">
            <w:pPr>
              <w:pStyle w:val="3"/>
              <w:rPr>
                <w:color w:val="auto"/>
                <w:highlight w:val="none"/>
              </w:rPr>
            </w:pPr>
            <w:r>
              <w:rPr>
                <w:rFonts w:hint="eastAsia" w:ascii="宋体" w:hAnsi="宋体" w:eastAsia="宋体" w:cs="宋体"/>
                <w:b w:val="0"/>
                <w:bCs w:val="0"/>
                <w:color w:val="auto"/>
                <w:kern w:val="2"/>
                <w:sz w:val="21"/>
                <w:szCs w:val="21"/>
                <w:highlight w:val="none"/>
                <w:lang w:val="en-US" w:eastAsia="zh-CN" w:bidi="ar-SA"/>
              </w:rPr>
              <w:t>注：未提供或不满足进档要求不得分。</w:t>
            </w:r>
          </w:p>
        </w:tc>
        <w:tc>
          <w:tcPr>
            <w:tcW w:w="426" w:type="pct"/>
            <w:vAlign w:val="center"/>
          </w:tcPr>
          <w:p w14:paraId="62C69BFD">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12</w:t>
            </w:r>
            <w:r>
              <w:rPr>
                <w:rFonts w:hint="eastAsia" w:ascii="宋体" w:hAnsi="宋体" w:cs="宋体"/>
                <w:color w:val="auto"/>
                <w:kern w:val="0"/>
                <w:szCs w:val="21"/>
                <w:highlight w:val="none"/>
              </w:rPr>
              <w:t>分</w:t>
            </w:r>
          </w:p>
        </w:tc>
      </w:tr>
      <w:tr w14:paraId="702E0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40" w:type="pct"/>
            <w:vAlign w:val="center"/>
          </w:tcPr>
          <w:p w14:paraId="609220D2">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555" w:type="pct"/>
            <w:vAlign w:val="center"/>
          </w:tcPr>
          <w:p w14:paraId="1FC9752A">
            <w:pPr>
              <w:widowControl/>
              <w:spacing w:line="360" w:lineRule="auto"/>
              <w:jc w:val="center"/>
              <w:rPr>
                <w:rFonts w:ascii="宋体" w:hAnsi="宋体" w:cs="宋体"/>
                <w:bCs/>
                <w:color w:val="auto"/>
                <w:szCs w:val="21"/>
                <w:highlight w:val="none"/>
              </w:rPr>
            </w:pPr>
            <w:r>
              <w:rPr>
                <w:rFonts w:hint="eastAsia" w:ascii="宋体" w:hAnsi="宋体" w:cs="宋体"/>
                <w:bCs/>
                <w:color w:val="auto"/>
                <w:szCs w:val="21"/>
                <w:highlight w:val="none"/>
              </w:rPr>
              <w:t>商务分</w:t>
            </w:r>
          </w:p>
        </w:tc>
        <w:tc>
          <w:tcPr>
            <w:tcW w:w="4104" w:type="pct"/>
            <w:gridSpan w:val="2"/>
            <w:vAlign w:val="center"/>
          </w:tcPr>
          <w:p w14:paraId="56458549">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评审因素</w:t>
            </w:r>
          </w:p>
        </w:tc>
      </w:tr>
      <w:tr w14:paraId="4941C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40" w:type="pct"/>
            <w:vAlign w:val="center"/>
          </w:tcPr>
          <w:p w14:paraId="5ECD2177">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3.1</w:t>
            </w:r>
          </w:p>
        </w:tc>
        <w:tc>
          <w:tcPr>
            <w:tcW w:w="555" w:type="pct"/>
            <w:vAlign w:val="center"/>
          </w:tcPr>
          <w:p w14:paraId="26DAB37C">
            <w:pPr>
              <w:widowControl/>
              <w:spacing w:line="360" w:lineRule="auto"/>
              <w:jc w:val="center"/>
              <w:rPr>
                <w:rFonts w:ascii="宋体" w:hAnsi="宋体" w:cs="宋体"/>
                <w:color w:val="auto"/>
                <w:kern w:val="0"/>
                <w:szCs w:val="21"/>
                <w:highlight w:val="none"/>
              </w:rPr>
            </w:pPr>
            <w:r>
              <w:rPr>
                <w:rFonts w:hint="eastAsia" w:ascii="宋体" w:hAnsi="宋体" w:cs="宋体"/>
                <w:color w:val="auto"/>
                <w:szCs w:val="21"/>
                <w:highlight w:val="none"/>
              </w:rPr>
              <w:t>业绩</w:t>
            </w:r>
            <w:r>
              <w:rPr>
                <w:rFonts w:hint="eastAsia" w:ascii="宋体" w:hAnsi="宋体" w:cs="宋体"/>
                <w:color w:val="auto"/>
                <w:szCs w:val="21"/>
                <w:highlight w:val="none"/>
                <w:lang w:eastAsia="zh-CN"/>
              </w:rPr>
              <w:t>信誉</w:t>
            </w:r>
            <w:r>
              <w:rPr>
                <w:rFonts w:hint="eastAsia" w:ascii="宋体" w:hAnsi="宋体" w:cs="宋体"/>
                <w:color w:val="auto"/>
                <w:szCs w:val="21"/>
                <w:highlight w:val="none"/>
              </w:rPr>
              <w:t>分（满分</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w:t>
            </w:r>
          </w:p>
        </w:tc>
        <w:tc>
          <w:tcPr>
            <w:tcW w:w="3678" w:type="pct"/>
          </w:tcPr>
          <w:p w14:paraId="33DE2403">
            <w:pPr>
              <w:numPr>
                <w:ilvl w:val="0"/>
                <w:numId w:val="0"/>
              </w:numPr>
              <w:snapToGrid w:val="0"/>
              <w:spacing w:line="360" w:lineRule="auto"/>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1</w:t>
            </w:r>
            <w:r>
              <w:rPr>
                <w:rFonts w:hint="eastAsia" w:ascii="宋体" w:hAnsi="宋体" w:cs="宋体"/>
                <w:color w:val="auto"/>
                <w:highlight w:val="none"/>
                <w:lang w:eastAsia="zh-CN"/>
              </w:rPr>
              <w:t>）</w:t>
            </w:r>
            <w:r>
              <w:rPr>
                <w:rFonts w:hint="eastAsia" w:ascii="宋体" w:hAnsi="宋体" w:cs="宋体"/>
                <w:color w:val="auto"/>
                <w:highlight w:val="none"/>
              </w:rPr>
              <w:t>投标人或投标产品生产厂家通过ISO9001质量管理体系认证，提供证书扫描件得</w:t>
            </w:r>
            <w:r>
              <w:rPr>
                <w:rFonts w:hint="eastAsia" w:ascii="宋体" w:hAnsi="宋体" w:cs="宋体"/>
                <w:color w:val="auto"/>
                <w:highlight w:val="none"/>
                <w:lang w:val="en-US" w:eastAsia="zh-CN"/>
              </w:rPr>
              <w:t>1</w:t>
            </w:r>
            <w:r>
              <w:rPr>
                <w:rFonts w:hint="eastAsia" w:ascii="宋体" w:hAnsi="宋体" w:cs="宋体"/>
                <w:color w:val="auto"/>
                <w:highlight w:val="none"/>
              </w:rPr>
              <w:t>分，（满分</w:t>
            </w:r>
            <w:r>
              <w:rPr>
                <w:rFonts w:hint="eastAsia" w:ascii="宋体" w:hAnsi="宋体" w:cs="宋体"/>
                <w:color w:val="auto"/>
                <w:highlight w:val="none"/>
                <w:lang w:val="en-US" w:eastAsia="zh-CN"/>
              </w:rPr>
              <w:t>1</w:t>
            </w:r>
            <w:r>
              <w:rPr>
                <w:rFonts w:hint="eastAsia" w:ascii="宋体" w:hAnsi="宋体" w:cs="宋体"/>
                <w:color w:val="auto"/>
                <w:highlight w:val="none"/>
              </w:rPr>
              <w:t>分）。</w:t>
            </w:r>
          </w:p>
          <w:p w14:paraId="68833467">
            <w:pPr>
              <w:spacing w:line="360" w:lineRule="auto"/>
              <w:rPr>
                <w:color w:val="auto"/>
                <w:highlight w:val="none"/>
              </w:rPr>
            </w:pPr>
            <w:r>
              <w:rPr>
                <w:rFonts w:hint="eastAsia" w:ascii="宋体" w:hAnsi="宋体" w:eastAsia="Times New Roman" w:cs="宋体"/>
                <w:bCs/>
                <w:color w:val="auto"/>
                <w:kern w:val="0"/>
                <w:szCs w:val="21"/>
                <w:highlight w:val="none"/>
              </w:rPr>
              <w:t>（2）投标人或投标产品</w:t>
            </w:r>
            <w:r>
              <w:rPr>
                <w:rFonts w:hint="eastAsia" w:ascii="宋体" w:hAnsi="宋体" w:cs="宋体"/>
                <w:bCs/>
                <w:color w:val="auto"/>
                <w:kern w:val="0"/>
                <w:szCs w:val="21"/>
                <w:highlight w:val="none"/>
              </w:rPr>
              <w:t>20</w:t>
            </w:r>
            <w:r>
              <w:rPr>
                <w:rFonts w:hint="eastAsia" w:ascii="宋体" w:hAnsi="宋体" w:cs="宋体"/>
                <w:bCs/>
                <w:color w:val="auto"/>
                <w:kern w:val="0"/>
                <w:szCs w:val="21"/>
                <w:highlight w:val="none"/>
                <w:lang w:val="en-US" w:eastAsia="zh-CN"/>
              </w:rPr>
              <w:t>23</w:t>
            </w:r>
            <w:r>
              <w:rPr>
                <w:rFonts w:hint="eastAsia" w:ascii="宋体" w:hAnsi="宋体" w:eastAsia="Times New Roman" w:cs="宋体"/>
                <w:bCs/>
                <w:color w:val="auto"/>
                <w:kern w:val="0"/>
                <w:szCs w:val="21"/>
                <w:highlight w:val="none"/>
              </w:rPr>
              <w:t>年以来完成的同类项目的业绩，以签订的采购合同或中标通知书为准，每份得1分，（满分</w:t>
            </w:r>
            <w:r>
              <w:rPr>
                <w:rFonts w:hint="eastAsia" w:ascii="宋体" w:hAnsi="宋体" w:eastAsia="宋体" w:cs="宋体"/>
                <w:bCs/>
                <w:color w:val="auto"/>
                <w:kern w:val="0"/>
                <w:szCs w:val="21"/>
                <w:highlight w:val="none"/>
                <w:lang w:val="en-US" w:eastAsia="zh-CN"/>
              </w:rPr>
              <w:t>3</w:t>
            </w:r>
            <w:r>
              <w:rPr>
                <w:rFonts w:hint="eastAsia" w:ascii="宋体" w:hAnsi="宋体" w:eastAsia="Times New Roman" w:cs="宋体"/>
                <w:bCs/>
                <w:color w:val="auto"/>
                <w:kern w:val="0"/>
                <w:szCs w:val="21"/>
                <w:highlight w:val="none"/>
              </w:rPr>
              <w:t>分）。[采购合同或中标通知书必须能清晰反映所销售的货物、类别及金额，同一个编号的招标项目有2个（含2个）以上的分标中标的只算一次]</w:t>
            </w:r>
          </w:p>
        </w:tc>
        <w:tc>
          <w:tcPr>
            <w:tcW w:w="426" w:type="pct"/>
            <w:vAlign w:val="center"/>
          </w:tcPr>
          <w:p w14:paraId="59D49B63">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分</w:t>
            </w:r>
          </w:p>
        </w:tc>
      </w:tr>
      <w:tr w14:paraId="105BD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40" w:type="pct"/>
            <w:vAlign w:val="center"/>
          </w:tcPr>
          <w:p w14:paraId="664B3714">
            <w:pPr>
              <w:widowControl/>
              <w:spacing w:line="360"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3.2</w:t>
            </w:r>
          </w:p>
        </w:tc>
        <w:tc>
          <w:tcPr>
            <w:tcW w:w="555" w:type="pct"/>
            <w:vAlign w:val="center"/>
          </w:tcPr>
          <w:p w14:paraId="01E6A639">
            <w:pPr>
              <w:keepNext w:val="0"/>
              <w:keepLines w:val="0"/>
              <w:pageBreakBefore w:val="0"/>
              <w:kinsoku/>
              <w:wordWrap/>
              <w:overflowPunct/>
              <w:topLinePunct w:val="0"/>
              <w:autoSpaceDE/>
              <w:autoSpaceDN/>
              <w:bidi w:val="0"/>
              <w:adjustRightInd w:val="0"/>
              <w:spacing w:line="360" w:lineRule="auto"/>
              <w:jc w:val="center"/>
              <w:textAlignment w:val="baseline"/>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eastAsia="zh-CN"/>
              </w:rPr>
              <w:t>图书</w:t>
            </w:r>
            <w:r>
              <w:rPr>
                <w:rFonts w:hint="eastAsia" w:ascii="宋体" w:hAnsi="宋体" w:eastAsia="宋体" w:cs="宋体"/>
                <w:color w:val="auto"/>
                <w:kern w:val="0"/>
                <w:sz w:val="21"/>
                <w:szCs w:val="21"/>
                <w:highlight w:val="none"/>
              </w:rPr>
              <w:t>供应服务承诺分（满分</w:t>
            </w:r>
            <w:r>
              <w:rPr>
                <w:rFonts w:hint="eastAsia" w:ascii="宋体" w:hAnsi="宋体" w:cs="宋体"/>
                <w:color w:val="auto"/>
                <w:kern w:val="0"/>
                <w:sz w:val="21"/>
                <w:szCs w:val="21"/>
                <w:highlight w:val="none"/>
                <w:lang w:val="en-US" w:eastAsia="zh-CN"/>
              </w:rPr>
              <w:t>9</w:t>
            </w:r>
            <w:r>
              <w:rPr>
                <w:rFonts w:hint="eastAsia" w:ascii="宋体" w:hAnsi="宋体" w:eastAsia="宋体" w:cs="宋体"/>
                <w:color w:val="auto"/>
                <w:kern w:val="0"/>
                <w:sz w:val="21"/>
                <w:szCs w:val="21"/>
                <w:highlight w:val="none"/>
              </w:rPr>
              <w:t>分）</w:t>
            </w:r>
          </w:p>
        </w:tc>
        <w:tc>
          <w:tcPr>
            <w:tcW w:w="3678" w:type="pct"/>
          </w:tcPr>
          <w:p w14:paraId="180502C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）承诺100%提供正版图书，得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分；</w:t>
            </w:r>
          </w:p>
          <w:p w14:paraId="463CE4B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）承诺可提供图书征订目录及电子光盘，得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分；</w:t>
            </w:r>
          </w:p>
          <w:p w14:paraId="1F67B6F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）承诺正常征订7个工作日内到货，临时追订5个工作日内到货，得</w:t>
            </w:r>
            <w:r>
              <w:rPr>
                <w:rFonts w:hint="eastAsia" w:ascii="宋体" w:hAnsi="宋体" w:cs="宋体"/>
                <w:color w:val="auto"/>
                <w:sz w:val="21"/>
                <w:szCs w:val="21"/>
                <w:highlight w:val="none"/>
                <w:lang w:val="en-US" w:eastAsia="zh-CN"/>
              </w:rPr>
              <w:t>1.5</w:t>
            </w:r>
            <w:r>
              <w:rPr>
                <w:rFonts w:hint="eastAsia" w:ascii="宋体" w:hAnsi="宋体" w:eastAsia="宋体" w:cs="宋体"/>
                <w:color w:val="auto"/>
                <w:sz w:val="21"/>
                <w:szCs w:val="21"/>
                <w:highlight w:val="none"/>
                <w:lang w:val="zh-CN"/>
              </w:rPr>
              <w:t>分；</w:t>
            </w:r>
          </w:p>
          <w:p w14:paraId="5F8EEAC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Times New Roman" w:cs="宋体"/>
                <w:bCs/>
                <w:color w:val="auto"/>
                <w:kern w:val="0"/>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zh-CN"/>
              </w:rPr>
              <w:t>）承诺无条件接受临时零星的追、补、添订的急件教材，得</w:t>
            </w:r>
            <w:r>
              <w:rPr>
                <w:rFonts w:hint="eastAsia" w:ascii="宋体" w:hAnsi="宋体" w:cs="宋体"/>
                <w:color w:val="auto"/>
                <w:sz w:val="21"/>
                <w:szCs w:val="21"/>
                <w:highlight w:val="none"/>
                <w:lang w:val="en-US" w:eastAsia="zh-CN"/>
              </w:rPr>
              <w:t>1.5</w:t>
            </w:r>
            <w:r>
              <w:rPr>
                <w:rFonts w:hint="eastAsia" w:ascii="宋体" w:hAnsi="宋体" w:eastAsia="宋体" w:cs="宋体"/>
                <w:color w:val="auto"/>
                <w:sz w:val="21"/>
                <w:szCs w:val="21"/>
                <w:highlight w:val="none"/>
                <w:lang w:val="zh-CN"/>
              </w:rPr>
              <w:t>分</w:t>
            </w:r>
          </w:p>
        </w:tc>
        <w:tc>
          <w:tcPr>
            <w:tcW w:w="426" w:type="pct"/>
            <w:vAlign w:val="center"/>
          </w:tcPr>
          <w:p w14:paraId="50D9B9BD">
            <w:pPr>
              <w:spacing w:line="360" w:lineRule="auto"/>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9分</w:t>
            </w:r>
          </w:p>
        </w:tc>
      </w:tr>
      <w:tr w14:paraId="3D50A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340" w:type="pct"/>
            <w:vAlign w:val="center"/>
          </w:tcPr>
          <w:p w14:paraId="3884A4D4">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3.2</w:t>
            </w:r>
          </w:p>
        </w:tc>
        <w:tc>
          <w:tcPr>
            <w:tcW w:w="555" w:type="pct"/>
            <w:vAlign w:val="center"/>
          </w:tcPr>
          <w:p w14:paraId="5AB27539">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 xml:space="preserve">政策分（满分 </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 xml:space="preserve"> 分）</w:t>
            </w:r>
          </w:p>
        </w:tc>
        <w:tc>
          <w:tcPr>
            <w:tcW w:w="3678" w:type="pct"/>
          </w:tcPr>
          <w:p w14:paraId="2F52D7F1">
            <w:pPr>
              <w:spacing w:line="360" w:lineRule="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1）属于财政部《节能产品政府采购品目清单》内优先采购（清单内未标注“★”的品目）的产品[投标文件中提供有效的认证证书复印件及品目清单（标注出投标产品在品目清单中所属的品目），并加盖投标人电子签章]，根据其所占项目（或者分标）预算金额比例得</w:t>
            </w:r>
            <w:r>
              <w:rPr>
                <w:rFonts w:hint="eastAsia" w:ascii="宋体" w:hAnsi="宋体" w:eastAsia="宋体" w:cs="宋体"/>
                <w:bCs/>
                <w:color w:val="auto"/>
                <w:sz w:val="21"/>
                <w:szCs w:val="21"/>
                <w:highlight w:val="none"/>
                <w:u w:val="single"/>
              </w:rPr>
              <w:t xml:space="preserve">  0 </w:t>
            </w:r>
            <w:r>
              <w:rPr>
                <w:rFonts w:hint="eastAsia" w:ascii="宋体" w:hAnsi="宋体" w:eastAsia="宋体" w:cs="宋体"/>
                <w:bCs/>
                <w:color w:val="auto"/>
                <w:sz w:val="21"/>
                <w:szCs w:val="21"/>
                <w:highlight w:val="none"/>
              </w:rPr>
              <w:t>至</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0.5</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分，满分</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0.5</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分</w:t>
            </w:r>
            <w:r>
              <w:rPr>
                <w:rFonts w:hint="eastAsia" w:ascii="宋体" w:hAnsi="宋体" w:eastAsia="宋体" w:cs="宋体"/>
                <w:bCs/>
                <w:color w:val="auto"/>
                <w:sz w:val="21"/>
                <w:szCs w:val="21"/>
                <w:highlight w:val="none"/>
                <w:lang w:val="en-US" w:eastAsia="zh-CN"/>
              </w:rPr>
              <w:t>；</w:t>
            </w:r>
          </w:p>
          <w:p w14:paraId="7A45D5CA">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属于财政部《环境标志产品政府采购品目清单》内的产品[投标文件中提供有效的认证证书复印件及品目清单（标注出投标产品在品目清单中所属的品目），并加盖投标人电子签章，根据其所占项目（或者分标）预算金额比例得</w:t>
            </w:r>
            <w:r>
              <w:rPr>
                <w:rFonts w:hint="eastAsia" w:ascii="宋体" w:hAnsi="宋体" w:eastAsia="宋体" w:cs="宋体"/>
                <w:bCs/>
                <w:color w:val="auto"/>
                <w:sz w:val="21"/>
                <w:szCs w:val="21"/>
                <w:highlight w:val="none"/>
                <w:u w:val="single"/>
              </w:rPr>
              <w:t xml:space="preserve"> 0 </w:t>
            </w:r>
            <w:r>
              <w:rPr>
                <w:rFonts w:hint="eastAsia" w:ascii="宋体" w:hAnsi="宋体" w:eastAsia="宋体" w:cs="宋体"/>
                <w:bCs/>
                <w:color w:val="auto"/>
                <w:sz w:val="21"/>
                <w:szCs w:val="21"/>
                <w:highlight w:val="none"/>
              </w:rPr>
              <w:t>至</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0.5</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分，满分</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0.5</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分；</w:t>
            </w:r>
          </w:p>
          <w:p w14:paraId="6BB78B59">
            <w:pPr>
              <w:numPr>
                <w:ilvl w:val="0"/>
                <w:numId w:val="0"/>
              </w:numPr>
              <w:adjustRightInd w:val="0"/>
              <w:snapToGrid w:val="0"/>
              <w:spacing w:line="360" w:lineRule="auto"/>
              <w:rPr>
                <w:color w:val="auto"/>
                <w:szCs w:val="21"/>
                <w:highlight w:val="none"/>
              </w:rPr>
            </w:pPr>
            <w:r>
              <w:rPr>
                <w:rFonts w:hint="eastAsia" w:ascii="宋体" w:hAnsi="宋体" w:eastAsia="宋体" w:cs="宋体"/>
                <w:bCs/>
                <w:color w:val="auto"/>
                <w:sz w:val="21"/>
                <w:szCs w:val="21"/>
                <w:highlight w:val="none"/>
              </w:rPr>
              <w:t>（3）非节能、环境标志产品的不得分。</w:t>
            </w:r>
          </w:p>
        </w:tc>
        <w:tc>
          <w:tcPr>
            <w:tcW w:w="426" w:type="pct"/>
            <w:vAlign w:val="center"/>
          </w:tcPr>
          <w:p w14:paraId="4AB65217">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分</w:t>
            </w:r>
          </w:p>
        </w:tc>
      </w:tr>
      <w:tr w14:paraId="3B6D3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573" w:type="pct"/>
            <w:gridSpan w:val="3"/>
          </w:tcPr>
          <w:p w14:paraId="27650467">
            <w:pPr>
              <w:spacing w:line="360" w:lineRule="auto"/>
              <w:rPr>
                <w:rFonts w:ascii="宋体" w:hAnsi="宋体" w:cs="宋体"/>
                <w:bCs/>
                <w:color w:val="auto"/>
                <w:kern w:val="0"/>
                <w:szCs w:val="21"/>
                <w:highlight w:val="none"/>
              </w:rPr>
            </w:pPr>
            <w:r>
              <w:rPr>
                <w:rFonts w:hint="eastAsia" w:ascii="宋体" w:hAnsi="宋体" w:cs="宋体"/>
                <w:bCs/>
                <w:color w:val="auto"/>
                <w:kern w:val="0"/>
                <w:szCs w:val="21"/>
                <w:highlight w:val="none"/>
              </w:rPr>
              <w:t>4.总得分＝1+2+3</w:t>
            </w:r>
          </w:p>
        </w:tc>
        <w:tc>
          <w:tcPr>
            <w:tcW w:w="426" w:type="pct"/>
            <w:vAlign w:val="center"/>
          </w:tcPr>
          <w:p w14:paraId="5D98C4D7">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p>
        </w:tc>
      </w:tr>
    </w:tbl>
    <w:p w14:paraId="7A151C3C">
      <w:pPr>
        <w:rPr>
          <w:rFonts w:hint="eastAsia" w:ascii="宋体" w:hAnsi="宋体" w:cs="宋体"/>
          <w:color w:val="auto"/>
          <w:highlight w:val="none"/>
        </w:rPr>
      </w:pPr>
    </w:p>
    <w:p w14:paraId="6F1BB42E">
      <w:pPr>
        <w:pStyle w:val="41"/>
        <w:rPr>
          <w:rFonts w:hint="eastAsia"/>
          <w:color w:val="auto"/>
          <w:highlight w:val="none"/>
        </w:rPr>
      </w:pPr>
    </w:p>
    <w:p w14:paraId="414D274D">
      <w:pPr>
        <w:pStyle w:val="62"/>
        <w:rPr>
          <w:color w:val="auto"/>
          <w:highlight w:val="none"/>
        </w:rPr>
      </w:pPr>
    </w:p>
    <w:p w14:paraId="7D19B75B">
      <w:pPr>
        <w:pStyle w:val="24"/>
        <w:ind w:left="0" w:leftChars="0" w:right="1470" w:firstLine="750"/>
        <w:jc w:val="center"/>
        <w:rPr>
          <w:rFonts w:ascii="宋体" w:hAnsi="宋体" w:cs="宋体"/>
          <w:color w:val="auto"/>
          <w:sz w:val="30"/>
          <w:szCs w:val="30"/>
          <w:highlight w:val="none"/>
        </w:rPr>
      </w:pPr>
      <w:r>
        <w:rPr>
          <w:rFonts w:hint="eastAsia" w:ascii="宋体" w:hAnsi="宋体" w:cs="宋体"/>
          <w:color w:val="auto"/>
          <w:sz w:val="30"/>
          <w:szCs w:val="30"/>
          <w:highlight w:val="none"/>
        </w:rPr>
        <w:t>四、中标候选人推荐</w:t>
      </w:r>
    </w:p>
    <w:p w14:paraId="6B93BF48">
      <w:pPr>
        <w:pStyle w:val="27"/>
        <w:spacing w:line="360" w:lineRule="exact"/>
        <w:ind w:firstLine="602"/>
        <w:contextualSpacing/>
        <w:rPr>
          <w:rFonts w:hAnsi="宋体" w:cs="宋体"/>
          <w:b/>
          <w:bCs/>
          <w:color w:val="auto"/>
          <w:sz w:val="24"/>
          <w:szCs w:val="24"/>
          <w:highlight w:val="none"/>
        </w:rPr>
      </w:pPr>
      <w:r>
        <w:rPr>
          <w:rFonts w:hint="eastAsia" w:hAnsi="宋体" w:cs="宋体"/>
          <w:b/>
          <w:bCs/>
          <w:color w:val="auto"/>
          <w:sz w:val="24"/>
          <w:szCs w:val="24"/>
          <w:highlight w:val="none"/>
        </w:rPr>
        <w:t>综合评分法</w:t>
      </w:r>
    </w:p>
    <w:p w14:paraId="555CCF47">
      <w:pPr>
        <w:spacing w:line="360" w:lineRule="exact"/>
        <w:ind w:firstLine="420" w:firstLineChars="200"/>
        <w:contextualSpacing/>
        <w:rPr>
          <w:rFonts w:ascii="宋体" w:hAnsi="宋体" w:cs="宋体"/>
          <w:color w:val="auto"/>
          <w:kern w:val="0"/>
          <w:szCs w:val="21"/>
          <w:highlight w:val="none"/>
        </w:rPr>
      </w:pPr>
      <w:r>
        <w:rPr>
          <w:rFonts w:hint="eastAsia" w:ascii="宋体" w:hAnsi="宋体" w:cs="宋体"/>
          <w:color w:val="auto"/>
          <w:kern w:val="0"/>
          <w:szCs w:val="21"/>
          <w:highlight w:val="none"/>
        </w:rPr>
        <w:t>1.评标委员会根据原始评标记录和评标结果编写评标报告，并通过电子交易平台向采购人、采购代理机构提交。</w:t>
      </w:r>
    </w:p>
    <w:p w14:paraId="4CB33E4A">
      <w:pPr>
        <w:spacing w:line="360" w:lineRule="exact"/>
        <w:ind w:firstLine="420" w:firstLineChars="200"/>
        <w:contextualSpacing/>
        <w:rPr>
          <w:rFonts w:ascii="宋体" w:hAnsi="宋体" w:cs="宋体"/>
          <w:color w:val="auto"/>
          <w:kern w:val="0"/>
          <w:szCs w:val="21"/>
          <w:highlight w:val="none"/>
        </w:rPr>
      </w:pPr>
      <w:r>
        <w:rPr>
          <w:rFonts w:hint="eastAsia" w:ascii="宋体" w:hAnsi="宋体" w:cs="宋体"/>
          <w:color w:val="auto"/>
          <w:kern w:val="0"/>
          <w:szCs w:val="21"/>
          <w:highlight w:val="none"/>
        </w:rPr>
        <w:t>2.评标委员会将根据总得分由高到低排列次序并推荐中标候选人。得分相同的，以投标报价由低到高顺序排列。得分相同且投标报价相同的并列，按投标人须知前附表第30.1条推荐中标候选人。</w:t>
      </w:r>
    </w:p>
    <w:p w14:paraId="00069D3A">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br w:type="page"/>
      </w:r>
    </w:p>
    <w:p w14:paraId="2F24EEB5">
      <w:pPr>
        <w:spacing w:line="360" w:lineRule="exact"/>
        <w:ind w:firstLine="420" w:firstLineChars="200"/>
        <w:contextualSpacing/>
        <w:rPr>
          <w:rFonts w:ascii="宋体" w:hAnsi="宋体" w:cs="宋体"/>
          <w:color w:val="auto"/>
          <w:kern w:val="0"/>
          <w:szCs w:val="21"/>
          <w:highlight w:val="none"/>
        </w:rPr>
      </w:pPr>
    </w:p>
    <w:p w14:paraId="3AFFFF6B">
      <w:pPr>
        <w:rPr>
          <w:rFonts w:ascii="宋体" w:hAnsi="宋体" w:cs="宋体"/>
          <w:color w:val="auto"/>
          <w:highlight w:val="none"/>
        </w:rPr>
      </w:pPr>
    </w:p>
    <w:p w14:paraId="6B5C22F9">
      <w:pPr>
        <w:rPr>
          <w:rFonts w:ascii="宋体" w:hAnsi="宋体" w:cs="宋体"/>
          <w:color w:val="auto"/>
          <w:highlight w:val="none"/>
        </w:rPr>
      </w:pPr>
    </w:p>
    <w:p w14:paraId="3715AE43">
      <w:pPr>
        <w:rPr>
          <w:rFonts w:ascii="宋体" w:hAnsi="宋体" w:cs="宋体"/>
          <w:color w:val="auto"/>
          <w:highlight w:val="none"/>
        </w:rPr>
      </w:pPr>
    </w:p>
    <w:p w14:paraId="2AB6F77C">
      <w:pPr>
        <w:rPr>
          <w:rFonts w:ascii="宋体" w:hAnsi="宋体" w:cs="宋体"/>
          <w:color w:val="auto"/>
          <w:highlight w:val="none"/>
        </w:rPr>
      </w:pPr>
    </w:p>
    <w:p w14:paraId="5543ABF7">
      <w:pPr>
        <w:rPr>
          <w:rFonts w:ascii="宋体" w:hAnsi="宋体" w:cs="宋体"/>
          <w:color w:val="auto"/>
          <w:highlight w:val="none"/>
        </w:rPr>
      </w:pPr>
    </w:p>
    <w:p w14:paraId="28D46734">
      <w:pPr>
        <w:rPr>
          <w:rFonts w:ascii="宋体" w:hAnsi="宋体" w:cs="宋体"/>
          <w:color w:val="auto"/>
          <w:highlight w:val="none"/>
        </w:rPr>
      </w:pPr>
    </w:p>
    <w:p w14:paraId="601ED429">
      <w:pPr>
        <w:rPr>
          <w:rFonts w:ascii="宋体" w:hAnsi="宋体" w:cs="宋体"/>
          <w:color w:val="auto"/>
          <w:highlight w:val="none"/>
        </w:rPr>
      </w:pPr>
    </w:p>
    <w:p w14:paraId="7551C819">
      <w:pPr>
        <w:rPr>
          <w:rFonts w:ascii="宋体" w:hAnsi="宋体" w:cs="宋体"/>
          <w:color w:val="auto"/>
          <w:highlight w:val="none"/>
        </w:rPr>
      </w:pPr>
    </w:p>
    <w:p w14:paraId="2B33E201">
      <w:pPr>
        <w:rPr>
          <w:rFonts w:ascii="宋体" w:hAnsi="宋体" w:cs="宋体"/>
          <w:color w:val="auto"/>
          <w:highlight w:val="none"/>
        </w:rPr>
      </w:pPr>
    </w:p>
    <w:p w14:paraId="07DE1481">
      <w:pPr>
        <w:rPr>
          <w:rFonts w:ascii="宋体" w:hAnsi="宋体" w:cs="宋体"/>
          <w:color w:val="auto"/>
          <w:highlight w:val="none"/>
        </w:rPr>
      </w:pPr>
    </w:p>
    <w:p w14:paraId="31CF5A66">
      <w:pPr>
        <w:rPr>
          <w:rFonts w:ascii="宋体" w:hAnsi="宋体" w:cs="宋体"/>
          <w:color w:val="auto"/>
          <w:highlight w:val="none"/>
        </w:rPr>
      </w:pPr>
    </w:p>
    <w:p w14:paraId="4B2C59C0">
      <w:pPr>
        <w:rPr>
          <w:rFonts w:ascii="宋体" w:hAnsi="宋体" w:cs="宋体"/>
          <w:color w:val="auto"/>
          <w:highlight w:val="none"/>
        </w:rPr>
      </w:pPr>
    </w:p>
    <w:p w14:paraId="4F432F12">
      <w:pPr>
        <w:rPr>
          <w:rFonts w:ascii="宋体" w:hAnsi="宋体" w:cs="宋体"/>
          <w:color w:val="auto"/>
          <w:highlight w:val="none"/>
        </w:rPr>
      </w:pPr>
    </w:p>
    <w:p w14:paraId="4530D823">
      <w:pPr>
        <w:rPr>
          <w:rFonts w:ascii="宋体" w:hAnsi="宋体" w:cs="宋体"/>
          <w:color w:val="auto"/>
          <w:highlight w:val="none"/>
        </w:rPr>
      </w:pPr>
    </w:p>
    <w:p w14:paraId="36ADE7F5">
      <w:pPr>
        <w:rPr>
          <w:rFonts w:ascii="宋体" w:hAnsi="宋体" w:cs="宋体"/>
          <w:color w:val="auto"/>
          <w:highlight w:val="none"/>
        </w:rPr>
      </w:pPr>
    </w:p>
    <w:p w14:paraId="3F5EE2B3">
      <w:pPr>
        <w:rPr>
          <w:rFonts w:ascii="宋体" w:hAnsi="宋体" w:cs="宋体"/>
          <w:color w:val="auto"/>
          <w:highlight w:val="none"/>
        </w:rPr>
      </w:pPr>
    </w:p>
    <w:p w14:paraId="1C66DB5D">
      <w:pPr>
        <w:rPr>
          <w:rFonts w:ascii="宋体" w:hAnsi="宋体" w:cs="宋体"/>
          <w:color w:val="auto"/>
          <w:highlight w:val="none"/>
        </w:rPr>
      </w:pPr>
    </w:p>
    <w:p w14:paraId="3778EB2B">
      <w:pPr>
        <w:rPr>
          <w:rFonts w:ascii="宋体" w:hAnsi="宋体" w:cs="宋体"/>
          <w:color w:val="auto"/>
          <w:highlight w:val="none"/>
        </w:rPr>
      </w:pPr>
    </w:p>
    <w:p w14:paraId="63140D83">
      <w:pPr>
        <w:rPr>
          <w:rFonts w:ascii="宋体" w:hAnsi="宋体" w:cs="宋体"/>
          <w:color w:val="auto"/>
          <w:highlight w:val="none"/>
        </w:rPr>
      </w:pPr>
    </w:p>
    <w:p w14:paraId="67FAB518">
      <w:pPr>
        <w:rPr>
          <w:rFonts w:ascii="宋体" w:hAnsi="宋体" w:cs="宋体"/>
          <w:color w:val="auto"/>
          <w:highlight w:val="none"/>
        </w:rPr>
      </w:pPr>
    </w:p>
    <w:p w14:paraId="2B70F531">
      <w:pPr>
        <w:rPr>
          <w:rFonts w:ascii="宋体" w:hAnsi="宋体" w:cs="宋体"/>
          <w:color w:val="auto"/>
          <w:highlight w:val="none"/>
        </w:rPr>
      </w:pPr>
    </w:p>
    <w:p w14:paraId="61D83DBE">
      <w:pPr>
        <w:rPr>
          <w:rFonts w:ascii="宋体" w:hAnsi="宋体" w:cs="宋体"/>
          <w:color w:val="auto"/>
          <w:highlight w:val="none"/>
        </w:rPr>
      </w:pPr>
    </w:p>
    <w:p w14:paraId="44F2726E">
      <w:pPr>
        <w:pStyle w:val="2"/>
        <w:ind w:firstLine="1104"/>
        <w:jc w:val="center"/>
        <w:rPr>
          <w:rFonts w:ascii="宋体" w:hAnsi="宋体" w:cs="宋体"/>
          <w:color w:val="auto"/>
          <w:highlight w:val="none"/>
        </w:rPr>
      </w:pPr>
      <w:bookmarkStart w:id="135" w:name="_Toc16823"/>
      <w:r>
        <w:rPr>
          <w:rFonts w:hint="eastAsia" w:ascii="宋体" w:hAnsi="宋体" w:cs="宋体"/>
          <w:color w:val="auto"/>
          <w:highlight w:val="none"/>
        </w:rPr>
        <w:t>第五章  拟签订的合同文本</w:t>
      </w:r>
      <w:bookmarkEnd w:id="135"/>
    </w:p>
    <w:p w14:paraId="3B16F6B6">
      <w:pPr>
        <w:snapToGrid w:val="0"/>
        <w:ind w:firstLine="800"/>
        <w:jc w:val="center"/>
        <w:rPr>
          <w:rFonts w:ascii="宋体" w:hAnsi="宋体" w:cs="宋体"/>
          <w:bCs/>
          <w:color w:val="auto"/>
          <w:sz w:val="32"/>
          <w:szCs w:val="32"/>
          <w:highlight w:val="none"/>
        </w:rPr>
      </w:pPr>
    </w:p>
    <w:p w14:paraId="784E50DC">
      <w:pPr>
        <w:snapToGrid w:val="0"/>
        <w:ind w:firstLine="800"/>
        <w:jc w:val="center"/>
        <w:rPr>
          <w:rFonts w:ascii="宋体" w:hAnsi="宋体" w:cs="宋体"/>
          <w:bCs/>
          <w:color w:val="auto"/>
          <w:sz w:val="32"/>
          <w:szCs w:val="32"/>
          <w:highlight w:val="none"/>
        </w:rPr>
      </w:pPr>
    </w:p>
    <w:p w14:paraId="2C8D6140">
      <w:pPr>
        <w:snapToGrid w:val="0"/>
        <w:ind w:firstLine="800"/>
        <w:jc w:val="center"/>
        <w:rPr>
          <w:rFonts w:ascii="宋体" w:hAnsi="宋体" w:cs="宋体"/>
          <w:bCs/>
          <w:color w:val="auto"/>
          <w:sz w:val="32"/>
          <w:szCs w:val="32"/>
          <w:highlight w:val="none"/>
        </w:rPr>
      </w:pPr>
    </w:p>
    <w:p w14:paraId="0CD5C3F2">
      <w:pPr>
        <w:snapToGrid w:val="0"/>
        <w:ind w:firstLine="800"/>
        <w:jc w:val="center"/>
        <w:rPr>
          <w:rFonts w:ascii="宋体" w:hAnsi="宋体" w:cs="宋体"/>
          <w:bCs/>
          <w:color w:val="auto"/>
          <w:sz w:val="32"/>
          <w:szCs w:val="32"/>
          <w:highlight w:val="none"/>
        </w:rPr>
      </w:pPr>
    </w:p>
    <w:p w14:paraId="225F6AF9">
      <w:pPr>
        <w:snapToGrid w:val="0"/>
        <w:ind w:firstLine="800"/>
        <w:jc w:val="center"/>
        <w:rPr>
          <w:rFonts w:ascii="宋体" w:hAnsi="宋体" w:cs="宋体"/>
          <w:bCs/>
          <w:color w:val="auto"/>
          <w:sz w:val="32"/>
          <w:szCs w:val="32"/>
          <w:highlight w:val="none"/>
        </w:rPr>
      </w:pPr>
    </w:p>
    <w:p w14:paraId="0802A594">
      <w:pPr>
        <w:snapToGrid w:val="0"/>
        <w:ind w:firstLine="800"/>
        <w:jc w:val="center"/>
        <w:rPr>
          <w:rFonts w:ascii="宋体" w:hAnsi="宋体" w:cs="宋体"/>
          <w:bCs/>
          <w:color w:val="auto"/>
          <w:sz w:val="32"/>
          <w:szCs w:val="32"/>
          <w:highlight w:val="none"/>
        </w:rPr>
      </w:pPr>
    </w:p>
    <w:p w14:paraId="7E1B22D7">
      <w:pPr>
        <w:snapToGrid w:val="0"/>
        <w:ind w:firstLine="800"/>
        <w:jc w:val="center"/>
        <w:rPr>
          <w:rFonts w:ascii="宋体" w:hAnsi="宋体" w:cs="宋体"/>
          <w:bCs/>
          <w:color w:val="auto"/>
          <w:sz w:val="32"/>
          <w:szCs w:val="32"/>
          <w:highlight w:val="none"/>
        </w:rPr>
      </w:pPr>
    </w:p>
    <w:p w14:paraId="2B7D2D69">
      <w:pPr>
        <w:snapToGrid w:val="0"/>
        <w:ind w:firstLine="800"/>
        <w:jc w:val="center"/>
        <w:rPr>
          <w:rFonts w:ascii="宋体" w:hAnsi="宋体" w:cs="宋体"/>
          <w:bCs/>
          <w:color w:val="auto"/>
          <w:sz w:val="32"/>
          <w:szCs w:val="32"/>
          <w:highlight w:val="none"/>
        </w:rPr>
      </w:pPr>
    </w:p>
    <w:p w14:paraId="5FDFA908">
      <w:pPr>
        <w:snapToGrid w:val="0"/>
        <w:ind w:firstLine="800"/>
        <w:jc w:val="center"/>
        <w:rPr>
          <w:rFonts w:ascii="宋体" w:hAnsi="宋体" w:cs="宋体"/>
          <w:bCs/>
          <w:color w:val="auto"/>
          <w:sz w:val="32"/>
          <w:szCs w:val="32"/>
          <w:highlight w:val="none"/>
        </w:rPr>
      </w:pPr>
    </w:p>
    <w:p w14:paraId="48FF30CE">
      <w:pPr>
        <w:snapToGrid w:val="0"/>
        <w:spacing w:line="400" w:lineRule="exact"/>
        <w:ind w:firstLine="800"/>
        <w:jc w:val="center"/>
        <w:rPr>
          <w:rFonts w:ascii="宋体" w:hAnsi="宋体" w:cs="宋体"/>
          <w:b/>
          <w:color w:val="auto"/>
          <w:sz w:val="32"/>
          <w:szCs w:val="32"/>
          <w:highlight w:val="none"/>
        </w:rPr>
      </w:pPr>
      <w:r>
        <w:rPr>
          <w:rFonts w:hint="eastAsia" w:ascii="宋体" w:hAnsi="宋体" w:cs="宋体"/>
          <w:bCs/>
          <w:color w:val="auto"/>
          <w:sz w:val="32"/>
          <w:szCs w:val="32"/>
          <w:highlight w:val="none"/>
        </w:rPr>
        <w:br w:type="page"/>
      </w:r>
      <w:bookmarkStart w:id="136" w:name="_Hlk55381736"/>
      <w:r>
        <w:rPr>
          <w:rFonts w:hint="eastAsia" w:ascii="宋体" w:hAnsi="宋体" w:cs="宋体"/>
          <w:b/>
          <w:bCs/>
          <w:color w:val="auto"/>
          <w:sz w:val="32"/>
          <w:szCs w:val="32"/>
          <w:highlight w:val="none"/>
        </w:rPr>
        <w:t>《广西壮族自治区政府采购合同》</w:t>
      </w:r>
      <w:r>
        <w:rPr>
          <w:rFonts w:hint="eastAsia" w:ascii="宋体" w:hAnsi="宋体" w:cs="宋体"/>
          <w:b/>
          <w:color w:val="auto"/>
          <w:sz w:val="32"/>
          <w:szCs w:val="32"/>
          <w:highlight w:val="none"/>
        </w:rPr>
        <w:t>文本</w:t>
      </w:r>
    </w:p>
    <w:p w14:paraId="4FFBC80E">
      <w:pPr>
        <w:snapToGrid w:val="0"/>
        <w:spacing w:line="400" w:lineRule="exact"/>
        <w:ind w:firstLine="803"/>
        <w:jc w:val="center"/>
        <w:rPr>
          <w:rFonts w:ascii="宋体" w:hAnsi="宋体" w:cs="宋体"/>
          <w:b/>
          <w:color w:val="auto"/>
          <w:sz w:val="32"/>
          <w:szCs w:val="32"/>
          <w:highlight w:val="none"/>
        </w:rPr>
      </w:pPr>
    </w:p>
    <w:p w14:paraId="27CEEACE">
      <w:pPr>
        <w:snapToGrid w:val="0"/>
        <w:spacing w:line="400" w:lineRule="exact"/>
        <w:rPr>
          <w:rFonts w:ascii="宋体" w:hAnsi="宋体" w:cs="宋体"/>
          <w:color w:val="auto"/>
          <w:szCs w:val="21"/>
          <w:highlight w:val="none"/>
          <w:u w:val="single"/>
        </w:rPr>
      </w:pPr>
      <w:r>
        <w:rPr>
          <w:rFonts w:hint="eastAsia" w:ascii="宋体" w:hAnsi="宋体" w:cs="宋体"/>
          <w:color w:val="auto"/>
          <w:szCs w:val="21"/>
          <w:highlight w:val="none"/>
        </w:rPr>
        <w:t>采购单位（甲方）</w:t>
      </w:r>
      <w:r>
        <w:rPr>
          <w:rFonts w:hint="eastAsia" w:ascii="宋体" w:hAnsi="宋体" w:cs="宋体"/>
          <w:color w:val="auto"/>
          <w:szCs w:val="21"/>
          <w:highlight w:val="none"/>
          <w:u w:val="single"/>
        </w:rPr>
        <w:t xml:space="preserve">  大新县教育局     </w:t>
      </w:r>
      <w:r>
        <w:rPr>
          <w:rFonts w:hint="eastAsia" w:ascii="宋体" w:hAnsi="宋体" w:cs="宋体"/>
          <w:color w:val="auto"/>
          <w:szCs w:val="21"/>
          <w:highlight w:val="none"/>
        </w:rPr>
        <w:t xml:space="preserve">  </w:t>
      </w:r>
    </w:p>
    <w:p w14:paraId="5810F72D">
      <w:pPr>
        <w:snapToGrid w:val="0"/>
        <w:spacing w:line="400" w:lineRule="exact"/>
        <w:rPr>
          <w:rFonts w:ascii="宋体" w:hAnsi="宋体" w:cs="宋体"/>
          <w:color w:val="auto"/>
          <w:szCs w:val="21"/>
          <w:highlight w:val="none"/>
          <w:u w:val="single"/>
        </w:rPr>
      </w:pPr>
      <w:r>
        <w:rPr>
          <w:rFonts w:hint="eastAsia" w:ascii="宋体" w:hAnsi="宋体" w:cs="宋体"/>
          <w:color w:val="auto"/>
          <w:szCs w:val="21"/>
          <w:highlight w:val="none"/>
        </w:rPr>
        <w:t>供 应 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pacing w:val="-20"/>
          <w:szCs w:val="21"/>
          <w:highlight w:val="none"/>
        </w:rPr>
        <w:t>招  标  编  号</w:t>
      </w:r>
      <w:r>
        <w:rPr>
          <w:rFonts w:hint="eastAsia" w:ascii="宋体" w:hAnsi="宋体" w:cs="宋体"/>
          <w:color w:val="auto"/>
          <w:szCs w:val="21"/>
          <w:highlight w:val="none"/>
          <w:u w:val="single"/>
        </w:rPr>
        <w:t xml:space="preserve">                     </w:t>
      </w:r>
    </w:p>
    <w:p w14:paraId="579F4BFC">
      <w:pPr>
        <w:snapToGrid w:val="0"/>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签  订  地  点  </w:t>
      </w:r>
      <w:r>
        <w:rPr>
          <w:rFonts w:hint="eastAsia" w:ascii="宋体" w:hAnsi="宋体" w:cs="宋体"/>
          <w:color w:val="auto"/>
          <w:szCs w:val="21"/>
          <w:highlight w:val="none"/>
          <w:u w:val="single"/>
        </w:rPr>
        <w:t xml:space="preserve">   大新县                   </w:t>
      </w:r>
      <w:r>
        <w:rPr>
          <w:rFonts w:hint="eastAsia" w:ascii="宋体" w:hAnsi="宋体" w:cs="宋体"/>
          <w:color w:val="auto"/>
          <w:szCs w:val="21"/>
          <w:highlight w:val="none"/>
        </w:rPr>
        <w:t xml:space="preserve">  签 订 时 间</w:t>
      </w:r>
      <w:r>
        <w:rPr>
          <w:rFonts w:hint="eastAsia" w:ascii="宋体" w:hAnsi="宋体" w:cs="宋体"/>
          <w:color w:val="auto"/>
          <w:szCs w:val="21"/>
          <w:highlight w:val="none"/>
          <w:u w:val="single"/>
        </w:rPr>
        <w:t xml:space="preserve">                    </w:t>
      </w:r>
    </w:p>
    <w:p w14:paraId="244E9A39">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根据《中华人民共和国政府采购法》、《中华人民共和国民法典》等法律、法规规定，按照采购文件规定条款和中标供应商承诺，甲乙双方签订本合同。</w:t>
      </w:r>
    </w:p>
    <w:p w14:paraId="3005623A">
      <w:pPr>
        <w:snapToGrid w:val="0"/>
        <w:spacing w:line="400" w:lineRule="exact"/>
        <w:ind w:firstLine="422" w:firstLineChars="200"/>
        <w:rPr>
          <w:rFonts w:ascii="宋体" w:hAnsi="宋体" w:cs="宋体"/>
          <w:color w:val="auto"/>
          <w:szCs w:val="21"/>
          <w:highlight w:val="none"/>
        </w:rPr>
      </w:pPr>
      <w:r>
        <w:rPr>
          <w:rFonts w:hint="eastAsia" w:ascii="宋体" w:hAnsi="宋体" w:cs="宋体"/>
          <w:b/>
          <w:bCs/>
          <w:color w:val="auto"/>
          <w:szCs w:val="21"/>
          <w:highlight w:val="none"/>
        </w:rPr>
        <w:t>第一条 合同标的</w:t>
      </w:r>
    </w:p>
    <w:p w14:paraId="1DAC64D7">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1.合同总金额：                          。</w:t>
      </w:r>
    </w:p>
    <w:p w14:paraId="6BD9D5B4">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1）、大型企业金额：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；比例：</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413156B1">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2）、中小企业金额：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；比例：</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6795AA30">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3）、小微企业金额：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；比例：</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381EAE88">
      <w:pPr>
        <w:spacing w:after="96" w:afterLines="40" w:line="400" w:lineRule="exact"/>
        <w:ind w:firstLine="420" w:firstLineChars="200"/>
        <w:rPr>
          <w:rFonts w:ascii="宋体" w:hAnsi="宋体" w:cs="宋体"/>
          <w:color w:val="auto"/>
          <w:szCs w:val="21"/>
          <w:highlight w:val="none"/>
        </w:rPr>
      </w:pPr>
      <w:r>
        <w:rPr>
          <w:rFonts w:hint="eastAsia" w:ascii="宋体" w:hAnsi="宋体" w:cs="宋体"/>
          <w:color w:val="auto"/>
          <w:kern w:val="1"/>
          <w:szCs w:val="21"/>
          <w:highlight w:val="none"/>
        </w:rPr>
        <w:t>2</w:t>
      </w:r>
      <w:r>
        <w:rPr>
          <w:rFonts w:hint="eastAsia" w:ascii="宋体" w:hAnsi="宋体" w:cs="宋体"/>
          <w:color w:val="auto"/>
          <w:kern w:val="1"/>
          <w:szCs w:val="21"/>
          <w:highlight w:val="none"/>
          <w:lang w:eastAsia="ar-SA"/>
        </w:rPr>
        <w:t>.</w:t>
      </w:r>
      <w:r>
        <w:rPr>
          <w:rFonts w:hint="eastAsia" w:ascii="宋体" w:hAnsi="宋体" w:cs="宋体"/>
          <w:color w:val="auto"/>
          <w:szCs w:val="21"/>
          <w:highlight w:val="none"/>
        </w:rPr>
        <w:t>供货一览表</w:t>
      </w: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04"/>
        <w:gridCol w:w="1104"/>
        <w:gridCol w:w="1390"/>
        <w:gridCol w:w="1088"/>
        <w:gridCol w:w="1069"/>
        <w:gridCol w:w="1087"/>
        <w:gridCol w:w="1203"/>
      </w:tblGrid>
      <w:tr w14:paraId="57BC8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675" w:type="dxa"/>
            <w:vAlign w:val="center"/>
          </w:tcPr>
          <w:p w14:paraId="2ED45FAB">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104" w:type="dxa"/>
            <w:vAlign w:val="center"/>
          </w:tcPr>
          <w:p w14:paraId="5C7811C8">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产品名称</w:t>
            </w:r>
          </w:p>
        </w:tc>
        <w:tc>
          <w:tcPr>
            <w:tcW w:w="1104" w:type="dxa"/>
            <w:vAlign w:val="center"/>
          </w:tcPr>
          <w:p w14:paraId="147763EF">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商标品牌</w:t>
            </w:r>
          </w:p>
        </w:tc>
        <w:tc>
          <w:tcPr>
            <w:tcW w:w="1390" w:type="dxa"/>
            <w:vAlign w:val="center"/>
          </w:tcPr>
          <w:p w14:paraId="1FF816DF">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规格型号</w:t>
            </w:r>
          </w:p>
        </w:tc>
        <w:tc>
          <w:tcPr>
            <w:tcW w:w="1088" w:type="dxa"/>
            <w:vAlign w:val="center"/>
          </w:tcPr>
          <w:p w14:paraId="6073116E">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生产厂家</w:t>
            </w:r>
          </w:p>
        </w:tc>
        <w:tc>
          <w:tcPr>
            <w:tcW w:w="1069" w:type="dxa"/>
            <w:vAlign w:val="center"/>
          </w:tcPr>
          <w:p w14:paraId="1A1EDF56">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数量</w:t>
            </w:r>
          </w:p>
          <w:p w14:paraId="61D5CE61">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1087" w:type="dxa"/>
            <w:vAlign w:val="center"/>
          </w:tcPr>
          <w:p w14:paraId="3295BC5A">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单价(元)</w:t>
            </w:r>
          </w:p>
        </w:tc>
        <w:tc>
          <w:tcPr>
            <w:tcW w:w="1203" w:type="dxa"/>
            <w:vAlign w:val="center"/>
          </w:tcPr>
          <w:p w14:paraId="04070901">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金额(元)</w:t>
            </w:r>
          </w:p>
        </w:tc>
      </w:tr>
      <w:tr w14:paraId="202FF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675" w:type="dxa"/>
            <w:vAlign w:val="center"/>
          </w:tcPr>
          <w:p w14:paraId="7791CF0D">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1104" w:type="dxa"/>
            <w:vAlign w:val="center"/>
          </w:tcPr>
          <w:p w14:paraId="76340A32">
            <w:pPr>
              <w:spacing w:line="400" w:lineRule="exact"/>
              <w:jc w:val="center"/>
              <w:rPr>
                <w:rFonts w:ascii="宋体" w:hAnsi="宋体" w:cs="宋体"/>
                <w:color w:val="auto"/>
                <w:szCs w:val="21"/>
                <w:highlight w:val="none"/>
              </w:rPr>
            </w:pPr>
          </w:p>
        </w:tc>
        <w:tc>
          <w:tcPr>
            <w:tcW w:w="1104" w:type="dxa"/>
            <w:vAlign w:val="center"/>
          </w:tcPr>
          <w:p w14:paraId="22425472">
            <w:pPr>
              <w:spacing w:line="400" w:lineRule="exact"/>
              <w:rPr>
                <w:rFonts w:ascii="宋体" w:hAnsi="宋体" w:cs="宋体"/>
                <w:color w:val="auto"/>
                <w:szCs w:val="21"/>
                <w:highlight w:val="none"/>
              </w:rPr>
            </w:pPr>
          </w:p>
        </w:tc>
        <w:tc>
          <w:tcPr>
            <w:tcW w:w="1390" w:type="dxa"/>
            <w:vAlign w:val="center"/>
          </w:tcPr>
          <w:p w14:paraId="763CF57D">
            <w:pPr>
              <w:spacing w:line="400" w:lineRule="exact"/>
              <w:jc w:val="center"/>
              <w:rPr>
                <w:rFonts w:ascii="宋体" w:hAnsi="宋体" w:cs="宋体"/>
                <w:color w:val="auto"/>
                <w:szCs w:val="21"/>
                <w:highlight w:val="none"/>
              </w:rPr>
            </w:pPr>
          </w:p>
        </w:tc>
        <w:tc>
          <w:tcPr>
            <w:tcW w:w="1088" w:type="dxa"/>
            <w:vAlign w:val="center"/>
          </w:tcPr>
          <w:p w14:paraId="4E0AC451">
            <w:pPr>
              <w:spacing w:line="400" w:lineRule="exact"/>
              <w:jc w:val="center"/>
              <w:rPr>
                <w:rFonts w:ascii="宋体" w:hAnsi="宋体" w:cs="宋体"/>
                <w:color w:val="auto"/>
                <w:szCs w:val="21"/>
                <w:highlight w:val="none"/>
              </w:rPr>
            </w:pPr>
          </w:p>
        </w:tc>
        <w:tc>
          <w:tcPr>
            <w:tcW w:w="1069" w:type="dxa"/>
            <w:vAlign w:val="center"/>
          </w:tcPr>
          <w:p w14:paraId="169ACC0B">
            <w:pPr>
              <w:spacing w:line="400" w:lineRule="exact"/>
              <w:jc w:val="center"/>
              <w:rPr>
                <w:rFonts w:ascii="宋体" w:hAnsi="宋体" w:cs="宋体"/>
                <w:color w:val="auto"/>
                <w:szCs w:val="21"/>
                <w:highlight w:val="none"/>
              </w:rPr>
            </w:pPr>
          </w:p>
        </w:tc>
        <w:tc>
          <w:tcPr>
            <w:tcW w:w="1087" w:type="dxa"/>
            <w:vAlign w:val="center"/>
          </w:tcPr>
          <w:p w14:paraId="3AEF55B4">
            <w:pPr>
              <w:spacing w:line="400" w:lineRule="exact"/>
              <w:jc w:val="center"/>
              <w:rPr>
                <w:rFonts w:ascii="宋体" w:hAnsi="宋体" w:cs="宋体"/>
                <w:color w:val="auto"/>
                <w:szCs w:val="21"/>
                <w:highlight w:val="none"/>
              </w:rPr>
            </w:pPr>
          </w:p>
        </w:tc>
        <w:tc>
          <w:tcPr>
            <w:tcW w:w="1203" w:type="dxa"/>
            <w:vAlign w:val="center"/>
          </w:tcPr>
          <w:p w14:paraId="5406D693">
            <w:pPr>
              <w:spacing w:line="400" w:lineRule="exact"/>
              <w:jc w:val="center"/>
              <w:rPr>
                <w:rFonts w:ascii="宋体" w:hAnsi="宋体" w:cs="宋体"/>
                <w:color w:val="auto"/>
                <w:szCs w:val="21"/>
                <w:highlight w:val="none"/>
              </w:rPr>
            </w:pPr>
          </w:p>
        </w:tc>
      </w:tr>
      <w:tr w14:paraId="503D2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720" w:type="dxa"/>
            <w:gridSpan w:val="8"/>
            <w:vAlign w:val="center"/>
          </w:tcPr>
          <w:p w14:paraId="4606A5EA">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人民币合计金额(大写)                    (小写)               </w:t>
            </w:r>
          </w:p>
        </w:tc>
      </w:tr>
    </w:tbl>
    <w:p w14:paraId="3D171AD5">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合同合计金额包含货物、货物标准附件、备品备件、专用工具、设备安装辅材、施工辅材、包装、运输、装卸、保险、货到就位、培训费的各种费用以及安装、调试等本采购文件所列设备材料需进行补充完善才能完成本项目的或实际采购中产品材料有任何遗漏的费用（含本项目需要但本文件中未列出的设备材料）、税金、售后服务、技术培训及其他所有成本费用，以及合同明示或暗示的所有责任、义务和一般风险等一切费用。如公告规定、采购文件及投标文件对其另有规定的，从其规定。</w:t>
      </w:r>
    </w:p>
    <w:p w14:paraId="19C5602C">
      <w:pPr>
        <w:numPr>
          <w:ilvl w:val="0"/>
          <w:numId w:val="8"/>
        </w:numPr>
        <w:snapToGrid w:val="0"/>
        <w:spacing w:line="40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分包</w:t>
      </w:r>
    </w:p>
    <w:p w14:paraId="2494C66B">
      <w:pPr>
        <w:snapToGrid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允许分包</w:t>
      </w:r>
    </w:p>
    <w:p w14:paraId="114A28F4">
      <w:pPr>
        <w:snapToGrid w:val="0"/>
        <w:spacing w:line="40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rPr>
        <w:t>第三条　质量要求</w:t>
      </w:r>
    </w:p>
    <w:p w14:paraId="7E159D29">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1.乙方所提供的产品名称、商标品牌、生产厂家、规格型号、技术参数等质量必须与招标文件规定及投标文件承诺相一致。乙方提供的节能和环保产品必须是列入政府采购品目清单的产品。</w:t>
      </w:r>
    </w:p>
    <w:p w14:paraId="62CC65AD">
      <w:pPr>
        <w:snapToGrid w:val="0"/>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2.乙方所提供的货物必须是全新、未使用的原装产品，且在正常安装、使用和保养条件下，其使用寿命期内各项指标均达到招标文件规定或者投标文件承诺的质量要求。</w:t>
      </w:r>
    </w:p>
    <w:p w14:paraId="08A03649">
      <w:pPr>
        <w:snapToGrid w:val="0"/>
        <w:spacing w:line="40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rPr>
        <w:t>第四条　权利保证</w:t>
      </w:r>
    </w:p>
    <w:p w14:paraId="5CDDF1DF">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1.乙方应保证所提供货物在使用时不会侵犯任何第三方的专利权、商标权、工业设计权或者其他权利。</w:t>
      </w:r>
    </w:p>
    <w:p w14:paraId="2FBC3B5E">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2.乙方应按招标文件规定或者投标文件承诺的时间向甲方提供使用货物的有关技术资料。</w:t>
      </w:r>
    </w:p>
    <w:p w14:paraId="3F9E096C">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w:t>
      </w:r>
    </w:p>
    <w:p w14:paraId="1031AF3F">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4.乙方保证将要交付的货物的所有权完全属于乙方且无任何抵押、质押、查封等产权瑕疵。</w:t>
      </w:r>
    </w:p>
    <w:p w14:paraId="7174D977">
      <w:pPr>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第五条　包装和运输</w:t>
      </w:r>
    </w:p>
    <w:p w14:paraId="63374CB1">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1.乙方提供的货物均应按招标文件规定或者投标文件承诺的要求的包装材料、包装标准、包装方式进行包装，每一包装单元内应附详细的装箱单和质量合格证。</w:t>
      </w:r>
    </w:p>
    <w:p w14:paraId="75D2D364">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2.货物的运输方式：</w:t>
      </w:r>
      <w:r>
        <w:rPr>
          <w:rFonts w:hint="eastAsia" w:ascii="宋体" w:hAnsi="宋体" w:cs="宋体"/>
          <w:color w:val="auto"/>
          <w:szCs w:val="21"/>
          <w:highlight w:val="none"/>
          <w:u w:val="single"/>
        </w:rPr>
        <w:t xml:space="preserve">             。</w:t>
      </w:r>
    </w:p>
    <w:p w14:paraId="2C80936F">
      <w:pPr>
        <w:snapToGrid w:val="0"/>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3.乙方负责货物运输，货物运输合理损耗及计算方法：</w:t>
      </w:r>
      <w:r>
        <w:rPr>
          <w:rFonts w:hint="eastAsia" w:ascii="宋体" w:hAnsi="宋体" w:cs="宋体"/>
          <w:color w:val="auto"/>
          <w:szCs w:val="21"/>
          <w:highlight w:val="none"/>
          <w:u w:val="single"/>
        </w:rPr>
        <w:t xml:space="preserve">                 。</w:t>
      </w:r>
    </w:p>
    <w:p w14:paraId="5516930C">
      <w:pPr>
        <w:snapToGrid w:val="0"/>
        <w:spacing w:line="40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rPr>
        <w:t>第六条　交付和验收</w:t>
      </w:r>
    </w:p>
    <w:p w14:paraId="5AD9A301">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1.交货验收时间：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；交付地点：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2281EA10">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2.乙方提供不符合招标文件规定或者投标文件承诺的和本合同规定的货物，甲方有权拒绝接受。</w:t>
      </w:r>
    </w:p>
    <w:p w14:paraId="1A34C434">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3.乙方应将所提供货物的装箱清单、用户手册、随机资料、工具和备品、备件等交付给甲方，货物属于进口产品的，供货时应同时附上中文使用说明书，如有缺失应在合理的规定时间内补齐，否则视为逾期交货。</w:t>
      </w:r>
    </w:p>
    <w:p w14:paraId="2DA2EAF3">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4.甲方可在货物达到验收条件后十五个工作日内进行验收。验收合格后由甲乙双方签署货物验收单并加盖采购人公章，甲乙双方各执一份。</w:t>
      </w:r>
    </w:p>
    <w:p w14:paraId="1FD3E933">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7D028C69">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6.甲方对验收有异议的，在验收后五个工作日内以书面形式向乙方提出，乙方应自收到甲方书面异议后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日内及时予以解决。</w:t>
      </w:r>
    </w:p>
    <w:p w14:paraId="0C66B7EC">
      <w:pPr>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第七条　安装和培训</w:t>
      </w:r>
    </w:p>
    <w:p w14:paraId="6F3A864D">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1.甲方应提供必要安装条件（如场地、电源、水源等）。</w:t>
      </w:r>
    </w:p>
    <w:p w14:paraId="12A2C110">
      <w:pPr>
        <w:snapToGrid w:val="0"/>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2.乙方投标文件承诺负责甲方有关人员的培训。培训时间、地点：</w:t>
      </w:r>
      <w:r>
        <w:rPr>
          <w:rFonts w:hint="eastAsia" w:ascii="宋体" w:hAnsi="宋体" w:cs="宋体"/>
          <w:color w:val="auto"/>
          <w:szCs w:val="21"/>
          <w:highlight w:val="none"/>
          <w:u w:val="single"/>
        </w:rPr>
        <w:t>大新县教育局。</w:t>
      </w:r>
    </w:p>
    <w:p w14:paraId="2F0E19E8">
      <w:pPr>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第八条  售后服务、质量保证期</w:t>
      </w:r>
    </w:p>
    <w:p w14:paraId="59DF064D">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1.乙方应按照国家有关法律法规和“三包”规定以及本合同所附的《服务承诺》，为甲方提供售后服务。</w:t>
      </w:r>
    </w:p>
    <w:p w14:paraId="63FB51DE">
      <w:pPr>
        <w:snapToGrid w:val="0"/>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2.货物质量保证期：</w:t>
      </w:r>
      <w:r>
        <w:rPr>
          <w:rFonts w:hint="eastAsia" w:ascii="宋体" w:hAnsi="宋体" w:cs="宋体"/>
          <w:color w:val="auto"/>
          <w:szCs w:val="21"/>
          <w:highlight w:val="none"/>
          <w:u w:val="single"/>
        </w:rPr>
        <w:t xml:space="preserve">                                          。</w:t>
      </w:r>
    </w:p>
    <w:p w14:paraId="026F4938">
      <w:pPr>
        <w:snapToGrid w:val="0"/>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3.乙方提供的服务承诺和售后服务及质量保证期责任等其它具体约定事项。（见合同附件）</w:t>
      </w:r>
    </w:p>
    <w:p w14:paraId="4E93D54A">
      <w:pPr>
        <w:snapToGrid w:val="0"/>
        <w:spacing w:line="40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rPr>
        <w:t>第九条　付款方式</w:t>
      </w:r>
    </w:p>
    <w:p w14:paraId="0AF953E3">
      <w:pPr>
        <w:pStyle w:val="27"/>
        <w:snapToGrid w:val="0"/>
        <w:spacing w:line="400" w:lineRule="exact"/>
        <w:ind w:firstLine="420" w:firstLineChars="200"/>
        <w:rPr>
          <w:rFonts w:hAnsi="宋体" w:cs="宋体"/>
          <w:color w:val="auto"/>
          <w:sz w:val="21"/>
          <w:highlight w:val="none"/>
        </w:rPr>
      </w:pPr>
      <w:r>
        <w:rPr>
          <w:rFonts w:hint="eastAsia" w:hAnsi="宋体" w:cs="宋体"/>
          <w:bCs/>
          <w:color w:val="auto"/>
          <w:sz w:val="21"/>
          <w:highlight w:val="none"/>
        </w:rPr>
        <w:t>1</w:t>
      </w:r>
      <w:r>
        <w:rPr>
          <w:rFonts w:hint="eastAsia" w:hAnsi="宋体" w:cs="宋体"/>
          <w:color w:val="auto"/>
          <w:sz w:val="21"/>
          <w:highlight w:val="none"/>
        </w:rPr>
        <w:t>.当采购数量与实际使用数量不一致时，乙方应根据实际使用量供货，合同的最终结算金额按实际使用量乘以成交单价进行计算，但不得超出合同价的10%。</w:t>
      </w:r>
    </w:p>
    <w:p w14:paraId="2F722C61">
      <w:pPr>
        <w:pStyle w:val="27"/>
        <w:snapToGrid w:val="0"/>
        <w:spacing w:line="400" w:lineRule="exact"/>
        <w:ind w:firstLine="420" w:firstLineChars="200"/>
        <w:rPr>
          <w:rFonts w:hAnsi="宋体" w:cs="宋体"/>
          <w:color w:val="auto"/>
          <w:sz w:val="21"/>
          <w:highlight w:val="none"/>
        </w:rPr>
      </w:pPr>
      <w:r>
        <w:rPr>
          <w:rFonts w:hint="eastAsia" w:hAnsi="宋体" w:cs="宋体"/>
          <w:color w:val="auto"/>
          <w:sz w:val="21"/>
          <w:highlight w:val="none"/>
        </w:rPr>
        <w:t>2.付款方式：</w:t>
      </w:r>
      <w:r>
        <w:rPr>
          <w:rFonts w:hint="eastAsia" w:hAnsi="宋体" w:cs="宋体"/>
          <w:color w:val="auto"/>
          <w:highlight w:val="none"/>
          <w:u w:val="single"/>
        </w:rPr>
        <w:t xml:space="preserve">                                          </w:t>
      </w:r>
      <w:r>
        <w:rPr>
          <w:rFonts w:hint="eastAsia" w:hAnsi="宋体" w:cs="宋体"/>
          <w:color w:val="auto"/>
          <w:sz w:val="21"/>
          <w:highlight w:val="none"/>
        </w:rPr>
        <w:t>。</w:t>
      </w:r>
    </w:p>
    <w:p w14:paraId="0363511F">
      <w:pPr>
        <w:snapToGrid w:val="0"/>
        <w:spacing w:line="400" w:lineRule="exact"/>
        <w:ind w:left="-61" w:leftChars="-29" w:firstLine="517" w:firstLineChars="245"/>
        <w:rPr>
          <w:rFonts w:ascii="宋体" w:hAnsi="宋体" w:cs="宋体"/>
          <w:b/>
          <w:color w:val="auto"/>
          <w:szCs w:val="21"/>
          <w:highlight w:val="none"/>
        </w:rPr>
      </w:pPr>
      <w:r>
        <w:rPr>
          <w:rFonts w:hint="eastAsia" w:ascii="宋体" w:hAnsi="宋体" w:cs="宋体"/>
          <w:b/>
          <w:color w:val="auto"/>
          <w:szCs w:val="21"/>
          <w:highlight w:val="none"/>
        </w:rPr>
        <w:t>第十条　履约保证金</w:t>
      </w:r>
    </w:p>
    <w:p w14:paraId="00871C2F">
      <w:pPr>
        <w:snapToGrid w:val="0"/>
        <w:spacing w:line="400" w:lineRule="exact"/>
        <w:ind w:left="-61" w:leftChars="-29" w:firstLine="514" w:firstLineChars="245"/>
        <w:rPr>
          <w:rFonts w:ascii="宋体" w:hAnsi="宋体" w:cs="宋体"/>
          <w:color w:val="auto"/>
          <w:szCs w:val="21"/>
          <w:highlight w:val="none"/>
        </w:rPr>
      </w:pPr>
      <w:r>
        <w:rPr>
          <w:rFonts w:hint="eastAsia" w:ascii="宋体" w:hAnsi="宋体" w:cs="宋体"/>
          <w:color w:val="auto"/>
          <w:szCs w:val="21"/>
          <w:highlight w:val="none"/>
        </w:rPr>
        <w:t>无。</w:t>
      </w:r>
    </w:p>
    <w:p w14:paraId="041BC7AC">
      <w:pPr>
        <w:snapToGrid w:val="0"/>
        <w:spacing w:line="400" w:lineRule="exact"/>
        <w:ind w:left="-134" w:firstLine="527"/>
        <w:rPr>
          <w:rFonts w:ascii="宋体" w:hAnsi="宋体" w:cs="宋体"/>
          <w:b/>
          <w:color w:val="auto"/>
          <w:szCs w:val="21"/>
          <w:highlight w:val="none"/>
        </w:rPr>
      </w:pPr>
      <w:r>
        <w:rPr>
          <w:rFonts w:hint="eastAsia" w:ascii="宋体" w:hAnsi="宋体" w:cs="宋体"/>
          <w:b/>
          <w:color w:val="auto"/>
          <w:szCs w:val="21"/>
          <w:highlight w:val="none"/>
        </w:rPr>
        <w:t>第十一条  税费</w:t>
      </w:r>
    </w:p>
    <w:p w14:paraId="42D07B91">
      <w:pPr>
        <w:snapToGrid w:val="0"/>
        <w:spacing w:line="400" w:lineRule="exact"/>
        <w:ind w:left="-134" w:firstLine="525"/>
        <w:rPr>
          <w:rFonts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4694E9AC">
      <w:pPr>
        <w:snapToGrid w:val="0"/>
        <w:spacing w:line="400" w:lineRule="exact"/>
        <w:ind w:left="-134" w:firstLine="527"/>
        <w:rPr>
          <w:rFonts w:ascii="宋体" w:hAnsi="宋体" w:cs="宋体"/>
          <w:color w:val="auto"/>
          <w:szCs w:val="21"/>
          <w:highlight w:val="none"/>
        </w:rPr>
      </w:pPr>
      <w:r>
        <w:rPr>
          <w:rFonts w:hint="eastAsia" w:ascii="宋体" w:hAnsi="宋体" w:cs="宋体"/>
          <w:b/>
          <w:color w:val="auto"/>
          <w:szCs w:val="21"/>
          <w:highlight w:val="none"/>
        </w:rPr>
        <w:t>第十二条  质量保证及售后服务</w:t>
      </w:r>
    </w:p>
    <w:p w14:paraId="65C986AF">
      <w:pPr>
        <w:pStyle w:val="27"/>
        <w:snapToGrid w:val="0"/>
        <w:spacing w:line="400" w:lineRule="exact"/>
        <w:ind w:firstLine="420" w:firstLineChars="200"/>
        <w:rPr>
          <w:rFonts w:hAnsi="宋体" w:cs="宋体"/>
          <w:color w:val="auto"/>
          <w:sz w:val="21"/>
          <w:highlight w:val="none"/>
        </w:rPr>
      </w:pPr>
      <w:r>
        <w:rPr>
          <w:rFonts w:hint="eastAsia" w:hAnsi="宋体" w:cs="宋体"/>
          <w:bCs/>
          <w:color w:val="auto"/>
          <w:sz w:val="21"/>
          <w:highlight w:val="none"/>
        </w:rPr>
        <w:t>1.</w:t>
      </w:r>
      <w:r>
        <w:rPr>
          <w:rFonts w:hint="eastAsia" w:hAnsi="宋体" w:cs="宋体"/>
          <w:color w:val="auto"/>
          <w:sz w:val="21"/>
          <w:highlight w:val="none"/>
        </w:rPr>
        <w:t>乙方应按招标文件规定的产品名称、商标品牌、生产厂家、规格型号、技术参数、质量标准向甲方提供未经使用的全新产品。不符合要求的，根据实际情况，经双方协商，可按以下办法处理：</w:t>
      </w:r>
    </w:p>
    <w:p w14:paraId="0569E542">
      <w:pPr>
        <w:pStyle w:val="27"/>
        <w:snapToGrid w:val="0"/>
        <w:spacing w:line="400" w:lineRule="exact"/>
        <w:ind w:firstLine="420" w:firstLineChars="200"/>
        <w:rPr>
          <w:rFonts w:hAnsi="宋体" w:cs="宋体"/>
          <w:color w:val="auto"/>
          <w:sz w:val="21"/>
          <w:highlight w:val="none"/>
        </w:rPr>
      </w:pPr>
      <w:r>
        <w:rPr>
          <w:rFonts w:hint="eastAsia" w:hAnsi="宋体" w:cs="宋体"/>
          <w:color w:val="auto"/>
          <w:sz w:val="21"/>
          <w:highlight w:val="none"/>
        </w:rPr>
        <w:t>⑴更换：由乙方承担所发生的全部费用。</w:t>
      </w:r>
    </w:p>
    <w:p w14:paraId="1A574C9C">
      <w:pPr>
        <w:pStyle w:val="27"/>
        <w:snapToGrid w:val="0"/>
        <w:spacing w:line="400" w:lineRule="exact"/>
        <w:ind w:firstLine="525"/>
        <w:rPr>
          <w:rFonts w:hAnsi="宋体" w:cs="宋体"/>
          <w:color w:val="auto"/>
          <w:sz w:val="21"/>
          <w:highlight w:val="none"/>
        </w:rPr>
      </w:pPr>
      <w:r>
        <w:rPr>
          <w:rFonts w:hint="eastAsia" w:hAnsi="宋体" w:cs="宋体"/>
          <w:color w:val="auto"/>
          <w:sz w:val="21"/>
          <w:highlight w:val="none"/>
        </w:rPr>
        <w:t>⑵贬值处理：由甲乙双方合议定价。</w:t>
      </w:r>
    </w:p>
    <w:p w14:paraId="2183C5FE">
      <w:pPr>
        <w:pStyle w:val="27"/>
        <w:snapToGrid w:val="0"/>
        <w:spacing w:line="400" w:lineRule="exact"/>
        <w:ind w:firstLine="525"/>
        <w:rPr>
          <w:rFonts w:hAnsi="宋体" w:cs="宋体"/>
          <w:color w:val="auto"/>
          <w:sz w:val="21"/>
          <w:highlight w:val="none"/>
        </w:rPr>
      </w:pPr>
      <w:r>
        <w:rPr>
          <w:rFonts w:hint="eastAsia" w:hAnsi="宋体" w:cs="宋体"/>
          <w:color w:val="auto"/>
          <w:sz w:val="21"/>
          <w:highlight w:val="none"/>
        </w:rPr>
        <w:t>⑶退货处理：乙方应退还甲方支付的合同款，同时应承担该货物的直接费用（运输、保险、检验、货款利息及银行手续费等）。</w:t>
      </w:r>
    </w:p>
    <w:p w14:paraId="600FD747">
      <w:pPr>
        <w:pStyle w:val="27"/>
        <w:snapToGrid w:val="0"/>
        <w:spacing w:line="400" w:lineRule="exact"/>
        <w:ind w:firstLine="420" w:firstLineChars="200"/>
        <w:rPr>
          <w:rFonts w:hAnsi="宋体" w:cs="宋体"/>
          <w:color w:val="auto"/>
          <w:sz w:val="21"/>
          <w:highlight w:val="none"/>
        </w:rPr>
      </w:pPr>
      <w:r>
        <w:rPr>
          <w:rFonts w:hint="eastAsia" w:hAnsi="宋体" w:cs="宋体"/>
          <w:color w:val="auto"/>
          <w:sz w:val="21"/>
          <w:highlight w:val="none"/>
        </w:rPr>
        <w:t>2.如在使用过程中发生质量问题，乙方在接到甲方通知后到达甲方现场处理的时间（</w:t>
      </w:r>
      <w:r>
        <w:rPr>
          <w:rFonts w:hint="eastAsia" w:hAnsi="宋体" w:cs="宋体"/>
          <w:color w:val="auto"/>
          <w:sz w:val="21"/>
          <w:highlight w:val="none"/>
          <w:u w:val="single"/>
        </w:rPr>
        <w:t>按投标文件承诺的数据填写</w:t>
      </w:r>
      <w:r>
        <w:rPr>
          <w:rFonts w:hint="eastAsia" w:hAnsi="宋体" w:cs="宋体"/>
          <w:color w:val="auto"/>
          <w:sz w:val="21"/>
          <w:highlight w:val="none"/>
        </w:rPr>
        <w:t>）小时内。</w:t>
      </w:r>
    </w:p>
    <w:p w14:paraId="09671166">
      <w:pPr>
        <w:pStyle w:val="27"/>
        <w:snapToGrid w:val="0"/>
        <w:spacing w:line="400" w:lineRule="exact"/>
        <w:ind w:firstLine="420" w:firstLineChars="200"/>
        <w:rPr>
          <w:rFonts w:hAnsi="宋体" w:cs="宋体"/>
          <w:color w:val="auto"/>
          <w:sz w:val="21"/>
          <w:highlight w:val="none"/>
        </w:rPr>
      </w:pPr>
      <w:r>
        <w:rPr>
          <w:rFonts w:hint="eastAsia" w:hAnsi="宋体" w:cs="宋体"/>
          <w:color w:val="auto"/>
          <w:sz w:val="21"/>
          <w:highlight w:val="none"/>
        </w:rPr>
        <w:t>3.在质量保证期内，乙方应对货物出现的质量及安全问题负责处理解决并承担一切费用。</w:t>
      </w:r>
    </w:p>
    <w:p w14:paraId="62E295E0">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4.上述的货物质量保证期为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年，因人为因素出现的故障不在保修范围内。超过质量保证期的机器设备，终生维修，维修时只收部件成本费。</w:t>
      </w:r>
    </w:p>
    <w:p w14:paraId="27DBB001">
      <w:pPr>
        <w:snapToGrid w:val="0"/>
        <w:spacing w:line="400" w:lineRule="exact"/>
        <w:ind w:left="-134" w:firstLine="527"/>
        <w:rPr>
          <w:rFonts w:ascii="宋体" w:hAnsi="宋体" w:cs="宋体"/>
          <w:color w:val="auto"/>
          <w:szCs w:val="21"/>
          <w:highlight w:val="none"/>
        </w:rPr>
      </w:pPr>
      <w:r>
        <w:rPr>
          <w:rFonts w:hint="eastAsia" w:ascii="宋体" w:hAnsi="宋体" w:cs="宋体"/>
          <w:b/>
          <w:color w:val="auto"/>
          <w:szCs w:val="21"/>
          <w:highlight w:val="none"/>
        </w:rPr>
        <w:t>第十三条  调试和验收（本条款适用于甲方自行验收，委托第三方验收的另行规定）</w:t>
      </w:r>
    </w:p>
    <w:p w14:paraId="42905A23">
      <w:pPr>
        <w:pStyle w:val="27"/>
        <w:snapToGrid w:val="0"/>
        <w:spacing w:line="400" w:lineRule="exact"/>
        <w:ind w:firstLine="420" w:firstLineChars="200"/>
        <w:jc w:val="left"/>
        <w:rPr>
          <w:rFonts w:hAnsi="宋体" w:cs="宋体"/>
          <w:color w:val="auto"/>
          <w:sz w:val="21"/>
          <w:highlight w:val="none"/>
        </w:rPr>
      </w:pPr>
      <w:r>
        <w:rPr>
          <w:rFonts w:hint="eastAsia" w:hAnsi="宋体" w:cs="宋体"/>
          <w:color w:val="auto"/>
          <w:sz w:val="21"/>
          <w:highlight w:val="none"/>
        </w:rPr>
        <w:t>1.甲方对乙方提交的货物依据招标文件上的技术规格要求和国家有关质量标准进行现场初步验收，外观、说明书符合招标文件技术要求的，给予签收，初步验收不合格的不予签收。到货后，甲方应当在货物达到验收条件后十五个工作日内进行验收。</w:t>
      </w:r>
    </w:p>
    <w:p w14:paraId="6DB836E4">
      <w:pPr>
        <w:pStyle w:val="27"/>
        <w:snapToGrid w:val="0"/>
        <w:spacing w:line="400" w:lineRule="exact"/>
        <w:ind w:firstLine="420" w:firstLineChars="200"/>
        <w:rPr>
          <w:rFonts w:hAnsi="宋体" w:cs="宋体"/>
          <w:color w:val="auto"/>
          <w:sz w:val="21"/>
          <w:highlight w:val="none"/>
        </w:rPr>
      </w:pPr>
      <w:r>
        <w:rPr>
          <w:rFonts w:hint="eastAsia" w:hAnsi="宋体" w:cs="宋体"/>
          <w:color w:val="auto"/>
          <w:sz w:val="21"/>
          <w:highlight w:val="none"/>
        </w:rPr>
        <w:t>2.乙方交货前应对产品作出全面检查和对验收文件进行整理，并列出清单，作为甲方收货验收和使用的技术条件依据，检验的结果应随货物交甲方。</w:t>
      </w:r>
    </w:p>
    <w:p w14:paraId="7533AF03">
      <w:pPr>
        <w:pStyle w:val="27"/>
        <w:snapToGrid w:val="0"/>
        <w:spacing w:line="400" w:lineRule="exact"/>
        <w:ind w:firstLine="420" w:firstLineChars="200"/>
        <w:rPr>
          <w:rFonts w:hAnsi="宋体" w:cs="宋体"/>
          <w:color w:val="auto"/>
          <w:sz w:val="21"/>
          <w:highlight w:val="none"/>
        </w:rPr>
      </w:pPr>
      <w:r>
        <w:rPr>
          <w:rFonts w:hint="eastAsia" w:hAnsi="宋体" w:cs="宋体"/>
          <w:color w:val="auto"/>
          <w:sz w:val="21"/>
          <w:highlight w:val="none"/>
        </w:rPr>
        <w:t>3.甲方对乙方提供的货物在使用前进行调试时，乙方需负责安装并培训甲方的使用操作人员，并协助甲方一起调试，直到符合技术要求，甲方才做最终验收。</w:t>
      </w:r>
    </w:p>
    <w:p w14:paraId="7A6BDE20">
      <w:pPr>
        <w:pStyle w:val="27"/>
        <w:snapToGrid w:val="0"/>
        <w:spacing w:line="400" w:lineRule="exact"/>
        <w:ind w:firstLine="420" w:firstLineChars="200"/>
        <w:rPr>
          <w:rFonts w:hAnsi="宋体" w:cs="宋体"/>
          <w:color w:val="auto"/>
          <w:sz w:val="21"/>
          <w:highlight w:val="none"/>
        </w:rPr>
      </w:pPr>
      <w:r>
        <w:rPr>
          <w:rFonts w:hint="eastAsia" w:hAnsi="宋体" w:cs="宋体"/>
          <w:color w:val="auto"/>
          <w:sz w:val="21"/>
          <w:highlight w:val="none"/>
        </w:rPr>
        <w:t>4.对技术复杂的货物，甲方应请国家认可的专业检测机构参与初步验收及最终验收，并由其出具质量检测报告。</w:t>
      </w:r>
    </w:p>
    <w:p w14:paraId="404C5195">
      <w:pPr>
        <w:snapToGrid w:val="0"/>
        <w:spacing w:line="400" w:lineRule="exact"/>
        <w:ind w:left="-134" w:firstLine="525"/>
        <w:rPr>
          <w:rFonts w:ascii="宋体" w:hAnsi="宋体" w:cs="宋体"/>
          <w:color w:val="auto"/>
          <w:szCs w:val="21"/>
          <w:highlight w:val="none"/>
        </w:rPr>
      </w:pPr>
      <w:r>
        <w:rPr>
          <w:rFonts w:hint="eastAsia" w:ascii="宋体" w:hAnsi="宋体" w:cs="宋体"/>
          <w:color w:val="auto"/>
          <w:szCs w:val="21"/>
          <w:highlight w:val="none"/>
        </w:rPr>
        <w:t>5. 乙方须参与到验收过程中，验收完毕后作出验收结果报告；验收费用按招标文件约定承担方负责。</w:t>
      </w:r>
    </w:p>
    <w:p w14:paraId="70DAA536">
      <w:pPr>
        <w:pStyle w:val="27"/>
        <w:snapToGrid w:val="0"/>
        <w:spacing w:line="400" w:lineRule="exact"/>
        <w:ind w:firstLine="413" w:firstLineChars="196"/>
        <w:rPr>
          <w:rFonts w:hAnsi="宋体" w:cs="宋体"/>
          <w:b/>
          <w:color w:val="auto"/>
          <w:sz w:val="21"/>
          <w:highlight w:val="none"/>
        </w:rPr>
      </w:pPr>
      <w:r>
        <w:rPr>
          <w:rFonts w:hint="eastAsia" w:hAnsi="宋体" w:cs="宋体"/>
          <w:b/>
          <w:color w:val="auto"/>
          <w:sz w:val="21"/>
          <w:highlight w:val="none"/>
        </w:rPr>
        <w:t>第十四条  货物包装、发运及运输</w:t>
      </w:r>
    </w:p>
    <w:p w14:paraId="7EDFC750">
      <w:pPr>
        <w:pStyle w:val="27"/>
        <w:snapToGrid w:val="0"/>
        <w:spacing w:line="400" w:lineRule="exact"/>
        <w:ind w:firstLine="420" w:firstLineChars="200"/>
        <w:rPr>
          <w:rFonts w:hAnsi="宋体" w:cs="宋体"/>
          <w:color w:val="auto"/>
          <w:sz w:val="21"/>
          <w:highlight w:val="none"/>
        </w:rPr>
      </w:pPr>
      <w:r>
        <w:rPr>
          <w:rFonts w:hint="eastAsia" w:hAnsi="宋体" w:cs="宋体"/>
          <w:color w:val="auto"/>
          <w:sz w:val="21"/>
          <w:highlight w:val="none"/>
        </w:rPr>
        <w:t>1.乙方应在货物发运前对其进行满足运输距离、防潮、防震、防锈和防破损装卸等要求包装，以保证货物安全运达甲方指定地点。</w:t>
      </w:r>
    </w:p>
    <w:p w14:paraId="2DD6171C">
      <w:pPr>
        <w:pStyle w:val="27"/>
        <w:snapToGrid w:val="0"/>
        <w:spacing w:line="400" w:lineRule="exact"/>
        <w:ind w:firstLine="420" w:firstLineChars="200"/>
        <w:rPr>
          <w:rFonts w:hAnsi="宋体" w:cs="宋体"/>
          <w:color w:val="auto"/>
          <w:sz w:val="21"/>
          <w:highlight w:val="none"/>
        </w:rPr>
      </w:pPr>
      <w:r>
        <w:rPr>
          <w:rFonts w:hint="eastAsia" w:hAnsi="宋体" w:cs="宋体"/>
          <w:color w:val="auto"/>
          <w:sz w:val="21"/>
          <w:highlight w:val="none"/>
        </w:rPr>
        <w:t>2. 使用说明书（货物属于进口产品的，供货时应同时附上中文使用说明书）、质量检验证明书、随配附件和工具以及清单一并附于货物内。</w:t>
      </w:r>
    </w:p>
    <w:p w14:paraId="24DF59F1">
      <w:pPr>
        <w:pStyle w:val="27"/>
        <w:snapToGrid w:val="0"/>
        <w:spacing w:line="400" w:lineRule="exact"/>
        <w:ind w:firstLine="420" w:firstLineChars="200"/>
        <w:rPr>
          <w:rFonts w:hAnsi="宋体" w:cs="宋体"/>
          <w:color w:val="auto"/>
          <w:sz w:val="21"/>
          <w:highlight w:val="none"/>
        </w:rPr>
      </w:pPr>
      <w:r>
        <w:rPr>
          <w:rFonts w:hint="eastAsia" w:hAnsi="宋体" w:cs="宋体"/>
          <w:color w:val="auto"/>
          <w:sz w:val="21"/>
          <w:highlight w:val="none"/>
        </w:rPr>
        <w:t>3.乙方在货物发运手续办理完毕后二十四小时内或者货到甲方四十八小时前通知甲方，以准备接货。</w:t>
      </w:r>
    </w:p>
    <w:p w14:paraId="4CC54487">
      <w:pPr>
        <w:pStyle w:val="27"/>
        <w:snapToGrid w:val="0"/>
        <w:spacing w:line="400" w:lineRule="exact"/>
        <w:ind w:firstLine="420" w:firstLineChars="200"/>
        <w:rPr>
          <w:rFonts w:hAnsi="宋体" w:cs="宋体"/>
          <w:color w:val="auto"/>
          <w:sz w:val="21"/>
          <w:highlight w:val="none"/>
        </w:rPr>
      </w:pPr>
      <w:r>
        <w:rPr>
          <w:rFonts w:hint="eastAsia" w:hAnsi="宋体" w:cs="宋体"/>
          <w:color w:val="auto"/>
          <w:sz w:val="21"/>
          <w:highlight w:val="none"/>
        </w:rPr>
        <w:t>4.货物在交付甲方前发生的风险均由乙方负责。</w:t>
      </w:r>
    </w:p>
    <w:p w14:paraId="4D43A26B">
      <w:pPr>
        <w:pStyle w:val="27"/>
        <w:snapToGrid w:val="0"/>
        <w:spacing w:line="400" w:lineRule="exact"/>
        <w:ind w:firstLine="420" w:firstLineChars="200"/>
        <w:rPr>
          <w:rFonts w:hAnsi="宋体" w:cs="宋体"/>
          <w:color w:val="auto"/>
          <w:sz w:val="21"/>
          <w:highlight w:val="none"/>
        </w:rPr>
      </w:pPr>
      <w:r>
        <w:rPr>
          <w:rFonts w:hint="eastAsia" w:hAnsi="宋体" w:cs="宋体"/>
          <w:color w:val="auto"/>
          <w:sz w:val="21"/>
          <w:highlight w:val="none"/>
        </w:rPr>
        <w:t>5.货物在规</w:t>
      </w:r>
      <w:r>
        <w:rPr>
          <w:rFonts w:hint="eastAsia" w:hAnsi="宋体" w:cs="宋体"/>
          <w:color w:val="auto"/>
          <w:spacing w:val="-8"/>
          <w:sz w:val="21"/>
          <w:highlight w:val="none"/>
        </w:rPr>
        <w:t>定的交付期限内由乙方送达甲方指定的地点视为交付，乙方同时需通知甲方货物已送达。</w:t>
      </w:r>
    </w:p>
    <w:p w14:paraId="23D8548C">
      <w:pPr>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第十五条　违约责任</w:t>
      </w:r>
    </w:p>
    <w:p w14:paraId="69635491">
      <w:pPr>
        <w:pStyle w:val="27"/>
        <w:snapToGrid w:val="0"/>
        <w:spacing w:line="400" w:lineRule="exact"/>
        <w:ind w:firstLine="420" w:firstLineChars="200"/>
        <w:rPr>
          <w:rFonts w:hAnsi="宋体" w:cs="宋体"/>
          <w:color w:val="auto"/>
          <w:sz w:val="21"/>
          <w:highlight w:val="none"/>
        </w:rPr>
      </w:pPr>
      <w:r>
        <w:rPr>
          <w:rFonts w:hint="eastAsia" w:hAnsi="宋体" w:cs="宋体"/>
          <w:color w:val="auto"/>
          <w:sz w:val="21"/>
          <w:highlight w:val="none"/>
        </w:rPr>
        <w:t xml:space="preserve">1.乙方所提供的产品名称、商标品牌、生产厂家、规格型号、技术参数等质量不合格的，应及时更换，更换不及时的按逾期交货处罚；因质量问题甲方不同意接收的或者特殊情况甲方同意接收的，乙方应向甲方支付违约货款额 5%违约金并赔偿甲方经济损失。                                       </w:t>
      </w:r>
    </w:p>
    <w:p w14:paraId="2933E3F9">
      <w:pPr>
        <w:pStyle w:val="27"/>
        <w:snapToGrid w:val="0"/>
        <w:spacing w:line="400" w:lineRule="exact"/>
        <w:ind w:firstLine="420" w:firstLineChars="200"/>
        <w:rPr>
          <w:rFonts w:hAnsi="宋体" w:cs="宋体"/>
          <w:color w:val="auto"/>
          <w:sz w:val="21"/>
          <w:highlight w:val="none"/>
        </w:rPr>
      </w:pPr>
      <w:r>
        <w:rPr>
          <w:rFonts w:hint="eastAsia" w:hAnsi="宋体" w:cs="宋体"/>
          <w:color w:val="auto"/>
          <w:sz w:val="21"/>
          <w:highlight w:val="none"/>
        </w:rPr>
        <w:t>2.乙方提供的货物如侵犯了第三方合法权益而引发的任何纠纷或者诉讼，均由乙方负责交涉并承担全部责任。</w:t>
      </w:r>
    </w:p>
    <w:p w14:paraId="2AF53A12">
      <w:pPr>
        <w:pStyle w:val="27"/>
        <w:snapToGrid w:val="0"/>
        <w:spacing w:line="400" w:lineRule="exact"/>
        <w:ind w:firstLine="420" w:firstLineChars="200"/>
        <w:rPr>
          <w:rFonts w:hAnsi="宋体" w:cs="宋体"/>
          <w:color w:val="auto"/>
          <w:sz w:val="21"/>
          <w:highlight w:val="none"/>
        </w:rPr>
      </w:pPr>
      <w:r>
        <w:rPr>
          <w:rFonts w:hint="eastAsia" w:hAnsi="宋体" w:cs="宋体"/>
          <w:color w:val="auto"/>
          <w:sz w:val="21"/>
          <w:highlight w:val="none"/>
        </w:rPr>
        <w:t>3.因包装、运输引起的货物损坏，按质量不合格处罚。</w:t>
      </w:r>
    </w:p>
    <w:p w14:paraId="005BC205">
      <w:pPr>
        <w:pStyle w:val="27"/>
        <w:snapToGrid w:val="0"/>
        <w:spacing w:line="400" w:lineRule="exact"/>
        <w:ind w:firstLine="420" w:firstLineChars="200"/>
        <w:rPr>
          <w:rFonts w:hAnsi="宋体" w:cs="宋体"/>
          <w:color w:val="auto"/>
          <w:sz w:val="21"/>
          <w:highlight w:val="none"/>
        </w:rPr>
      </w:pPr>
      <w:r>
        <w:rPr>
          <w:rFonts w:hint="eastAsia" w:hAnsi="宋体" w:cs="宋体"/>
          <w:color w:val="auto"/>
          <w:sz w:val="21"/>
          <w:highlight w:val="none"/>
        </w:rPr>
        <w:t>4.甲方无故延期接收货物、乙方逾期交货的，每天向对方偿付违约货款额3‰违约金，但违约金累计不得超过违约货款额5%，超过</w:t>
      </w:r>
      <w:r>
        <w:rPr>
          <w:rFonts w:hint="eastAsia" w:hAnsi="宋体" w:cs="宋体"/>
          <w:color w:val="auto"/>
          <w:sz w:val="21"/>
          <w:highlight w:val="none"/>
          <w:u w:val="single"/>
        </w:rPr>
        <w:t xml:space="preserve">   </w:t>
      </w:r>
      <w:r>
        <w:rPr>
          <w:rFonts w:hint="eastAsia" w:hAnsi="宋体" w:cs="宋体"/>
          <w:color w:val="auto"/>
          <w:sz w:val="21"/>
          <w:highlight w:val="none"/>
        </w:rPr>
        <w:t>天对方有权解除合同，违约方承担因此给对方造成经济损失；甲方延期付货款的，每天向乙方偿付延期货款额3‰滞纳金，但滞纳金累计不得超过延期货款额5%。甲方无故延期退付履约保证金的，每天向对方偿付未退付履约保证金3‰的违约金。</w:t>
      </w:r>
    </w:p>
    <w:p w14:paraId="0145B380">
      <w:pPr>
        <w:pStyle w:val="27"/>
        <w:snapToGrid w:val="0"/>
        <w:spacing w:line="400" w:lineRule="exact"/>
        <w:ind w:firstLine="420" w:firstLineChars="200"/>
        <w:rPr>
          <w:rFonts w:hAnsi="宋体" w:cs="宋体"/>
          <w:color w:val="auto"/>
          <w:sz w:val="21"/>
          <w:highlight w:val="none"/>
        </w:rPr>
      </w:pPr>
      <w:r>
        <w:rPr>
          <w:rFonts w:hint="eastAsia" w:hAnsi="宋体" w:cs="宋体"/>
          <w:color w:val="auto"/>
          <w:sz w:val="21"/>
          <w:highlight w:val="none"/>
        </w:rPr>
        <w:t>5. 乙方未按本合同和投标文件中规定的服务承诺提供售后服务的，乙方应按本合同合计金额 5%向甲方支付违约金。</w:t>
      </w:r>
    </w:p>
    <w:p w14:paraId="08195B7C">
      <w:pPr>
        <w:pStyle w:val="27"/>
        <w:snapToGrid w:val="0"/>
        <w:spacing w:line="400" w:lineRule="exact"/>
        <w:ind w:firstLine="420" w:firstLineChars="200"/>
        <w:rPr>
          <w:rFonts w:hAnsi="宋体" w:cs="宋体"/>
          <w:color w:val="auto"/>
          <w:sz w:val="21"/>
          <w:highlight w:val="none"/>
        </w:rPr>
      </w:pPr>
      <w:r>
        <w:rPr>
          <w:rFonts w:hint="eastAsia" w:hAnsi="宋体" w:cs="宋体"/>
          <w:color w:val="auto"/>
          <w:sz w:val="21"/>
          <w:highlight w:val="none"/>
        </w:rPr>
        <w:t>6. 乙方提供的货物在质量保证期内，因设计、工艺或者材料的缺陷和其它质量原因造成的问题，由乙方负责，费用从余款或者履约保证金中扣除，不足另补。</w:t>
      </w:r>
    </w:p>
    <w:p w14:paraId="22422AC3">
      <w:pPr>
        <w:pStyle w:val="27"/>
        <w:snapToGrid w:val="0"/>
        <w:spacing w:line="400" w:lineRule="exact"/>
        <w:ind w:firstLine="420" w:firstLineChars="200"/>
        <w:rPr>
          <w:rFonts w:hAnsi="宋体" w:cs="宋体"/>
          <w:color w:val="auto"/>
          <w:sz w:val="21"/>
          <w:highlight w:val="none"/>
        </w:rPr>
      </w:pPr>
      <w:r>
        <w:rPr>
          <w:rFonts w:hint="eastAsia" w:hAnsi="宋体" w:cs="宋体"/>
          <w:color w:val="auto"/>
          <w:sz w:val="21"/>
          <w:highlight w:val="none"/>
        </w:rPr>
        <w:t>7. 甲乙双方有其它违约行为的，由违约方向对方支付违约内容涉及货款额的5%，违约内容涉及货款额的5%不足以赔偿经济损失的按实际赔偿。</w:t>
      </w:r>
    </w:p>
    <w:p w14:paraId="54E3A23E">
      <w:pPr>
        <w:pStyle w:val="27"/>
        <w:snapToGrid w:val="0"/>
        <w:spacing w:line="400" w:lineRule="exact"/>
        <w:ind w:firstLine="413" w:firstLineChars="196"/>
        <w:rPr>
          <w:rFonts w:hAnsi="宋体" w:cs="宋体"/>
          <w:b/>
          <w:color w:val="auto"/>
          <w:sz w:val="21"/>
          <w:highlight w:val="none"/>
        </w:rPr>
      </w:pPr>
      <w:r>
        <w:rPr>
          <w:rFonts w:hint="eastAsia" w:hAnsi="宋体" w:cs="宋体"/>
          <w:b/>
          <w:color w:val="auto"/>
          <w:sz w:val="21"/>
          <w:highlight w:val="none"/>
        </w:rPr>
        <w:t>第十六条  不可抗力事件处理</w:t>
      </w:r>
    </w:p>
    <w:p w14:paraId="5555488E">
      <w:pPr>
        <w:pStyle w:val="27"/>
        <w:snapToGrid w:val="0"/>
        <w:spacing w:line="400" w:lineRule="exact"/>
        <w:ind w:firstLine="420" w:firstLineChars="200"/>
        <w:rPr>
          <w:rFonts w:hAnsi="宋体" w:cs="宋体"/>
          <w:color w:val="auto"/>
          <w:sz w:val="21"/>
          <w:highlight w:val="none"/>
        </w:rPr>
      </w:pPr>
      <w:r>
        <w:rPr>
          <w:rFonts w:hint="eastAsia" w:hAnsi="宋体" w:cs="宋体"/>
          <w:color w:val="auto"/>
          <w:sz w:val="21"/>
          <w:highlight w:val="none"/>
        </w:rPr>
        <w:t>1.在合同有效期内，任何一方因不可抗力事件（自然灾害、战争、疫情等）导致不能履行合同，经双方协商后，可将合同履行期进行延长，其延长期与不可抗力影响期相同。</w:t>
      </w:r>
    </w:p>
    <w:p w14:paraId="5ED8AD21">
      <w:pPr>
        <w:pStyle w:val="27"/>
        <w:snapToGrid w:val="0"/>
        <w:spacing w:line="400" w:lineRule="exact"/>
        <w:ind w:firstLine="420" w:firstLineChars="200"/>
        <w:rPr>
          <w:rFonts w:hAnsi="宋体" w:cs="宋体"/>
          <w:color w:val="auto"/>
          <w:sz w:val="21"/>
          <w:highlight w:val="none"/>
        </w:rPr>
      </w:pPr>
      <w:r>
        <w:rPr>
          <w:rFonts w:hint="eastAsia" w:hAnsi="宋体" w:cs="宋体"/>
          <w:color w:val="auto"/>
          <w:sz w:val="21"/>
          <w:highlight w:val="none"/>
        </w:rPr>
        <w:t>2.不可抗力事件发生后，应立即通知对方，并出具相关的情况说明。</w:t>
      </w:r>
    </w:p>
    <w:p w14:paraId="1F7AA00D">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14:paraId="372E1563">
      <w:pPr>
        <w:snapToGrid w:val="0"/>
        <w:spacing w:line="40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rPr>
        <w:t>第十七条  合同争议解决</w:t>
      </w:r>
    </w:p>
    <w:p w14:paraId="07B76C8D">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 因货物质量问题发生争议的，应邀请国家认可的质量检测机构对货物质量进行鉴定。货物符合标准的，鉴定费由甲方承担；货物不符合标准的，鉴定费由乙方承担。</w:t>
      </w:r>
    </w:p>
    <w:p w14:paraId="2F6638EA">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 因履行本合同引起的或者与本合同有关的争议，甲乙双方应首先通过友好协商解决，如果协商不能解决，可向甲方所在地有管辖权的人民法院提起诉讼。</w:t>
      </w:r>
    </w:p>
    <w:p w14:paraId="0832C1AF">
      <w:pPr>
        <w:snapToGrid w:val="0"/>
        <w:spacing w:line="400" w:lineRule="exact"/>
        <w:ind w:left="-134" w:firstLine="525"/>
        <w:rPr>
          <w:rFonts w:ascii="宋体" w:hAnsi="宋体" w:cs="宋体"/>
          <w:color w:val="auto"/>
          <w:szCs w:val="21"/>
          <w:highlight w:val="none"/>
        </w:rPr>
      </w:pPr>
      <w:r>
        <w:rPr>
          <w:rFonts w:hint="eastAsia" w:ascii="宋体" w:hAnsi="宋体" w:cs="宋体"/>
          <w:color w:val="auto"/>
          <w:szCs w:val="21"/>
          <w:highlight w:val="none"/>
        </w:rPr>
        <w:t>3.诉讼期间，本合同继续履行。</w:t>
      </w:r>
    </w:p>
    <w:p w14:paraId="54DDFF71">
      <w:pPr>
        <w:pStyle w:val="27"/>
        <w:snapToGrid w:val="0"/>
        <w:spacing w:line="400" w:lineRule="exact"/>
        <w:ind w:firstLine="413" w:firstLineChars="196"/>
        <w:rPr>
          <w:rFonts w:hAnsi="宋体" w:cs="宋体"/>
          <w:b/>
          <w:color w:val="auto"/>
          <w:sz w:val="21"/>
          <w:highlight w:val="none"/>
        </w:rPr>
      </w:pPr>
      <w:r>
        <w:rPr>
          <w:rFonts w:hint="eastAsia" w:hAnsi="宋体" w:cs="宋体"/>
          <w:b/>
          <w:color w:val="auto"/>
          <w:sz w:val="21"/>
          <w:highlight w:val="none"/>
        </w:rPr>
        <w:t>第十八条  合同生效及其它</w:t>
      </w:r>
    </w:p>
    <w:p w14:paraId="2CB38404">
      <w:pPr>
        <w:pStyle w:val="27"/>
        <w:snapToGrid w:val="0"/>
        <w:spacing w:line="400" w:lineRule="exact"/>
        <w:ind w:firstLine="422" w:firstLineChars="200"/>
        <w:rPr>
          <w:rFonts w:hAnsi="宋体" w:cs="宋体"/>
          <w:b/>
          <w:color w:val="auto"/>
          <w:sz w:val="21"/>
          <w:highlight w:val="none"/>
        </w:rPr>
      </w:pPr>
      <w:r>
        <w:rPr>
          <w:rFonts w:hint="eastAsia" w:hAnsi="宋体" w:cs="宋体"/>
          <w:b/>
          <w:color w:val="auto"/>
          <w:sz w:val="21"/>
          <w:highlight w:val="none"/>
        </w:rPr>
        <w:t>1. 合同经双方法定代表人或者委托代理人签字并加盖单位公章后生效（委托代理人签字的需后附授权委托书，格式自拟）。</w:t>
      </w:r>
    </w:p>
    <w:p w14:paraId="6BBBF8BA">
      <w:pPr>
        <w:pStyle w:val="27"/>
        <w:snapToGrid w:val="0"/>
        <w:spacing w:line="400" w:lineRule="exact"/>
        <w:ind w:firstLine="422" w:firstLineChars="200"/>
        <w:rPr>
          <w:rFonts w:hAnsi="宋体" w:cs="宋体"/>
          <w:b/>
          <w:color w:val="auto"/>
          <w:sz w:val="21"/>
          <w:highlight w:val="none"/>
        </w:rPr>
      </w:pPr>
      <w:r>
        <w:rPr>
          <w:rFonts w:hint="eastAsia" w:hAnsi="宋体" w:cs="宋体"/>
          <w:b/>
          <w:color w:val="auto"/>
          <w:sz w:val="21"/>
          <w:highlight w:val="none"/>
        </w:rPr>
        <w:t>2.合同执行中涉及采购资金和采购内容修改或者补充的，须经财政部门审批，并签书面补充协议报财政部门备案，方可作为主合同不可分割的一部分。</w:t>
      </w:r>
    </w:p>
    <w:p w14:paraId="69EE12BC">
      <w:pPr>
        <w:pStyle w:val="27"/>
        <w:snapToGrid w:val="0"/>
        <w:spacing w:line="400" w:lineRule="exact"/>
        <w:ind w:left="420" w:leftChars="200" w:firstLine="527"/>
        <w:rPr>
          <w:rFonts w:hAnsi="宋体" w:cs="宋体"/>
          <w:b/>
          <w:color w:val="auto"/>
          <w:sz w:val="21"/>
          <w:highlight w:val="none"/>
        </w:rPr>
      </w:pPr>
      <w:r>
        <w:rPr>
          <w:rFonts w:hint="eastAsia" w:hAnsi="宋体" w:cs="宋体"/>
          <w:b/>
          <w:color w:val="auto"/>
          <w:sz w:val="21"/>
          <w:highlight w:val="none"/>
        </w:rPr>
        <w:t>3.本合同未尽事宜，遵照《中华人民共和国民法典》有关条文执行。</w:t>
      </w:r>
    </w:p>
    <w:p w14:paraId="710103A8">
      <w:pPr>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第十九条　合同的变更、终止与转让</w:t>
      </w:r>
    </w:p>
    <w:p w14:paraId="2688C7FD">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 除《中华人民共和国政府采购法》第五十条规定的情形外，本合同一经签订，甲乙双方不得擅自变更、中止或者终止。</w:t>
      </w:r>
    </w:p>
    <w:p w14:paraId="4839A78C">
      <w:pPr>
        <w:snapToGrid w:val="0"/>
        <w:spacing w:line="400" w:lineRule="exact"/>
        <w:ind w:left="-134" w:firstLine="525"/>
        <w:rPr>
          <w:rFonts w:ascii="宋体" w:hAnsi="宋体" w:cs="宋体"/>
          <w:color w:val="auto"/>
          <w:szCs w:val="21"/>
          <w:highlight w:val="none"/>
        </w:rPr>
      </w:pPr>
      <w:r>
        <w:rPr>
          <w:rFonts w:hint="eastAsia" w:ascii="宋体" w:hAnsi="宋体" w:cs="宋体"/>
          <w:color w:val="auto"/>
          <w:szCs w:val="21"/>
          <w:highlight w:val="none"/>
        </w:rPr>
        <w:t>2. 乙方不得擅自转让（无进口资格的供应商委托进口货物除外）其应履行的合同义务。</w:t>
      </w:r>
    </w:p>
    <w:p w14:paraId="150C2DCE">
      <w:pPr>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第二十条　</w:t>
      </w:r>
      <w:r>
        <w:rPr>
          <w:rFonts w:hint="eastAsia" w:ascii="宋体" w:hAnsi="宋体" w:cs="宋体"/>
          <w:color w:val="auto"/>
          <w:spacing w:val="-2"/>
          <w:kern w:val="0"/>
          <w:szCs w:val="21"/>
          <w:highlight w:val="none"/>
        </w:rPr>
        <w:t>本</w:t>
      </w:r>
      <w:r>
        <w:rPr>
          <w:rFonts w:hint="eastAsia" w:ascii="宋体" w:hAnsi="宋体" w:cs="宋体"/>
          <w:color w:val="auto"/>
          <w:kern w:val="0"/>
          <w:szCs w:val="21"/>
          <w:highlight w:val="none"/>
        </w:rPr>
        <w:t>合同书</w:t>
      </w:r>
      <w:r>
        <w:rPr>
          <w:rFonts w:hint="eastAsia" w:ascii="宋体" w:hAnsi="宋体" w:cs="宋体"/>
          <w:color w:val="auto"/>
          <w:spacing w:val="-2"/>
          <w:kern w:val="0"/>
          <w:szCs w:val="21"/>
          <w:highlight w:val="none"/>
        </w:rPr>
        <w:t>与</w:t>
      </w:r>
      <w:r>
        <w:rPr>
          <w:rFonts w:hint="eastAsia" w:ascii="宋体" w:hAnsi="宋体" w:cs="宋体"/>
          <w:color w:val="auto"/>
          <w:kern w:val="0"/>
          <w:szCs w:val="21"/>
          <w:highlight w:val="none"/>
        </w:rPr>
        <w:t>下</w:t>
      </w:r>
      <w:r>
        <w:rPr>
          <w:rFonts w:hint="eastAsia" w:ascii="宋体" w:hAnsi="宋体" w:cs="宋体"/>
          <w:color w:val="auto"/>
          <w:spacing w:val="-2"/>
          <w:kern w:val="0"/>
          <w:szCs w:val="21"/>
          <w:highlight w:val="none"/>
        </w:rPr>
        <w:t>列</w:t>
      </w:r>
      <w:r>
        <w:rPr>
          <w:rFonts w:hint="eastAsia" w:ascii="宋体" w:hAnsi="宋体" w:cs="宋体"/>
          <w:color w:val="auto"/>
          <w:kern w:val="0"/>
          <w:szCs w:val="21"/>
          <w:highlight w:val="none"/>
        </w:rPr>
        <w:t>文</w:t>
      </w:r>
      <w:r>
        <w:rPr>
          <w:rFonts w:hint="eastAsia" w:ascii="宋体" w:hAnsi="宋体" w:cs="宋体"/>
          <w:color w:val="auto"/>
          <w:spacing w:val="-2"/>
          <w:kern w:val="0"/>
          <w:szCs w:val="21"/>
          <w:highlight w:val="none"/>
        </w:rPr>
        <w:t>件一</w:t>
      </w:r>
      <w:r>
        <w:rPr>
          <w:rFonts w:hint="eastAsia" w:ascii="宋体" w:hAnsi="宋体" w:cs="宋体"/>
          <w:color w:val="auto"/>
          <w:kern w:val="0"/>
          <w:szCs w:val="21"/>
          <w:highlight w:val="none"/>
        </w:rPr>
        <w:t>起构</w:t>
      </w:r>
      <w:r>
        <w:rPr>
          <w:rFonts w:hint="eastAsia" w:ascii="宋体" w:hAnsi="宋体" w:cs="宋体"/>
          <w:color w:val="auto"/>
          <w:spacing w:val="-2"/>
          <w:kern w:val="0"/>
          <w:szCs w:val="21"/>
          <w:highlight w:val="none"/>
        </w:rPr>
        <w:t>成</w:t>
      </w:r>
      <w:r>
        <w:rPr>
          <w:rFonts w:hint="eastAsia" w:ascii="宋体" w:hAnsi="宋体" w:cs="宋体"/>
          <w:color w:val="auto"/>
          <w:kern w:val="0"/>
          <w:szCs w:val="21"/>
          <w:highlight w:val="none"/>
        </w:rPr>
        <w:t>合</w:t>
      </w:r>
      <w:r>
        <w:rPr>
          <w:rFonts w:hint="eastAsia" w:ascii="宋体" w:hAnsi="宋体" w:cs="宋体"/>
          <w:color w:val="auto"/>
          <w:spacing w:val="-2"/>
          <w:kern w:val="0"/>
          <w:szCs w:val="21"/>
          <w:highlight w:val="none"/>
        </w:rPr>
        <w:t>同</w:t>
      </w:r>
      <w:r>
        <w:rPr>
          <w:rFonts w:hint="eastAsia" w:ascii="宋体" w:hAnsi="宋体" w:cs="宋体"/>
          <w:color w:val="auto"/>
          <w:kern w:val="0"/>
          <w:szCs w:val="21"/>
          <w:highlight w:val="none"/>
        </w:rPr>
        <w:t>文</w:t>
      </w:r>
      <w:r>
        <w:rPr>
          <w:rFonts w:hint="eastAsia" w:ascii="宋体" w:hAnsi="宋体" w:cs="宋体"/>
          <w:color w:val="auto"/>
          <w:spacing w:val="-2"/>
          <w:kern w:val="0"/>
          <w:szCs w:val="21"/>
          <w:highlight w:val="none"/>
        </w:rPr>
        <w:t>件</w:t>
      </w:r>
    </w:p>
    <w:p w14:paraId="37D46355">
      <w:pPr>
        <w:pStyle w:val="27"/>
        <w:snapToGrid w:val="0"/>
        <w:spacing w:line="400" w:lineRule="exact"/>
        <w:ind w:left="420" w:leftChars="200"/>
        <w:rPr>
          <w:rFonts w:hAnsi="宋体" w:cs="宋体"/>
          <w:color w:val="auto"/>
          <w:sz w:val="21"/>
          <w:highlight w:val="none"/>
        </w:rPr>
      </w:pPr>
      <w:r>
        <w:rPr>
          <w:rFonts w:hint="eastAsia" w:hAnsi="宋体" w:cs="宋体"/>
          <w:color w:val="auto"/>
          <w:sz w:val="21"/>
          <w:highlight w:val="none"/>
        </w:rPr>
        <w:t>1.中标通知书；</w:t>
      </w:r>
    </w:p>
    <w:p w14:paraId="47480AB1">
      <w:pPr>
        <w:pStyle w:val="27"/>
        <w:snapToGrid w:val="0"/>
        <w:spacing w:line="400" w:lineRule="exact"/>
        <w:ind w:left="420" w:leftChars="200"/>
        <w:rPr>
          <w:rFonts w:hAnsi="宋体" w:cs="宋体"/>
          <w:color w:val="auto"/>
          <w:sz w:val="21"/>
          <w:highlight w:val="none"/>
        </w:rPr>
      </w:pPr>
      <w:r>
        <w:rPr>
          <w:rFonts w:hint="eastAsia" w:hAnsi="宋体" w:cs="宋体"/>
          <w:color w:val="auto"/>
          <w:sz w:val="21"/>
          <w:highlight w:val="none"/>
        </w:rPr>
        <w:t>2.投标函；</w:t>
      </w:r>
    </w:p>
    <w:p w14:paraId="57409E40">
      <w:pPr>
        <w:pStyle w:val="27"/>
        <w:snapToGrid w:val="0"/>
        <w:spacing w:line="400" w:lineRule="exact"/>
        <w:ind w:left="420" w:leftChars="200"/>
        <w:rPr>
          <w:rFonts w:hAnsi="宋体" w:cs="宋体"/>
          <w:color w:val="auto"/>
          <w:sz w:val="21"/>
          <w:highlight w:val="none"/>
        </w:rPr>
      </w:pPr>
      <w:r>
        <w:rPr>
          <w:rFonts w:hint="eastAsia" w:hAnsi="宋体" w:cs="宋体"/>
          <w:color w:val="auto"/>
          <w:sz w:val="21"/>
          <w:highlight w:val="none"/>
        </w:rPr>
        <w:t>3.商务要求偏离表和技术要求偏离表；</w:t>
      </w:r>
    </w:p>
    <w:p w14:paraId="6D543564">
      <w:pPr>
        <w:pStyle w:val="27"/>
        <w:snapToGrid w:val="0"/>
        <w:spacing w:line="400" w:lineRule="exact"/>
        <w:ind w:left="420" w:leftChars="200"/>
        <w:rPr>
          <w:rFonts w:hAnsi="宋体" w:cs="宋体"/>
          <w:color w:val="auto"/>
          <w:sz w:val="21"/>
          <w:highlight w:val="none"/>
        </w:rPr>
      </w:pPr>
      <w:r>
        <w:rPr>
          <w:rFonts w:hint="eastAsia" w:hAnsi="宋体" w:cs="宋体"/>
          <w:color w:val="auto"/>
          <w:sz w:val="21"/>
          <w:highlight w:val="none"/>
        </w:rPr>
        <w:t>4.采购需求；</w:t>
      </w:r>
    </w:p>
    <w:p w14:paraId="7A537F42">
      <w:pPr>
        <w:pStyle w:val="27"/>
        <w:snapToGrid w:val="0"/>
        <w:spacing w:line="400" w:lineRule="exact"/>
        <w:ind w:left="420" w:leftChars="200"/>
        <w:rPr>
          <w:rFonts w:hAnsi="宋体" w:cs="宋体"/>
          <w:color w:val="auto"/>
          <w:sz w:val="21"/>
          <w:highlight w:val="none"/>
        </w:rPr>
      </w:pPr>
      <w:r>
        <w:rPr>
          <w:rFonts w:hint="eastAsia" w:hAnsi="宋体" w:cs="宋体"/>
          <w:color w:val="auto"/>
          <w:sz w:val="21"/>
          <w:highlight w:val="none"/>
        </w:rPr>
        <w:t>5.开标一览表；</w:t>
      </w:r>
    </w:p>
    <w:p w14:paraId="4B9136C5">
      <w:pPr>
        <w:pStyle w:val="27"/>
        <w:snapToGrid w:val="0"/>
        <w:spacing w:line="400" w:lineRule="exact"/>
        <w:ind w:left="420" w:leftChars="200"/>
        <w:rPr>
          <w:rFonts w:hAnsi="宋体" w:cs="宋体"/>
          <w:color w:val="auto"/>
          <w:sz w:val="21"/>
          <w:highlight w:val="none"/>
        </w:rPr>
      </w:pPr>
      <w:r>
        <w:rPr>
          <w:rFonts w:hint="eastAsia" w:hAnsi="宋体" w:cs="宋体"/>
          <w:color w:val="auto"/>
          <w:sz w:val="21"/>
          <w:highlight w:val="none"/>
        </w:rPr>
        <w:t>6.设备性能配置清单；</w:t>
      </w:r>
    </w:p>
    <w:p w14:paraId="352C53A4">
      <w:pPr>
        <w:pStyle w:val="27"/>
        <w:snapToGrid w:val="0"/>
        <w:spacing w:line="400" w:lineRule="exact"/>
        <w:ind w:left="420" w:leftChars="200"/>
        <w:rPr>
          <w:rFonts w:hAnsi="宋体" w:cs="宋体"/>
          <w:color w:val="auto"/>
          <w:sz w:val="21"/>
          <w:highlight w:val="none"/>
        </w:rPr>
      </w:pPr>
      <w:r>
        <w:rPr>
          <w:rFonts w:hint="eastAsia" w:hAnsi="宋体" w:cs="宋体"/>
          <w:color w:val="auto"/>
          <w:sz w:val="21"/>
          <w:highlight w:val="none"/>
        </w:rPr>
        <w:t>7.……；</w:t>
      </w:r>
    </w:p>
    <w:p w14:paraId="326EB5A4">
      <w:pPr>
        <w:pStyle w:val="27"/>
        <w:snapToGrid w:val="0"/>
        <w:spacing w:line="400" w:lineRule="exact"/>
        <w:ind w:left="420" w:leftChars="200"/>
        <w:rPr>
          <w:rFonts w:hAnsi="宋体" w:cs="宋体"/>
          <w:color w:val="auto"/>
          <w:sz w:val="21"/>
          <w:highlight w:val="none"/>
        </w:rPr>
      </w:pPr>
      <w:r>
        <w:rPr>
          <w:rFonts w:hint="eastAsia" w:hAnsi="宋体" w:cs="宋体"/>
          <w:color w:val="auto"/>
          <w:sz w:val="21"/>
          <w:highlight w:val="none"/>
        </w:rPr>
        <w:t>8.其他合同文件。</w:t>
      </w:r>
    </w:p>
    <w:p w14:paraId="662080FC">
      <w:pPr>
        <w:pStyle w:val="27"/>
        <w:snapToGrid w:val="0"/>
        <w:spacing w:line="400" w:lineRule="exact"/>
        <w:ind w:left="420" w:leftChars="200"/>
        <w:rPr>
          <w:rFonts w:hAnsi="宋体" w:cs="宋体"/>
          <w:b/>
          <w:color w:val="auto"/>
          <w:sz w:val="21"/>
          <w:highlight w:val="none"/>
        </w:rPr>
      </w:pPr>
      <w:r>
        <w:rPr>
          <w:rFonts w:hint="eastAsia" w:hAnsi="宋体" w:cs="宋体"/>
          <w:color w:val="auto"/>
          <w:sz w:val="21"/>
          <w:highlight w:val="none"/>
        </w:rPr>
        <w:t>9.上述合同文件互相补充和解释。如果合同文件之间存在矛盾或者不一致之处，以上述文件 的排列顺序在先者为准。</w:t>
      </w:r>
    </w:p>
    <w:p w14:paraId="63FA5427">
      <w:pPr>
        <w:snapToGrid w:val="0"/>
        <w:spacing w:line="40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rPr>
        <w:t>第二十一条　</w:t>
      </w:r>
      <w:r>
        <w:rPr>
          <w:rFonts w:hint="eastAsia" w:ascii="宋体" w:hAnsi="宋体" w:cs="宋体"/>
          <w:color w:val="auto"/>
          <w:szCs w:val="21"/>
          <w:highlight w:val="none"/>
        </w:rPr>
        <w:t>本合同一式六份，具有同等法律效力，财政部门（政府采购监管部门）、采购代理机构各一份，甲方三份，乙方一份（可根据需要另增加）。</w:t>
      </w:r>
    </w:p>
    <w:p w14:paraId="6A4F0341">
      <w:pPr>
        <w:snapToGrid w:val="0"/>
        <w:spacing w:line="400" w:lineRule="exact"/>
        <w:ind w:left="-134" w:firstLine="525"/>
        <w:rPr>
          <w:rFonts w:ascii="宋体" w:hAnsi="宋体" w:cs="宋体"/>
          <w:color w:val="auto"/>
          <w:szCs w:val="21"/>
          <w:highlight w:val="none"/>
        </w:rPr>
      </w:pPr>
      <w:r>
        <w:rPr>
          <w:rFonts w:hint="eastAsia" w:ascii="宋体" w:hAnsi="宋体" w:cs="宋体"/>
          <w:color w:val="auto"/>
          <w:szCs w:val="21"/>
          <w:highlight w:val="none"/>
        </w:rPr>
        <w:t>本合同甲乙双方签字盖章后生效，自签订之日起七个工作日内，甲方应当将合同副本报同级财政部门备案。</w:t>
      </w:r>
    </w:p>
    <w:p w14:paraId="30BC0004">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本合同自签订之日起2个工作日内，甲方应当将采购合同在广西壮族自治区财政厅指定的媒体上公告。</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0243A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14:paraId="643FBFE7">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甲方（章）           </w:t>
            </w:r>
          </w:p>
          <w:p w14:paraId="2FBEDA7B">
            <w:pPr>
              <w:snapToGrid w:val="0"/>
              <w:spacing w:line="400" w:lineRule="exact"/>
              <w:rPr>
                <w:rFonts w:ascii="宋体" w:hAnsi="宋体" w:cs="宋体"/>
                <w:color w:val="auto"/>
                <w:szCs w:val="21"/>
                <w:highlight w:val="none"/>
              </w:rPr>
            </w:pPr>
          </w:p>
          <w:p w14:paraId="11AB0B1B">
            <w:pPr>
              <w:snapToGrid w:val="0"/>
              <w:spacing w:line="400" w:lineRule="exact"/>
              <w:ind w:firstLine="945" w:firstLineChars="450"/>
              <w:jc w:val="right"/>
              <w:rPr>
                <w:rFonts w:ascii="宋体" w:hAnsi="宋体" w:cs="宋体"/>
                <w:color w:val="auto"/>
                <w:szCs w:val="21"/>
                <w:highlight w:val="none"/>
              </w:rPr>
            </w:pPr>
            <w:r>
              <w:rPr>
                <w:rFonts w:hint="eastAsia" w:ascii="宋体" w:hAnsi="宋体" w:cs="宋体"/>
                <w:color w:val="auto"/>
                <w:szCs w:val="21"/>
                <w:highlight w:val="none"/>
              </w:rPr>
              <w:t>年   月   日</w:t>
            </w:r>
          </w:p>
        </w:tc>
        <w:tc>
          <w:tcPr>
            <w:tcW w:w="4517" w:type="dxa"/>
            <w:vAlign w:val="center"/>
          </w:tcPr>
          <w:p w14:paraId="0D617198">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乙方（章）              </w:t>
            </w:r>
          </w:p>
          <w:p w14:paraId="70B2DD9B">
            <w:pPr>
              <w:snapToGrid w:val="0"/>
              <w:spacing w:line="400" w:lineRule="exact"/>
              <w:rPr>
                <w:rFonts w:ascii="宋体" w:hAnsi="宋体" w:cs="宋体"/>
                <w:color w:val="auto"/>
                <w:szCs w:val="21"/>
                <w:highlight w:val="none"/>
              </w:rPr>
            </w:pPr>
          </w:p>
          <w:p w14:paraId="08BFFD70">
            <w:pPr>
              <w:snapToGrid w:val="0"/>
              <w:spacing w:line="400" w:lineRule="exact"/>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tc>
      </w:tr>
      <w:tr w14:paraId="7E54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vAlign w:val="center"/>
          </w:tcPr>
          <w:p w14:paraId="22744373">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单位地址： </w:t>
            </w:r>
          </w:p>
        </w:tc>
        <w:tc>
          <w:tcPr>
            <w:tcW w:w="4517" w:type="dxa"/>
            <w:vAlign w:val="center"/>
          </w:tcPr>
          <w:p w14:paraId="7FAA821B">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单位地址：</w:t>
            </w:r>
          </w:p>
        </w:tc>
      </w:tr>
      <w:tr w14:paraId="4D976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4516" w:type="dxa"/>
          </w:tcPr>
          <w:p w14:paraId="13D8377D">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法定代表人或者委托代理人：</w:t>
            </w:r>
          </w:p>
        </w:tc>
        <w:tc>
          <w:tcPr>
            <w:tcW w:w="4517" w:type="dxa"/>
          </w:tcPr>
          <w:p w14:paraId="33A51B25">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法定代表人或者委托代理人：</w:t>
            </w:r>
          </w:p>
        </w:tc>
      </w:tr>
      <w:tr w14:paraId="12EEE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vAlign w:val="center"/>
          </w:tcPr>
          <w:p w14:paraId="2A763981">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电话：</w:t>
            </w:r>
          </w:p>
        </w:tc>
        <w:tc>
          <w:tcPr>
            <w:tcW w:w="4517" w:type="dxa"/>
            <w:vAlign w:val="center"/>
          </w:tcPr>
          <w:p w14:paraId="3BF7D2F4">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电话：</w:t>
            </w:r>
          </w:p>
        </w:tc>
      </w:tr>
      <w:tr w14:paraId="21AE6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vAlign w:val="center"/>
          </w:tcPr>
          <w:p w14:paraId="7C0B3A8A">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电子邮箱：</w:t>
            </w:r>
          </w:p>
        </w:tc>
        <w:tc>
          <w:tcPr>
            <w:tcW w:w="4517" w:type="dxa"/>
            <w:vAlign w:val="center"/>
          </w:tcPr>
          <w:p w14:paraId="0520F870">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电子邮箱：</w:t>
            </w:r>
          </w:p>
        </w:tc>
      </w:tr>
      <w:tr w14:paraId="12BF7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14:paraId="6C20339C">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开户银行： </w:t>
            </w:r>
          </w:p>
        </w:tc>
        <w:tc>
          <w:tcPr>
            <w:tcW w:w="4517" w:type="dxa"/>
            <w:vAlign w:val="center"/>
          </w:tcPr>
          <w:p w14:paraId="0A2FA5BB">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开户银行：</w:t>
            </w:r>
          </w:p>
        </w:tc>
      </w:tr>
      <w:tr w14:paraId="767D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vAlign w:val="center"/>
          </w:tcPr>
          <w:p w14:paraId="72484647">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账号：</w:t>
            </w:r>
          </w:p>
        </w:tc>
        <w:tc>
          <w:tcPr>
            <w:tcW w:w="4517" w:type="dxa"/>
            <w:vAlign w:val="center"/>
          </w:tcPr>
          <w:p w14:paraId="0967C286">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账号：</w:t>
            </w:r>
          </w:p>
        </w:tc>
      </w:tr>
      <w:tr w14:paraId="3FA4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14:paraId="1C23913A">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邮政编码：</w:t>
            </w:r>
          </w:p>
        </w:tc>
        <w:tc>
          <w:tcPr>
            <w:tcW w:w="4517" w:type="dxa"/>
            <w:vAlign w:val="center"/>
          </w:tcPr>
          <w:p w14:paraId="045F015A">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邮政编码：</w:t>
            </w:r>
          </w:p>
        </w:tc>
      </w:tr>
    </w:tbl>
    <w:p w14:paraId="2533267D">
      <w:pPr>
        <w:pStyle w:val="19"/>
        <w:ind w:firstLine="600"/>
        <w:rPr>
          <w:rFonts w:ascii="宋体" w:hAnsi="宋体" w:cs="宋体"/>
          <w:color w:val="auto"/>
          <w:highlight w:val="none"/>
        </w:rPr>
      </w:pPr>
    </w:p>
    <w:bookmarkEnd w:id="136"/>
    <w:p w14:paraId="1758DCA7">
      <w:pPr>
        <w:snapToGrid w:val="0"/>
        <w:ind w:firstLine="800"/>
        <w:jc w:val="center"/>
        <w:rPr>
          <w:rFonts w:ascii="宋体" w:hAnsi="宋体" w:cs="宋体"/>
          <w:bCs/>
          <w:color w:val="auto"/>
          <w:sz w:val="32"/>
          <w:szCs w:val="32"/>
          <w:highlight w:val="none"/>
        </w:rPr>
      </w:pPr>
    </w:p>
    <w:p w14:paraId="5A512D0D">
      <w:pPr>
        <w:snapToGrid w:val="0"/>
        <w:ind w:firstLine="800"/>
        <w:jc w:val="center"/>
        <w:rPr>
          <w:rFonts w:ascii="宋体" w:hAnsi="宋体" w:cs="宋体"/>
          <w:bCs/>
          <w:color w:val="auto"/>
          <w:sz w:val="32"/>
          <w:szCs w:val="32"/>
          <w:highlight w:val="none"/>
        </w:rPr>
      </w:pPr>
    </w:p>
    <w:p w14:paraId="07A8EEF6">
      <w:pPr>
        <w:snapToGrid w:val="0"/>
        <w:ind w:firstLine="800"/>
        <w:jc w:val="center"/>
        <w:rPr>
          <w:rFonts w:ascii="宋体" w:hAnsi="宋体" w:cs="宋体"/>
          <w:bCs/>
          <w:color w:val="auto"/>
          <w:sz w:val="32"/>
          <w:szCs w:val="32"/>
          <w:highlight w:val="none"/>
        </w:rPr>
      </w:pPr>
    </w:p>
    <w:p w14:paraId="3FEE19B3">
      <w:pPr>
        <w:snapToGrid w:val="0"/>
        <w:ind w:firstLine="800"/>
        <w:jc w:val="center"/>
        <w:rPr>
          <w:rFonts w:ascii="宋体" w:hAnsi="宋体" w:cs="宋体"/>
          <w:bCs/>
          <w:color w:val="auto"/>
          <w:sz w:val="32"/>
          <w:szCs w:val="32"/>
          <w:highlight w:val="none"/>
        </w:rPr>
      </w:pPr>
    </w:p>
    <w:p w14:paraId="32C46284">
      <w:pPr>
        <w:snapToGrid w:val="0"/>
        <w:ind w:firstLine="800"/>
        <w:jc w:val="center"/>
        <w:rPr>
          <w:rFonts w:ascii="宋体" w:hAnsi="宋体" w:cs="宋体"/>
          <w:bCs/>
          <w:color w:val="auto"/>
          <w:sz w:val="32"/>
          <w:szCs w:val="32"/>
          <w:highlight w:val="none"/>
        </w:rPr>
      </w:pPr>
    </w:p>
    <w:p w14:paraId="7B5C440E">
      <w:pPr>
        <w:snapToGrid w:val="0"/>
        <w:ind w:firstLine="800"/>
        <w:jc w:val="center"/>
        <w:rPr>
          <w:rFonts w:ascii="宋体" w:hAnsi="宋体" w:cs="宋体"/>
          <w:bCs/>
          <w:color w:val="auto"/>
          <w:sz w:val="32"/>
          <w:szCs w:val="32"/>
          <w:highlight w:val="none"/>
        </w:rPr>
      </w:pPr>
    </w:p>
    <w:p w14:paraId="71FCCF0C">
      <w:pPr>
        <w:snapToGrid w:val="0"/>
        <w:ind w:firstLine="800"/>
        <w:jc w:val="center"/>
        <w:rPr>
          <w:rFonts w:ascii="宋体" w:hAnsi="宋体" w:cs="宋体"/>
          <w:bCs/>
          <w:color w:val="auto"/>
          <w:sz w:val="32"/>
          <w:szCs w:val="32"/>
          <w:highlight w:val="none"/>
        </w:rPr>
      </w:pPr>
    </w:p>
    <w:p w14:paraId="793077E7">
      <w:pPr>
        <w:snapToGrid w:val="0"/>
        <w:ind w:firstLine="800"/>
        <w:jc w:val="center"/>
        <w:rPr>
          <w:rFonts w:ascii="宋体" w:hAnsi="宋体" w:cs="宋体"/>
          <w:bCs/>
          <w:color w:val="auto"/>
          <w:sz w:val="32"/>
          <w:szCs w:val="32"/>
          <w:highlight w:val="none"/>
        </w:rPr>
      </w:pPr>
    </w:p>
    <w:p w14:paraId="1C49E508">
      <w:pPr>
        <w:snapToGrid w:val="0"/>
        <w:ind w:firstLine="800"/>
        <w:jc w:val="center"/>
        <w:rPr>
          <w:rFonts w:ascii="宋体" w:hAnsi="宋体" w:cs="宋体"/>
          <w:bCs/>
          <w:color w:val="auto"/>
          <w:sz w:val="32"/>
          <w:szCs w:val="32"/>
          <w:highlight w:val="none"/>
        </w:rPr>
      </w:pPr>
    </w:p>
    <w:p w14:paraId="53AAAE1A">
      <w:pPr>
        <w:snapToGrid w:val="0"/>
        <w:ind w:firstLine="800"/>
        <w:jc w:val="center"/>
        <w:rPr>
          <w:rFonts w:ascii="宋体" w:hAnsi="宋体" w:cs="宋体"/>
          <w:bCs/>
          <w:color w:val="auto"/>
          <w:sz w:val="32"/>
          <w:szCs w:val="32"/>
          <w:highlight w:val="none"/>
        </w:rPr>
      </w:pPr>
    </w:p>
    <w:p w14:paraId="6AA26F62">
      <w:pPr>
        <w:snapToGrid w:val="0"/>
        <w:ind w:firstLine="800"/>
        <w:jc w:val="center"/>
        <w:rPr>
          <w:rFonts w:ascii="宋体" w:hAnsi="宋体" w:cs="宋体"/>
          <w:bCs/>
          <w:color w:val="auto"/>
          <w:sz w:val="32"/>
          <w:szCs w:val="32"/>
          <w:highlight w:val="none"/>
        </w:rPr>
      </w:pPr>
    </w:p>
    <w:p w14:paraId="556D208E">
      <w:pPr>
        <w:snapToGrid w:val="0"/>
        <w:ind w:firstLine="800"/>
        <w:jc w:val="center"/>
        <w:rPr>
          <w:rFonts w:ascii="宋体" w:hAnsi="宋体" w:cs="宋体"/>
          <w:bCs/>
          <w:color w:val="auto"/>
          <w:sz w:val="32"/>
          <w:szCs w:val="32"/>
          <w:highlight w:val="none"/>
        </w:rPr>
      </w:pPr>
    </w:p>
    <w:p w14:paraId="45AFA649">
      <w:pPr>
        <w:snapToGrid w:val="0"/>
        <w:ind w:firstLine="800"/>
        <w:jc w:val="center"/>
        <w:rPr>
          <w:rFonts w:ascii="宋体" w:hAnsi="宋体" w:cs="宋体"/>
          <w:bCs/>
          <w:color w:val="auto"/>
          <w:sz w:val="32"/>
          <w:szCs w:val="32"/>
          <w:highlight w:val="none"/>
        </w:rPr>
      </w:pPr>
    </w:p>
    <w:p w14:paraId="74218C9C">
      <w:pPr>
        <w:snapToGrid w:val="0"/>
        <w:ind w:firstLine="800"/>
        <w:jc w:val="center"/>
        <w:rPr>
          <w:rFonts w:ascii="宋体" w:hAnsi="宋体" w:cs="宋体"/>
          <w:bCs/>
          <w:color w:val="auto"/>
          <w:sz w:val="32"/>
          <w:szCs w:val="32"/>
          <w:highlight w:val="none"/>
        </w:rPr>
      </w:pPr>
    </w:p>
    <w:p w14:paraId="0AA883E5">
      <w:pPr>
        <w:snapToGrid w:val="0"/>
        <w:ind w:firstLine="800"/>
        <w:jc w:val="center"/>
        <w:rPr>
          <w:rFonts w:ascii="宋体" w:hAnsi="宋体" w:cs="宋体"/>
          <w:bCs/>
          <w:color w:val="auto"/>
          <w:sz w:val="32"/>
          <w:szCs w:val="32"/>
          <w:highlight w:val="none"/>
        </w:rPr>
      </w:pPr>
    </w:p>
    <w:p w14:paraId="0624A233">
      <w:pPr>
        <w:snapToGrid w:val="0"/>
        <w:ind w:firstLine="800"/>
        <w:jc w:val="center"/>
        <w:rPr>
          <w:rFonts w:ascii="宋体" w:hAnsi="宋体" w:cs="宋体"/>
          <w:bCs/>
          <w:color w:val="auto"/>
          <w:sz w:val="32"/>
          <w:szCs w:val="32"/>
          <w:highlight w:val="none"/>
        </w:rPr>
      </w:pPr>
    </w:p>
    <w:p w14:paraId="7A99EFF9">
      <w:pPr>
        <w:snapToGrid w:val="0"/>
        <w:ind w:firstLine="800"/>
        <w:jc w:val="center"/>
        <w:rPr>
          <w:rFonts w:ascii="宋体" w:hAnsi="宋体" w:cs="宋体"/>
          <w:bCs/>
          <w:color w:val="auto"/>
          <w:sz w:val="32"/>
          <w:szCs w:val="32"/>
          <w:highlight w:val="none"/>
        </w:rPr>
      </w:pPr>
    </w:p>
    <w:p w14:paraId="13D77A5D">
      <w:pPr>
        <w:snapToGrid w:val="0"/>
        <w:ind w:firstLine="800"/>
        <w:jc w:val="center"/>
        <w:rPr>
          <w:rFonts w:ascii="宋体" w:hAnsi="宋体" w:cs="宋体"/>
          <w:bCs/>
          <w:color w:val="auto"/>
          <w:sz w:val="32"/>
          <w:szCs w:val="32"/>
          <w:highlight w:val="none"/>
        </w:rPr>
      </w:pPr>
    </w:p>
    <w:p w14:paraId="7E8BE9EA">
      <w:pPr>
        <w:snapToGrid w:val="0"/>
        <w:ind w:firstLine="800"/>
        <w:jc w:val="center"/>
        <w:rPr>
          <w:rFonts w:ascii="宋体" w:hAnsi="宋体" w:cs="宋体"/>
          <w:bCs/>
          <w:color w:val="auto"/>
          <w:sz w:val="32"/>
          <w:szCs w:val="32"/>
          <w:highlight w:val="none"/>
        </w:rPr>
      </w:pPr>
    </w:p>
    <w:p w14:paraId="02F470EF">
      <w:pPr>
        <w:snapToGrid w:val="0"/>
        <w:ind w:firstLine="800"/>
        <w:jc w:val="center"/>
        <w:rPr>
          <w:rFonts w:ascii="宋体" w:hAnsi="宋体" w:cs="宋体"/>
          <w:bCs/>
          <w:color w:val="auto"/>
          <w:sz w:val="32"/>
          <w:szCs w:val="32"/>
          <w:highlight w:val="none"/>
        </w:rPr>
      </w:pPr>
    </w:p>
    <w:p w14:paraId="710764FE">
      <w:pPr>
        <w:snapToGrid w:val="0"/>
        <w:ind w:firstLine="800"/>
        <w:jc w:val="center"/>
        <w:rPr>
          <w:rFonts w:ascii="宋体" w:hAnsi="宋体" w:cs="宋体"/>
          <w:bCs/>
          <w:color w:val="auto"/>
          <w:sz w:val="32"/>
          <w:szCs w:val="32"/>
          <w:highlight w:val="none"/>
        </w:rPr>
      </w:pPr>
    </w:p>
    <w:p w14:paraId="49EFDB65">
      <w:pPr>
        <w:snapToGrid w:val="0"/>
        <w:ind w:firstLine="800"/>
        <w:jc w:val="center"/>
        <w:rPr>
          <w:rFonts w:ascii="宋体" w:hAnsi="宋体" w:cs="宋体"/>
          <w:bCs/>
          <w:color w:val="auto"/>
          <w:sz w:val="32"/>
          <w:szCs w:val="32"/>
          <w:highlight w:val="none"/>
        </w:rPr>
      </w:pPr>
    </w:p>
    <w:p w14:paraId="59FB88DF">
      <w:pPr>
        <w:snapToGrid w:val="0"/>
        <w:ind w:firstLine="800"/>
        <w:jc w:val="center"/>
        <w:rPr>
          <w:rFonts w:ascii="宋体" w:hAnsi="宋体" w:cs="宋体"/>
          <w:bCs/>
          <w:color w:val="auto"/>
          <w:sz w:val="32"/>
          <w:szCs w:val="32"/>
          <w:highlight w:val="none"/>
        </w:rPr>
      </w:pPr>
    </w:p>
    <w:p w14:paraId="18181307">
      <w:pPr>
        <w:snapToGrid w:val="0"/>
        <w:ind w:firstLine="800"/>
        <w:jc w:val="center"/>
        <w:rPr>
          <w:rFonts w:ascii="宋体" w:hAnsi="宋体" w:cs="宋体"/>
          <w:bCs/>
          <w:color w:val="auto"/>
          <w:sz w:val="32"/>
          <w:szCs w:val="32"/>
          <w:highlight w:val="none"/>
        </w:rPr>
      </w:pPr>
    </w:p>
    <w:p w14:paraId="50712F17">
      <w:pPr>
        <w:pStyle w:val="2"/>
        <w:ind w:firstLine="1104"/>
        <w:jc w:val="center"/>
        <w:rPr>
          <w:rFonts w:ascii="宋体" w:hAnsi="宋体" w:cs="宋体"/>
          <w:color w:val="auto"/>
          <w:highlight w:val="none"/>
        </w:rPr>
      </w:pPr>
      <w:bookmarkStart w:id="137" w:name="_Toc27068"/>
      <w:r>
        <w:rPr>
          <w:rFonts w:hint="eastAsia" w:ascii="宋体" w:hAnsi="宋体" w:cs="宋体"/>
          <w:color w:val="auto"/>
          <w:highlight w:val="none"/>
        </w:rPr>
        <w:t>第六章　投标文件格式</w:t>
      </w:r>
      <w:bookmarkEnd w:id="137"/>
    </w:p>
    <w:p w14:paraId="189982B8">
      <w:pPr>
        <w:snapToGrid w:val="0"/>
        <w:spacing w:before="50" w:after="50"/>
        <w:ind w:firstLine="800"/>
        <w:outlineLvl w:val="1"/>
        <w:rPr>
          <w:rFonts w:ascii="宋体" w:hAnsi="宋体" w:cs="宋体"/>
          <w:color w:val="auto"/>
          <w:sz w:val="32"/>
          <w:szCs w:val="20"/>
          <w:highlight w:val="none"/>
        </w:rPr>
      </w:pPr>
    </w:p>
    <w:p w14:paraId="00ED6842">
      <w:pPr>
        <w:snapToGrid w:val="0"/>
        <w:spacing w:before="50" w:after="50"/>
        <w:ind w:firstLine="800"/>
        <w:outlineLvl w:val="1"/>
        <w:rPr>
          <w:rFonts w:ascii="宋体" w:hAnsi="宋体" w:cs="宋体"/>
          <w:color w:val="auto"/>
          <w:sz w:val="32"/>
          <w:szCs w:val="20"/>
          <w:highlight w:val="none"/>
        </w:rPr>
      </w:pPr>
    </w:p>
    <w:p w14:paraId="5E424A86">
      <w:pPr>
        <w:snapToGrid w:val="0"/>
        <w:spacing w:before="50" w:after="50"/>
        <w:ind w:firstLine="800"/>
        <w:outlineLvl w:val="1"/>
        <w:rPr>
          <w:rFonts w:ascii="宋体" w:hAnsi="宋体" w:cs="宋体"/>
          <w:color w:val="auto"/>
          <w:sz w:val="32"/>
          <w:szCs w:val="20"/>
          <w:highlight w:val="none"/>
        </w:rPr>
      </w:pPr>
    </w:p>
    <w:p w14:paraId="5F39D785">
      <w:pPr>
        <w:snapToGrid w:val="0"/>
        <w:spacing w:before="50" w:after="50"/>
        <w:ind w:firstLine="800"/>
        <w:outlineLvl w:val="1"/>
        <w:rPr>
          <w:rFonts w:ascii="宋体" w:hAnsi="宋体" w:cs="宋体"/>
          <w:color w:val="auto"/>
          <w:sz w:val="32"/>
          <w:szCs w:val="20"/>
          <w:highlight w:val="none"/>
        </w:rPr>
      </w:pPr>
    </w:p>
    <w:p w14:paraId="775217DA">
      <w:pPr>
        <w:snapToGrid w:val="0"/>
        <w:spacing w:before="50" w:after="50"/>
        <w:ind w:firstLine="800"/>
        <w:outlineLvl w:val="1"/>
        <w:rPr>
          <w:rFonts w:ascii="宋体" w:hAnsi="宋体" w:cs="宋体"/>
          <w:color w:val="auto"/>
          <w:sz w:val="32"/>
          <w:szCs w:val="20"/>
          <w:highlight w:val="none"/>
        </w:rPr>
      </w:pPr>
    </w:p>
    <w:p w14:paraId="07661F82">
      <w:pPr>
        <w:snapToGrid w:val="0"/>
        <w:spacing w:before="50" w:after="50"/>
        <w:ind w:firstLine="800"/>
        <w:outlineLvl w:val="1"/>
        <w:rPr>
          <w:rFonts w:ascii="宋体" w:hAnsi="宋体" w:cs="宋体"/>
          <w:color w:val="auto"/>
          <w:sz w:val="32"/>
          <w:szCs w:val="20"/>
          <w:highlight w:val="none"/>
        </w:rPr>
      </w:pPr>
    </w:p>
    <w:p w14:paraId="1AED1F48">
      <w:pPr>
        <w:snapToGrid w:val="0"/>
        <w:spacing w:before="50" w:after="50"/>
        <w:ind w:firstLine="800"/>
        <w:outlineLvl w:val="1"/>
        <w:rPr>
          <w:rFonts w:ascii="宋体" w:hAnsi="宋体" w:cs="宋体"/>
          <w:color w:val="auto"/>
          <w:sz w:val="32"/>
          <w:szCs w:val="20"/>
          <w:highlight w:val="none"/>
        </w:rPr>
      </w:pPr>
    </w:p>
    <w:p w14:paraId="0450F4EC">
      <w:pPr>
        <w:snapToGrid w:val="0"/>
        <w:spacing w:before="50" w:after="50"/>
        <w:ind w:firstLine="800"/>
        <w:outlineLvl w:val="1"/>
        <w:rPr>
          <w:rFonts w:ascii="宋体" w:hAnsi="宋体" w:cs="宋体"/>
          <w:color w:val="auto"/>
          <w:sz w:val="32"/>
          <w:szCs w:val="20"/>
          <w:highlight w:val="none"/>
        </w:rPr>
      </w:pPr>
    </w:p>
    <w:p w14:paraId="55B54079">
      <w:pPr>
        <w:snapToGrid w:val="0"/>
        <w:spacing w:before="50" w:after="50"/>
        <w:ind w:firstLine="800"/>
        <w:outlineLvl w:val="1"/>
        <w:rPr>
          <w:rFonts w:ascii="宋体" w:hAnsi="宋体" w:cs="宋体"/>
          <w:color w:val="auto"/>
          <w:sz w:val="32"/>
          <w:szCs w:val="20"/>
          <w:highlight w:val="none"/>
        </w:rPr>
      </w:pPr>
    </w:p>
    <w:p w14:paraId="620FBEEE">
      <w:pPr>
        <w:ind w:firstLine="703"/>
        <w:rPr>
          <w:rFonts w:ascii="宋体" w:hAnsi="宋体" w:cs="宋体"/>
          <w:b/>
          <w:color w:val="auto"/>
          <w:sz w:val="28"/>
          <w:szCs w:val="28"/>
          <w:highlight w:val="none"/>
        </w:rPr>
      </w:pPr>
      <w:bookmarkStart w:id="138" w:name="_Toc19686836"/>
      <w:bookmarkStart w:id="139" w:name="_Toc254970698"/>
      <w:bookmarkStart w:id="140" w:name="_Toc254970557"/>
      <w:r>
        <w:rPr>
          <w:rFonts w:hint="eastAsia" w:ascii="宋体" w:hAnsi="宋体" w:cs="宋体"/>
          <w:b/>
          <w:color w:val="auto"/>
          <w:sz w:val="28"/>
          <w:szCs w:val="28"/>
          <w:highlight w:val="none"/>
        </w:rPr>
        <w:br w:type="page"/>
      </w:r>
    </w:p>
    <w:p w14:paraId="1BC1A900">
      <w:pPr>
        <w:ind w:firstLine="703"/>
        <w:rPr>
          <w:rFonts w:ascii="宋体" w:hAnsi="宋体" w:cs="宋体"/>
          <w:b/>
          <w:color w:val="auto"/>
          <w:sz w:val="28"/>
          <w:szCs w:val="28"/>
          <w:highlight w:val="none"/>
        </w:rPr>
      </w:pPr>
      <w:r>
        <w:rPr>
          <w:rFonts w:hint="eastAsia" w:ascii="宋体" w:hAnsi="宋体" w:cs="宋体"/>
          <w:b/>
          <w:color w:val="auto"/>
          <w:sz w:val="28"/>
          <w:szCs w:val="28"/>
          <w:highlight w:val="none"/>
        </w:rPr>
        <w:t>一、报价文件格式</w:t>
      </w:r>
      <w:bookmarkEnd w:id="138"/>
    </w:p>
    <w:p w14:paraId="490016E9">
      <w:pPr>
        <w:snapToGrid w:val="0"/>
        <w:spacing w:before="120" w:beforeLines="50" w:after="50" w:line="360" w:lineRule="auto"/>
        <w:ind w:left="-134" w:firstLine="602"/>
        <w:jc w:val="left"/>
        <w:rPr>
          <w:rFonts w:ascii="宋体" w:hAnsi="宋体" w:cs="宋体"/>
          <w:b/>
          <w:color w:val="auto"/>
          <w:sz w:val="24"/>
          <w:highlight w:val="none"/>
        </w:rPr>
      </w:pPr>
      <w:r>
        <w:rPr>
          <w:rFonts w:hint="eastAsia" w:ascii="宋体" w:hAnsi="宋体" w:cs="宋体"/>
          <w:b/>
          <w:color w:val="auto"/>
          <w:sz w:val="24"/>
          <w:highlight w:val="none"/>
        </w:rPr>
        <w:t xml:space="preserve">1. 报价文件封面格式： </w:t>
      </w:r>
    </w:p>
    <w:p w14:paraId="0D849216">
      <w:pPr>
        <w:snapToGrid w:val="0"/>
        <w:spacing w:before="120" w:beforeLines="50" w:after="50" w:line="360" w:lineRule="auto"/>
        <w:ind w:left="-134" w:firstLine="1200"/>
        <w:jc w:val="center"/>
        <w:rPr>
          <w:rFonts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614C4382">
      <w:pPr>
        <w:snapToGrid w:val="0"/>
        <w:spacing w:before="120" w:beforeLines="50" w:after="50" w:line="400" w:lineRule="exact"/>
        <w:ind w:firstLine="1200"/>
        <w:jc w:val="left"/>
        <w:rPr>
          <w:rFonts w:ascii="宋体" w:hAnsi="宋体" w:cs="宋体"/>
          <w:bCs/>
          <w:color w:val="auto"/>
          <w:sz w:val="48"/>
          <w:szCs w:val="48"/>
          <w:highlight w:val="none"/>
        </w:rPr>
      </w:pPr>
    </w:p>
    <w:p w14:paraId="7A279A4E">
      <w:pPr>
        <w:snapToGrid w:val="0"/>
        <w:spacing w:before="120" w:beforeLines="50" w:after="50" w:line="400" w:lineRule="exact"/>
        <w:ind w:firstLine="1100"/>
        <w:jc w:val="center"/>
        <w:rPr>
          <w:rFonts w:ascii="宋体" w:hAnsi="宋体" w:cs="宋体"/>
          <w:color w:val="auto"/>
          <w:sz w:val="44"/>
          <w:szCs w:val="44"/>
          <w:highlight w:val="none"/>
        </w:rPr>
      </w:pPr>
      <w:r>
        <w:rPr>
          <w:rFonts w:hint="eastAsia" w:ascii="宋体" w:hAnsi="宋体" w:cs="宋体"/>
          <w:color w:val="auto"/>
          <w:sz w:val="44"/>
          <w:szCs w:val="44"/>
          <w:highlight w:val="none"/>
        </w:rPr>
        <w:t>报  价  文  件</w:t>
      </w:r>
    </w:p>
    <w:p w14:paraId="7C0F38CE">
      <w:pPr>
        <w:snapToGrid w:val="0"/>
        <w:spacing w:before="120" w:beforeLines="50" w:after="50" w:line="400" w:lineRule="exact"/>
        <w:ind w:firstLine="600"/>
        <w:rPr>
          <w:rFonts w:ascii="宋体" w:hAnsi="宋体" w:cs="宋体"/>
          <w:bCs/>
          <w:color w:val="auto"/>
          <w:sz w:val="24"/>
          <w:szCs w:val="20"/>
          <w:highlight w:val="none"/>
        </w:rPr>
      </w:pPr>
    </w:p>
    <w:p w14:paraId="255DDAC0">
      <w:pPr>
        <w:snapToGrid w:val="0"/>
        <w:spacing w:before="120" w:beforeLines="50" w:after="50" w:line="400" w:lineRule="exact"/>
        <w:ind w:firstLine="600"/>
        <w:rPr>
          <w:rFonts w:ascii="宋体" w:hAnsi="宋体" w:cs="宋体"/>
          <w:bCs/>
          <w:color w:val="auto"/>
          <w:sz w:val="24"/>
          <w:szCs w:val="20"/>
          <w:highlight w:val="none"/>
        </w:rPr>
      </w:pPr>
    </w:p>
    <w:p w14:paraId="270E8C50">
      <w:pPr>
        <w:snapToGrid w:val="0"/>
        <w:spacing w:before="120" w:beforeLines="50" w:after="50" w:line="400" w:lineRule="exact"/>
        <w:ind w:firstLine="600"/>
        <w:rPr>
          <w:rFonts w:ascii="宋体" w:hAnsi="宋体" w:cs="宋体"/>
          <w:bCs/>
          <w:color w:val="auto"/>
          <w:sz w:val="24"/>
          <w:szCs w:val="20"/>
          <w:highlight w:val="none"/>
        </w:rPr>
      </w:pPr>
    </w:p>
    <w:p w14:paraId="057D2D0C">
      <w:pPr>
        <w:snapToGrid w:val="0"/>
        <w:spacing w:before="120" w:beforeLines="50" w:after="50" w:line="400" w:lineRule="exact"/>
        <w:ind w:firstLine="360" w:firstLineChars="150"/>
        <w:rPr>
          <w:rFonts w:ascii="宋体" w:hAnsi="宋体" w:cs="宋体"/>
          <w:bCs/>
          <w:color w:val="auto"/>
          <w:sz w:val="24"/>
          <w:highlight w:val="none"/>
        </w:rPr>
      </w:pPr>
      <w:r>
        <w:rPr>
          <w:rFonts w:hint="eastAsia" w:ascii="宋体" w:hAnsi="宋体" w:cs="宋体"/>
          <w:bCs/>
          <w:color w:val="auto"/>
          <w:sz w:val="24"/>
          <w:highlight w:val="none"/>
        </w:rPr>
        <w:t xml:space="preserve">项目名称： </w:t>
      </w:r>
    </w:p>
    <w:p w14:paraId="3E71C0CD">
      <w:pPr>
        <w:snapToGrid w:val="0"/>
        <w:spacing w:before="120" w:beforeLines="50" w:after="50" w:line="400" w:lineRule="exact"/>
        <w:ind w:firstLine="360" w:firstLineChars="150"/>
        <w:rPr>
          <w:rFonts w:ascii="宋体" w:hAnsi="宋体" w:cs="宋体"/>
          <w:bCs/>
          <w:color w:val="auto"/>
          <w:sz w:val="24"/>
          <w:highlight w:val="none"/>
        </w:rPr>
      </w:pPr>
    </w:p>
    <w:p w14:paraId="089B3E80">
      <w:pPr>
        <w:snapToGrid w:val="0"/>
        <w:spacing w:before="120" w:beforeLines="50" w:after="50" w:line="400" w:lineRule="exact"/>
        <w:ind w:firstLine="360" w:firstLineChars="150"/>
        <w:rPr>
          <w:rFonts w:ascii="宋体" w:hAnsi="宋体" w:cs="宋体"/>
          <w:bCs/>
          <w:color w:val="auto"/>
          <w:sz w:val="24"/>
          <w:highlight w:val="none"/>
        </w:rPr>
      </w:pPr>
      <w:r>
        <w:rPr>
          <w:rFonts w:hint="eastAsia" w:ascii="宋体" w:hAnsi="宋体" w:cs="宋体"/>
          <w:bCs/>
          <w:color w:val="auto"/>
          <w:sz w:val="24"/>
          <w:highlight w:val="none"/>
        </w:rPr>
        <w:t xml:space="preserve">项目编号： </w:t>
      </w:r>
    </w:p>
    <w:p w14:paraId="2680F1D5">
      <w:pPr>
        <w:snapToGrid w:val="0"/>
        <w:spacing w:before="120" w:beforeLines="50" w:after="50" w:line="400" w:lineRule="exact"/>
        <w:ind w:firstLine="360" w:firstLineChars="150"/>
        <w:rPr>
          <w:rFonts w:ascii="宋体" w:hAnsi="宋体" w:cs="宋体"/>
          <w:bCs/>
          <w:color w:val="auto"/>
          <w:sz w:val="24"/>
          <w:highlight w:val="none"/>
        </w:rPr>
      </w:pPr>
    </w:p>
    <w:p w14:paraId="0B536817">
      <w:pPr>
        <w:snapToGrid w:val="0"/>
        <w:spacing w:before="120" w:beforeLines="50" w:after="50" w:line="400" w:lineRule="exact"/>
        <w:ind w:firstLine="360" w:firstLineChars="150"/>
        <w:rPr>
          <w:rFonts w:ascii="宋体" w:hAnsi="宋体" w:cs="宋体"/>
          <w:bCs/>
          <w:color w:val="auto"/>
          <w:sz w:val="24"/>
          <w:highlight w:val="none"/>
        </w:rPr>
      </w:pPr>
      <w:r>
        <w:rPr>
          <w:rFonts w:hint="eastAsia" w:ascii="宋体" w:hAnsi="宋体" w:cs="宋体"/>
          <w:bCs/>
          <w:color w:val="auto"/>
          <w:sz w:val="24"/>
          <w:highlight w:val="none"/>
        </w:rPr>
        <w:t>所投分标：</w:t>
      </w:r>
    </w:p>
    <w:p w14:paraId="4E1A7E5B">
      <w:pPr>
        <w:snapToGrid w:val="0"/>
        <w:spacing w:before="120" w:beforeLines="50" w:after="50" w:line="400" w:lineRule="exact"/>
        <w:ind w:firstLine="360" w:firstLineChars="150"/>
        <w:rPr>
          <w:rFonts w:ascii="宋体" w:hAnsi="宋体" w:cs="宋体"/>
          <w:bCs/>
          <w:color w:val="auto"/>
          <w:sz w:val="24"/>
          <w:highlight w:val="none"/>
        </w:rPr>
      </w:pPr>
    </w:p>
    <w:p w14:paraId="7F66E7EA">
      <w:pPr>
        <w:snapToGrid w:val="0"/>
        <w:spacing w:before="120" w:beforeLines="50" w:after="50" w:line="400" w:lineRule="exact"/>
        <w:ind w:firstLine="360" w:firstLineChars="150"/>
        <w:rPr>
          <w:rFonts w:ascii="宋体" w:hAnsi="宋体" w:cs="宋体"/>
          <w:bCs/>
          <w:color w:val="auto"/>
          <w:sz w:val="24"/>
          <w:highlight w:val="none"/>
        </w:rPr>
      </w:pPr>
      <w:r>
        <w:rPr>
          <w:rFonts w:hint="eastAsia" w:ascii="宋体" w:hAnsi="宋体" w:cs="宋体"/>
          <w:bCs/>
          <w:color w:val="auto"/>
          <w:sz w:val="24"/>
          <w:highlight w:val="none"/>
        </w:rPr>
        <w:t>投标人名称：</w:t>
      </w:r>
    </w:p>
    <w:p w14:paraId="29F5EBC9">
      <w:pPr>
        <w:snapToGrid w:val="0"/>
        <w:spacing w:before="120" w:beforeLines="50" w:after="50" w:line="400" w:lineRule="exact"/>
        <w:ind w:firstLine="360" w:firstLineChars="150"/>
        <w:rPr>
          <w:rFonts w:ascii="宋体" w:hAnsi="宋体" w:cs="宋体"/>
          <w:bCs/>
          <w:color w:val="auto"/>
          <w:sz w:val="24"/>
          <w:highlight w:val="none"/>
        </w:rPr>
      </w:pPr>
    </w:p>
    <w:p w14:paraId="7B85D873">
      <w:pPr>
        <w:snapToGrid w:val="0"/>
        <w:spacing w:before="120" w:beforeLines="50" w:after="50" w:line="400" w:lineRule="exact"/>
        <w:ind w:firstLine="360" w:firstLineChars="150"/>
        <w:rPr>
          <w:rFonts w:ascii="宋体" w:hAnsi="宋体" w:cs="宋体"/>
          <w:bCs/>
          <w:color w:val="auto"/>
          <w:sz w:val="24"/>
          <w:highlight w:val="none"/>
        </w:rPr>
      </w:pPr>
      <w:r>
        <w:rPr>
          <w:rFonts w:hint="eastAsia" w:ascii="宋体" w:hAnsi="宋体" w:cs="宋体"/>
          <w:bCs/>
          <w:color w:val="auto"/>
          <w:sz w:val="24"/>
          <w:highlight w:val="none"/>
        </w:rPr>
        <w:t>投标人地址：</w:t>
      </w:r>
    </w:p>
    <w:p w14:paraId="15476572">
      <w:pPr>
        <w:pStyle w:val="7"/>
        <w:snapToGrid w:val="0"/>
        <w:spacing w:before="50" w:after="50" w:line="400" w:lineRule="exact"/>
        <w:ind w:firstLine="960" w:firstLineChars="400"/>
        <w:rPr>
          <w:rFonts w:ascii="宋体" w:hAnsi="宋体" w:cs="宋体"/>
          <w:bCs/>
          <w:color w:val="auto"/>
          <w:sz w:val="24"/>
          <w:szCs w:val="24"/>
          <w:highlight w:val="none"/>
        </w:rPr>
      </w:pPr>
    </w:p>
    <w:p w14:paraId="12E52151">
      <w:pPr>
        <w:snapToGrid w:val="0"/>
        <w:spacing w:before="120" w:beforeLines="50" w:after="50" w:line="400" w:lineRule="exact"/>
        <w:ind w:firstLine="600"/>
        <w:rPr>
          <w:rFonts w:ascii="宋体" w:hAnsi="宋体" w:cs="宋体"/>
          <w:color w:val="auto"/>
          <w:sz w:val="30"/>
          <w:szCs w:val="20"/>
          <w:highlight w:val="none"/>
        </w:rPr>
      </w:pPr>
      <w:r>
        <w:rPr>
          <w:rFonts w:hint="eastAsia" w:ascii="宋体" w:hAnsi="宋体" w:cs="宋体"/>
          <w:color w:val="auto"/>
          <w:sz w:val="24"/>
          <w:highlight w:val="none"/>
        </w:rPr>
        <w:t xml:space="preserve">                                   年  月  日</w:t>
      </w:r>
    </w:p>
    <w:p w14:paraId="6C7E2CED">
      <w:pPr>
        <w:snapToGrid w:val="0"/>
        <w:spacing w:before="120" w:beforeLines="50" w:after="50" w:line="360" w:lineRule="auto"/>
        <w:ind w:firstLine="602"/>
        <w:jc w:val="left"/>
        <w:rPr>
          <w:rFonts w:ascii="宋体" w:hAnsi="宋体" w:cs="宋体"/>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w:t>
      </w:r>
      <w:r>
        <w:rPr>
          <w:rFonts w:hint="eastAsia" w:ascii="宋体" w:hAnsi="宋体" w:cs="宋体"/>
          <w:b/>
          <w:bCs/>
          <w:color w:val="auto"/>
          <w:sz w:val="24"/>
          <w:highlight w:val="none"/>
        </w:rPr>
        <w:t>报价文件目录</w:t>
      </w:r>
    </w:p>
    <w:p w14:paraId="151C133B">
      <w:pPr>
        <w:snapToGrid w:val="0"/>
        <w:spacing w:before="50" w:after="120" w:afterLines="50" w:line="360" w:lineRule="auto"/>
        <w:jc w:val="left"/>
        <w:rPr>
          <w:rFonts w:ascii="宋体" w:hAnsi="宋体" w:cs="宋体"/>
          <w:b/>
          <w:color w:val="auto"/>
          <w:sz w:val="24"/>
          <w:highlight w:val="none"/>
        </w:rPr>
      </w:pPr>
      <w:r>
        <w:rPr>
          <w:rFonts w:hint="eastAsia" w:ascii="宋体" w:hAnsi="宋体" w:cs="宋体"/>
          <w:color w:val="auto"/>
          <w:szCs w:val="21"/>
          <w:highlight w:val="none"/>
        </w:rPr>
        <w:t>根据招标文件规定及投标人提供的材料自行编写目录。</w:t>
      </w:r>
    </w:p>
    <w:p w14:paraId="7CB54C52">
      <w:pPr>
        <w:snapToGrid w:val="0"/>
        <w:spacing w:before="120" w:beforeLines="50" w:after="50"/>
        <w:ind w:firstLine="602"/>
        <w:rPr>
          <w:rFonts w:ascii="宋体" w:hAnsi="宋体" w:cs="宋体"/>
          <w:b/>
          <w:color w:val="auto"/>
          <w:sz w:val="24"/>
          <w:highlight w:val="none"/>
        </w:rPr>
      </w:pPr>
    </w:p>
    <w:p w14:paraId="07EFF9AA">
      <w:pPr>
        <w:snapToGrid w:val="0"/>
        <w:spacing w:before="120" w:beforeLines="50" w:after="50"/>
        <w:ind w:firstLine="602"/>
        <w:rPr>
          <w:rFonts w:ascii="宋体" w:hAnsi="宋体" w:cs="宋体"/>
          <w:b/>
          <w:color w:val="auto"/>
          <w:sz w:val="24"/>
          <w:highlight w:val="none"/>
        </w:rPr>
      </w:pPr>
    </w:p>
    <w:p w14:paraId="3E7F6D69">
      <w:pPr>
        <w:snapToGrid w:val="0"/>
        <w:spacing w:before="120" w:beforeLines="50" w:after="50"/>
        <w:ind w:firstLine="602"/>
        <w:rPr>
          <w:rFonts w:ascii="宋体" w:hAnsi="宋体" w:cs="宋体"/>
          <w:b/>
          <w:color w:val="auto"/>
          <w:sz w:val="24"/>
          <w:highlight w:val="none"/>
        </w:rPr>
      </w:pPr>
    </w:p>
    <w:p w14:paraId="792BEC9E">
      <w:pPr>
        <w:snapToGrid w:val="0"/>
        <w:spacing w:before="120" w:beforeLines="50" w:after="50"/>
        <w:ind w:left="-134" w:firstLine="602"/>
        <w:jc w:val="left"/>
        <w:rPr>
          <w:rFonts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 投标函格式：</w:t>
      </w:r>
    </w:p>
    <w:p w14:paraId="4EA6AB10">
      <w:pPr>
        <w:snapToGrid w:val="0"/>
        <w:spacing w:before="120" w:beforeLines="50" w:after="50" w:line="360" w:lineRule="auto"/>
        <w:ind w:firstLine="803"/>
        <w:jc w:val="center"/>
        <w:rPr>
          <w:rFonts w:ascii="宋体" w:hAnsi="宋体" w:cs="宋体"/>
          <w:b/>
          <w:color w:val="auto"/>
          <w:sz w:val="32"/>
          <w:szCs w:val="32"/>
          <w:highlight w:val="none"/>
        </w:rPr>
      </w:pPr>
      <w:r>
        <w:rPr>
          <w:rFonts w:hint="eastAsia" w:ascii="宋体" w:hAnsi="宋体" w:cs="宋体"/>
          <w:b/>
          <w:color w:val="auto"/>
          <w:sz w:val="32"/>
          <w:szCs w:val="32"/>
          <w:highlight w:val="none"/>
        </w:rPr>
        <w:t>投 标 函</w:t>
      </w:r>
    </w:p>
    <w:p w14:paraId="5BF7E9D1">
      <w:pPr>
        <w:spacing w:line="360" w:lineRule="exact"/>
        <w:contextualSpacing/>
        <w:rPr>
          <w:rFonts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采购人名称</w:t>
      </w:r>
      <w:r>
        <w:rPr>
          <w:rFonts w:hint="eastAsia" w:ascii="宋体" w:hAnsi="宋体" w:cs="宋体"/>
          <w:color w:val="auto"/>
          <w:szCs w:val="21"/>
          <w:highlight w:val="none"/>
        </w:rPr>
        <w:t>：</w:t>
      </w:r>
    </w:p>
    <w:p w14:paraId="6CED105E">
      <w:pPr>
        <w:spacing w:line="360" w:lineRule="exact"/>
        <w:ind w:firstLine="525"/>
        <w:contextualSpacing/>
        <w:rPr>
          <w:rFonts w:ascii="宋体" w:hAnsi="宋体" w:cs="宋体"/>
          <w:color w:val="auto"/>
          <w:szCs w:val="21"/>
          <w:highlight w:val="none"/>
        </w:rPr>
      </w:pPr>
      <w:r>
        <w:rPr>
          <w:rFonts w:hint="eastAsia" w:ascii="宋体" w:hAnsi="宋体" w:cs="宋体"/>
          <w:color w:val="auto"/>
          <w:szCs w:val="21"/>
          <w:highlight w:val="none"/>
        </w:rPr>
        <w:t>根据贵方</w:t>
      </w:r>
      <w:r>
        <w:rPr>
          <w:rFonts w:hint="eastAsia" w:ascii="宋体" w:hAnsi="宋体" w:cs="宋体"/>
          <w:color w:val="auto"/>
          <w:szCs w:val="21"/>
          <w:highlight w:val="none"/>
          <w:u w:val="single"/>
        </w:rPr>
        <w:t xml:space="preserve"> 项目名称</w:t>
      </w: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）的招标公告，签字代表______</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（姓名）经正式授权并代表投标人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（投标人名称）提交投标文件。</w:t>
      </w:r>
    </w:p>
    <w:p w14:paraId="680FFC11">
      <w:pPr>
        <w:spacing w:line="36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据此函，我方宣布同意如下：</w:t>
      </w:r>
    </w:p>
    <w:p w14:paraId="40391ABD">
      <w:pPr>
        <w:spacing w:line="36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6F2AC584">
      <w:pPr>
        <w:spacing w:line="36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2.我方在投标之前已经完全理解并接受招标文件的各项规定和要求，对招标文件的合理性、合法性不再有异议。</w:t>
      </w:r>
    </w:p>
    <w:p w14:paraId="66FC9DEA">
      <w:pPr>
        <w:spacing w:line="36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3.本投标有效期自投标截止之日起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3B845077">
      <w:pPr>
        <w:spacing w:line="36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4.如中标，本投标文件至本项目合同履行完毕止均保持有效，我方将按“招标文件”及政府采购法律、法规的规定履行合同责任和义务。</w:t>
      </w:r>
    </w:p>
    <w:p w14:paraId="1AAC22E1">
      <w:pPr>
        <w:spacing w:line="36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5.我方同意按照贵方要求提供与投标有关的一切数据或者资料。</w:t>
      </w:r>
    </w:p>
    <w:p w14:paraId="1D02DEE5">
      <w:pPr>
        <w:spacing w:line="36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6.我方向贵方提交的所有投标文件、资料都是准确的和真实的。</w:t>
      </w:r>
    </w:p>
    <w:p w14:paraId="66A6F99D">
      <w:pPr>
        <w:spacing w:line="36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7.以上事项如有虚假或者隐瞒，我方愿意承担一切后果，并不再寻求任何旨在减轻或者免除法律责任的辩解。</w:t>
      </w:r>
    </w:p>
    <w:p w14:paraId="269AB8F2">
      <w:pPr>
        <w:spacing w:line="36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7469B588">
      <w:pPr>
        <w:spacing w:line="36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□我方本次投标文件</w:t>
      </w:r>
      <w:r>
        <w:rPr>
          <w:rFonts w:hint="eastAsia" w:ascii="宋体" w:hAnsi="宋体" w:cs="宋体"/>
          <w:color w:val="auto"/>
          <w:kern w:val="0"/>
          <w:szCs w:val="21"/>
          <w:highlight w:val="none"/>
        </w:rPr>
        <w:t>内容中</w:t>
      </w:r>
      <w:r>
        <w:rPr>
          <w:rFonts w:hint="eastAsia" w:ascii="宋体" w:hAnsi="宋体" w:cs="宋体"/>
          <w:color w:val="auto"/>
          <w:szCs w:val="21"/>
          <w:highlight w:val="none"/>
        </w:rPr>
        <w:t>未</w:t>
      </w:r>
      <w:r>
        <w:rPr>
          <w:rFonts w:hint="eastAsia" w:ascii="宋体" w:hAnsi="宋体" w:cs="宋体"/>
          <w:color w:val="auto"/>
          <w:kern w:val="0"/>
          <w:szCs w:val="21"/>
          <w:highlight w:val="none"/>
        </w:rPr>
        <w:t>涉及商业秘密；</w:t>
      </w:r>
    </w:p>
    <w:p w14:paraId="7983F878">
      <w:pPr>
        <w:spacing w:line="36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□我方本次投标文件</w:t>
      </w:r>
      <w:r>
        <w:rPr>
          <w:rFonts w:hint="eastAsia" w:ascii="宋体" w:hAnsi="宋体" w:cs="宋体"/>
          <w:color w:val="auto"/>
          <w:kern w:val="0"/>
          <w:szCs w:val="21"/>
          <w:highlight w:val="none"/>
        </w:rPr>
        <w:t>涉及商业秘密的内容有：</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250F56C0">
      <w:pPr>
        <w:spacing w:line="36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9.与本投标有关的一切正式往来信函请寄：</w:t>
      </w:r>
    </w:p>
    <w:p w14:paraId="2B8B5BE6">
      <w:pPr>
        <w:spacing w:line="360" w:lineRule="exact"/>
        <w:ind w:firstLine="420" w:firstLineChars="200"/>
        <w:contextualSpacing/>
        <w:rPr>
          <w:rFonts w:ascii="宋体" w:hAns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邮编：</w:t>
      </w:r>
      <w:r>
        <w:rPr>
          <w:rFonts w:hint="eastAsia" w:ascii="宋体" w:hAnsi="宋体" w:cs="宋体"/>
          <w:color w:val="auto"/>
          <w:szCs w:val="21"/>
          <w:highlight w:val="none"/>
          <w:u w:val="single"/>
        </w:rPr>
        <w:t xml:space="preserve">            </w:t>
      </w:r>
    </w:p>
    <w:p w14:paraId="4485CE97">
      <w:pPr>
        <w:spacing w:line="36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电话：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传真：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邮箱：</w:t>
      </w:r>
      <w:r>
        <w:rPr>
          <w:rFonts w:hint="eastAsia" w:ascii="宋体" w:hAnsi="宋体" w:cs="宋体"/>
          <w:color w:val="auto"/>
          <w:szCs w:val="21"/>
          <w:highlight w:val="none"/>
          <w:u w:val="single"/>
        </w:rPr>
        <w:t xml:space="preserve">         </w:t>
      </w:r>
    </w:p>
    <w:p w14:paraId="4026339F">
      <w:pPr>
        <w:spacing w:line="36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p>
    <w:p w14:paraId="4B442CD6">
      <w:pPr>
        <w:spacing w:line="360" w:lineRule="exact"/>
        <w:ind w:firstLine="420" w:firstLineChars="200"/>
        <w:contextualSpacing/>
        <w:jc w:val="left"/>
        <w:rPr>
          <w:rFonts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银行帐号：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630D4D7B">
      <w:pPr>
        <w:spacing w:line="360" w:lineRule="exact"/>
        <w:ind w:firstLine="420" w:firstLineChars="200"/>
        <w:contextualSpacing/>
        <w:jc w:val="left"/>
        <w:rPr>
          <w:rFonts w:ascii="宋体" w:hAnsi="宋体" w:cs="宋体"/>
          <w:color w:val="auto"/>
          <w:szCs w:val="21"/>
          <w:highlight w:val="none"/>
        </w:rPr>
      </w:pPr>
      <w:r>
        <w:rPr>
          <w:rFonts w:hint="eastAsia" w:ascii="宋体" w:hAnsi="宋体" w:cs="宋体"/>
          <w:color w:val="auto"/>
          <w:szCs w:val="21"/>
          <w:highlight w:val="none"/>
        </w:rPr>
        <w:t xml:space="preserve">法定代表人或者委托代理人签字/电子签名:___________ </w:t>
      </w:r>
    </w:p>
    <w:p w14:paraId="68672129">
      <w:pPr>
        <w:pStyle w:val="27"/>
        <w:spacing w:line="360" w:lineRule="exact"/>
        <w:contextualSpacing/>
        <w:jc w:val="center"/>
        <w:rPr>
          <w:rFonts w:hAnsi="宋体" w:cs="宋体"/>
          <w:color w:val="auto"/>
          <w:sz w:val="21"/>
          <w:highlight w:val="none"/>
        </w:rPr>
      </w:pPr>
      <w:r>
        <w:rPr>
          <w:rFonts w:hint="eastAsia" w:hAnsi="宋体" w:cs="宋体"/>
          <w:color w:val="auto"/>
          <w:sz w:val="21"/>
          <w:highlight w:val="none"/>
        </w:rPr>
        <w:t xml:space="preserve">                                    </w:t>
      </w:r>
    </w:p>
    <w:p w14:paraId="03C8C7DC">
      <w:pPr>
        <w:pStyle w:val="27"/>
        <w:spacing w:line="360" w:lineRule="exact"/>
        <w:contextualSpacing/>
        <w:jc w:val="center"/>
        <w:rPr>
          <w:rFonts w:hAnsi="宋体" w:cs="宋体"/>
          <w:color w:val="auto"/>
          <w:sz w:val="21"/>
          <w:highlight w:val="none"/>
        </w:rPr>
      </w:pPr>
    </w:p>
    <w:p w14:paraId="511702BC">
      <w:pPr>
        <w:pStyle w:val="27"/>
        <w:spacing w:line="360" w:lineRule="exact"/>
        <w:contextualSpacing/>
        <w:jc w:val="center"/>
        <w:rPr>
          <w:rFonts w:hAnsi="宋体" w:cs="宋体"/>
          <w:color w:val="auto"/>
          <w:sz w:val="21"/>
          <w:highlight w:val="none"/>
          <w:u w:val="single"/>
        </w:rPr>
      </w:pPr>
      <w:r>
        <w:rPr>
          <w:rFonts w:hint="eastAsia" w:hAnsi="宋体" w:cs="宋体"/>
          <w:color w:val="auto"/>
          <w:sz w:val="21"/>
          <w:highlight w:val="none"/>
        </w:rPr>
        <w:t>投标人名称（电子签章）：</w:t>
      </w:r>
    </w:p>
    <w:p w14:paraId="62FEC17F">
      <w:pPr>
        <w:pStyle w:val="27"/>
        <w:spacing w:line="360" w:lineRule="exact"/>
        <w:contextualSpacing/>
        <w:rPr>
          <w:rFonts w:hAnsi="宋体" w:cs="宋体"/>
          <w:color w:val="auto"/>
          <w:sz w:val="21"/>
          <w:highlight w:val="none"/>
        </w:rPr>
      </w:pPr>
      <w:r>
        <w:rPr>
          <w:rFonts w:hint="eastAsia" w:hAnsi="宋体" w:cs="宋体"/>
          <w:color w:val="auto"/>
          <w:sz w:val="21"/>
          <w:highlight w:val="none"/>
        </w:rPr>
        <w:t xml:space="preserve">                                                </w:t>
      </w:r>
      <w:r>
        <w:rPr>
          <w:rFonts w:hint="eastAsia" w:hAnsi="宋体" w:cs="宋体"/>
          <w:color w:val="auto"/>
          <w:sz w:val="21"/>
          <w:highlight w:val="none"/>
          <w:u w:val="single"/>
        </w:rPr>
        <w:t xml:space="preserve">      </w:t>
      </w:r>
      <w:r>
        <w:rPr>
          <w:rFonts w:hint="eastAsia" w:hAnsi="宋体" w:cs="宋体"/>
          <w:color w:val="auto"/>
          <w:sz w:val="21"/>
          <w:highlight w:val="none"/>
        </w:rPr>
        <w:t>年</w:t>
      </w:r>
      <w:r>
        <w:rPr>
          <w:rFonts w:hint="eastAsia" w:hAnsi="宋体" w:cs="宋体"/>
          <w:color w:val="auto"/>
          <w:sz w:val="21"/>
          <w:highlight w:val="none"/>
          <w:u w:val="single"/>
        </w:rPr>
        <w:t xml:space="preserve">    </w:t>
      </w:r>
      <w:r>
        <w:rPr>
          <w:rFonts w:hint="eastAsia" w:hAnsi="宋体" w:cs="宋体"/>
          <w:color w:val="auto"/>
          <w:sz w:val="21"/>
          <w:highlight w:val="none"/>
        </w:rPr>
        <w:t>月</w:t>
      </w:r>
      <w:r>
        <w:rPr>
          <w:rFonts w:hint="eastAsia" w:hAnsi="宋体" w:cs="宋体"/>
          <w:color w:val="auto"/>
          <w:sz w:val="21"/>
          <w:highlight w:val="none"/>
          <w:u w:val="single"/>
        </w:rPr>
        <w:t xml:space="preserve">     </w:t>
      </w:r>
      <w:r>
        <w:rPr>
          <w:rFonts w:hint="eastAsia" w:hAnsi="宋体" w:cs="宋体"/>
          <w:color w:val="auto"/>
          <w:sz w:val="21"/>
          <w:highlight w:val="none"/>
        </w:rPr>
        <w:t>日</w:t>
      </w:r>
    </w:p>
    <w:p w14:paraId="13DA8651">
      <w:pPr>
        <w:snapToGrid w:val="0"/>
        <w:spacing w:before="120" w:beforeLines="50" w:after="50"/>
        <w:jc w:val="left"/>
        <w:rPr>
          <w:rFonts w:ascii="宋体" w:hAnsi="宋体" w:cs="宋体"/>
          <w:b/>
          <w:color w:val="auto"/>
          <w:sz w:val="24"/>
          <w:szCs w:val="20"/>
          <w:highlight w:val="none"/>
        </w:rPr>
      </w:pPr>
      <w:r>
        <w:rPr>
          <w:rFonts w:hint="eastAsia" w:ascii="宋体" w:hAnsi="宋体" w:cs="宋体"/>
          <w:color w:val="auto"/>
          <w:highlight w:val="none"/>
          <w:u w:val="single"/>
        </w:rPr>
        <w:br w:type="page"/>
      </w:r>
      <w:r>
        <w:rPr>
          <w:rFonts w:hint="eastAsia" w:ascii="宋体" w:hAnsi="宋体" w:cs="宋体"/>
          <w:b/>
          <w:color w:val="auto"/>
          <w:sz w:val="24"/>
          <w:highlight w:val="none"/>
        </w:rPr>
        <w:t>4. 开标一览表（货物类格式）</w:t>
      </w:r>
    </w:p>
    <w:p w14:paraId="6D13FFE8">
      <w:pPr>
        <w:snapToGrid w:val="0"/>
        <w:spacing w:before="50" w:after="50"/>
        <w:ind w:firstLine="527"/>
        <w:jc w:val="center"/>
        <w:rPr>
          <w:rFonts w:ascii="宋体" w:hAnsi="宋体" w:cs="宋体"/>
          <w:b/>
          <w:color w:val="auto"/>
          <w:szCs w:val="21"/>
          <w:highlight w:val="none"/>
        </w:rPr>
      </w:pPr>
      <w:r>
        <w:rPr>
          <w:rFonts w:hint="eastAsia" w:ascii="宋体" w:hAnsi="宋体" w:cs="宋体"/>
          <w:b/>
          <w:color w:val="auto"/>
          <w:szCs w:val="21"/>
          <w:highlight w:val="none"/>
        </w:rPr>
        <w:t>开标一览表</w:t>
      </w:r>
    </w:p>
    <w:p w14:paraId="37367BEB">
      <w:pPr>
        <w:snapToGrid w:val="0"/>
        <w:spacing w:before="50" w:after="50" w:line="400" w:lineRule="exact"/>
        <w:rPr>
          <w:rFonts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分标：</w:t>
      </w:r>
      <w:r>
        <w:rPr>
          <w:rFonts w:hint="eastAsia" w:ascii="宋体" w:hAnsi="宋体" w:cs="宋体"/>
          <w:color w:val="auto"/>
          <w:szCs w:val="21"/>
          <w:highlight w:val="none"/>
          <w:u w:val="single"/>
        </w:rPr>
        <w:t xml:space="preserve">           </w:t>
      </w:r>
    </w:p>
    <w:p w14:paraId="508546E5">
      <w:pPr>
        <w:snapToGrid w:val="0"/>
        <w:spacing w:before="50" w:after="50" w:line="400" w:lineRule="exact"/>
        <w:rPr>
          <w:rFonts w:ascii="宋体" w:hAnsi="宋体" w:cs="宋体"/>
          <w:color w:val="auto"/>
          <w:szCs w:val="21"/>
          <w:highlight w:val="non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单位：元</w:t>
      </w:r>
    </w:p>
    <w:tbl>
      <w:tblPr>
        <w:tblStyle w:val="51"/>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0"/>
        <w:gridCol w:w="1392"/>
        <w:gridCol w:w="910"/>
        <w:gridCol w:w="1099"/>
        <w:gridCol w:w="740"/>
        <w:gridCol w:w="896"/>
        <w:gridCol w:w="1053"/>
        <w:gridCol w:w="1053"/>
        <w:gridCol w:w="1665"/>
      </w:tblGrid>
      <w:tr w14:paraId="74C92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449" w:type="pct"/>
            <w:tcBorders>
              <w:top w:val="single" w:color="auto" w:sz="4" w:space="0"/>
              <w:left w:val="single" w:color="auto" w:sz="4" w:space="0"/>
              <w:bottom w:val="single" w:color="auto" w:sz="4" w:space="0"/>
              <w:right w:val="single" w:color="auto" w:sz="4" w:space="0"/>
            </w:tcBorders>
            <w:vAlign w:val="center"/>
          </w:tcPr>
          <w:p w14:paraId="2BFC5648">
            <w:pPr>
              <w:snapToGrid w:val="0"/>
              <w:spacing w:before="50" w:after="50" w:line="400" w:lineRule="exact"/>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719" w:type="pct"/>
            <w:tcBorders>
              <w:top w:val="single" w:color="auto" w:sz="4" w:space="0"/>
              <w:left w:val="single" w:color="auto" w:sz="4" w:space="0"/>
              <w:bottom w:val="single" w:color="auto" w:sz="4" w:space="0"/>
              <w:right w:val="single" w:color="auto" w:sz="4" w:space="0"/>
            </w:tcBorders>
            <w:vAlign w:val="center"/>
          </w:tcPr>
          <w:p w14:paraId="03F54416">
            <w:pPr>
              <w:snapToGrid w:val="0"/>
              <w:spacing w:before="50" w:after="50" w:line="400" w:lineRule="exact"/>
              <w:jc w:val="center"/>
              <w:rPr>
                <w:rFonts w:ascii="宋体" w:hAnsi="宋体" w:cs="宋体"/>
                <w:b/>
                <w:color w:val="auto"/>
                <w:szCs w:val="21"/>
                <w:highlight w:val="none"/>
              </w:rPr>
            </w:pPr>
            <w:r>
              <w:rPr>
                <w:rFonts w:hint="eastAsia" w:ascii="宋体" w:hAnsi="宋体" w:cs="宋体"/>
                <w:b/>
                <w:color w:val="auto"/>
                <w:szCs w:val="21"/>
                <w:highlight w:val="none"/>
              </w:rPr>
              <w:t>标的的名称</w:t>
            </w:r>
          </w:p>
        </w:tc>
        <w:tc>
          <w:tcPr>
            <w:tcW w:w="469" w:type="pct"/>
            <w:tcBorders>
              <w:top w:val="single" w:color="auto" w:sz="4" w:space="0"/>
              <w:left w:val="single" w:color="auto" w:sz="4" w:space="0"/>
              <w:bottom w:val="single" w:color="auto" w:sz="4" w:space="0"/>
              <w:right w:val="single" w:color="auto" w:sz="4" w:space="0"/>
            </w:tcBorders>
            <w:vAlign w:val="center"/>
          </w:tcPr>
          <w:p w14:paraId="652E48D3">
            <w:pPr>
              <w:snapToGrid w:val="0"/>
              <w:spacing w:before="50" w:after="50" w:line="400" w:lineRule="exact"/>
              <w:jc w:val="center"/>
              <w:rPr>
                <w:rFonts w:ascii="宋体" w:hAnsi="宋体" w:cs="宋体"/>
                <w:b/>
                <w:color w:val="auto"/>
                <w:szCs w:val="21"/>
                <w:highlight w:val="none"/>
              </w:rPr>
            </w:pPr>
            <w:r>
              <w:rPr>
                <w:rFonts w:hint="eastAsia" w:ascii="宋体" w:hAnsi="宋体" w:cs="宋体"/>
                <w:b/>
                <w:color w:val="auto"/>
                <w:szCs w:val="21"/>
                <w:highlight w:val="none"/>
              </w:rPr>
              <w:t>品牌</w:t>
            </w:r>
          </w:p>
        </w:tc>
        <w:tc>
          <w:tcPr>
            <w:tcW w:w="567" w:type="pct"/>
            <w:tcBorders>
              <w:top w:val="single" w:color="auto" w:sz="4" w:space="0"/>
              <w:left w:val="single" w:color="auto" w:sz="4" w:space="0"/>
              <w:bottom w:val="single" w:color="auto" w:sz="4" w:space="0"/>
              <w:right w:val="single" w:color="auto" w:sz="4" w:space="0"/>
            </w:tcBorders>
            <w:vAlign w:val="center"/>
          </w:tcPr>
          <w:p w14:paraId="64CC7CC3">
            <w:pPr>
              <w:snapToGrid w:val="0"/>
              <w:spacing w:before="50" w:after="50" w:line="400" w:lineRule="exact"/>
              <w:jc w:val="both"/>
              <w:rPr>
                <w:rFonts w:ascii="宋体" w:hAnsi="宋体" w:cs="宋体"/>
                <w:b/>
                <w:color w:val="auto"/>
                <w:szCs w:val="21"/>
                <w:highlight w:val="none"/>
              </w:rPr>
            </w:pPr>
            <w:r>
              <w:rPr>
                <w:rFonts w:hint="eastAsia" w:ascii="宋体" w:hAnsi="宋体" w:cs="宋体"/>
                <w:b/>
                <w:color w:val="auto"/>
                <w:szCs w:val="21"/>
                <w:highlight w:val="none"/>
              </w:rPr>
              <w:t>规格型号</w:t>
            </w:r>
          </w:p>
        </w:tc>
        <w:tc>
          <w:tcPr>
            <w:tcW w:w="382" w:type="pct"/>
            <w:tcBorders>
              <w:top w:val="single" w:color="auto" w:sz="4" w:space="0"/>
              <w:left w:val="single" w:color="auto" w:sz="4" w:space="0"/>
              <w:bottom w:val="single" w:color="auto" w:sz="4" w:space="0"/>
              <w:right w:val="single" w:color="auto" w:sz="4" w:space="0"/>
            </w:tcBorders>
            <w:vAlign w:val="center"/>
          </w:tcPr>
          <w:p w14:paraId="2C6BF8DF">
            <w:pPr>
              <w:snapToGrid w:val="0"/>
              <w:spacing w:before="50" w:after="50" w:line="400" w:lineRule="exact"/>
              <w:jc w:val="both"/>
              <w:rPr>
                <w:rFonts w:ascii="宋体" w:hAnsi="宋体" w:cs="宋体"/>
                <w:b/>
                <w:color w:val="auto"/>
                <w:szCs w:val="21"/>
                <w:highlight w:val="none"/>
              </w:rPr>
            </w:pPr>
            <w:r>
              <w:rPr>
                <w:rFonts w:hint="eastAsia" w:ascii="宋体" w:hAnsi="宋体" w:cs="宋体"/>
                <w:b/>
                <w:color w:val="auto"/>
                <w:szCs w:val="21"/>
                <w:highlight w:val="none"/>
              </w:rPr>
              <w:t>生产厂家</w:t>
            </w:r>
          </w:p>
        </w:tc>
        <w:tc>
          <w:tcPr>
            <w:tcW w:w="462" w:type="pct"/>
            <w:tcBorders>
              <w:top w:val="single" w:color="auto" w:sz="4" w:space="0"/>
              <w:left w:val="single" w:color="auto" w:sz="4" w:space="0"/>
              <w:bottom w:val="single" w:color="auto" w:sz="4" w:space="0"/>
              <w:right w:val="single" w:color="auto" w:sz="4" w:space="0"/>
            </w:tcBorders>
            <w:vAlign w:val="center"/>
          </w:tcPr>
          <w:p w14:paraId="5477B973">
            <w:pPr>
              <w:snapToGrid w:val="0"/>
              <w:spacing w:before="50" w:after="50" w:line="400" w:lineRule="exact"/>
              <w:jc w:val="both"/>
              <w:rPr>
                <w:rFonts w:ascii="宋体" w:hAnsi="宋体" w:cs="宋体"/>
                <w:b/>
                <w:color w:val="auto"/>
                <w:szCs w:val="21"/>
                <w:highlight w:val="none"/>
              </w:rPr>
            </w:pPr>
            <w:r>
              <w:rPr>
                <w:rFonts w:hint="eastAsia" w:ascii="宋体" w:hAnsi="宋体" w:cs="宋体"/>
                <w:b/>
                <w:color w:val="auto"/>
                <w:szCs w:val="21"/>
                <w:highlight w:val="none"/>
              </w:rPr>
              <w:t>国别</w:t>
            </w:r>
          </w:p>
        </w:tc>
        <w:tc>
          <w:tcPr>
            <w:tcW w:w="544" w:type="pct"/>
            <w:tcBorders>
              <w:top w:val="single" w:color="auto" w:sz="4" w:space="0"/>
              <w:left w:val="single" w:color="auto" w:sz="4" w:space="0"/>
              <w:bottom w:val="single" w:color="auto" w:sz="4" w:space="0"/>
              <w:right w:val="single" w:color="auto" w:sz="4" w:space="0"/>
            </w:tcBorders>
            <w:vAlign w:val="center"/>
          </w:tcPr>
          <w:p w14:paraId="7D8C0070">
            <w:pPr>
              <w:snapToGrid w:val="0"/>
              <w:spacing w:before="50" w:after="50" w:line="400" w:lineRule="exact"/>
              <w:jc w:val="both"/>
              <w:rPr>
                <w:rFonts w:ascii="宋体" w:hAnsi="宋体" w:cs="宋体"/>
                <w:b/>
                <w:color w:val="auto"/>
                <w:szCs w:val="21"/>
                <w:highlight w:val="none"/>
              </w:rPr>
            </w:pPr>
            <w:r>
              <w:rPr>
                <w:rFonts w:hint="eastAsia" w:ascii="宋体" w:hAnsi="宋体" w:cs="宋体"/>
                <w:b/>
                <w:color w:val="auto"/>
                <w:szCs w:val="21"/>
                <w:highlight w:val="none"/>
              </w:rPr>
              <w:t>数量及单位①</w:t>
            </w:r>
          </w:p>
        </w:tc>
        <w:tc>
          <w:tcPr>
            <w:tcW w:w="544" w:type="pct"/>
            <w:tcBorders>
              <w:top w:val="single" w:color="auto" w:sz="4" w:space="0"/>
              <w:left w:val="single" w:color="auto" w:sz="4" w:space="0"/>
              <w:bottom w:val="single" w:color="auto" w:sz="4" w:space="0"/>
              <w:right w:val="single" w:color="auto" w:sz="4" w:space="0"/>
            </w:tcBorders>
            <w:vAlign w:val="center"/>
          </w:tcPr>
          <w:p w14:paraId="00FC0608">
            <w:pPr>
              <w:snapToGrid w:val="0"/>
              <w:spacing w:before="50" w:after="50" w:line="400" w:lineRule="exact"/>
              <w:jc w:val="both"/>
              <w:rPr>
                <w:rFonts w:ascii="宋体" w:hAnsi="宋体" w:cs="宋体"/>
                <w:b/>
                <w:color w:val="auto"/>
                <w:szCs w:val="21"/>
                <w:highlight w:val="none"/>
              </w:rPr>
            </w:pPr>
            <w:r>
              <w:rPr>
                <w:rFonts w:hint="eastAsia" w:ascii="宋体" w:hAnsi="宋体" w:cs="宋体"/>
                <w:b/>
                <w:color w:val="auto"/>
                <w:szCs w:val="21"/>
                <w:highlight w:val="none"/>
              </w:rPr>
              <w:t>单价</w:t>
            </w:r>
          </w:p>
          <w:p w14:paraId="4AD82EE9">
            <w:pPr>
              <w:snapToGrid w:val="0"/>
              <w:spacing w:before="50" w:after="50" w:line="400" w:lineRule="exact"/>
              <w:ind w:firstLine="527"/>
              <w:jc w:val="both"/>
              <w:rPr>
                <w:rFonts w:ascii="宋体" w:hAnsi="宋体" w:cs="宋体"/>
                <w:b/>
                <w:color w:val="auto"/>
                <w:szCs w:val="21"/>
                <w:highlight w:val="none"/>
              </w:rPr>
            </w:pPr>
            <w:r>
              <w:rPr>
                <w:rFonts w:hint="eastAsia" w:ascii="宋体" w:hAnsi="宋体" w:cs="宋体"/>
                <w:b/>
                <w:color w:val="auto"/>
                <w:szCs w:val="21"/>
                <w:highlight w:val="none"/>
              </w:rPr>
              <w:t>②</w:t>
            </w:r>
          </w:p>
        </w:tc>
        <w:tc>
          <w:tcPr>
            <w:tcW w:w="860" w:type="pct"/>
            <w:tcBorders>
              <w:top w:val="single" w:color="auto" w:sz="4" w:space="0"/>
              <w:left w:val="single" w:color="auto" w:sz="4" w:space="0"/>
              <w:bottom w:val="single" w:color="auto" w:sz="4" w:space="0"/>
              <w:right w:val="single" w:color="auto" w:sz="4" w:space="0"/>
            </w:tcBorders>
            <w:vAlign w:val="center"/>
          </w:tcPr>
          <w:p w14:paraId="60CCB0B9">
            <w:pPr>
              <w:snapToGrid w:val="0"/>
              <w:spacing w:before="50" w:after="50" w:line="400" w:lineRule="exact"/>
              <w:ind w:firstLine="527"/>
              <w:jc w:val="both"/>
              <w:rPr>
                <w:rFonts w:ascii="宋体" w:hAnsi="宋体" w:cs="宋体"/>
                <w:b/>
                <w:color w:val="auto"/>
                <w:szCs w:val="21"/>
                <w:highlight w:val="none"/>
              </w:rPr>
            </w:pPr>
            <w:r>
              <w:rPr>
                <w:rFonts w:hint="eastAsia" w:ascii="宋体" w:hAnsi="宋体" w:cs="宋体"/>
                <w:b/>
                <w:color w:val="auto"/>
                <w:szCs w:val="21"/>
                <w:highlight w:val="none"/>
              </w:rPr>
              <w:t>投标报价</w:t>
            </w:r>
          </w:p>
          <w:p w14:paraId="2C286C38">
            <w:pPr>
              <w:snapToGrid w:val="0"/>
              <w:spacing w:before="50" w:after="50" w:line="400" w:lineRule="exact"/>
              <w:ind w:firstLine="527"/>
              <w:jc w:val="both"/>
              <w:rPr>
                <w:rFonts w:ascii="宋体" w:hAnsi="宋体" w:cs="宋体"/>
                <w:b/>
                <w:color w:val="auto"/>
                <w:szCs w:val="21"/>
                <w:highlight w:val="none"/>
              </w:rPr>
            </w:pPr>
            <w:r>
              <w:rPr>
                <w:rFonts w:hint="eastAsia" w:ascii="宋体" w:hAnsi="宋体" w:cs="宋体"/>
                <w:b/>
                <w:color w:val="auto"/>
                <w:szCs w:val="21"/>
                <w:highlight w:val="none"/>
              </w:rPr>
              <w:t>③=①×②</w:t>
            </w:r>
          </w:p>
        </w:tc>
      </w:tr>
      <w:tr w14:paraId="1F5BC8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449" w:type="pct"/>
            <w:tcBorders>
              <w:top w:val="single" w:color="auto" w:sz="4" w:space="0"/>
              <w:left w:val="single" w:color="auto" w:sz="4" w:space="0"/>
              <w:bottom w:val="single" w:color="auto" w:sz="4" w:space="0"/>
              <w:right w:val="single" w:color="auto" w:sz="4" w:space="0"/>
            </w:tcBorders>
            <w:vAlign w:val="center"/>
          </w:tcPr>
          <w:p w14:paraId="32DA4DD0">
            <w:pPr>
              <w:snapToGrid w:val="0"/>
              <w:spacing w:before="50" w:after="50" w:line="400" w:lineRule="exact"/>
              <w:jc w:val="center"/>
              <w:rPr>
                <w:rFonts w:ascii="宋体" w:hAnsi="宋体" w:cs="宋体"/>
                <w:b/>
                <w:color w:val="auto"/>
                <w:szCs w:val="21"/>
                <w:highlight w:val="none"/>
              </w:rPr>
            </w:pPr>
            <w:r>
              <w:rPr>
                <w:rFonts w:hint="eastAsia" w:ascii="宋体" w:hAnsi="宋体" w:cs="宋体"/>
                <w:b/>
                <w:color w:val="auto"/>
                <w:szCs w:val="21"/>
                <w:highlight w:val="none"/>
              </w:rPr>
              <w:t>1</w:t>
            </w:r>
          </w:p>
        </w:tc>
        <w:tc>
          <w:tcPr>
            <w:tcW w:w="719" w:type="pct"/>
            <w:tcBorders>
              <w:top w:val="single" w:color="auto" w:sz="4" w:space="0"/>
              <w:left w:val="single" w:color="auto" w:sz="4" w:space="0"/>
              <w:bottom w:val="single" w:color="auto" w:sz="4" w:space="0"/>
              <w:right w:val="single" w:color="auto" w:sz="4" w:space="0"/>
            </w:tcBorders>
            <w:vAlign w:val="center"/>
          </w:tcPr>
          <w:p w14:paraId="3DEBDB6F">
            <w:pPr>
              <w:snapToGrid w:val="0"/>
              <w:spacing w:before="50" w:after="50" w:line="400" w:lineRule="exact"/>
              <w:ind w:firstLine="527"/>
              <w:jc w:val="center"/>
              <w:rPr>
                <w:rFonts w:ascii="宋体" w:hAnsi="宋体" w:cs="宋体"/>
                <w:b/>
                <w:color w:val="auto"/>
                <w:szCs w:val="21"/>
                <w:highlight w:val="none"/>
              </w:rPr>
            </w:pPr>
          </w:p>
        </w:tc>
        <w:tc>
          <w:tcPr>
            <w:tcW w:w="469" w:type="pct"/>
            <w:tcBorders>
              <w:top w:val="single" w:color="auto" w:sz="4" w:space="0"/>
              <w:left w:val="single" w:color="auto" w:sz="4" w:space="0"/>
              <w:bottom w:val="single" w:color="auto" w:sz="4" w:space="0"/>
              <w:right w:val="single" w:color="auto" w:sz="4" w:space="0"/>
            </w:tcBorders>
            <w:vAlign w:val="center"/>
          </w:tcPr>
          <w:p w14:paraId="52C64A9B">
            <w:pPr>
              <w:snapToGrid w:val="0"/>
              <w:spacing w:before="50" w:after="50" w:line="400" w:lineRule="exact"/>
              <w:jc w:val="both"/>
              <w:rPr>
                <w:rFonts w:ascii="宋体" w:hAnsi="宋体" w:cs="宋体"/>
                <w:color w:val="auto"/>
                <w:szCs w:val="21"/>
                <w:highlight w:val="none"/>
              </w:rPr>
            </w:pPr>
          </w:p>
        </w:tc>
        <w:tc>
          <w:tcPr>
            <w:tcW w:w="567" w:type="pct"/>
            <w:tcBorders>
              <w:top w:val="single" w:color="auto" w:sz="4" w:space="0"/>
              <w:left w:val="single" w:color="auto" w:sz="4" w:space="0"/>
              <w:bottom w:val="single" w:color="auto" w:sz="4" w:space="0"/>
              <w:right w:val="single" w:color="auto" w:sz="4" w:space="0"/>
            </w:tcBorders>
          </w:tcPr>
          <w:p w14:paraId="7F71FDD7">
            <w:pPr>
              <w:snapToGrid w:val="0"/>
              <w:spacing w:before="50" w:after="50" w:line="400" w:lineRule="exact"/>
              <w:jc w:val="both"/>
              <w:rPr>
                <w:rFonts w:ascii="宋体" w:hAnsi="宋体" w:cs="宋体"/>
                <w:color w:val="auto"/>
                <w:szCs w:val="21"/>
                <w:highlight w:val="none"/>
              </w:rPr>
            </w:pPr>
          </w:p>
        </w:tc>
        <w:tc>
          <w:tcPr>
            <w:tcW w:w="382" w:type="pct"/>
            <w:tcBorders>
              <w:top w:val="single" w:color="auto" w:sz="4" w:space="0"/>
              <w:left w:val="single" w:color="auto" w:sz="4" w:space="0"/>
              <w:bottom w:val="single" w:color="auto" w:sz="4" w:space="0"/>
              <w:right w:val="single" w:color="auto" w:sz="4" w:space="0"/>
            </w:tcBorders>
          </w:tcPr>
          <w:p w14:paraId="1F56FAD1">
            <w:pPr>
              <w:snapToGrid w:val="0"/>
              <w:spacing w:before="50" w:after="50" w:line="400" w:lineRule="exact"/>
              <w:jc w:val="both"/>
              <w:rPr>
                <w:rFonts w:ascii="宋体" w:hAnsi="宋体" w:cs="宋体"/>
                <w:color w:val="auto"/>
                <w:szCs w:val="21"/>
                <w:highlight w:val="none"/>
              </w:rPr>
            </w:pPr>
          </w:p>
        </w:tc>
        <w:tc>
          <w:tcPr>
            <w:tcW w:w="462" w:type="pct"/>
            <w:tcBorders>
              <w:top w:val="single" w:color="auto" w:sz="4" w:space="0"/>
              <w:left w:val="single" w:color="auto" w:sz="4" w:space="0"/>
              <w:bottom w:val="single" w:color="auto" w:sz="4" w:space="0"/>
              <w:right w:val="single" w:color="auto" w:sz="4" w:space="0"/>
            </w:tcBorders>
          </w:tcPr>
          <w:p w14:paraId="6DAAD6E4">
            <w:pPr>
              <w:snapToGrid w:val="0"/>
              <w:spacing w:before="50" w:after="50" w:line="400" w:lineRule="exact"/>
              <w:jc w:val="both"/>
              <w:rPr>
                <w:rFonts w:ascii="宋体" w:hAnsi="宋体" w:cs="宋体"/>
                <w:color w:val="auto"/>
                <w:szCs w:val="21"/>
                <w:highlight w:val="none"/>
              </w:rPr>
            </w:pPr>
          </w:p>
        </w:tc>
        <w:tc>
          <w:tcPr>
            <w:tcW w:w="544" w:type="pct"/>
            <w:tcBorders>
              <w:top w:val="single" w:color="auto" w:sz="4" w:space="0"/>
              <w:left w:val="single" w:color="auto" w:sz="4" w:space="0"/>
              <w:bottom w:val="single" w:color="auto" w:sz="4" w:space="0"/>
              <w:right w:val="single" w:color="auto" w:sz="4" w:space="0"/>
            </w:tcBorders>
            <w:vAlign w:val="center"/>
          </w:tcPr>
          <w:p w14:paraId="7BD58A19">
            <w:pPr>
              <w:snapToGrid w:val="0"/>
              <w:spacing w:before="50" w:after="50" w:line="400" w:lineRule="exact"/>
              <w:jc w:val="both"/>
              <w:rPr>
                <w:rFonts w:ascii="宋体" w:hAnsi="宋体" w:cs="宋体"/>
                <w:color w:val="auto"/>
                <w:szCs w:val="21"/>
                <w:highlight w:val="none"/>
              </w:rPr>
            </w:pPr>
          </w:p>
        </w:tc>
        <w:tc>
          <w:tcPr>
            <w:tcW w:w="544" w:type="pct"/>
            <w:tcBorders>
              <w:top w:val="single" w:color="auto" w:sz="4" w:space="0"/>
              <w:left w:val="single" w:color="auto" w:sz="4" w:space="0"/>
              <w:bottom w:val="single" w:color="auto" w:sz="4" w:space="0"/>
              <w:right w:val="single" w:color="auto" w:sz="4" w:space="0"/>
            </w:tcBorders>
            <w:vAlign w:val="center"/>
          </w:tcPr>
          <w:p w14:paraId="7DB133E2">
            <w:pPr>
              <w:snapToGrid w:val="0"/>
              <w:spacing w:before="50" w:after="50" w:line="400" w:lineRule="exact"/>
              <w:jc w:val="both"/>
              <w:rPr>
                <w:rFonts w:ascii="宋体" w:hAnsi="宋体" w:cs="宋体"/>
                <w:color w:val="auto"/>
                <w:szCs w:val="21"/>
                <w:highlight w:val="none"/>
              </w:rPr>
            </w:pPr>
          </w:p>
        </w:tc>
        <w:tc>
          <w:tcPr>
            <w:tcW w:w="860" w:type="pct"/>
            <w:tcBorders>
              <w:top w:val="single" w:color="auto" w:sz="4" w:space="0"/>
              <w:left w:val="single" w:color="auto" w:sz="4" w:space="0"/>
              <w:bottom w:val="single" w:color="auto" w:sz="4" w:space="0"/>
              <w:right w:val="single" w:color="auto" w:sz="4" w:space="0"/>
            </w:tcBorders>
            <w:vAlign w:val="center"/>
          </w:tcPr>
          <w:p w14:paraId="0E7187DE">
            <w:pPr>
              <w:snapToGrid w:val="0"/>
              <w:spacing w:before="50" w:after="50" w:line="400" w:lineRule="exact"/>
              <w:jc w:val="both"/>
              <w:rPr>
                <w:rFonts w:ascii="宋体" w:hAnsi="宋体" w:cs="宋体"/>
                <w:color w:val="auto"/>
                <w:szCs w:val="21"/>
                <w:highlight w:val="none"/>
              </w:rPr>
            </w:pPr>
          </w:p>
        </w:tc>
      </w:tr>
      <w:tr w14:paraId="6BF5D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449" w:type="pct"/>
            <w:tcBorders>
              <w:top w:val="single" w:color="auto" w:sz="4" w:space="0"/>
              <w:left w:val="single" w:color="auto" w:sz="4" w:space="0"/>
              <w:bottom w:val="single" w:color="auto" w:sz="4" w:space="0"/>
              <w:right w:val="single" w:color="auto" w:sz="4" w:space="0"/>
            </w:tcBorders>
            <w:vAlign w:val="center"/>
          </w:tcPr>
          <w:p w14:paraId="18F6F3B4">
            <w:pPr>
              <w:snapToGrid w:val="0"/>
              <w:spacing w:before="50" w:after="50" w:line="400" w:lineRule="exact"/>
              <w:jc w:val="center"/>
              <w:rPr>
                <w:rFonts w:ascii="宋体" w:hAnsi="宋体" w:cs="宋体"/>
                <w:b/>
                <w:color w:val="auto"/>
                <w:szCs w:val="21"/>
                <w:highlight w:val="none"/>
              </w:rPr>
            </w:pPr>
            <w:r>
              <w:rPr>
                <w:rFonts w:hint="eastAsia" w:ascii="宋体" w:hAnsi="宋体" w:cs="宋体"/>
                <w:b/>
                <w:color w:val="auto"/>
                <w:szCs w:val="21"/>
                <w:highlight w:val="none"/>
              </w:rPr>
              <w:t>2</w:t>
            </w:r>
          </w:p>
        </w:tc>
        <w:tc>
          <w:tcPr>
            <w:tcW w:w="719" w:type="pct"/>
            <w:tcBorders>
              <w:top w:val="single" w:color="auto" w:sz="4" w:space="0"/>
              <w:left w:val="single" w:color="auto" w:sz="4" w:space="0"/>
              <w:bottom w:val="single" w:color="auto" w:sz="4" w:space="0"/>
              <w:right w:val="single" w:color="auto" w:sz="4" w:space="0"/>
            </w:tcBorders>
            <w:vAlign w:val="center"/>
          </w:tcPr>
          <w:p w14:paraId="5DC53045">
            <w:pPr>
              <w:snapToGrid w:val="0"/>
              <w:spacing w:before="50" w:after="50" w:line="400" w:lineRule="exact"/>
              <w:ind w:firstLine="527"/>
              <w:jc w:val="center"/>
              <w:rPr>
                <w:rFonts w:ascii="宋体" w:hAnsi="宋体" w:cs="宋体"/>
                <w:b/>
                <w:color w:val="auto"/>
                <w:szCs w:val="21"/>
                <w:highlight w:val="none"/>
              </w:rPr>
            </w:pPr>
          </w:p>
        </w:tc>
        <w:tc>
          <w:tcPr>
            <w:tcW w:w="469" w:type="pct"/>
            <w:tcBorders>
              <w:top w:val="single" w:color="auto" w:sz="4" w:space="0"/>
              <w:left w:val="single" w:color="auto" w:sz="4" w:space="0"/>
              <w:bottom w:val="single" w:color="auto" w:sz="4" w:space="0"/>
              <w:right w:val="single" w:color="auto" w:sz="4" w:space="0"/>
            </w:tcBorders>
            <w:vAlign w:val="center"/>
          </w:tcPr>
          <w:p w14:paraId="43DA86A6">
            <w:pPr>
              <w:snapToGrid w:val="0"/>
              <w:spacing w:before="50" w:after="50" w:line="400" w:lineRule="exact"/>
              <w:jc w:val="both"/>
              <w:rPr>
                <w:rFonts w:ascii="宋体" w:hAnsi="宋体" w:cs="宋体"/>
                <w:color w:val="auto"/>
                <w:szCs w:val="21"/>
                <w:highlight w:val="none"/>
              </w:rPr>
            </w:pPr>
          </w:p>
        </w:tc>
        <w:tc>
          <w:tcPr>
            <w:tcW w:w="567" w:type="pct"/>
            <w:tcBorders>
              <w:top w:val="single" w:color="auto" w:sz="4" w:space="0"/>
              <w:left w:val="single" w:color="auto" w:sz="4" w:space="0"/>
              <w:bottom w:val="single" w:color="auto" w:sz="4" w:space="0"/>
              <w:right w:val="single" w:color="auto" w:sz="4" w:space="0"/>
            </w:tcBorders>
          </w:tcPr>
          <w:p w14:paraId="321124A3">
            <w:pPr>
              <w:snapToGrid w:val="0"/>
              <w:spacing w:before="50" w:after="50" w:line="400" w:lineRule="exact"/>
              <w:jc w:val="both"/>
              <w:rPr>
                <w:rFonts w:ascii="宋体" w:hAnsi="宋体" w:cs="宋体"/>
                <w:color w:val="auto"/>
                <w:szCs w:val="21"/>
                <w:highlight w:val="none"/>
              </w:rPr>
            </w:pPr>
          </w:p>
        </w:tc>
        <w:tc>
          <w:tcPr>
            <w:tcW w:w="382" w:type="pct"/>
            <w:tcBorders>
              <w:top w:val="single" w:color="auto" w:sz="4" w:space="0"/>
              <w:left w:val="single" w:color="auto" w:sz="4" w:space="0"/>
              <w:bottom w:val="single" w:color="auto" w:sz="4" w:space="0"/>
              <w:right w:val="single" w:color="auto" w:sz="4" w:space="0"/>
            </w:tcBorders>
          </w:tcPr>
          <w:p w14:paraId="3FAB2D36">
            <w:pPr>
              <w:snapToGrid w:val="0"/>
              <w:spacing w:before="50" w:after="50" w:line="400" w:lineRule="exact"/>
              <w:jc w:val="both"/>
              <w:rPr>
                <w:rFonts w:ascii="宋体" w:hAnsi="宋体" w:cs="宋体"/>
                <w:color w:val="auto"/>
                <w:szCs w:val="21"/>
                <w:highlight w:val="none"/>
              </w:rPr>
            </w:pPr>
          </w:p>
        </w:tc>
        <w:tc>
          <w:tcPr>
            <w:tcW w:w="462" w:type="pct"/>
            <w:tcBorders>
              <w:top w:val="single" w:color="auto" w:sz="4" w:space="0"/>
              <w:left w:val="single" w:color="auto" w:sz="4" w:space="0"/>
              <w:bottom w:val="single" w:color="auto" w:sz="4" w:space="0"/>
              <w:right w:val="single" w:color="auto" w:sz="4" w:space="0"/>
            </w:tcBorders>
          </w:tcPr>
          <w:p w14:paraId="7EC18FBD">
            <w:pPr>
              <w:snapToGrid w:val="0"/>
              <w:spacing w:before="50" w:after="50" w:line="400" w:lineRule="exact"/>
              <w:jc w:val="both"/>
              <w:rPr>
                <w:rFonts w:ascii="宋体" w:hAnsi="宋体" w:cs="宋体"/>
                <w:color w:val="auto"/>
                <w:szCs w:val="21"/>
                <w:highlight w:val="none"/>
              </w:rPr>
            </w:pPr>
          </w:p>
        </w:tc>
        <w:tc>
          <w:tcPr>
            <w:tcW w:w="544" w:type="pct"/>
            <w:tcBorders>
              <w:top w:val="single" w:color="auto" w:sz="4" w:space="0"/>
              <w:left w:val="single" w:color="auto" w:sz="4" w:space="0"/>
              <w:bottom w:val="single" w:color="auto" w:sz="4" w:space="0"/>
              <w:right w:val="single" w:color="auto" w:sz="4" w:space="0"/>
            </w:tcBorders>
            <w:vAlign w:val="center"/>
          </w:tcPr>
          <w:p w14:paraId="37472965">
            <w:pPr>
              <w:snapToGrid w:val="0"/>
              <w:spacing w:before="50" w:after="50" w:line="400" w:lineRule="exact"/>
              <w:jc w:val="both"/>
              <w:rPr>
                <w:rFonts w:ascii="宋体" w:hAnsi="宋体" w:cs="宋体"/>
                <w:color w:val="auto"/>
                <w:szCs w:val="21"/>
                <w:highlight w:val="none"/>
              </w:rPr>
            </w:pPr>
          </w:p>
        </w:tc>
        <w:tc>
          <w:tcPr>
            <w:tcW w:w="544" w:type="pct"/>
            <w:tcBorders>
              <w:top w:val="single" w:color="auto" w:sz="4" w:space="0"/>
              <w:left w:val="single" w:color="auto" w:sz="4" w:space="0"/>
              <w:bottom w:val="single" w:color="auto" w:sz="4" w:space="0"/>
              <w:right w:val="single" w:color="auto" w:sz="4" w:space="0"/>
            </w:tcBorders>
            <w:vAlign w:val="center"/>
          </w:tcPr>
          <w:p w14:paraId="726F2273">
            <w:pPr>
              <w:snapToGrid w:val="0"/>
              <w:spacing w:before="50" w:after="50" w:line="400" w:lineRule="exact"/>
              <w:jc w:val="both"/>
              <w:rPr>
                <w:rFonts w:ascii="宋体" w:hAnsi="宋体" w:cs="宋体"/>
                <w:color w:val="auto"/>
                <w:szCs w:val="21"/>
                <w:highlight w:val="none"/>
              </w:rPr>
            </w:pPr>
          </w:p>
        </w:tc>
        <w:tc>
          <w:tcPr>
            <w:tcW w:w="860" w:type="pct"/>
            <w:tcBorders>
              <w:top w:val="single" w:color="auto" w:sz="4" w:space="0"/>
              <w:left w:val="single" w:color="auto" w:sz="4" w:space="0"/>
              <w:bottom w:val="single" w:color="auto" w:sz="4" w:space="0"/>
              <w:right w:val="single" w:color="auto" w:sz="4" w:space="0"/>
            </w:tcBorders>
            <w:vAlign w:val="center"/>
          </w:tcPr>
          <w:p w14:paraId="31448762">
            <w:pPr>
              <w:snapToGrid w:val="0"/>
              <w:spacing w:before="50" w:after="50" w:line="400" w:lineRule="exact"/>
              <w:jc w:val="both"/>
              <w:rPr>
                <w:rFonts w:ascii="宋体" w:hAnsi="宋体" w:cs="宋体"/>
                <w:color w:val="auto"/>
                <w:szCs w:val="21"/>
                <w:highlight w:val="none"/>
              </w:rPr>
            </w:pPr>
          </w:p>
        </w:tc>
      </w:tr>
      <w:tr w14:paraId="372437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449" w:type="pct"/>
            <w:tcBorders>
              <w:top w:val="single" w:color="auto" w:sz="4" w:space="0"/>
              <w:left w:val="single" w:color="auto" w:sz="4" w:space="0"/>
              <w:bottom w:val="single" w:color="auto" w:sz="4" w:space="0"/>
              <w:right w:val="single" w:color="auto" w:sz="4" w:space="0"/>
            </w:tcBorders>
            <w:vAlign w:val="center"/>
          </w:tcPr>
          <w:p w14:paraId="5125501D">
            <w:pPr>
              <w:snapToGrid w:val="0"/>
              <w:spacing w:before="50" w:after="50" w:line="400" w:lineRule="exact"/>
              <w:jc w:val="center"/>
              <w:rPr>
                <w:rFonts w:ascii="宋体" w:hAnsi="宋体" w:cs="宋体"/>
                <w:b/>
                <w:color w:val="auto"/>
                <w:szCs w:val="21"/>
                <w:highlight w:val="none"/>
              </w:rPr>
            </w:pPr>
            <w:r>
              <w:rPr>
                <w:rFonts w:hint="eastAsia" w:ascii="宋体" w:hAnsi="宋体" w:cs="宋体"/>
                <w:b/>
                <w:color w:val="auto"/>
                <w:szCs w:val="21"/>
                <w:highlight w:val="none"/>
              </w:rPr>
              <w:t>……</w:t>
            </w:r>
          </w:p>
        </w:tc>
        <w:tc>
          <w:tcPr>
            <w:tcW w:w="719" w:type="pct"/>
            <w:tcBorders>
              <w:top w:val="single" w:color="auto" w:sz="4" w:space="0"/>
              <w:left w:val="single" w:color="auto" w:sz="4" w:space="0"/>
              <w:bottom w:val="single" w:color="auto" w:sz="4" w:space="0"/>
              <w:right w:val="single" w:color="auto" w:sz="4" w:space="0"/>
            </w:tcBorders>
            <w:vAlign w:val="center"/>
          </w:tcPr>
          <w:p w14:paraId="2C9E1950">
            <w:pPr>
              <w:snapToGrid w:val="0"/>
              <w:spacing w:before="50" w:after="50" w:line="400" w:lineRule="exact"/>
              <w:jc w:val="center"/>
              <w:rPr>
                <w:rFonts w:ascii="宋体" w:hAnsi="宋体" w:cs="宋体"/>
                <w:b/>
                <w:color w:val="auto"/>
                <w:szCs w:val="21"/>
                <w:highlight w:val="none"/>
              </w:rPr>
            </w:pPr>
            <w:r>
              <w:rPr>
                <w:rFonts w:hint="eastAsia" w:ascii="宋体" w:hAnsi="宋体" w:cs="宋体"/>
                <w:b/>
                <w:color w:val="auto"/>
                <w:szCs w:val="21"/>
                <w:highlight w:val="none"/>
              </w:rPr>
              <w:t>……</w:t>
            </w:r>
          </w:p>
        </w:tc>
        <w:tc>
          <w:tcPr>
            <w:tcW w:w="469" w:type="pct"/>
            <w:tcBorders>
              <w:top w:val="single" w:color="auto" w:sz="4" w:space="0"/>
              <w:left w:val="single" w:color="auto" w:sz="4" w:space="0"/>
              <w:bottom w:val="single" w:color="auto" w:sz="4" w:space="0"/>
              <w:right w:val="single" w:color="auto" w:sz="4" w:space="0"/>
            </w:tcBorders>
            <w:vAlign w:val="center"/>
          </w:tcPr>
          <w:p w14:paraId="08F8B8A3">
            <w:pPr>
              <w:snapToGrid w:val="0"/>
              <w:spacing w:before="50" w:after="50" w:line="400" w:lineRule="exact"/>
              <w:jc w:val="both"/>
              <w:rPr>
                <w:rFonts w:ascii="宋体" w:hAnsi="宋体" w:cs="宋体"/>
                <w:color w:val="auto"/>
                <w:szCs w:val="21"/>
                <w:highlight w:val="none"/>
              </w:rPr>
            </w:pPr>
          </w:p>
        </w:tc>
        <w:tc>
          <w:tcPr>
            <w:tcW w:w="567" w:type="pct"/>
            <w:tcBorders>
              <w:top w:val="single" w:color="auto" w:sz="4" w:space="0"/>
              <w:left w:val="single" w:color="auto" w:sz="4" w:space="0"/>
              <w:bottom w:val="single" w:color="auto" w:sz="4" w:space="0"/>
              <w:right w:val="single" w:color="auto" w:sz="4" w:space="0"/>
            </w:tcBorders>
          </w:tcPr>
          <w:p w14:paraId="1B03A2B7">
            <w:pPr>
              <w:snapToGrid w:val="0"/>
              <w:spacing w:before="50" w:after="50" w:line="400" w:lineRule="exact"/>
              <w:jc w:val="both"/>
              <w:rPr>
                <w:rFonts w:ascii="宋体" w:hAnsi="宋体" w:cs="宋体"/>
                <w:color w:val="auto"/>
                <w:szCs w:val="21"/>
                <w:highlight w:val="none"/>
              </w:rPr>
            </w:pPr>
          </w:p>
        </w:tc>
        <w:tc>
          <w:tcPr>
            <w:tcW w:w="382" w:type="pct"/>
            <w:tcBorders>
              <w:top w:val="single" w:color="auto" w:sz="4" w:space="0"/>
              <w:left w:val="single" w:color="auto" w:sz="4" w:space="0"/>
              <w:bottom w:val="single" w:color="auto" w:sz="4" w:space="0"/>
              <w:right w:val="single" w:color="auto" w:sz="4" w:space="0"/>
            </w:tcBorders>
          </w:tcPr>
          <w:p w14:paraId="2EA41A2F">
            <w:pPr>
              <w:snapToGrid w:val="0"/>
              <w:spacing w:before="50" w:after="50" w:line="400" w:lineRule="exact"/>
              <w:jc w:val="both"/>
              <w:rPr>
                <w:rFonts w:ascii="宋体" w:hAnsi="宋体" w:cs="宋体"/>
                <w:color w:val="auto"/>
                <w:szCs w:val="21"/>
                <w:highlight w:val="none"/>
              </w:rPr>
            </w:pPr>
          </w:p>
        </w:tc>
        <w:tc>
          <w:tcPr>
            <w:tcW w:w="462" w:type="pct"/>
            <w:tcBorders>
              <w:top w:val="single" w:color="auto" w:sz="4" w:space="0"/>
              <w:left w:val="single" w:color="auto" w:sz="4" w:space="0"/>
              <w:bottom w:val="single" w:color="auto" w:sz="4" w:space="0"/>
              <w:right w:val="single" w:color="auto" w:sz="4" w:space="0"/>
            </w:tcBorders>
          </w:tcPr>
          <w:p w14:paraId="33C72C9A">
            <w:pPr>
              <w:snapToGrid w:val="0"/>
              <w:spacing w:before="50" w:after="50" w:line="400" w:lineRule="exact"/>
              <w:jc w:val="both"/>
              <w:rPr>
                <w:rFonts w:ascii="宋体" w:hAnsi="宋体" w:cs="宋体"/>
                <w:color w:val="auto"/>
                <w:szCs w:val="21"/>
                <w:highlight w:val="none"/>
              </w:rPr>
            </w:pPr>
          </w:p>
        </w:tc>
        <w:tc>
          <w:tcPr>
            <w:tcW w:w="544" w:type="pct"/>
            <w:tcBorders>
              <w:top w:val="single" w:color="auto" w:sz="4" w:space="0"/>
              <w:left w:val="single" w:color="auto" w:sz="4" w:space="0"/>
              <w:bottom w:val="single" w:color="auto" w:sz="4" w:space="0"/>
              <w:right w:val="single" w:color="auto" w:sz="4" w:space="0"/>
            </w:tcBorders>
            <w:vAlign w:val="center"/>
          </w:tcPr>
          <w:p w14:paraId="2CB29CD9">
            <w:pPr>
              <w:snapToGrid w:val="0"/>
              <w:spacing w:before="50" w:after="50" w:line="400" w:lineRule="exact"/>
              <w:jc w:val="both"/>
              <w:rPr>
                <w:rFonts w:ascii="宋体" w:hAnsi="宋体" w:cs="宋体"/>
                <w:color w:val="auto"/>
                <w:szCs w:val="21"/>
                <w:highlight w:val="none"/>
              </w:rPr>
            </w:pPr>
          </w:p>
        </w:tc>
        <w:tc>
          <w:tcPr>
            <w:tcW w:w="544" w:type="pct"/>
            <w:tcBorders>
              <w:top w:val="single" w:color="auto" w:sz="4" w:space="0"/>
              <w:left w:val="single" w:color="auto" w:sz="4" w:space="0"/>
              <w:bottom w:val="single" w:color="auto" w:sz="4" w:space="0"/>
              <w:right w:val="single" w:color="auto" w:sz="4" w:space="0"/>
            </w:tcBorders>
            <w:vAlign w:val="center"/>
          </w:tcPr>
          <w:p w14:paraId="0D0CD575">
            <w:pPr>
              <w:snapToGrid w:val="0"/>
              <w:spacing w:before="50" w:after="50" w:line="400" w:lineRule="exact"/>
              <w:jc w:val="both"/>
              <w:rPr>
                <w:rFonts w:ascii="宋体" w:hAnsi="宋体" w:cs="宋体"/>
                <w:color w:val="auto"/>
                <w:szCs w:val="21"/>
                <w:highlight w:val="none"/>
              </w:rPr>
            </w:pPr>
          </w:p>
        </w:tc>
        <w:tc>
          <w:tcPr>
            <w:tcW w:w="860" w:type="pct"/>
            <w:tcBorders>
              <w:top w:val="single" w:color="auto" w:sz="4" w:space="0"/>
              <w:left w:val="single" w:color="auto" w:sz="4" w:space="0"/>
              <w:bottom w:val="single" w:color="auto" w:sz="4" w:space="0"/>
              <w:right w:val="single" w:color="auto" w:sz="4" w:space="0"/>
            </w:tcBorders>
            <w:vAlign w:val="center"/>
          </w:tcPr>
          <w:p w14:paraId="5484F388">
            <w:pPr>
              <w:snapToGrid w:val="0"/>
              <w:spacing w:before="50" w:after="50" w:line="400" w:lineRule="exact"/>
              <w:jc w:val="both"/>
              <w:rPr>
                <w:rFonts w:ascii="宋体" w:hAnsi="宋体" w:cs="宋体"/>
                <w:color w:val="auto"/>
                <w:szCs w:val="21"/>
                <w:highlight w:val="none"/>
              </w:rPr>
            </w:pPr>
          </w:p>
        </w:tc>
      </w:tr>
      <w:tr w14:paraId="648DD0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9"/>
            <w:tcBorders>
              <w:top w:val="single" w:color="auto" w:sz="4" w:space="0"/>
              <w:left w:val="single" w:color="auto" w:sz="4" w:space="0"/>
              <w:bottom w:val="single" w:color="auto" w:sz="4" w:space="0"/>
              <w:right w:val="single" w:color="auto" w:sz="4" w:space="0"/>
            </w:tcBorders>
          </w:tcPr>
          <w:p w14:paraId="687C83D6">
            <w:pPr>
              <w:snapToGrid w:val="0"/>
              <w:spacing w:before="50" w:after="50" w:line="400" w:lineRule="exact"/>
              <w:rPr>
                <w:rFonts w:ascii="宋体" w:hAnsi="宋体" w:cs="宋体"/>
                <w:color w:val="auto"/>
                <w:szCs w:val="21"/>
                <w:highlight w:val="none"/>
              </w:rPr>
            </w:pPr>
            <w:r>
              <w:rPr>
                <w:rFonts w:hint="eastAsia" w:ascii="宋体" w:hAnsi="宋体" w:cs="宋体"/>
                <w:color w:val="auto"/>
                <w:szCs w:val="21"/>
                <w:highlight w:val="none"/>
              </w:rPr>
              <w:t>合计金额大写：人民币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tc>
      </w:tr>
    </w:tbl>
    <w:p w14:paraId="0465BA88">
      <w:pPr>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 xml:space="preserve">注: </w:t>
      </w:r>
    </w:p>
    <w:p w14:paraId="565FD3CF">
      <w:pPr>
        <w:snapToGri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1.投标人的开标一览表必须加盖投标人电子签章并由法定代表人或者委托代理人签字或者电子签名，</w:t>
      </w:r>
      <w:r>
        <w:rPr>
          <w:rFonts w:hint="eastAsia" w:ascii="宋体" w:hAnsi="宋体" w:cs="宋体"/>
          <w:b/>
          <w:color w:val="auto"/>
          <w:szCs w:val="21"/>
          <w:highlight w:val="none"/>
        </w:rPr>
        <w:t>否则其投标作无效标处理</w:t>
      </w:r>
      <w:r>
        <w:rPr>
          <w:rFonts w:hint="eastAsia" w:ascii="宋体" w:hAnsi="宋体" w:cs="宋体"/>
          <w:color w:val="auto"/>
          <w:szCs w:val="21"/>
          <w:highlight w:val="none"/>
        </w:rPr>
        <w:t>。</w:t>
      </w:r>
    </w:p>
    <w:p w14:paraId="1D4AE488">
      <w:pPr>
        <w:snapToGrid w:val="0"/>
        <w:spacing w:line="400" w:lineRule="exact"/>
        <w:ind w:firstLine="420" w:firstLineChars="200"/>
        <w:jc w:val="left"/>
        <w:rPr>
          <w:rFonts w:ascii="宋体" w:hAnsi="宋体" w:cs="宋体"/>
          <w:b/>
          <w:color w:val="auto"/>
          <w:szCs w:val="21"/>
          <w:highlight w:val="none"/>
        </w:rPr>
      </w:pPr>
      <w:r>
        <w:rPr>
          <w:rFonts w:hint="eastAsia" w:ascii="宋体" w:hAnsi="宋体" w:cs="宋体"/>
          <w:bCs/>
          <w:color w:val="auto"/>
          <w:szCs w:val="21"/>
          <w:highlight w:val="none"/>
        </w:rPr>
        <w:t>2.</w:t>
      </w:r>
      <w:r>
        <w:rPr>
          <w:rFonts w:hint="eastAsia" w:ascii="宋体" w:hAnsi="宋体" w:cs="宋体"/>
          <w:color w:val="auto"/>
          <w:szCs w:val="21"/>
          <w:highlight w:val="none"/>
        </w:rPr>
        <w:t>报价一经涂改，应在涂改处加盖投标人公章或者由法定代表人或者委托代理人签字（或者电子签名）或者盖章</w:t>
      </w:r>
      <w:r>
        <w:rPr>
          <w:rFonts w:hint="eastAsia" w:ascii="宋体" w:hAnsi="宋体" w:cs="宋体"/>
          <w:b/>
          <w:color w:val="auto"/>
          <w:szCs w:val="21"/>
          <w:highlight w:val="none"/>
        </w:rPr>
        <w:t>，否则其投标作无效标处理。</w:t>
      </w:r>
    </w:p>
    <w:p w14:paraId="2A22DEA3">
      <w:pPr>
        <w:snapToGri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3.招标文件中列明采购专用耗材的，应按招标文件规定的耗材量或者按耗材的常规试用量提供报价。</w:t>
      </w:r>
    </w:p>
    <w:p w14:paraId="0388BAD1">
      <w:pPr>
        <w:snapToGri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4.如为联合体投标，“投标人名称”处必须列明联合体各方名称，并标注联合体牵头人名称，</w:t>
      </w:r>
      <w:r>
        <w:rPr>
          <w:rFonts w:hint="eastAsia" w:ascii="宋体" w:hAnsi="宋体" w:cs="宋体"/>
          <w:b/>
          <w:color w:val="auto"/>
          <w:szCs w:val="21"/>
          <w:highlight w:val="none"/>
        </w:rPr>
        <w:t>否则其投标作无效标处理。</w:t>
      </w:r>
    </w:p>
    <w:p w14:paraId="28131EAB">
      <w:pPr>
        <w:snapToGrid w:val="0"/>
        <w:spacing w:line="400" w:lineRule="exact"/>
        <w:ind w:firstLine="396" w:firstLineChars="200"/>
        <w:jc w:val="left"/>
        <w:rPr>
          <w:rFonts w:ascii="宋体" w:hAnsi="宋体" w:cs="宋体"/>
          <w:color w:val="auto"/>
          <w:spacing w:val="-6"/>
          <w:szCs w:val="21"/>
          <w:highlight w:val="none"/>
        </w:rPr>
      </w:pPr>
      <w:r>
        <w:rPr>
          <w:rFonts w:hint="eastAsia" w:ascii="宋体" w:hAnsi="宋体" w:cs="宋体"/>
          <w:color w:val="auto"/>
          <w:spacing w:val="-6"/>
          <w:szCs w:val="21"/>
          <w:highlight w:val="none"/>
        </w:rPr>
        <w:t>5.如为联合体投标，盖章处须加盖联合体牵头人电子签章，</w:t>
      </w:r>
      <w:r>
        <w:rPr>
          <w:rFonts w:hint="eastAsia" w:ascii="宋体" w:hAnsi="宋体" w:cs="宋体"/>
          <w:b/>
          <w:color w:val="auto"/>
          <w:spacing w:val="-6"/>
          <w:szCs w:val="21"/>
          <w:highlight w:val="none"/>
        </w:rPr>
        <w:t>否则其投标作无效标处理。</w:t>
      </w:r>
    </w:p>
    <w:p w14:paraId="305430AE">
      <w:pPr>
        <w:snapToGrid w:val="0"/>
        <w:spacing w:line="40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6.如有多分标，按分标分别提供开标一览表，</w:t>
      </w:r>
      <w:r>
        <w:rPr>
          <w:rFonts w:hint="eastAsia" w:ascii="宋体" w:hAnsi="宋体" w:cs="宋体"/>
          <w:b/>
          <w:color w:val="auto"/>
          <w:szCs w:val="21"/>
          <w:highlight w:val="none"/>
        </w:rPr>
        <w:t>否则投标无效。</w:t>
      </w:r>
    </w:p>
    <w:p w14:paraId="46209566">
      <w:pPr>
        <w:pStyle w:val="19"/>
        <w:spacing w:line="400" w:lineRule="exact"/>
        <w:rPr>
          <w:rFonts w:ascii="宋体" w:hAnsi="宋体" w:cs="宋体"/>
          <w:color w:val="auto"/>
          <w:sz w:val="21"/>
          <w:szCs w:val="21"/>
          <w:highlight w:val="none"/>
        </w:rPr>
      </w:pPr>
    </w:p>
    <w:p w14:paraId="1F8B3207">
      <w:pPr>
        <w:pStyle w:val="19"/>
        <w:spacing w:line="400" w:lineRule="exact"/>
        <w:rPr>
          <w:rFonts w:ascii="宋体" w:hAnsi="宋体" w:cs="宋体"/>
          <w:color w:val="auto"/>
          <w:sz w:val="21"/>
          <w:szCs w:val="21"/>
          <w:highlight w:val="none"/>
        </w:rPr>
      </w:pPr>
    </w:p>
    <w:p w14:paraId="4D210F97">
      <w:pPr>
        <w:snapToGrid w:val="0"/>
        <w:spacing w:line="400" w:lineRule="exact"/>
        <w:ind w:left="-2" w:leftChars="-1" w:right="-817" w:rightChars="-389"/>
        <w:rPr>
          <w:rFonts w:ascii="宋体" w:hAnsi="宋体" w:cs="宋体"/>
          <w:color w:val="auto"/>
          <w:szCs w:val="21"/>
          <w:highlight w:val="none"/>
        </w:rPr>
      </w:pPr>
      <w:r>
        <w:rPr>
          <w:rFonts w:hint="eastAsia" w:ascii="宋体" w:hAnsi="宋体" w:cs="宋体"/>
          <w:color w:val="auto"/>
          <w:szCs w:val="21"/>
          <w:highlight w:val="none"/>
        </w:rPr>
        <w:t xml:space="preserve">                                  法定代表人或者委托代理人（签字/电子签名）： </w:t>
      </w:r>
    </w:p>
    <w:p w14:paraId="48A7C7EE">
      <w:pPr>
        <w:snapToGrid w:val="0"/>
        <w:spacing w:line="400" w:lineRule="exact"/>
        <w:ind w:left="-6" w:leftChars="-15" w:right="-817" w:rightChars="-389" w:hanging="25" w:hangingChars="12"/>
        <w:rPr>
          <w:rFonts w:ascii="宋体" w:hAnsi="宋体" w:cs="宋体"/>
          <w:color w:val="auto"/>
          <w:szCs w:val="21"/>
          <w:highlight w:val="none"/>
        </w:rPr>
      </w:pPr>
      <w:r>
        <w:rPr>
          <w:rFonts w:hint="eastAsia" w:ascii="宋体" w:hAnsi="宋体" w:cs="宋体"/>
          <w:color w:val="auto"/>
          <w:szCs w:val="21"/>
          <w:highlight w:val="none"/>
        </w:rPr>
        <w:t xml:space="preserve">                                  投标人名称（电子签章）：</w:t>
      </w:r>
    </w:p>
    <w:p w14:paraId="5F6341D0">
      <w:pPr>
        <w:snapToGrid w:val="0"/>
        <w:spacing w:line="400" w:lineRule="exact"/>
        <w:ind w:left="-6" w:leftChars="-15" w:right="-817" w:rightChars="-389" w:hanging="25" w:hangingChars="12"/>
        <w:rPr>
          <w:rFonts w:ascii="宋体" w:hAnsi="宋体" w:cs="宋体"/>
          <w:color w:val="auto"/>
          <w:szCs w:val="21"/>
          <w:highlight w:val="none"/>
        </w:rPr>
      </w:pPr>
      <w:r>
        <w:rPr>
          <w:rFonts w:hint="eastAsia" w:ascii="宋体" w:hAnsi="宋体" w:cs="宋体"/>
          <w:color w:val="auto"/>
          <w:szCs w:val="21"/>
          <w:highlight w:val="none"/>
        </w:rPr>
        <w:t xml:space="preserve">                                  日期：    年   月   日</w:t>
      </w:r>
    </w:p>
    <w:p w14:paraId="1482E960">
      <w:pPr>
        <w:ind w:firstLine="527"/>
        <w:rPr>
          <w:rFonts w:ascii="宋体" w:hAnsi="宋体" w:cs="宋体"/>
          <w:b/>
          <w:color w:val="auto"/>
          <w:sz w:val="28"/>
          <w:szCs w:val="28"/>
          <w:highlight w:val="none"/>
        </w:rPr>
      </w:pPr>
      <w:r>
        <w:rPr>
          <w:rFonts w:hint="eastAsia" w:ascii="宋体" w:hAnsi="宋体" w:cs="宋体"/>
          <w:b/>
          <w:bCs/>
          <w:color w:val="auto"/>
          <w:szCs w:val="21"/>
          <w:highlight w:val="none"/>
        </w:rPr>
        <w:br w:type="page"/>
      </w:r>
      <w:bookmarkStart w:id="141" w:name="_Toc19686837"/>
      <w:r>
        <w:rPr>
          <w:rFonts w:hint="eastAsia" w:ascii="宋体" w:hAnsi="宋体" w:cs="宋体"/>
          <w:b/>
          <w:color w:val="auto"/>
          <w:sz w:val="28"/>
          <w:szCs w:val="28"/>
          <w:highlight w:val="none"/>
        </w:rPr>
        <w:t>二、资格证明文件格式</w:t>
      </w:r>
      <w:bookmarkEnd w:id="139"/>
      <w:bookmarkEnd w:id="140"/>
      <w:bookmarkEnd w:id="141"/>
    </w:p>
    <w:p w14:paraId="7D5B5373">
      <w:pPr>
        <w:numPr>
          <w:ilvl w:val="2"/>
          <w:numId w:val="9"/>
        </w:numPr>
        <w:snapToGrid w:val="0"/>
        <w:spacing w:before="120" w:beforeLines="50" w:after="50" w:line="360" w:lineRule="auto"/>
        <w:ind w:left="-134" w:firstLine="602"/>
        <w:jc w:val="left"/>
        <w:rPr>
          <w:rFonts w:ascii="宋体" w:hAnsi="宋体" w:cs="宋体"/>
          <w:b/>
          <w:color w:val="auto"/>
          <w:sz w:val="24"/>
          <w:highlight w:val="none"/>
        </w:rPr>
      </w:pPr>
      <w:r>
        <w:rPr>
          <w:rFonts w:hint="eastAsia" w:ascii="宋体" w:hAnsi="宋体" w:cs="宋体"/>
          <w:b/>
          <w:color w:val="auto"/>
          <w:sz w:val="24"/>
          <w:highlight w:val="none"/>
        </w:rPr>
        <w:t xml:space="preserve">资格证明文件封面格式： </w:t>
      </w:r>
    </w:p>
    <w:p w14:paraId="5C31EE9D">
      <w:pPr>
        <w:snapToGrid w:val="0"/>
        <w:spacing w:before="120" w:beforeLines="50" w:after="50"/>
        <w:ind w:firstLine="1200"/>
        <w:jc w:val="center"/>
        <w:rPr>
          <w:rFonts w:ascii="宋体" w:hAnsi="宋体" w:cs="宋体"/>
          <w:bCs/>
          <w:color w:val="auto"/>
          <w:sz w:val="48"/>
          <w:szCs w:val="48"/>
          <w:highlight w:val="none"/>
        </w:rPr>
      </w:pPr>
    </w:p>
    <w:p w14:paraId="36BC96B8">
      <w:pPr>
        <w:snapToGrid w:val="0"/>
        <w:spacing w:before="120" w:beforeLines="50" w:after="50"/>
        <w:ind w:firstLine="1200"/>
        <w:jc w:val="center"/>
        <w:rPr>
          <w:rFonts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288B9D7A">
      <w:pPr>
        <w:pStyle w:val="19"/>
        <w:ind w:firstLine="600"/>
        <w:rPr>
          <w:rFonts w:ascii="宋体" w:hAnsi="宋体" w:cs="宋体"/>
          <w:color w:val="auto"/>
          <w:highlight w:val="none"/>
        </w:rPr>
      </w:pPr>
    </w:p>
    <w:p w14:paraId="4F5E71D0">
      <w:pPr>
        <w:snapToGrid w:val="0"/>
        <w:spacing w:before="120" w:beforeLines="50" w:after="50"/>
        <w:ind w:firstLine="803"/>
        <w:jc w:val="center"/>
        <w:rPr>
          <w:rFonts w:ascii="宋体" w:hAnsi="宋体" w:cs="宋体"/>
          <w:b/>
          <w:color w:val="auto"/>
          <w:sz w:val="24"/>
          <w:szCs w:val="20"/>
          <w:highlight w:val="none"/>
        </w:rPr>
      </w:pPr>
      <w:r>
        <w:rPr>
          <w:rFonts w:hint="eastAsia" w:ascii="宋体" w:hAnsi="宋体" w:cs="宋体"/>
          <w:b/>
          <w:color w:val="auto"/>
          <w:sz w:val="32"/>
          <w:szCs w:val="32"/>
          <w:highlight w:val="none"/>
        </w:rPr>
        <w:t>资格证明文件</w:t>
      </w:r>
    </w:p>
    <w:p w14:paraId="78D0C60F">
      <w:pPr>
        <w:snapToGrid w:val="0"/>
        <w:spacing w:before="120" w:beforeLines="50" w:after="50"/>
        <w:ind w:firstLine="600"/>
        <w:rPr>
          <w:rFonts w:ascii="宋体" w:hAnsi="宋体" w:cs="宋体"/>
          <w:bCs/>
          <w:color w:val="auto"/>
          <w:sz w:val="24"/>
          <w:szCs w:val="20"/>
          <w:highlight w:val="none"/>
        </w:rPr>
      </w:pPr>
    </w:p>
    <w:p w14:paraId="23F698B5">
      <w:pPr>
        <w:snapToGrid w:val="0"/>
        <w:spacing w:before="120" w:beforeLines="50" w:after="50"/>
        <w:ind w:firstLine="600"/>
        <w:rPr>
          <w:rFonts w:ascii="宋体" w:hAnsi="宋体" w:cs="宋体"/>
          <w:bCs/>
          <w:color w:val="auto"/>
          <w:sz w:val="24"/>
          <w:szCs w:val="20"/>
          <w:highlight w:val="none"/>
        </w:rPr>
      </w:pPr>
    </w:p>
    <w:p w14:paraId="67A8240D">
      <w:pPr>
        <w:snapToGrid w:val="0"/>
        <w:spacing w:before="120" w:beforeLines="50" w:after="50"/>
        <w:ind w:firstLine="600"/>
        <w:rPr>
          <w:rFonts w:ascii="宋体" w:hAnsi="宋体" w:cs="宋体"/>
          <w:bCs/>
          <w:color w:val="auto"/>
          <w:sz w:val="24"/>
          <w:szCs w:val="20"/>
          <w:highlight w:val="none"/>
        </w:rPr>
      </w:pPr>
    </w:p>
    <w:p w14:paraId="2D9A4D5F">
      <w:pPr>
        <w:snapToGrid w:val="0"/>
        <w:spacing w:before="120" w:beforeLines="50" w:after="50"/>
        <w:ind w:firstLine="600"/>
        <w:rPr>
          <w:rFonts w:ascii="宋体" w:hAnsi="宋体" w:cs="宋体"/>
          <w:bCs/>
          <w:color w:val="auto"/>
          <w:sz w:val="24"/>
          <w:szCs w:val="20"/>
          <w:highlight w:val="none"/>
        </w:rPr>
      </w:pPr>
    </w:p>
    <w:p w14:paraId="27F11F12">
      <w:pPr>
        <w:snapToGrid w:val="0"/>
        <w:spacing w:before="120" w:beforeLines="50" w:after="50"/>
        <w:ind w:firstLine="600"/>
        <w:rPr>
          <w:rFonts w:ascii="宋体" w:hAnsi="宋体" w:cs="宋体"/>
          <w:bCs/>
          <w:color w:val="auto"/>
          <w:sz w:val="24"/>
          <w:szCs w:val="20"/>
          <w:highlight w:val="none"/>
        </w:rPr>
      </w:pPr>
    </w:p>
    <w:p w14:paraId="7E96ECE5">
      <w:pPr>
        <w:snapToGrid w:val="0"/>
        <w:spacing w:before="120" w:beforeLines="50" w:after="50"/>
        <w:ind w:firstLine="600"/>
        <w:rPr>
          <w:rFonts w:ascii="宋体" w:hAnsi="宋体" w:cs="宋体"/>
          <w:bCs/>
          <w:color w:val="auto"/>
          <w:sz w:val="24"/>
          <w:szCs w:val="20"/>
          <w:highlight w:val="none"/>
        </w:rPr>
      </w:pPr>
    </w:p>
    <w:p w14:paraId="02820775">
      <w:pPr>
        <w:snapToGrid w:val="0"/>
        <w:spacing w:before="120" w:beforeLines="50" w:after="50"/>
        <w:ind w:firstLine="540" w:firstLineChars="225"/>
        <w:rPr>
          <w:rFonts w:ascii="宋体" w:hAnsi="宋体" w:cs="宋体"/>
          <w:bCs/>
          <w:color w:val="auto"/>
          <w:sz w:val="24"/>
          <w:highlight w:val="none"/>
        </w:rPr>
      </w:pPr>
      <w:r>
        <w:rPr>
          <w:rFonts w:hint="eastAsia" w:ascii="宋体" w:hAnsi="宋体" w:cs="宋体"/>
          <w:bCs/>
          <w:color w:val="auto"/>
          <w:sz w:val="24"/>
          <w:highlight w:val="none"/>
        </w:rPr>
        <w:t>项目名称：</w:t>
      </w:r>
    </w:p>
    <w:p w14:paraId="09E144DA">
      <w:pPr>
        <w:snapToGrid w:val="0"/>
        <w:spacing w:before="120" w:beforeLines="50" w:after="50"/>
        <w:ind w:firstLine="540" w:firstLineChars="225"/>
        <w:rPr>
          <w:rFonts w:ascii="宋体" w:hAnsi="宋体" w:cs="宋体"/>
          <w:bCs/>
          <w:color w:val="auto"/>
          <w:sz w:val="24"/>
          <w:szCs w:val="20"/>
          <w:highlight w:val="none"/>
        </w:rPr>
      </w:pPr>
    </w:p>
    <w:p w14:paraId="38C5DD8F">
      <w:pPr>
        <w:snapToGrid w:val="0"/>
        <w:spacing w:before="120" w:beforeLines="50" w:after="50"/>
        <w:ind w:firstLine="540" w:firstLineChars="225"/>
        <w:rPr>
          <w:rFonts w:ascii="宋体" w:hAnsi="宋体" w:cs="宋体"/>
          <w:bCs/>
          <w:color w:val="auto"/>
          <w:sz w:val="24"/>
          <w:highlight w:val="none"/>
        </w:rPr>
      </w:pPr>
      <w:r>
        <w:rPr>
          <w:rFonts w:hint="eastAsia" w:ascii="宋体" w:hAnsi="宋体" w:cs="宋体"/>
          <w:bCs/>
          <w:color w:val="auto"/>
          <w:sz w:val="24"/>
          <w:highlight w:val="none"/>
        </w:rPr>
        <w:t>项目编号：</w:t>
      </w:r>
    </w:p>
    <w:p w14:paraId="3DC73EF0">
      <w:pPr>
        <w:snapToGrid w:val="0"/>
        <w:spacing w:before="120" w:beforeLines="50" w:after="50"/>
        <w:ind w:firstLine="540" w:firstLineChars="225"/>
        <w:rPr>
          <w:rFonts w:ascii="宋体" w:hAnsi="宋体" w:cs="宋体"/>
          <w:bCs/>
          <w:color w:val="auto"/>
          <w:sz w:val="24"/>
          <w:szCs w:val="20"/>
          <w:highlight w:val="none"/>
        </w:rPr>
      </w:pPr>
      <w:r>
        <w:rPr>
          <w:rFonts w:hint="eastAsia" w:ascii="宋体" w:hAnsi="宋体" w:cs="宋体"/>
          <w:bCs/>
          <w:color w:val="auto"/>
          <w:sz w:val="24"/>
          <w:highlight w:val="none"/>
        </w:rPr>
        <w:t xml:space="preserve"> </w:t>
      </w:r>
    </w:p>
    <w:p w14:paraId="50B0C736">
      <w:pPr>
        <w:snapToGrid w:val="0"/>
        <w:spacing w:before="120" w:beforeLines="50" w:after="50"/>
        <w:ind w:firstLine="540" w:firstLineChars="225"/>
        <w:rPr>
          <w:rFonts w:ascii="宋体" w:hAnsi="宋体" w:cs="宋体"/>
          <w:bCs/>
          <w:color w:val="auto"/>
          <w:sz w:val="24"/>
          <w:highlight w:val="none"/>
        </w:rPr>
      </w:pPr>
      <w:r>
        <w:rPr>
          <w:rFonts w:hint="eastAsia" w:ascii="宋体" w:hAnsi="宋体" w:cs="宋体"/>
          <w:bCs/>
          <w:color w:val="auto"/>
          <w:sz w:val="24"/>
          <w:highlight w:val="none"/>
        </w:rPr>
        <w:t>所投分标：</w:t>
      </w:r>
    </w:p>
    <w:p w14:paraId="4EA0A4B7">
      <w:pPr>
        <w:pStyle w:val="7"/>
        <w:snapToGrid w:val="0"/>
        <w:spacing w:before="50" w:after="50"/>
        <w:ind w:firstLine="540" w:firstLineChars="225"/>
        <w:rPr>
          <w:rFonts w:ascii="宋体" w:hAnsi="宋体" w:cs="宋体"/>
          <w:bCs/>
          <w:color w:val="auto"/>
          <w:sz w:val="24"/>
          <w:szCs w:val="24"/>
          <w:highlight w:val="none"/>
        </w:rPr>
      </w:pPr>
    </w:p>
    <w:p w14:paraId="5A791887">
      <w:pPr>
        <w:pStyle w:val="7"/>
        <w:snapToGrid w:val="0"/>
        <w:spacing w:before="50" w:after="50"/>
        <w:ind w:firstLine="540" w:firstLineChars="225"/>
        <w:rPr>
          <w:rFonts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1C2AE316">
      <w:pPr>
        <w:pStyle w:val="7"/>
        <w:snapToGrid w:val="0"/>
        <w:spacing w:before="50" w:after="50"/>
        <w:ind w:firstLine="540" w:firstLineChars="225"/>
        <w:rPr>
          <w:rFonts w:ascii="宋体" w:hAnsi="宋体" w:cs="宋体"/>
          <w:bCs/>
          <w:color w:val="auto"/>
          <w:sz w:val="24"/>
          <w:szCs w:val="24"/>
          <w:highlight w:val="none"/>
        </w:rPr>
      </w:pPr>
    </w:p>
    <w:p w14:paraId="6887D527">
      <w:pPr>
        <w:pStyle w:val="7"/>
        <w:snapToGrid w:val="0"/>
        <w:spacing w:before="50" w:after="50"/>
        <w:ind w:firstLine="960" w:firstLineChars="400"/>
        <w:rPr>
          <w:rFonts w:ascii="宋体" w:hAnsi="宋体" w:cs="宋体"/>
          <w:bCs/>
          <w:color w:val="auto"/>
          <w:sz w:val="24"/>
          <w:szCs w:val="24"/>
          <w:highlight w:val="none"/>
        </w:rPr>
      </w:pPr>
    </w:p>
    <w:p w14:paraId="7E5473E7">
      <w:pPr>
        <w:snapToGrid w:val="0"/>
        <w:spacing w:before="120" w:beforeLines="50" w:after="50"/>
        <w:ind w:firstLine="600"/>
        <w:jc w:val="center"/>
        <w:rPr>
          <w:rFonts w:ascii="宋体" w:hAnsi="宋体" w:cs="宋体"/>
          <w:color w:val="auto"/>
          <w:sz w:val="24"/>
          <w:highlight w:val="none"/>
        </w:rPr>
      </w:pPr>
      <w:r>
        <w:rPr>
          <w:rFonts w:hint="eastAsia" w:ascii="宋体" w:hAnsi="宋体" w:cs="宋体"/>
          <w:color w:val="auto"/>
          <w:sz w:val="24"/>
          <w:highlight w:val="none"/>
        </w:rPr>
        <w:t>年  月  日</w:t>
      </w:r>
    </w:p>
    <w:p w14:paraId="7193D210">
      <w:pPr>
        <w:snapToGrid w:val="0"/>
        <w:spacing w:before="120" w:beforeLines="50" w:after="50"/>
        <w:ind w:firstLine="600"/>
        <w:jc w:val="center"/>
        <w:rPr>
          <w:rFonts w:ascii="宋体" w:hAnsi="宋体" w:cs="宋体"/>
          <w:color w:val="auto"/>
          <w:sz w:val="24"/>
          <w:highlight w:val="none"/>
        </w:rPr>
      </w:pPr>
    </w:p>
    <w:p w14:paraId="2C0F66DB">
      <w:pPr>
        <w:snapToGrid w:val="0"/>
        <w:spacing w:before="120" w:beforeLines="50" w:after="50"/>
        <w:ind w:firstLine="600"/>
        <w:jc w:val="center"/>
        <w:rPr>
          <w:rFonts w:ascii="宋体" w:hAnsi="宋体" w:cs="宋体"/>
          <w:color w:val="auto"/>
          <w:sz w:val="24"/>
          <w:highlight w:val="none"/>
        </w:rPr>
      </w:pPr>
    </w:p>
    <w:p w14:paraId="4255884F">
      <w:pPr>
        <w:snapToGrid w:val="0"/>
        <w:spacing w:line="360" w:lineRule="auto"/>
        <w:ind w:firstLine="480" w:firstLineChars="200"/>
        <w:jc w:val="left"/>
        <w:rPr>
          <w:rFonts w:ascii="宋体" w:hAnsi="宋体" w:cs="宋体"/>
          <w:color w:val="auto"/>
          <w:szCs w:val="21"/>
          <w:highlight w:val="none"/>
        </w:rPr>
      </w:pPr>
      <w:r>
        <w:rPr>
          <w:rFonts w:hint="eastAsia" w:ascii="宋体" w:hAnsi="宋体" w:cs="宋体"/>
          <w:color w:val="auto"/>
          <w:sz w:val="24"/>
          <w:szCs w:val="20"/>
          <w:highlight w:val="none"/>
        </w:rPr>
        <w:t xml:space="preserve"> </w:t>
      </w:r>
    </w:p>
    <w:p w14:paraId="0DE155CA">
      <w:pPr>
        <w:rPr>
          <w:rFonts w:ascii="宋体" w:hAnsi="宋体" w:cs="宋体"/>
          <w:color w:val="auto"/>
          <w:szCs w:val="21"/>
          <w:highlight w:val="none"/>
        </w:rPr>
      </w:pPr>
      <w:r>
        <w:rPr>
          <w:rFonts w:hint="eastAsia" w:ascii="宋体" w:hAnsi="宋体" w:cs="宋体"/>
          <w:color w:val="auto"/>
          <w:szCs w:val="21"/>
          <w:highlight w:val="none"/>
        </w:rPr>
        <w:br w:type="page"/>
      </w:r>
    </w:p>
    <w:p w14:paraId="5680104E">
      <w:pPr>
        <w:snapToGrid w:val="0"/>
        <w:spacing w:before="120" w:beforeLines="50" w:after="50"/>
        <w:ind w:firstLine="803"/>
        <w:rPr>
          <w:rFonts w:ascii="宋体" w:hAnsi="宋体" w:cs="宋体"/>
          <w:b/>
          <w:bCs/>
          <w:color w:val="auto"/>
          <w:sz w:val="32"/>
          <w:szCs w:val="32"/>
          <w:highlight w:val="none"/>
        </w:rPr>
      </w:pPr>
    </w:p>
    <w:p w14:paraId="319F9237">
      <w:pPr>
        <w:snapToGrid w:val="0"/>
        <w:spacing w:before="120" w:beforeLines="50" w:after="50"/>
        <w:ind w:firstLine="803"/>
        <w:rPr>
          <w:rFonts w:ascii="宋体" w:hAnsi="宋体" w:cs="宋体"/>
          <w:color w:val="auto"/>
          <w:sz w:val="32"/>
          <w:szCs w:val="32"/>
          <w:highlight w:val="none"/>
        </w:rPr>
      </w:pPr>
      <w:r>
        <w:rPr>
          <w:rFonts w:hint="eastAsia" w:ascii="宋体" w:hAnsi="宋体" w:cs="宋体"/>
          <w:b/>
          <w:bCs/>
          <w:color w:val="auto"/>
          <w:sz w:val="32"/>
          <w:szCs w:val="32"/>
          <w:highlight w:val="none"/>
        </w:rPr>
        <w:t>资格证明文件目录</w:t>
      </w:r>
    </w:p>
    <w:p w14:paraId="7C6F7030">
      <w:pPr>
        <w:snapToGrid w:val="0"/>
        <w:spacing w:line="360" w:lineRule="auto"/>
        <w:ind w:firstLine="420" w:firstLineChars="200"/>
        <w:jc w:val="left"/>
        <w:rPr>
          <w:rFonts w:ascii="宋体" w:hAnsi="宋体" w:cs="宋体"/>
          <w:b/>
          <w:bCs/>
          <w:color w:val="auto"/>
          <w:spacing w:val="-12"/>
          <w:sz w:val="28"/>
          <w:szCs w:val="28"/>
          <w:highlight w:val="none"/>
        </w:rPr>
      </w:pPr>
      <w:r>
        <w:rPr>
          <w:rFonts w:hint="eastAsia" w:ascii="宋体" w:hAnsi="宋体" w:cs="宋体"/>
          <w:color w:val="auto"/>
          <w:szCs w:val="21"/>
          <w:highlight w:val="none"/>
        </w:rPr>
        <w:t>根据招标文件规定及投标人提供的材料自行编写目录。</w:t>
      </w:r>
    </w:p>
    <w:p w14:paraId="4320CEF5">
      <w:pPr>
        <w:spacing w:before="158" w:line="360" w:lineRule="auto"/>
        <w:ind w:firstLine="643"/>
        <w:rPr>
          <w:color w:val="auto"/>
          <w:highlight w:val="none"/>
        </w:rPr>
      </w:pPr>
      <w:r>
        <w:rPr>
          <w:rFonts w:hint="eastAsia" w:ascii="宋体" w:hAnsi="宋体" w:cs="宋体"/>
          <w:b/>
          <w:bCs/>
          <w:color w:val="auto"/>
          <w:spacing w:val="-12"/>
          <w:sz w:val="28"/>
          <w:szCs w:val="28"/>
          <w:highlight w:val="none"/>
        </w:rPr>
        <w:t>2.崇左市政府采购供应商信用承诺函（格式）</w:t>
      </w:r>
    </w:p>
    <w:p w14:paraId="764DE326">
      <w:pPr>
        <w:spacing w:before="78" w:line="216" w:lineRule="auto"/>
        <w:ind w:left="-134" w:firstLine="520"/>
        <w:rPr>
          <w:rFonts w:ascii="宋体" w:hAnsi="宋体" w:cs="宋体"/>
          <w:color w:val="auto"/>
          <w:szCs w:val="21"/>
          <w:highlight w:val="none"/>
        </w:rPr>
      </w:pPr>
      <w:r>
        <w:rPr>
          <w:rFonts w:hint="eastAsia" w:ascii="宋体" w:hAnsi="宋体" w:cs="宋体"/>
          <w:color w:val="auto"/>
          <w:spacing w:val="-1"/>
          <w:szCs w:val="21"/>
          <w:highlight w:val="none"/>
        </w:rPr>
        <w:t>致</w:t>
      </w:r>
      <w:r>
        <w:rPr>
          <w:rFonts w:hint="eastAsia" w:ascii="宋体" w:hAnsi="宋体" w:cs="宋体"/>
          <w:color w:val="auto"/>
          <w:spacing w:val="-1"/>
          <w:szCs w:val="21"/>
          <w:highlight w:val="none"/>
          <w:u w:val="single"/>
        </w:rPr>
        <w:t>（采购代理机构名称）</w:t>
      </w:r>
      <w:r>
        <w:rPr>
          <w:rFonts w:hint="eastAsia" w:ascii="宋体" w:hAnsi="宋体" w:cs="宋体"/>
          <w:color w:val="auto"/>
          <w:spacing w:val="-1"/>
          <w:szCs w:val="21"/>
          <w:highlight w:val="none"/>
        </w:rPr>
        <w:t>:</w:t>
      </w:r>
    </w:p>
    <w:p w14:paraId="6674FECB">
      <w:pPr>
        <w:spacing w:before="158" w:line="339" w:lineRule="auto"/>
        <w:ind w:left="-134" w:right="50" w:firstLine="520"/>
        <w:rPr>
          <w:rFonts w:ascii="宋体" w:hAnsi="宋体" w:cs="宋体"/>
          <w:color w:val="auto"/>
          <w:szCs w:val="21"/>
          <w:highlight w:val="none"/>
        </w:rPr>
      </w:pPr>
      <w:r>
        <w:rPr>
          <w:rFonts w:hint="eastAsia" w:ascii="宋体" w:hAnsi="宋体" w:cs="宋体"/>
          <w:color w:val="auto"/>
          <w:spacing w:val="-1"/>
          <w:szCs w:val="21"/>
          <w:highlight w:val="none"/>
        </w:rPr>
        <w:t>我方自愿参加</w:t>
      </w:r>
      <w:r>
        <w:rPr>
          <w:rFonts w:hint="eastAsia" w:ascii="宋体" w:hAnsi="宋体" w:cs="宋体"/>
          <w:color w:val="auto"/>
          <w:spacing w:val="-19"/>
          <w:szCs w:val="21"/>
          <w:highlight w:val="none"/>
          <w:u w:val="single"/>
        </w:rPr>
        <w:t xml:space="preserve"> </w:t>
      </w:r>
      <w:r>
        <w:rPr>
          <w:rFonts w:hint="eastAsia" w:ascii="宋体" w:hAnsi="宋体" w:cs="宋体"/>
          <w:color w:val="auto"/>
          <w:spacing w:val="-1"/>
          <w:szCs w:val="21"/>
          <w:highlight w:val="none"/>
          <w:u w:val="single"/>
        </w:rPr>
        <w:t xml:space="preserve">（项目名称） </w:t>
      </w:r>
      <w:r>
        <w:rPr>
          <w:rFonts w:hint="eastAsia" w:ascii="宋体" w:hAnsi="宋体" w:cs="宋体"/>
          <w:color w:val="auto"/>
          <w:spacing w:val="-107"/>
          <w:szCs w:val="21"/>
          <w:highlight w:val="none"/>
        </w:rPr>
        <w:t xml:space="preserve"> </w:t>
      </w:r>
      <w:r>
        <w:rPr>
          <w:rFonts w:hint="eastAsia" w:ascii="宋体" w:hAnsi="宋体" w:cs="宋体"/>
          <w:color w:val="auto"/>
          <w:spacing w:val="-1"/>
          <w:szCs w:val="21"/>
          <w:highlight w:val="none"/>
        </w:rPr>
        <w:t>项目（项目编号：</w:t>
      </w:r>
      <w:r>
        <w:rPr>
          <w:rFonts w:hint="eastAsia" w:ascii="宋体" w:hAnsi="宋体" w:cs="宋体"/>
          <w:color w:val="auto"/>
          <w:spacing w:val="12"/>
          <w:szCs w:val="21"/>
          <w:highlight w:val="none"/>
          <w:u w:val="single"/>
        </w:rPr>
        <w:t xml:space="preserve">           </w:t>
      </w:r>
      <w:r>
        <w:rPr>
          <w:rFonts w:hint="eastAsia" w:ascii="宋体" w:hAnsi="宋体" w:cs="宋体"/>
          <w:color w:val="auto"/>
          <w:spacing w:val="-55"/>
          <w:szCs w:val="21"/>
          <w:highlight w:val="none"/>
        </w:rPr>
        <w:t xml:space="preserve"> </w:t>
      </w:r>
      <w:r>
        <w:rPr>
          <w:rFonts w:hint="eastAsia" w:ascii="宋体" w:hAnsi="宋体" w:cs="宋体"/>
          <w:color w:val="auto"/>
          <w:spacing w:val="-1"/>
          <w:szCs w:val="21"/>
          <w:highlight w:val="none"/>
        </w:rPr>
        <w:t>）的政府采购活动</w:t>
      </w:r>
      <w:r>
        <w:rPr>
          <w:rFonts w:hint="eastAsia" w:ascii="宋体" w:hAnsi="宋体" w:cs="宋体"/>
          <w:color w:val="auto"/>
          <w:spacing w:val="-12"/>
          <w:szCs w:val="21"/>
          <w:highlight w:val="none"/>
        </w:rPr>
        <w:t>，严格遵 守</w:t>
      </w:r>
      <w:r>
        <w:rPr>
          <w:rFonts w:hint="eastAsia" w:ascii="宋体" w:hAnsi="宋体" w:cs="宋体"/>
          <w:color w:val="auto"/>
          <w:szCs w:val="21"/>
          <w:highlight w:val="none"/>
        </w:rPr>
        <w:t>《中华人民共和国政府采购法》及相关法律法规，依法诚信经营，无条件遵守本次政府采</w:t>
      </w:r>
      <w:r>
        <w:rPr>
          <w:rFonts w:hint="eastAsia" w:ascii="宋体" w:hAnsi="宋体" w:cs="宋体"/>
          <w:color w:val="auto"/>
          <w:spacing w:val="-1"/>
          <w:szCs w:val="21"/>
          <w:highlight w:val="none"/>
        </w:rPr>
        <w:t>购活动的各项规定，并郑重承诺：</w:t>
      </w:r>
    </w:p>
    <w:p w14:paraId="28E3111B">
      <w:pPr>
        <w:spacing w:before="161" w:line="216" w:lineRule="auto"/>
        <w:ind w:left="-134" w:firstLine="520"/>
        <w:rPr>
          <w:rFonts w:hint="eastAsia" w:ascii="宋体" w:hAnsi="宋体" w:eastAsia="宋体" w:cs="宋体"/>
          <w:color w:val="auto"/>
          <w:spacing w:val="-1"/>
          <w:szCs w:val="21"/>
          <w:highlight w:val="none"/>
        </w:rPr>
      </w:pPr>
      <w:r>
        <w:rPr>
          <w:rFonts w:hint="eastAsia" w:ascii="宋体" w:hAnsi="宋体" w:eastAsia="宋体" w:cs="宋体"/>
          <w:color w:val="auto"/>
          <w:spacing w:val="-1"/>
          <w:szCs w:val="21"/>
          <w:highlight w:val="none"/>
        </w:rPr>
        <w:t>1.我方具有独立承担民事责任的能力或我方属于银行、保险、石油石化、 电力、 电 信等有行业特殊情况的法人的分支机构在参加本次政府采购活动前已取得总公司的授权。</w:t>
      </w:r>
    </w:p>
    <w:p w14:paraId="07AB3D5F">
      <w:pPr>
        <w:spacing w:before="161" w:line="216" w:lineRule="auto"/>
        <w:ind w:left="-134" w:firstLine="520"/>
        <w:rPr>
          <w:rFonts w:hint="eastAsia" w:ascii="宋体" w:hAnsi="宋体" w:eastAsia="宋体" w:cs="宋体"/>
          <w:color w:val="auto"/>
          <w:spacing w:val="-1"/>
          <w:szCs w:val="21"/>
          <w:highlight w:val="none"/>
        </w:rPr>
      </w:pPr>
      <w:r>
        <w:rPr>
          <w:rFonts w:hint="eastAsia" w:ascii="宋体" w:hAnsi="宋体" w:eastAsia="宋体" w:cs="宋体"/>
          <w:color w:val="auto"/>
          <w:spacing w:val="-1"/>
          <w:szCs w:val="21"/>
          <w:highlight w:val="none"/>
        </w:rPr>
        <w:t>2.我方具有符合采购文件资格要求的财务状况报告。</w:t>
      </w:r>
    </w:p>
    <w:p w14:paraId="79AFCC2F">
      <w:pPr>
        <w:spacing w:before="161" w:line="216" w:lineRule="auto"/>
        <w:ind w:left="-134" w:firstLine="520"/>
        <w:rPr>
          <w:rFonts w:hint="eastAsia" w:ascii="宋体" w:hAnsi="宋体" w:eastAsia="宋体" w:cs="宋体"/>
          <w:color w:val="auto"/>
          <w:spacing w:val="-1"/>
          <w:szCs w:val="21"/>
          <w:highlight w:val="none"/>
        </w:rPr>
      </w:pPr>
      <w:r>
        <w:rPr>
          <w:rFonts w:hint="eastAsia" w:ascii="宋体" w:hAnsi="宋体" w:eastAsia="宋体" w:cs="宋体"/>
          <w:color w:val="auto"/>
          <w:spacing w:val="-1"/>
          <w:szCs w:val="21"/>
          <w:highlight w:val="none"/>
        </w:rPr>
        <w:t>3.我方具有符合采购文件资格要求的依法缴纳税收和社会保障资金的良好记录。</w:t>
      </w:r>
    </w:p>
    <w:p w14:paraId="1B9AB69C">
      <w:pPr>
        <w:spacing w:before="161" w:line="216" w:lineRule="auto"/>
        <w:ind w:left="-134" w:firstLine="520"/>
        <w:rPr>
          <w:rFonts w:ascii="宋体" w:hAnsi="宋体" w:cs="宋体"/>
          <w:color w:val="auto"/>
          <w:szCs w:val="21"/>
          <w:highlight w:val="none"/>
        </w:rPr>
      </w:pPr>
      <w:r>
        <w:rPr>
          <w:rFonts w:hint="eastAsia" w:ascii="宋体" w:hAnsi="宋体" w:cs="宋体"/>
          <w:color w:val="auto"/>
          <w:spacing w:val="-1"/>
          <w:szCs w:val="21"/>
          <w:highlight w:val="none"/>
        </w:rPr>
        <w:t>4.我方具有符合采购文件资格要求履行合同所必需的设备和专业技术能力。</w:t>
      </w:r>
    </w:p>
    <w:p w14:paraId="671971FC">
      <w:pPr>
        <w:spacing w:before="159" w:line="214" w:lineRule="auto"/>
        <w:ind w:left="-134" w:firstLine="515"/>
        <w:rPr>
          <w:rFonts w:ascii="宋体" w:hAnsi="宋体" w:cs="宋体"/>
          <w:color w:val="auto"/>
          <w:szCs w:val="21"/>
          <w:highlight w:val="none"/>
        </w:rPr>
      </w:pPr>
      <w:r>
        <w:rPr>
          <w:rFonts w:hint="eastAsia" w:ascii="宋体" w:hAnsi="宋体" w:cs="宋体"/>
          <w:color w:val="auto"/>
          <w:spacing w:val="-2"/>
          <w:szCs w:val="21"/>
          <w:highlight w:val="none"/>
        </w:rPr>
        <w:t>5.我方参加政府采购活动前</w:t>
      </w:r>
      <w:r>
        <w:rPr>
          <w:rFonts w:hint="eastAsia" w:ascii="宋体" w:hAnsi="宋体" w:cs="宋体"/>
          <w:color w:val="auto"/>
          <w:spacing w:val="-32"/>
          <w:szCs w:val="21"/>
          <w:highlight w:val="none"/>
        </w:rPr>
        <w:t xml:space="preserve"> </w:t>
      </w:r>
      <w:r>
        <w:rPr>
          <w:rFonts w:hint="eastAsia" w:ascii="宋体" w:hAnsi="宋体" w:cs="宋体"/>
          <w:color w:val="auto"/>
          <w:spacing w:val="-2"/>
          <w:szCs w:val="21"/>
          <w:highlight w:val="none"/>
        </w:rPr>
        <w:t>3</w:t>
      </w:r>
      <w:r>
        <w:rPr>
          <w:rFonts w:hint="eastAsia" w:ascii="宋体" w:hAnsi="宋体" w:cs="宋体"/>
          <w:color w:val="auto"/>
          <w:spacing w:val="-48"/>
          <w:szCs w:val="21"/>
          <w:highlight w:val="none"/>
        </w:rPr>
        <w:t xml:space="preserve"> </w:t>
      </w:r>
      <w:r>
        <w:rPr>
          <w:rFonts w:hint="eastAsia" w:ascii="宋体" w:hAnsi="宋体" w:cs="宋体"/>
          <w:color w:val="auto"/>
          <w:spacing w:val="-2"/>
          <w:szCs w:val="21"/>
          <w:highlight w:val="none"/>
        </w:rPr>
        <w:t>年内在经营活动中没有重大违法记录。</w:t>
      </w:r>
    </w:p>
    <w:p w14:paraId="3ED9ECD2">
      <w:pPr>
        <w:spacing w:before="161" w:line="215" w:lineRule="auto"/>
        <w:ind w:left="-134" w:firstLine="208" w:firstLineChars="100"/>
        <w:rPr>
          <w:rFonts w:ascii="宋体" w:hAnsi="宋体" w:cs="宋体"/>
          <w:color w:val="auto"/>
          <w:szCs w:val="21"/>
          <w:highlight w:val="none"/>
        </w:rPr>
      </w:pPr>
      <w:r>
        <w:rPr>
          <w:rFonts w:hint="eastAsia" w:ascii="宋体" w:hAnsi="宋体" w:cs="宋体"/>
          <w:color w:val="auto"/>
          <w:spacing w:val="-1"/>
          <w:szCs w:val="21"/>
          <w:highlight w:val="none"/>
        </w:rPr>
        <w:t>我方对以上承诺内容的真实性负责。如有虚假，将依法承担相应责任。</w:t>
      </w:r>
    </w:p>
    <w:p w14:paraId="753809B1">
      <w:pPr>
        <w:pStyle w:val="19"/>
        <w:spacing w:line="318" w:lineRule="auto"/>
        <w:rPr>
          <w:rFonts w:ascii="宋体" w:hAnsi="宋体" w:cs="宋体"/>
          <w:color w:val="auto"/>
          <w:sz w:val="21"/>
          <w:szCs w:val="21"/>
          <w:highlight w:val="none"/>
        </w:rPr>
      </w:pPr>
    </w:p>
    <w:p w14:paraId="29640C53">
      <w:pPr>
        <w:pStyle w:val="19"/>
        <w:spacing w:line="319" w:lineRule="auto"/>
        <w:rPr>
          <w:rFonts w:ascii="宋体" w:hAnsi="宋体" w:cs="宋体"/>
          <w:color w:val="auto"/>
          <w:sz w:val="21"/>
          <w:szCs w:val="21"/>
          <w:highlight w:val="none"/>
        </w:rPr>
      </w:pPr>
    </w:p>
    <w:p w14:paraId="788F7779">
      <w:pPr>
        <w:pStyle w:val="19"/>
        <w:spacing w:line="319" w:lineRule="auto"/>
        <w:rPr>
          <w:rFonts w:ascii="宋体" w:hAnsi="宋体" w:cs="宋体"/>
          <w:color w:val="auto"/>
          <w:sz w:val="21"/>
          <w:szCs w:val="21"/>
          <w:highlight w:val="none"/>
        </w:rPr>
      </w:pPr>
    </w:p>
    <w:p w14:paraId="79D99E74">
      <w:pPr>
        <w:spacing w:before="78" w:line="442" w:lineRule="exact"/>
        <w:ind w:left="-134" w:firstLine="520"/>
        <w:rPr>
          <w:rFonts w:ascii="宋体" w:hAnsi="宋体" w:cs="宋体"/>
          <w:color w:val="auto"/>
          <w:szCs w:val="21"/>
          <w:highlight w:val="none"/>
        </w:rPr>
      </w:pPr>
      <w:r>
        <w:rPr>
          <w:rFonts w:hint="eastAsia" w:ascii="宋体" w:hAnsi="宋体" w:cs="宋体"/>
          <w:color w:val="auto"/>
          <w:spacing w:val="-1"/>
          <w:position w:val="15"/>
          <w:szCs w:val="21"/>
          <w:highlight w:val="none"/>
        </w:rPr>
        <w:t>供应商名称（盖章</w:t>
      </w:r>
      <w:r>
        <w:rPr>
          <w:rFonts w:hint="eastAsia" w:ascii="宋体" w:hAnsi="宋体" w:cs="宋体"/>
          <w:color w:val="auto"/>
          <w:spacing w:val="1"/>
          <w:position w:val="15"/>
          <w:szCs w:val="21"/>
          <w:highlight w:val="none"/>
        </w:rPr>
        <w:t>）：</w:t>
      </w:r>
    </w:p>
    <w:p w14:paraId="6310C663">
      <w:pPr>
        <w:spacing w:before="1" w:line="217" w:lineRule="auto"/>
        <w:ind w:left="-134" w:firstLine="430"/>
        <w:rPr>
          <w:rFonts w:ascii="宋体" w:hAnsi="宋体" w:cs="宋体"/>
          <w:color w:val="auto"/>
          <w:szCs w:val="21"/>
          <w:highlight w:val="none"/>
        </w:rPr>
      </w:pPr>
      <w:r>
        <w:rPr>
          <w:rFonts w:hint="eastAsia" w:ascii="宋体" w:hAnsi="宋体" w:cs="宋体"/>
          <w:color w:val="auto"/>
          <w:spacing w:val="-19"/>
          <w:szCs w:val="21"/>
          <w:highlight w:val="none"/>
        </w:rPr>
        <w:t>日 期：</w:t>
      </w:r>
    </w:p>
    <w:p w14:paraId="012AC12B">
      <w:pPr>
        <w:pStyle w:val="19"/>
        <w:spacing w:line="323" w:lineRule="auto"/>
        <w:rPr>
          <w:rFonts w:ascii="宋体" w:hAnsi="宋体" w:cs="宋体"/>
          <w:color w:val="auto"/>
          <w:sz w:val="21"/>
          <w:szCs w:val="21"/>
          <w:highlight w:val="none"/>
        </w:rPr>
      </w:pPr>
    </w:p>
    <w:p w14:paraId="09F56FBF">
      <w:pPr>
        <w:spacing w:before="158" w:line="360" w:lineRule="auto"/>
        <w:ind w:left="-134" w:firstLine="372" w:firstLineChars="200"/>
        <w:rPr>
          <w:rFonts w:ascii="宋体" w:hAnsi="宋体" w:cs="宋体"/>
          <w:color w:val="auto"/>
          <w:spacing w:val="-12"/>
          <w:szCs w:val="21"/>
          <w:highlight w:val="none"/>
        </w:rPr>
      </w:pPr>
      <w:r>
        <w:rPr>
          <w:rFonts w:hint="eastAsia" w:ascii="宋体" w:hAnsi="宋体" w:cs="宋体"/>
          <w:color w:val="auto"/>
          <w:spacing w:val="-12"/>
          <w:szCs w:val="21"/>
          <w:highlight w:val="none"/>
        </w:rPr>
        <w:t>注：1.参与政府采购活动的供应商可按第 1 点的内容： “我方具有独立承担民事责任的能力或我方属于 银行 、保险、 石油石化、 电力、 电信等有行业特殊情况的法人的分支机构在参加本次政府采购活动 前已取得总公司的授权。 ”进行承诺，也可以根据自身的真实情况选择以下 2 种方式进行承诺： 一 是 “ 我方具有独立承担民事责任的能力 ”进行承诺； 二是 “ 我方属于银行、保险、 石油石化、 电力、 电信等有行业特殊情况的法人的分支机构在参加本次政府采购活动前已取得总公司的授权 ”进行承 诺。 参加政府采购活动的供应商只要第 1 点承诺的内容包含有： 具有独立承担民事责任的能力、在 参加本次政府采购活动前已取得总公司的授权等内容的即为有效的承诺。 2.第 1 点所指的行业特殊 情况使用了 “ 等 ” 字表示列举未尽， 即行业特殊情况包含但不限于银行、保险 、 石油石化 、 电力、电信。</w:t>
      </w:r>
    </w:p>
    <w:p w14:paraId="2D946ACF">
      <w:pPr>
        <w:spacing w:line="224" w:lineRule="auto"/>
        <w:ind w:firstLine="500"/>
        <w:rPr>
          <w:rFonts w:ascii="仿宋" w:hAnsi="仿宋" w:eastAsia="仿宋" w:cs="仿宋"/>
          <w:color w:val="auto"/>
          <w:sz w:val="20"/>
          <w:szCs w:val="20"/>
          <w:highlight w:val="none"/>
        </w:rPr>
        <w:sectPr>
          <w:footerReference r:id="rId13" w:type="default"/>
          <w:pgSz w:w="11906" w:h="16839"/>
          <w:pgMar w:top="400" w:right="1083" w:bottom="882" w:left="1134" w:header="0" w:footer="720" w:gutter="0"/>
          <w:cols w:space="720" w:num="1"/>
        </w:sectPr>
      </w:pPr>
    </w:p>
    <w:p w14:paraId="48243D00">
      <w:pPr>
        <w:snapToGrid w:val="0"/>
        <w:spacing w:before="120" w:beforeLines="50" w:after="50"/>
        <w:ind w:firstLine="703"/>
        <w:jc w:val="left"/>
        <w:rPr>
          <w:rFonts w:ascii="宋体" w:hAnsi="宋体" w:cs="宋体"/>
          <w:b/>
          <w:color w:val="auto"/>
          <w:sz w:val="24"/>
          <w:highlight w:val="none"/>
        </w:rPr>
      </w:pPr>
      <w:r>
        <w:rPr>
          <w:rFonts w:hint="eastAsia" w:ascii="宋体" w:hAnsi="宋体" w:cs="宋体"/>
          <w:b/>
          <w:color w:val="auto"/>
          <w:sz w:val="28"/>
          <w:szCs w:val="28"/>
          <w:highlight w:val="none"/>
        </w:rPr>
        <w:t>3.投标人直接控股、管理关系信息表</w:t>
      </w:r>
    </w:p>
    <w:p w14:paraId="3E06C059">
      <w:pPr>
        <w:snapToGrid w:val="0"/>
        <w:spacing w:before="50" w:after="120" w:afterLines="50" w:line="360" w:lineRule="auto"/>
        <w:ind w:firstLine="803"/>
        <w:jc w:val="center"/>
        <w:rPr>
          <w:rFonts w:ascii="宋体" w:hAnsi="宋体" w:cs="宋体"/>
          <w:b/>
          <w:color w:val="auto"/>
          <w:sz w:val="32"/>
          <w:szCs w:val="32"/>
          <w:highlight w:val="none"/>
        </w:rPr>
      </w:pPr>
    </w:p>
    <w:p w14:paraId="361AAD6F">
      <w:pPr>
        <w:snapToGrid w:val="0"/>
        <w:spacing w:before="50" w:after="120" w:afterLines="50" w:line="360" w:lineRule="auto"/>
        <w:ind w:firstLine="803"/>
        <w:jc w:val="center"/>
        <w:rPr>
          <w:rFonts w:ascii="宋体" w:hAnsi="宋体" w:cs="宋体"/>
          <w:b/>
          <w:color w:val="auto"/>
          <w:sz w:val="32"/>
          <w:szCs w:val="32"/>
          <w:highlight w:val="none"/>
        </w:rPr>
      </w:pPr>
      <w:r>
        <w:rPr>
          <w:rFonts w:hint="eastAsia" w:ascii="宋体" w:hAnsi="宋体" w:cs="宋体"/>
          <w:b/>
          <w:color w:val="auto"/>
          <w:sz w:val="32"/>
          <w:szCs w:val="32"/>
          <w:highlight w:val="none"/>
        </w:rPr>
        <w:t>投标人直接控股股东信息表</w:t>
      </w:r>
    </w:p>
    <w:tbl>
      <w:tblPr>
        <w:tblStyle w:val="51"/>
        <w:tblW w:w="5000" w:type="pct"/>
        <w:tblInd w:w="0" w:type="dxa"/>
        <w:shd w:val="clear" w:color="auto" w:fill="FBFBFB"/>
        <w:tblLayout w:type="autofit"/>
        <w:tblCellMar>
          <w:top w:w="0" w:type="dxa"/>
          <w:left w:w="0" w:type="dxa"/>
          <w:bottom w:w="0" w:type="dxa"/>
          <w:right w:w="0" w:type="dxa"/>
        </w:tblCellMar>
      </w:tblPr>
      <w:tblGrid>
        <w:gridCol w:w="978"/>
        <w:gridCol w:w="2210"/>
        <w:gridCol w:w="1457"/>
        <w:gridCol w:w="2561"/>
        <w:gridCol w:w="1298"/>
      </w:tblGrid>
      <w:tr w14:paraId="43B2CC78">
        <w:tblPrEx>
          <w:shd w:val="clear" w:color="auto" w:fill="FBFBFB"/>
          <w:tblCellMar>
            <w:top w:w="0" w:type="dxa"/>
            <w:left w:w="0" w:type="dxa"/>
            <w:bottom w:w="0" w:type="dxa"/>
            <w:right w:w="0" w:type="dxa"/>
          </w:tblCellMar>
        </w:tblPrEx>
        <w:trPr>
          <w:tblHeader/>
        </w:trPr>
        <w:tc>
          <w:tcPr>
            <w:tcW w:w="437"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50B387D">
            <w:pPr>
              <w:spacing w:line="360" w:lineRule="auto"/>
              <w:ind w:firstLine="527"/>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334"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66DD4B7">
            <w:pPr>
              <w:spacing w:line="360" w:lineRule="auto"/>
              <w:ind w:firstLine="527"/>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直接控股股东名称</w:t>
            </w:r>
          </w:p>
        </w:tc>
        <w:tc>
          <w:tcPr>
            <w:tcW w:w="891"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B1249BA">
            <w:pPr>
              <w:spacing w:line="360" w:lineRule="auto"/>
              <w:ind w:firstLine="527"/>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出资比例</w:t>
            </w:r>
          </w:p>
        </w:tc>
        <w:tc>
          <w:tcPr>
            <w:tcW w:w="1540"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2B33139">
            <w:pPr>
              <w:spacing w:line="360" w:lineRule="auto"/>
              <w:ind w:firstLine="527"/>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身份证号码或者统一社会信用代码</w:t>
            </w:r>
          </w:p>
        </w:tc>
        <w:tc>
          <w:tcPr>
            <w:tcW w:w="797"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F7758EB">
            <w:pPr>
              <w:spacing w:line="360" w:lineRule="auto"/>
              <w:ind w:firstLine="527"/>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14:paraId="39C487D6">
        <w:tblPrEx>
          <w:tblCellMar>
            <w:top w:w="0" w:type="dxa"/>
            <w:left w:w="0" w:type="dxa"/>
            <w:bottom w:w="0" w:type="dxa"/>
            <w:right w:w="0" w:type="dxa"/>
          </w:tblCellMar>
        </w:tblPrEx>
        <w:tc>
          <w:tcPr>
            <w:tcW w:w="43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587AD5">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133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DF4B686">
            <w:pPr>
              <w:spacing w:line="360" w:lineRule="auto"/>
              <w:jc w:val="center"/>
              <w:rPr>
                <w:rFonts w:ascii="宋体" w:hAnsi="宋体" w:cs="宋体"/>
                <w:color w:val="auto"/>
                <w:kern w:val="0"/>
                <w:szCs w:val="21"/>
                <w:highlight w:val="none"/>
              </w:rPr>
            </w:pPr>
          </w:p>
        </w:tc>
        <w:tc>
          <w:tcPr>
            <w:tcW w:w="89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46ED08">
            <w:pPr>
              <w:spacing w:line="360" w:lineRule="auto"/>
              <w:jc w:val="center"/>
              <w:rPr>
                <w:rFonts w:ascii="宋体" w:hAnsi="宋体" w:cs="宋体"/>
                <w:color w:val="auto"/>
                <w:kern w:val="0"/>
                <w:szCs w:val="21"/>
                <w:highlight w:val="none"/>
              </w:rPr>
            </w:pPr>
          </w:p>
        </w:tc>
        <w:tc>
          <w:tcPr>
            <w:tcW w:w="1540"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0C2E4E">
            <w:pPr>
              <w:spacing w:line="360" w:lineRule="auto"/>
              <w:jc w:val="center"/>
              <w:rPr>
                <w:rFonts w:ascii="宋体" w:hAnsi="宋体" w:cs="宋体"/>
                <w:color w:val="auto"/>
                <w:kern w:val="0"/>
                <w:szCs w:val="21"/>
                <w:highlight w:val="none"/>
              </w:rPr>
            </w:pPr>
          </w:p>
        </w:tc>
        <w:tc>
          <w:tcPr>
            <w:tcW w:w="79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7D9A38">
            <w:pPr>
              <w:spacing w:line="360" w:lineRule="auto"/>
              <w:jc w:val="center"/>
              <w:rPr>
                <w:rFonts w:ascii="宋体" w:hAnsi="宋体" w:cs="宋体"/>
                <w:color w:val="auto"/>
                <w:kern w:val="0"/>
                <w:szCs w:val="21"/>
                <w:highlight w:val="none"/>
              </w:rPr>
            </w:pPr>
          </w:p>
        </w:tc>
      </w:tr>
      <w:tr w14:paraId="321AB6EC">
        <w:tblPrEx>
          <w:tblCellMar>
            <w:top w:w="0" w:type="dxa"/>
            <w:left w:w="0" w:type="dxa"/>
            <w:bottom w:w="0" w:type="dxa"/>
            <w:right w:w="0" w:type="dxa"/>
          </w:tblCellMar>
        </w:tblPrEx>
        <w:tc>
          <w:tcPr>
            <w:tcW w:w="43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F4E62C4">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33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518D9E">
            <w:pPr>
              <w:spacing w:line="360" w:lineRule="auto"/>
              <w:jc w:val="center"/>
              <w:rPr>
                <w:rFonts w:ascii="宋体" w:hAnsi="宋体" w:cs="宋体"/>
                <w:color w:val="auto"/>
                <w:kern w:val="0"/>
                <w:szCs w:val="21"/>
                <w:highlight w:val="none"/>
              </w:rPr>
            </w:pPr>
          </w:p>
        </w:tc>
        <w:tc>
          <w:tcPr>
            <w:tcW w:w="89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5733FA">
            <w:pPr>
              <w:spacing w:line="360" w:lineRule="auto"/>
              <w:jc w:val="center"/>
              <w:rPr>
                <w:rFonts w:ascii="宋体" w:hAnsi="宋体" w:cs="宋体"/>
                <w:color w:val="auto"/>
                <w:kern w:val="0"/>
                <w:szCs w:val="21"/>
                <w:highlight w:val="none"/>
              </w:rPr>
            </w:pPr>
          </w:p>
        </w:tc>
        <w:tc>
          <w:tcPr>
            <w:tcW w:w="1540"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F210726">
            <w:pPr>
              <w:spacing w:line="360" w:lineRule="auto"/>
              <w:jc w:val="center"/>
              <w:rPr>
                <w:rFonts w:ascii="宋体" w:hAnsi="宋体" w:cs="宋体"/>
                <w:color w:val="auto"/>
                <w:kern w:val="0"/>
                <w:szCs w:val="21"/>
                <w:highlight w:val="none"/>
              </w:rPr>
            </w:pPr>
          </w:p>
        </w:tc>
        <w:tc>
          <w:tcPr>
            <w:tcW w:w="79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1412023">
            <w:pPr>
              <w:spacing w:line="360" w:lineRule="auto"/>
              <w:jc w:val="center"/>
              <w:rPr>
                <w:rFonts w:ascii="宋体" w:hAnsi="宋体" w:cs="宋体"/>
                <w:color w:val="auto"/>
                <w:kern w:val="0"/>
                <w:szCs w:val="21"/>
                <w:highlight w:val="none"/>
              </w:rPr>
            </w:pPr>
          </w:p>
        </w:tc>
      </w:tr>
      <w:tr w14:paraId="4F8E3C57">
        <w:tblPrEx>
          <w:tblCellMar>
            <w:top w:w="0" w:type="dxa"/>
            <w:left w:w="0" w:type="dxa"/>
            <w:bottom w:w="0" w:type="dxa"/>
            <w:right w:w="0" w:type="dxa"/>
          </w:tblCellMar>
        </w:tblPrEx>
        <w:tc>
          <w:tcPr>
            <w:tcW w:w="43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186EBA">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133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7AAD8FF">
            <w:pPr>
              <w:spacing w:line="360" w:lineRule="auto"/>
              <w:jc w:val="center"/>
              <w:rPr>
                <w:rFonts w:ascii="宋体" w:hAnsi="宋体" w:cs="宋体"/>
                <w:color w:val="auto"/>
                <w:kern w:val="0"/>
                <w:szCs w:val="21"/>
                <w:highlight w:val="none"/>
              </w:rPr>
            </w:pPr>
          </w:p>
        </w:tc>
        <w:tc>
          <w:tcPr>
            <w:tcW w:w="89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0B759F">
            <w:pPr>
              <w:spacing w:line="360" w:lineRule="auto"/>
              <w:jc w:val="center"/>
              <w:rPr>
                <w:rFonts w:ascii="宋体" w:hAnsi="宋体" w:cs="宋体"/>
                <w:color w:val="auto"/>
                <w:kern w:val="0"/>
                <w:szCs w:val="21"/>
                <w:highlight w:val="none"/>
              </w:rPr>
            </w:pPr>
          </w:p>
        </w:tc>
        <w:tc>
          <w:tcPr>
            <w:tcW w:w="1540"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22402A">
            <w:pPr>
              <w:spacing w:line="360" w:lineRule="auto"/>
              <w:jc w:val="center"/>
              <w:rPr>
                <w:rFonts w:ascii="宋体" w:hAnsi="宋体" w:cs="宋体"/>
                <w:color w:val="auto"/>
                <w:kern w:val="0"/>
                <w:szCs w:val="21"/>
                <w:highlight w:val="none"/>
              </w:rPr>
            </w:pPr>
          </w:p>
        </w:tc>
        <w:tc>
          <w:tcPr>
            <w:tcW w:w="79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BE2C48">
            <w:pPr>
              <w:spacing w:line="360" w:lineRule="auto"/>
              <w:jc w:val="center"/>
              <w:rPr>
                <w:rFonts w:ascii="宋体" w:hAnsi="宋体" w:cs="宋体"/>
                <w:color w:val="auto"/>
                <w:kern w:val="0"/>
                <w:szCs w:val="21"/>
                <w:highlight w:val="none"/>
              </w:rPr>
            </w:pPr>
          </w:p>
        </w:tc>
      </w:tr>
      <w:tr w14:paraId="74AC6690">
        <w:tblPrEx>
          <w:tblCellMar>
            <w:top w:w="0" w:type="dxa"/>
            <w:left w:w="0" w:type="dxa"/>
            <w:bottom w:w="0" w:type="dxa"/>
            <w:right w:w="0" w:type="dxa"/>
          </w:tblCellMar>
        </w:tblPrEx>
        <w:tc>
          <w:tcPr>
            <w:tcW w:w="43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610ED7">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133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717FCA">
            <w:pPr>
              <w:spacing w:line="360" w:lineRule="auto"/>
              <w:jc w:val="center"/>
              <w:rPr>
                <w:rFonts w:ascii="宋体" w:hAnsi="宋体" w:cs="宋体"/>
                <w:color w:val="auto"/>
                <w:kern w:val="0"/>
                <w:szCs w:val="21"/>
                <w:highlight w:val="none"/>
              </w:rPr>
            </w:pPr>
          </w:p>
        </w:tc>
        <w:tc>
          <w:tcPr>
            <w:tcW w:w="89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4EED90">
            <w:pPr>
              <w:spacing w:line="360" w:lineRule="auto"/>
              <w:jc w:val="center"/>
              <w:rPr>
                <w:rFonts w:ascii="宋体" w:hAnsi="宋体" w:cs="宋体"/>
                <w:color w:val="auto"/>
                <w:kern w:val="0"/>
                <w:szCs w:val="21"/>
                <w:highlight w:val="none"/>
              </w:rPr>
            </w:pPr>
          </w:p>
        </w:tc>
        <w:tc>
          <w:tcPr>
            <w:tcW w:w="1540"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C7C8B2">
            <w:pPr>
              <w:spacing w:line="360" w:lineRule="auto"/>
              <w:jc w:val="center"/>
              <w:rPr>
                <w:rFonts w:ascii="宋体" w:hAnsi="宋体" w:cs="宋体"/>
                <w:color w:val="auto"/>
                <w:kern w:val="0"/>
                <w:szCs w:val="21"/>
                <w:highlight w:val="none"/>
              </w:rPr>
            </w:pPr>
          </w:p>
        </w:tc>
        <w:tc>
          <w:tcPr>
            <w:tcW w:w="79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414BD2">
            <w:pPr>
              <w:spacing w:line="360" w:lineRule="auto"/>
              <w:jc w:val="center"/>
              <w:rPr>
                <w:rFonts w:ascii="宋体" w:hAnsi="宋体" w:cs="宋体"/>
                <w:color w:val="auto"/>
                <w:kern w:val="0"/>
                <w:szCs w:val="21"/>
                <w:highlight w:val="none"/>
              </w:rPr>
            </w:pPr>
          </w:p>
        </w:tc>
      </w:tr>
    </w:tbl>
    <w:p w14:paraId="729D8FA1">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注：</w:t>
      </w:r>
    </w:p>
    <w:p w14:paraId="2CC999DB">
      <w:pPr>
        <w:snapToGrid w:val="0"/>
        <w:spacing w:line="500" w:lineRule="exact"/>
        <w:jc w:val="left"/>
        <w:rPr>
          <w:rFonts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03137DA">
      <w:pPr>
        <w:snapToGrid w:val="0"/>
        <w:spacing w:line="500" w:lineRule="exact"/>
        <w:jc w:val="left"/>
        <w:rPr>
          <w:rFonts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14:paraId="10A26853">
      <w:pPr>
        <w:snapToGrid w:val="0"/>
        <w:spacing w:line="500" w:lineRule="exact"/>
        <w:jc w:val="left"/>
        <w:rPr>
          <w:rFonts w:ascii="宋体" w:hAnsi="宋体" w:cs="宋体"/>
          <w:color w:val="auto"/>
          <w:szCs w:val="21"/>
          <w:highlight w:val="none"/>
        </w:rPr>
      </w:pPr>
      <w:r>
        <w:rPr>
          <w:rFonts w:hint="eastAsia" w:ascii="宋体" w:hAnsi="宋体" w:cs="宋体"/>
          <w:color w:val="auto"/>
          <w:szCs w:val="21"/>
          <w:highlight w:val="none"/>
        </w:rPr>
        <w:t>3.供应商不存在直接控股股东的，则在“</w:t>
      </w:r>
      <w:r>
        <w:rPr>
          <w:rFonts w:hint="eastAsia" w:ascii="宋体" w:hAnsi="宋体" w:cs="宋体"/>
          <w:b/>
          <w:bCs/>
          <w:color w:val="auto"/>
          <w:kern w:val="0"/>
          <w:szCs w:val="21"/>
          <w:highlight w:val="none"/>
        </w:rPr>
        <w:t>直接控股股东名称</w:t>
      </w:r>
      <w:r>
        <w:rPr>
          <w:rFonts w:hint="eastAsia" w:ascii="宋体" w:hAnsi="宋体" w:cs="宋体"/>
          <w:color w:val="auto"/>
          <w:szCs w:val="21"/>
          <w:highlight w:val="none"/>
        </w:rPr>
        <w:t>”中填“无”。</w:t>
      </w:r>
    </w:p>
    <w:p w14:paraId="7A9E4A5A">
      <w:pPr>
        <w:pStyle w:val="19"/>
        <w:rPr>
          <w:rFonts w:ascii="宋体" w:hAnsi="宋体" w:cs="宋体"/>
          <w:color w:val="auto"/>
          <w:sz w:val="21"/>
          <w:szCs w:val="21"/>
          <w:highlight w:val="none"/>
        </w:rPr>
      </w:pPr>
    </w:p>
    <w:p w14:paraId="2DBF7F4C">
      <w:pPr>
        <w:snapToGrid w:val="0"/>
        <w:spacing w:line="500" w:lineRule="exact"/>
        <w:ind w:left="-2" w:leftChars="-1" w:right="-817" w:rightChars="-389"/>
        <w:rPr>
          <w:rFonts w:ascii="宋体" w:hAnsi="宋体" w:cs="宋体"/>
          <w:color w:val="auto"/>
          <w:szCs w:val="21"/>
          <w:highlight w:val="none"/>
        </w:rPr>
      </w:pPr>
      <w:r>
        <w:rPr>
          <w:rFonts w:hint="eastAsia" w:ascii="宋体" w:hAnsi="宋体" w:cs="宋体"/>
          <w:color w:val="auto"/>
          <w:szCs w:val="21"/>
          <w:highlight w:val="none"/>
        </w:rPr>
        <w:t xml:space="preserve">                                    法定代表人或者委托代理人（签字/电子签名）： </w:t>
      </w:r>
    </w:p>
    <w:p w14:paraId="25E2F47D">
      <w:pPr>
        <w:snapToGrid w:val="0"/>
        <w:spacing w:line="500" w:lineRule="exact"/>
        <w:ind w:left="-6" w:leftChars="-15" w:right="-817" w:rightChars="-389" w:hanging="25" w:hangingChars="12"/>
        <w:rPr>
          <w:rFonts w:ascii="宋体" w:hAnsi="宋体" w:cs="宋体"/>
          <w:color w:val="auto"/>
          <w:szCs w:val="21"/>
          <w:highlight w:val="none"/>
        </w:rPr>
      </w:pPr>
      <w:r>
        <w:rPr>
          <w:rFonts w:hint="eastAsia" w:ascii="宋体" w:hAnsi="宋体" w:cs="宋体"/>
          <w:color w:val="auto"/>
          <w:szCs w:val="21"/>
          <w:highlight w:val="none"/>
        </w:rPr>
        <w:t xml:space="preserve">                                    投标人名称（电子签章）：</w:t>
      </w:r>
    </w:p>
    <w:p w14:paraId="17CE84B6">
      <w:pPr>
        <w:snapToGrid w:val="0"/>
        <w:spacing w:line="500" w:lineRule="exact"/>
        <w:jc w:val="left"/>
        <w:rPr>
          <w:rFonts w:ascii="宋体" w:hAnsi="宋体" w:cs="宋体"/>
          <w:color w:val="auto"/>
          <w:szCs w:val="21"/>
          <w:highlight w:val="none"/>
        </w:rPr>
      </w:pPr>
      <w:r>
        <w:rPr>
          <w:rFonts w:hint="eastAsia" w:ascii="宋体" w:hAnsi="宋体" w:cs="宋体"/>
          <w:color w:val="auto"/>
          <w:szCs w:val="21"/>
          <w:highlight w:val="none"/>
        </w:rPr>
        <w:t xml:space="preserve">                                    日期：    年   月   日</w:t>
      </w:r>
    </w:p>
    <w:p w14:paraId="2562C12D">
      <w:pPr>
        <w:snapToGrid w:val="0"/>
        <w:spacing w:line="360" w:lineRule="auto"/>
        <w:ind w:firstLine="803"/>
        <w:jc w:val="left"/>
        <w:rPr>
          <w:rFonts w:ascii="宋体" w:hAnsi="宋体" w:cs="宋体"/>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4.投标人直接管理关系信息表</w:t>
      </w:r>
    </w:p>
    <w:tbl>
      <w:tblPr>
        <w:tblStyle w:val="51"/>
        <w:tblW w:w="8625" w:type="dxa"/>
        <w:tblInd w:w="0" w:type="dxa"/>
        <w:shd w:val="clear" w:color="auto" w:fill="FBFBFB"/>
        <w:tblLayout w:type="fixed"/>
        <w:tblCellMar>
          <w:top w:w="0" w:type="dxa"/>
          <w:left w:w="0" w:type="dxa"/>
          <w:bottom w:w="0" w:type="dxa"/>
          <w:right w:w="0" w:type="dxa"/>
        </w:tblCellMar>
      </w:tblPr>
      <w:tblGrid>
        <w:gridCol w:w="1005"/>
        <w:gridCol w:w="2659"/>
        <w:gridCol w:w="3119"/>
        <w:gridCol w:w="1842"/>
      </w:tblGrid>
      <w:tr w14:paraId="1003189D">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7D4B451">
            <w:pPr>
              <w:spacing w:line="360" w:lineRule="auto"/>
              <w:ind w:firstLine="527"/>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D01F5D3">
            <w:pPr>
              <w:spacing w:line="360" w:lineRule="auto"/>
              <w:ind w:firstLine="527"/>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直接管理关系单位名称</w:t>
            </w:r>
          </w:p>
        </w:tc>
        <w:tc>
          <w:tcPr>
            <w:tcW w:w="311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DFE588E">
            <w:pPr>
              <w:spacing w:line="360" w:lineRule="auto"/>
              <w:ind w:firstLine="527"/>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统一社会信用代码</w:t>
            </w:r>
          </w:p>
        </w:tc>
        <w:tc>
          <w:tcPr>
            <w:tcW w:w="184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FDD4FCA">
            <w:pPr>
              <w:spacing w:line="360" w:lineRule="auto"/>
              <w:ind w:firstLine="527"/>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14:paraId="50EAC570">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CD0931">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6A00C1">
            <w:pPr>
              <w:spacing w:line="360" w:lineRule="auto"/>
              <w:jc w:val="center"/>
              <w:rPr>
                <w:rFonts w:ascii="宋体" w:hAnsi="宋体" w:cs="宋体"/>
                <w:color w:val="auto"/>
                <w:kern w:val="0"/>
                <w:szCs w:val="21"/>
                <w:highlight w:val="none"/>
              </w:rPr>
            </w:pPr>
          </w:p>
        </w:tc>
        <w:tc>
          <w:tcPr>
            <w:tcW w:w="311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722AF0">
            <w:pPr>
              <w:spacing w:line="360" w:lineRule="auto"/>
              <w:jc w:val="center"/>
              <w:rPr>
                <w:rFonts w:ascii="宋体" w:hAnsi="宋体" w:cs="宋体"/>
                <w:color w:val="auto"/>
                <w:kern w:val="0"/>
                <w:szCs w:val="21"/>
                <w:highlight w:val="none"/>
              </w:rPr>
            </w:pPr>
          </w:p>
        </w:tc>
        <w:tc>
          <w:tcPr>
            <w:tcW w:w="184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1663AB">
            <w:pPr>
              <w:spacing w:line="360" w:lineRule="auto"/>
              <w:jc w:val="center"/>
              <w:rPr>
                <w:rFonts w:ascii="宋体" w:hAnsi="宋体" w:cs="宋体"/>
                <w:color w:val="auto"/>
                <w:kern w:val="0"/>
                <w:szCs w:val="21"/>
                <w:highlight w:val="none"/>
              </w:rPr>
            </w:pPr>
          </w:p>
        </w:tc>
      </w:tr>
      <w:tr w14:paraId="7D99F8F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D47A73">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0C7F2A">
            <w:pPr>
              <w:spacing w:line="360" w:lineRule="auto"/>
              <w:jc w:val="center"/>
              <w:rPr>
                <w:rFonts w:ascii="宋体" w:hAnsi="宋体" w:cs="宋体"/>
                <w:color w:val="auto"/>
                <w:kern w:val="0"/>
                <w:szCs w:val="21"/>
                <w:highlight w:val="none"/>
              </w:rPr>
            </w:pPr>
          </w:p>
        </w:tc>
        <w:tc>
          <w:tcPr>
            <w:tcW w:w="311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1A6663">
            <w:pPr>
              <w:spacing w:line="360" w:lineRule="auto"/>
              <w:jc w:val="center"/>
              <w:rPr>
                <w:rFonts w:ascii="宋体" w:hAnsi="宋体" w:cs="宋体"/>
                <w:color w:val="auto"/>
                <w:kern w:val="0"/>
                <w:szCs w:val="21"/>
                <w:highlight w:val="none"/>
              </w:rPr>
            </w:pPr>
          </w:p>
        </w:tc>
        <w:tc>
          <w:tcPr>
            <w:tcW w:w="184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DD10E4">
            <w:pPr>
              <w:spacing w:line="360" w:lineRule="auto"/>
              <w:jc w:val="center"/>
              <w:rPr>
                <w:rFonts w:ascii="宋体" w:hAnsi="宋体" w:cs="宋体"/>
                <w:color w:val="auto"/>
                <w:kern w:val="0"/>
                <w:szCs w:val="21"/>
                <w:highlight w:val="none"/>
              </w:rPr>
            </w:pPr>
          </w:p>
        </w:tc>
      </w:tr>
      <w:tr w14:paraId="45E472EA">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5D2041">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EF54D9">
            <w:pPr>
              <w:spacing w:line="360" w:lineRule="auto"/>
              <w:jc w:val="center"/>
              <w:rPr>
                <w:rFonts w:ascii="宋体" w:hAnsi="宋体" w:cs="宋体"/>
                <w:color w:val="auto"/>
                <w:kern w:val="0"/>
                <w:szCs w:val="21"/>
                <w:highlight w:val="none"/>
              </w:rPr>
            </w:pPr>
          </w:p>
        </w:tc>
        <w:tc>
          <w:tcPr>
            <w:tcW w:w="311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ECC882">
            <w:pPr>
              <w:spacing w:line="360" w:lineRule="auto"/>
              <w:jc w:val="center"/>
              <w:rPr>
                <w:rFonts w:ascii="宋体" w:hAnsi="宋体" w:cs="宋体"/>
                <w:color w:val="auto"/>
                <w:kern w:val="0"/>
                <w:szCs w:val="21"/>
                <w:highlight w:val="none"/>
              </w:rPr>
            </w:pPr>
          </w:p>
        </w:tc>
        <w:tc>
          <w:tcPr>
            <w:tcW w:w="184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5DF5BE">
            <w:pPr>
              <w:spacing w:line="360" w:lineRule="auto"/>
              <w:jc w:val="center"/>
              <w:rPr>
                <w:rFonts w:ascii="宋体" w:hAnsi="宋体" w:cs="宋体"/>
                <w:color w:val="auto"/>
                <w:kern w:val="0"/>
                <w:szCs w:val="21"/>
                <w:highlight w:val="none"/>
              </w:rPr>
            </w:pPr>
          </w:p>
        </w:tc>
      </w:tr>
      <w:tr w14:paraId="19F9C22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68FAE3">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2F2C05">
            <w:pPr>
              <w:spacing w:line="360" w:lineRule="auto"/>
              <w:jc w:val="center"/>
              <w:rPr>
                <w:rFonts w:ascii="宋体" w:hAnsi="宋体" w:cs="宋体"/>
                <w:color w:val="auto"/>
                <w:kern w:val="0"/>
                <w:szCs w:val="21"/>
                <w:highlight w:val="none"/>
              </w:rPr>
            </w:pPr>
          </w:p>
        </w:tc>
        <w:tc>
          <w:tcPr>
            <w:tcW w:w="311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D38EC1">
            <w:pPr>
              <w:spacing w:line="360" w:lineRule="auto"/>
              <w:jc w:val="center"/>
              <w:rPr>
                <w:rFonts w:ascii="宋体" w:hAnsi="宋体" w:cs="宋体"/>
                <w:color w:val="auto"/>
                <w:kern w:val="0"/>
                <w:szCs w:val="21"/>
                <w:highlight w:val="none"/>
              </w:rPr>
            </w:pPr>
          </w:p>
        </w:tc>
        <w:tc>
          <w:tcPr>
            <w:tcW w:w="184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6099035">
            <w:pPr>
              <w:spacing w:line="360" w:lineRule="auto"/>
              <w:jc w:val="center"/>
              <w:rPr>
                <w:rFonts w:ascii="宋体" w:hAnsi="宋体" w:cs="宋体"/>
                <w:color w:val="auto"/>
                <w:kern w:val="0"/>
                <w:szCs w:val="21"/>
                <w:highlight w:val="none"/>
              </w:rPr>
            </w:pPr>
          </w:p>
        </w:tc>
      </w:tr>
    </w:tbl>
    <w:p w14:paraId="384925FA">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注：</w:t>
      </w:r>
    </w:p>
    <w:p w14:paraId="530ABE70">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1.管理关系：是指不具有出资持股关系的其他单位之间存在的管理与被管理关系，如一些上下级关系的事业单位和团体组织。</w:t>
      </w:r>
    </w:p>
    <w:p w14:paraId="08B729B6">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pacing w:val="-6"/>
          <w:szCs w:val="21"/>
          <w:highlight w:val="none"/>
        </w:rPr>
        <w:t>本表所指的管理关系仅限于直接管理关系，不包括间接的管理关系。</w:t>
      </w:r>
    </w:p>
    <w:p w14:paraId="529625CC">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3.供应商不存在直接管理关系的，则在“</w:t>
      </w:r>
      <w:r>
        <w:rPr>
          <w:rFonts w:hint="eastAsia" w:ascii="宋体" w:hAnsi="宋体" w:cs="宋体"/>
          <w:b/>
          <w:bCs/>
          <w:color w:val="auto"/>
          <w:kern w:val="0"/>
          <w:szCs w:val="21"/>
          <w:highlight w:val="none"/>
        </w:rPr>
        <w:t>直接管理关系单位名称</w:t>
      </w:r>
      <w:r>
        <w:rPr>
          <w:rFonts w:hint="eastAsia" w:ascii="宋体" w:hAnsi="宋体" w:cs="宋体"/>
          <w:color w:val="auto"/>
          <w:szCs w:val="21"/>
          <w:highlight w:val="none"/>
        </w:rPr>
        <w:t>”中填“无”。</w:t>
      </w:r>
    </w:p>
    <w:p w14:paraId="200D8BAA">
      <w:pPr>
        <w:snapToGrid w:val="0"/>
        <w:spacing w:line="360" w:lineRule="auto"/>
        <w:jc w:val="left"/>
        <w:rPr>
          <w:rFonts w:ascii="宋体" w:hAnsi="宋体" w:cs="宋体"/>
          <w:color w:val="auto"/>
          <w:szCs w:val="21"/>
          <w:highlight w:val="none"/>
        </w:rPr>
      </w:pPr>
    </w:p>
    <w:p w14:paraId="51E5D398">
      <w:pPr>
        <w:snapToGrid w:val="0"/>
        <w:spacing w:line="360" w:lineRule="auto"/>
        <w:jc w:val="left"/>
        <w:rPr>
          <w:rFonts w:ascii="宋体" w:hAnsi="宋体" w:cs="宋体"/>
          <w:color w:val="auto"/>
          <w:szCs w:val="21"/>
          <w:highlight w:val="none"/>
        </w:rPr>
      </w:pPr>
    </w:p>
    <w:p w14:paraId="596F9B2C">
      <w:pPr>
        <w:snapToGrid w:val="0"/>
        <w:spacing w:line="360" w:lineRule="auto"/>
        <w:jc w:val="left"/>
        <w:rPr>
          <w:rFonts w:ascii="宋体" w:hAnsi="宋体" w:cs="宋体"/>
          <w:color w:val="auto"/>
          <w:szCs w:val="21"/>
          <w:highlight w:val="none"/>
        </w:rPr>
      </w:pPr>
    </w:p>
    <w:p w14:paraId="1B5EA6AC">
      <w:pPr>
        <w:snapToGrid w:val="0"/>
        <w:spacing w:line="360" w:lineRule="auto"/>
        <w:jc w:val="left"/>
        <w:rPr>
          <w:rFonts w:ascii="宋体" w:hAnsi="宋体" w:cs="宋体"/>
          <w:color w:val="auto"/>
          <w:szCs w:val="21"/>
          <w:highlight w:val="none"/>
        </w:rPr>
      </w:pPr>
    </w:p>
    <w:p w14:paraId="2C356F9A">
      <w:pPr>
        <w:snapToGrid w:val="0"/>
        <w:spacing w:line="360" w:lineRule="auto"/>
        <w:ind w:left="-2" w:leftChars="-1" w:right="-817" w:rightChars="-389"/>
        <w:rPr>
          <w:rFonts w:ascii="宋体" w:hAnsi="宋体" w:cs="宋体"/>
          <w:color w:val="auto"/>
          <w:szCs w:val="21"/>
          <w:highlight w:val="none"/>
        </w:rPr>
      </w:pPr>
      <w:r>
        <w:rPr>
          <w:rFonts w:hint="eastAsia" w:ascii="宋体" w:hAnsi="宋体" w:cs="宋体"/>
          <w:color w:val="auto"/>
          <w:szCs w:val="21"/>
          <w:highlight w:val="none"/>
        </w:rPr>
        <w:t xml:space="preserve">                                  法定代表人或者委托代理人（签字/电子签名）： </w:t>
      </w:r>
    </w:p>
    <w:p w14:paraId="68426830">
      <w:pPr>
        <w:snapToGrid w:val="0"/>
        <w:spacing w:line="360" w:lineRule="auto"/>
        <w:ind w:left="-6" w:leftChars="-15" w:right="-817" w:rightChars="-389" w:hanging="25" w:hangingChars="12"/>
        <w:rPr>
          <w:rFonts w:ascii="宋体" w:hAnsi="宋体" w:cs="宋体"/>
          <w:color w:val="auto"/>
          <w:szCs w:val="21"/>
          <w:highlight w:val="none"/>
        </w:rPr>
      </w:pPr>
      <w:r>
        <w:rPr>
          <w:rFonts w:hint="eastAsia" w:ascii="宋体" w:hAnsi="宋体" w:cs="宋体"/>
          <w:color w:val="auto"/>
          <w:szCs w:val="21"/>
          <w:highlight w:val="none"/>
        </w:rPr>
        <w:t xml:space="preserve">                                  投标人名称（电子签章）：</w:t>
      </w:r>
    </w:p>
    <w:p w14:paraId="22B67AC1">
      <w:pPr>
        <w:snapToGrid w:val="0"/>
        <w:spacing w:line="360" w:lineRule="auto"/>
        <w:ind w:right="480" w:firstLine="210" w:firstLineChars="100"/>
        <w:jc w:val="left"/>
        <w:rPr>
          <w:rFonts w:ascii="宋体" w:hAnsi="宋体" w:cs="宋体"/>
          <w:color w:val="auto"/>
          <w:szCs w:val="21"/>
          <w:highlight w:val="none"/>
        </w:rPr>
      </w:pPr>
      <w:r>
        <w:rPr>
          <w:rFonts w:hint="eastAsia" w:ascii="宋体" w:hAnsi="宋体" w:cs="宋体"/>
          <w:color w:val="auto"/>
          <w:szCs w:val="21"/>
          <w:highlight w:val="none"/>
        </w:rPr>
        <w:t xml:space="preserve">                                日期：    年   月   日</w:t>
      </w:r>
    </w:p>
    <w:p w14:paraId="1E950509">
      <w:pPr>
        <w:snapToGrid w:val="0"/>
        <w:spacing w:before="120" w:beforeLines="50" w:after="50"/>
        <w:ind w:firstLine="602"/>
        <w:jc w:val="left"/>
        <w:rPr>
          <w:rFonts w:ascii="宋体" w:hAnsi="宋体" w:cs="宋体"/>
          <w:b/>
          <w:color w:val="auto"/>
          <w:sz w:val="24"/>
          <w:szCs w:val="20"/>
          <w:highlight w:val="none"/>
        </w:rPr>
      </w:pPr>
    </w:p>
    <w:p w14:paraId="264332B5">
      <w:pPr>
        <w:snapToGrid w:val="0"/>
        <w:spacing w:before="120" w:beforeLines="50" w:after="50"/>
        <w:ind w:firstLine="602"/>
        <w:jc w:val="left"/>
        <w:rPr>
          <w:rFonts w:ascii="宋体" w:hAnsi="宋体" w:cs="宋体"/>
          <w:b/>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5.投标声明</w:t>
      </w:r>
    </w:p>
    <w:p w14:paraId="165465C3">
      <w:pPr>
        <w:snapToGrid w:val="0"/>
        <w:spacing w:before="50" w:after="120" w:afterLines="50"/>
        <w:ind w:firstLine="1100"/>
        <w:jc w:val="center"/>
        <w:rPr>
          <w:rFonts w:ascii="宋体" w:hAnsi="宋体" w:cs="宋体"/>
          <w:bCs/>
          <w:color w:val="auto"/>
          <w:sz w:val="44"/>
          <w:szCs w:val="44"/>
          <w:highlight w:val="none"/>
        </w:rPr>
      </w:pPr>
      <w:r>
        <w:rPr>
          <w:rFonts w:hint="eastAsia" w:ascii="宋体" w:hAnsi="宋体" w:cs="宋体"/>
          <w:bCs/>
          <w:color w:val="auto"/>
          <w:sz w:val="44"/>
          <w:szCs w:val="44"/>
          <w:highlight w:val="none"/>
        </w:rPr>
        <w:t>投标声明</w:t>
      </w:r>
    </w:p>
    <w:p w14:paraId="1B426D07">
      <w:pPr>
        <w:spacing w:line="400" w:lineRule="exact"/>
        <w:ind w:firstLine="600"/>
        <w:contextualSpacing/>
        <w:jc w:val="left"/>
        <w:rPr>
          <w:rFonts w:ascii="宋体" w:hAnsi="宋体" w:cs="宋体"/>
          <w:color w:val="auto"/>
          <w:szCs w:val="21"/>
          <w:highlight w:val="none"/>
        </w:rPr>
      </w:pPr>
      <w:r>
        <w:rPr>
          <w:rFonts w:hint="eastAsia" w:ascii="宋体" w:hAnsi="宋体" w:cs="宋体"/>
          <w:color w:val="auto"/>
          <w:sz w:val="24"/>
          <w:highlight w:val="none"/>
        </w:rPr>
        <w:t>（</w:t>
      </w:r>
      <w:r>
        <w:rPr>
          <w:rFonts w:hint="eastAsia" w:ascii="宋体" w:hAnsi="宋体" w:cs="宋体"/>
          <w:color w:val="auto"/>
          <w:szCs w:val="21"/>
          <w:highlight w:val="none"/>
        </w:rPr>
        <w:t>采购人名称）：</w:t>
      </w:r>
    </w:p>
    <w:p w14:paraId="2B1C7E7C">
      <w:pPr>
        <w:spacing w:line="400" w:lineRule="exact"/>
        <w:ind w:firstLine="457" w:firstLineChars="218"/>
        <w:contextualSpacing/>
        <w:jc w:val="left"/>
        <w:rPr>
          <w:rFonts w:ascii="宋体" w:hAnsi="宋体" w:cs="宋体"/>
          <w:color w:val="auto"/>
          <w:szCs w:val="21"/>
          <w:highlight w:val="none"/>
        </w:rPr>
      </w:pPr>
      <w:r>
        <w:rPr>
          <w:rFonts w:hint="eastAsia" w:ascii="宋体" w:hAnsi="宋体" w:cs="宋体"/>
          <w:color w:val="auto"/>
          <w:szCs w:val="21"/>
          <w:highlight w:val="none"/>
        </w:rPr>
        <w:t>我方参加贵单位组织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）的政府采购活动。我方在此郑重声明：</w:t>
      </w:r>
    </w:p>
    <w:p w14:paraId="448A8864">
      <w:pPr>
        <w:spacing w:line="400" w:lineRule="exact"/>
        <w:ind w:firstLine="420" w:firstLineChars="200"/>
        <w:contextualSpacing/>
        <w:jc w:val="left"/>
        <w:rPr>
          <w:rFonts w:ascii="宋体" w:hAnsi="宋体" w:cs="宋体"/>
          <w:color w:val="auto"/>
          <w:szCs w:val="21"/>
          <w:highlight w:val="none"/>
        </w:rPr>
      </w:pPr>
      <w:r>
        <w:rPr>
          <w:rFonts w:hint="eastAsia" w:ascii="宋体" w:hAnsi="宋体" w:cs="宋体"/>
          <w:color w:val="auto"/>
          <w:szCs w:val="21"/>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C14CDCE">
      <w:pPr>
        <w:spacing w:line="400" w:lineRule="exact"/>
        <w:ind w:firstLine="420" w:firstLineChars="200"/>
        <w:contextualSpacing/>
        <w:jc w:val="left"/>
        <w:rPr>
          <w:rFonts w:ascii="宋体" w:hAnsi="宋体" w:cs="宋体"/>
          <w:color w:val="auto"/>
          <w:szCs w:val="21"/>
          <w:highlight w:val="none"/>
        </w:rPr>
      </w:pPr>
      <w:r>
        <w:rPr>
          <w:rFonts w:hint="eastAsia" w:ascii="宋体" w:hAnsi="宋体" w:cs="宋体"/>
          <w:color w:val="auto"/>
          <w:szCs w:val="21"/>
          <w:highlight w:val="none"/>
        </w:rPr>
        <w:t>2.我方不是为本次采购项目提供整体设计、规范编制或者项目管理、监理、检测等服务的供应商。</w:t>
      </w:r>
    </w:p>
    <w:p w14:paraId="2DB42E9B">
      <w:pPr>
        <w:spacing w:line="400" w:lineRule="exact"/>
        <w:ind w:firstLine="420" w:firstLineChars="200"/>
        <w:contextualSpacing/>
        <w:jc w:val="left"/>
        <w:rPr>
          <w:rFonts w:ascii="宋体" w:hAnsi="宋体" w:cs="宋体"/>
          <w:color w:val="auto"/>
          <w:szCs w:val="21"/>
          <w:highlight w:val="none"/>
        </w:rPr>
      </w:pPr>
      <w:r>
        <w:rPr>
          <w:rFonts w:hint="eastAsia" w:ascii="宋体" w:hAnsi="宋体" w:cs="宋体"/>
          <w:color w:val="auto"/>
          <w:szCs w:val="21"/>
          <w:highlight w:val="none"/>
        </w:rPr>
        <w:t>3. 我方承诺符合《中华人民共和国政府采购法》第二十二条规定：</w:t>
      </w:r>
    </w:p>
    <w:p w14:paraId="207E9CCD">
      <w:pPr>
        <w:spacing w:line="400" w:lineRule="exact"/>
        <w:ind w:firstLine="420" w:firstLineChars="200"/>
        <w:contextualSpacing/>
        <w:jc w:val="left"/>
        <w:rPr>
          <w:rFonts w:ascii="宋体" w:hAnsi="宋体" w:cs="宋体"/>
          <w:color w:val="auto"/>
          <w:szCs w:val="21"/>
          <w:highlight w:val="none"/>
        </w:rPr>
      </w:pPr>
      <w:r>
        <w:rPr>
          <w:rFonts w:hint="eastAsia" w:ascii="宋体" w:hAnsi="宋体" w:cs="宋体"/>
          <w:color w:val="auto"/>
          <w:szCs w:val="21"/>
          <w:highlight w:val="none"/>
        </w:rPr>
        <w:t>（一）具有独立承担民事责任的能力；</w:t>
      </w:r>
    </w:p>
    <w:p w14:paraId="20ED4161">
      <w:pPr>
        <w:spacing w:line="400" w:lineRule="exact"/>
        <w:ind w:firstLine="420" w:firstLineChars="200"/>
        <w:contextualSpacing/>
        <w:jc w:val="left"/>
        <w:rPr>
          <w:rFonts w:ascii="宋体" w:hAnsi="宋体" w:cs="宋体"/>
          <w:color w:val="auto"/>
          <w:szCs w:val="21"/>
          <w:highlight w:val="none"/>
        </w:rPr>
      </w:pPr>
      <w:r>
        <w:rPr>
          <w:rFonts w:hint="eastAsia" w:ascii="宋体" w:hAnsi="宋体" w:cs="宋体"/>
          <w:color w:val="auto"/>
          <w:szCs w:val="21"/>
          <w:highlight w:val="none"/>
        </w:rPr>
        <w:t>（二）具有良好的商业信誉和健全的财务会计制度；</w:t>
      </w:r>
    </w:p>
    <w:p w14:paraId="61043BDF">
      <w:pPr>
        <w:spacing w:line="400" w:lineRule="exact"/>
        <w:ind w:firstLine="420" w:firstLineChars="200"/>
        <w:contextualSpacing/>
        <w:jc w:val="left"/>
        <w:rPr>
          <w:rFonts w:ascii="宋体" w:hAnsi="宋体" w:cs="宋体"/>
          <w:color w:val="auto"/>
          <w:szCs w:val="21"/>
          <w:highlight w:val="none"/>
        </w:rPr>
      </w:pPr>
      <w:r>
        <w:rPr>
          <w:rFonts w:hint="eastAsia" w:ascii="宋体" w:hAnsi="宋体" w:cs="宋体"/>
          <w:color w:val="auto"/>
          <w:szCs w:val="21"/>
          <w:highlight w:val="none"/>
        </w:rPr>
        <w:t>（三）具有履行合同所必需的设备和专业技术能力；</w:t>
      </w:r>
    </w:p>
    <w:p w14:paraId="258BDABF">
      <w:pPr>
        <w:spacing w:line="400" w:lineRule="exact"/>
        <w:ind w:firstLine="420" w:firstLineChars="200"/>
        <w:contextualSpacing/>
        <w:jc w:val="left"/>
        <w:rPr>
          <w:rFonts w:ascii="宋体" w:hAnsi="宋体" w:cs="宋体"/>
          <w:color w:val="auto"/>
          <w:szCs w:val="21"/>
          <w:highlight w:val="none"/>
        </w:rPr>
      </w:pPr>
      <w:r>
        <w:rPr>
          <w:rFonts w:hint="eastAsia" w:ascii="宋体" w:hAnsi="宋体" w:cs="宋体"/>
          <w:color w:val="auto"/>
          <w:szCs w:val="21"/>
          <w:highlight w:val="none"/>
        </w:rPr>
        <w:t>（四）有依法缴纳税收和社会保障资金的良好记录；</w:t>
      </w:r>
    </w:p>
    <w:p w14:paraId="13D96B38">
      <w:pPr>
        <w:spacing w:line="400" w:lineRule="exact"/>
        <w:ind w:firstLine="420" w:firstLineChars="200"/>
        <w:contextualSpacing/>
        <w:jc w:val="left"/>
        <w:rPr>
          <w:rFonts w:ascii="宋体" w:hAnsi="宋体" w:cs="宋体"/>
          <w:color w:val="auto"/>
          <w:szCs w:val="21"/>
          <w:highlight w:val="none"/>
        </w:rPr>
      </w:pPr>
      <w:r>
        <w:rPr>
          <w:rFonts w:hint="eastAsia" w:ascii="宋体" w:hAnsi="宋体" w:cs="宋体"/>
          <w:color w:val="auto"/>
          <w:szCs w:val="21"/>
          <w:highlight w:val="none"/>
        </w:rPr>
        <w:t>（五）参加政府采购活动前三年内，在经营活动中没有重大违法记录；</w:t>
      </w:r>
    </w:p>
    <w:p w14:paraId="031A6B88">
      <w:pPr>
        <w:spacing w:line="400" w:lineRule="exact"/>
        <w:ind w:firstLine="420" w:firstLineChars="200"/>
        <w:contextualSpacing/>
        <w:jc w:val="left"/>
        <w:rPr>
          <w:rFonts w:ascii="宋体" w:hAnsi="宋体" w:cs="宋体"/>
          <w:color w:val="auto"/>
          <w:szCs w:val="21"/>
          <w:highlight w:val="none"/>
        </w:rPr>
      </w:pPr>
      <w:r>
        <w:rPr>
          <w:rFonts w:hint="eastAsia" w:ascii="宋体" w:hAnsi="宋体" w:cs="宋体"/>
          <w:color w:val="auto"/>
          <w:szCs w:val="21"/>
          <w:highlight w:val="none"/>
        </w:rPr>
        <w:t>（六）法律、行政法规规定的其他条件。</w:t>
      </w:r>
    </w:p>
    <w:p w14:paraId="7F7B3723">
      <w:pPr>
        <w:spacing w:line="400" w:lineRule="exact"/>
        <w:ind w:firstLine="420" w:firstLineChars="200"/>
        <w:contextualSpacing/>
        <w:jc w:val="left"/>
        <w:rPr>
          <w:rFonts w:ascii="宋体" w:hAnsi="宋体" w:cs="宋体"/>
          <w:color w:val="auto"/>
          <w:szCs w:val="21"/>
          <w:highlight w:val="none"/>
        </w:rPr>
      </w:pPr>
      <w:r>
        <w:rPr>
          <w:rFonts w:hint="eastAsia" w:ascii="宋体" w:hAnsi="宋体" w:cs="宋体"/>
          <w:color w:val="auto"/>
          <w:szCs w:val="21"/>
          <w:highlight w:val="none"/>
        </w:rPr>
        <w:t>4.以上事项如有虚假或者隐瞒，我方愿意承担一切后果，并不再寻求任何旨在减轻或者免除法律责任的辩解。</w:t>
      </w:r>
    </w:p>
    <w:p w14:paraId="58E1DC1F">
      <w:pPr>
        <w:spacing w:line="400" w:lineRule="exact"/>
        <w:contextualSpacing/>
        <w:jc w:val="left"/>
        <w:rPr>
          <w:rFonts w:ascii="宋体" w:hAnsi="宋体" w:cs="宋体"/>
          <w:color w:val="auto"/>
          <w:szCs w:val="21"/>
          <w:highlight w:val="none"/>
        </w:rPr>
      </w:pPr>
      <w:r>
        <w:rPr>
          <w:rFonts w:hint="eastAsia" w:ascii="宋体" w:hAnsi="宋体" w:cs="宋体"/>
          <w:color w:val="auto"/>
          <w:szCs w:val="21"/>
          <w:highlight w:val="none"/>
        </w:rPr>
        <w:t xml:space="preserve">    特此承诺。</w:t>
      </w:r>
    </w:p>
    <w:p w14:paraId="22C9063C">
      <w:pPr>
        <w:spacing w:line="400" w:lineRule="exact"/>
        <w:ind w:firstLine="527"/>
        <w:contextualSpacing/>
        <w:jc w:val="left"/>
        <w:rPr>
          <w:rFonts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 xml:space="preserve">                     法定代表人（签字或者盖章或者电子签名）：</w:t>
      </w:r>
      <w:r>
        <w:rPr>
          <w:rFonts w:hint="eastAsia" w:ascii="宋体" w:hAnsi="宋体" w:cs="宋体"/>
          <w:color w:val="auto"/>
          <w:szCs w:val="21"/>
          <w:highlight w:val="none"/>
          <w:u w:val="single"/>
        </w:rPr>
        <w:t xml:space="preserve">             </w:t>
      </w:r>
    </w:p>
    <w:p w14:paraId="5824863B">
      <w:pPr>
        <w:spacing w:line="400" w:lineRule="exact"/>
        <w:contextualSpacing/>
        <w:jc w:val="left"/>
        <w:rPr>
          <w:rFonts w:ascii="宋体" w:hAnsi="宋体" w:cs="宋体"/>
          <w:color w:val="auto"/>
          <w:szCs w:val="21"/>
          <w:highlight w:val="none"/>
        </w:rPr>
      </w:pPr>
      <w:r>
        <w:rPr>
          <w:rFonts w:hint="eastAsia" w:ascii="宋体" w:hAnsi="宋体" w:cs="宋体"/>
          <w:color w:val="auto"/>
          <w:szCs w:val="21"/>
          <w:highlight w:val="none"/>
        </w:rPr>
        <w:t xml:space="preserve">                                         投标人名称（电子签章）：</w:t>
      </w:r>
      <w:r>
        <w:rPr>
          <w:rFonts w:hint="eastAsia" w:ascii="宋体" w:hAnsi="宋体" w:cs="宋体"/>
          <w:color w:val="auto"/>
          <w:szCs w:val="21"/>
          <w:highlight w:val="none"/>
          <w:u w:val="single"/>
        </w:rPr>
        <w:t xml:space="preserve">                 </w:t>
      </w:r>
    </w:p>
    <w:p w14:paraId="24876E6D">
      <w:pPr>
        <w:spacing w:line="400" w:lineRule="exact"/>
        <w:contextualSpacing/>
        <w:jc w:val="left"/>
        <w:rPr>
          <w:rFonts w:ascii="宋体" w:hAnsi="宋体" w:cs="宋体"/>
          <w:color w:val="auto"/>
          <w:szCs w:val="21"/>
          <w:highlight w:val="none"/>
        </w:rPr>
      </w:pPr>
      <w:r>
        <w:rPr>
          <w:rFonts w:hint="eastAsia" w:ascii="宋体" w:hAnsi="宋体" w:cs="宋体"/>
          <w:color w:val="auto"/>
          <w:szCs w:val="21"/>
          <w:highlight w:val="none"/>
        </w:rPr>
        <w:t xml:space="preserve">                                                  年    月    日</w:t>
      </w:r>
    </w:p>
    <w:p w14:paraId="2486E553">
      <w:pPr>
        <w:pStyle w:val="19"/>
        <w:rPr>
          <w:rFonts w:ascii="宋体" w:hAnsi="宋体" w:cs="宋体"/>
          <w:color w:val="auto"/>
          <w:sz w:val="21"/>
          <w:szCs w:val="21"/>
          <w:highlight w:val="none"/>
        </w:rPr>
      </w:pPr>
    </w:p>
    <w:p w14:paraId="5E9E55A9">
      <w:pPr>
        <w:spacing w:line="440" w:lineRule="exact"/>
        <w:ind w:firstLine="527"/>
        <w:contextualSpacing/>
        <w:rPr>
          <w:rFonts w:ascii="宋体" w:hAnsi="宋体" w:cs="宋体"/>
          <w:b/>
          <w:color w:val="auto"/>
          <w:szCs w:val="21"/>
          <w:highlight w:val="none"/>
        </w:rPr>
      </w:pPr>
      <w:bookmarkStart w:id="142" w:name="_Toc19686838"/>
      <w:r>
        <w:rPr>
          <w:rFonts w:hint="eastAsia" w:ascii="宋体" w:hAnsi="宋体" w:cs="宋体"/>
          <w:b/>
          <w:color w:val="auto"/>
          <w:szCs w:val="21"/>
          <w:highlight w:val="none"/>
        </w:rPr>
        <w:t>注：1.如为联合体投标，盖章处须加盖联合体牵头人电子签章并由联合体各方法定代表人分别签字或者电子签名，否则投标无效。</w:t>
      </w:r>
    </w:p>
    <w:p w14:paraId="15A0380E">
      <w:pPr>
        <w:spacing w:line="440" w:lineRule="exact"/>
        <w:ind w:firstLine="527"/>
        <w:contextualSpacing/>
        <w:jc w:val="lef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color w:val="auto"/>
          <w:szCs w:val="21"/>
          <w:highlight w:val="none"/>
        </w:rPr>
        <w:t>.法定代表人必须在授权委托书上亲笔签字或者盖章或者电子签名，</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w:t>
      </w:r>
    </w:p>
    <w:p w14:paraId="51FFF495">
      <w:pPr>
        <w:ind w:firstLine="703"/>
        <w:rPr>
          <w:rFonts w:ascii="宋体" w:hAnsi="宋体" w:cs="宋体"/>
          <w:b/>
          <w:color w:val="auto"/>
          <w:sz w:val="28"/>
          <w:szCs w:val="28"/>
          <w:highlight w:val="none"/>
        </w:rPr>
      </w:pPr>
      <w:r>
        <w:rPr>
          <w:rFonts w:hint="eastAsia" w:ascii="宋体" w:hAnsi="宋体" w:cs="宋体"/>
          <w:b/>
          <w:color w:val="auto"/>
          <w:sz w:val="28"/>
          <w:szCs w:val="28"/>
          <w:highlight w:val="none"/>
        </w:rPr>
        <w:br w:type="page"/>
      </w:r>
      <w:r>
        <w:rPr>
          <w:rFonts w:hint="eastAsia" w:ascii="宋体" w:hAnsi="宋体" w:cs="宋体"/>
          <w:b/>
          <w:color w:val="auto"/>
          <w:sz w:val="28"/>
          <w:szCs w:val="28"/>
          <w:highlight w:val="none"/>
        </w:rPr>
        <w:t>三、商务及技术文件格式</w:t>
      </w:r>
      <w:bookmarkEnd w:id="142"/>
    </w:p>
    <w:p w14:paraId="7E1FDA5D">
      <w:pPr>
        <w:snapToGrid w:val="0"/>
        <w:spacing w:before="120" w:beforeLines="50" w:after="50" w:line="360" w:lineRule="auto"/>
        <w:ind w:firstLine="602"/>
        <w:jc w:val="left"/>
        <w:rPr>
          <w:rFonts w:ascii="宋体" w:hAnsi="宋体" w:cs="宋体"/>
          <w:b/>
          <w:color w:val="auto"/>
          <w:sz w:val="24"/>
          <w:highlight w:val="none"/>
        </w:rPr>
      </w:pPr>
      <w:r>
        <w:rPr>
          <w:rFonts w:hint="eastAsia" w:ascii="宋体" w:hAnsi="宋体" w:cs="宋体"/>
          <w:b/>
          <w:color w:val="auto"/>
          <w:sz w:val="24"/>
          <w:highlight w:val="none"/>
        </w:rPr>
        <w:t xml:space="preserve">1.商务及技术文件封面格式： </w:t>
      </w:r>
    </w:p>
    <w:p w14:paraId="62BBC2F9">
      <w:pPr>
        <w:snapToGrid w:val="0"/>
        <w:spacing w:before="120" w:beforeLines="50" w:after="50"/>
        <w:ind w:firstLine="1200"/>
        <w:jc w:val="center"/>
        <w:rPr>
          <w:rFonts w:ascii="宋体" w:hAnsi="宋体" w:cs="宋体"/>
          <w:bCs/>
          <w:color w:val="auto"/>
          <w:sz w:val="48"/>
          <w:szCs w:val="48"/>
          <w:highlight w:val="none"/>
        </w:rPr>
      </w:pPr>
    </w:p>
    <w:p w14:paraId="3A86F635">
      <w:pPr>
        <w:snapToGrid w:val="0"/>
        <w:spacing w:before="120" w:beforeLines="50" w:after="50"/>
        <w:ind w:firstLine="1200"/>
        <w:jc w:val="center"/>
        <w:rPr>
          <w:rFonts w:ascii="宋体" w:hAnsi="宋体" w:cs="宋体"/>
          <w:color w:val="auto"/>
          <w:sz w:val="24"/>
          <w:highlight w:val="none"/>
        </w:rPr>
      </w:pPr>
      <w:r>
        <w:rPr>
          <w:rFonts w:hint="eastAsia" w:ascii="宋体" w:hAnsi="宋体" w:cs="宋体"/>
          <w:bCs/>
          <w:color w:val="auto"/>
          <w:sz w:val="48"/>
          <w:szCs w:val="48"/>
          <w:highlight w:val="none"/>
        </w:rPr>
        <w:t>电子投标文件</w:t>
      </w:r>
    </w:p>
    <w:p w14:paraId="18EDA09C">
      <w:pPr>
        <w:snapToGrid w:val="0"/>
        <w:spacing w:before="120" w:beforeLines="50" w:after="50"/>
        <w:ind w:firstLine="1100"/>
        <w:jc w:val="center"/>
        <w:rPr>
          <w:rFonts w:ascii="宋体" w:hAnsi="宋体" w:cs="宋体"/>
          <w:bCs/>
          <w:color w:val="auto"/>
          <w:sz w:val="44"/>
          <w:szCs w:val="44"/>
          <w:highlight w:val="none"/>
        </w:rPr>
      </w:pPr>
    </w:p>
    <w:p w14:paraId="7F64D14C">
      <w:pPr>
        <w:snapToGrid w:val="0"/>
        <w:spacing w:before="120" w:beforeLines="50" w:after="50"/>
        <w:ind w:firstLine="1100"/>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  务  及  技  术  文  件</w:t>
      </w:r>
    </w:p>
    <w:p w14:paraId="3B6AF4E0">
      <w:pPr>
        <w:snapToGrid w:val="0"/>
        <w:spacing w:before="120" w:beforeLines="50" w:after="50"/>
        <w:ind w:firstLine="600"/>
        <w:rPr>
          <w:rFonts w:ascii="宋体" w:hAnsi="宋体" w:cs="宋体"/>
          <w:bCs/>
          <w:color w:val="auto"/>
          <w:sz w:val="24"/>
          <w:szCs w:val="20"/>
          <w:highlight w:val="none"/>
        </w:rPr>
      </w:pPr>
    </w:p>
    <w:p w14:paraId="3141C43C">
      <w:pPr>
        <w:snapToGrid w:val="0"/>
        <w:spacing w:before="120" w:beforeLines="50" w:after="50"/>
        <w:ind w:firstLine="540" w:firstLineChars="225"/>
        <w:rPr>
          <w:rFonts w:ascii="宋体" w:hAnsi="宋体" w:cs="宋体"/>
          <w:bCs/>
          <w:color w:val="auto"/>
          <w:sz w:val="24"/>
          <w:highlight w:val="none"/>
        </w:rPr>
      </w:pPr>
      <w:r>
        <w:rPr>
          <w:rFonts w:hint="eastAsia" w:ascii="宋体" w:hAnsi="宋体" w:cs="宋体"/>
          <w:bCs/>
          <w:color w:val="auto"/>
          <w:sz w:val="24"/>
          <w:highlight w:val="none"/>
        </w:rPr>
        <w:t>项目名称：</w:t>
      </w:r>
    </w:p>
    <w:p w14:paraId="66CA0929">
      <w:pPr>
        <w:snapToGrid w:val="0"/>
        <w:spacing w:before="120" w:beforeLines="50" w:after="50"/>
        <w:ind w:firstLine="540" w:firstLineChars="225"/>
        <w:rPr>
          <w:rFonts w:ascii="宋体" w:hAnsi="宋体" w:cs="宋体"/>
          <w:bCs/>
          <w:color w:val="auto"/>
          <w:sz w:val="24"/>
          <w:szCs w:val="20"/>
          <w:highlight w:val="none"/>
        </w:rPr>
      </w:pPr>
    </w:p>
    <w:p w14:paraId="06497EE2">
      <w:pPr>
        <w:snapToGrid w:val="0"/>
        <w:spacing w:before="120" w:beforeLines="50" w:after="50"/>
        <w:ind w:firstLine="540" w:firstLineChars="225"/>
        <w:rPr>
          <w:rFonts w:ascii="宋体" w:hAnsi="宋体" w:cs="宋体"/>
          <w:bCs/>
          <w:color w:val="auto"/>
          <w:sz w:val="24"/>
          <w:highlight w:val="none"/>
        </w:rPr>
      </w:pPr>
      <w:r>
        <w:rPr>
          <w:rFonts w:hint="eastAsia" w:ascii="宋体" w:hAnsi="宋体" w:cs="宋体"/>
          <w:bCs/>
          <w:color w:val="auto"/>
          <w:sz w:val="24"/>
          <w:highlight w:val="none"/>
        </w:rPr>
        <w:t>项目编号：</w:t>
      </w:r>
    </w:p>
    <w:p w14:paraId="2FC39451">
      <w:pPr>
        <w:snapToGrid w:val="0"/>
        <w:spacing w:before="120" w:beforeLines="50" w:after="50"/>
        <w:ind w:firstLine="540" w:firstLineChars="225"/>
        <w:rPr>
          <w:rFonts w:ascii="宋体" w:hAnsi="宋体" w:cs="宋体"/>
          <w:bCs/>
          <w:color w:val="auto"/>
          <w:sz w:val="24"/>
          <w:szCs w:val="20"/>
          <w:highlight w:val="none"/>
        </w:rPr>
      </w:pPr>
      <w:r>
        <w:rPr>
          <w:rFonts w:hint="eastAsia" w:ascii="宋体" w:hAnsi="宋体" w:cs="宋体"/>
          <w:bCs/>
          <w:color w:val="auto"/>
          <w:sz w:val="24"/>
          <w:highlight w:val="none"/>
        </w:rPr>
        <w:t xml:space="preserve"> </w:t>
      </w:r>
    </w:p>
    <w:p w14:paraId="3E14CA71">
      <w:pPr>
        <w:snapToGrid w:val="0"/>
        <w:spacing w:before="120" w:beforeLines="50" w:after="50"/>
        <w:ind w:firstLine="540" w:firstLineChars="225"/>
        <w:rPr>
          <w:rFonts w:ascii="宋体" w:hAnsi="宋体" w:cs="宋体"/>
          <w:bCs/>
          <w:color w:val="auto"/>
          <w:sz w:val="24"/>
          <w:highlight w:val="none"/>
        </w:rPr>
      </w:pPr>
      <w:r>
        <w:rPr>
          <w:rFonts w:hint="eastAsia" w:ascii="宋体" w:hAnsi="宋体" w:cs="宋体"/>
          <w:bCs/>
          <w:color w:val="auto"/>
          <w:sz w:val="24"/>
          <w:highlight w:val="none"/>
        </w:rPr>
        <w:t>所投分标：</w:t>
      </w:r>
    </w:p>
    <w:p w14:paraId="572A5587">
      <w:pPr>
        <w:snapToGrid w:val="0"/>
        <w:spacing w:before="120" w:beforeLines="50" w:after="50"/>
        <w:ind w:firstLine="540" w:firstLineChars="225"/>
        <w:rPr>
          <w:rFonts w:ascii="宋体" w:hAnsi="宋体" w:cs="宋体"/>
          <w:bCs/>
          <w:color w:val="auto"/>
          <w:sz w:val="24"/>
          <w:szCs w:val="20"/>
          <w:highlight w:val="none"/>
        </w:rPr>
      </w:pPr>
    </w:p>
    <w:p w14:paraId="56DD2043">
      <w:pPr>
        <w:pStyle w:val="7"/>
        <w:snapToGrid w:val="0"/>
        <w:spacing w:before="50" w:after="50"/>
        <w:ind w:firstLine="540" w:firstLineChars="225"/>
        <w:rPr>
          <w:rFonts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2F8160CB">
      <w:pPr>
        <w:pStyle w:val="7"/>
        <w:snapToGrid w:val="0"/>
        <w:spacing w:before="50" w:after="50"/>
        <w:ind w:firstLine="540" w:firstLineChars="225"/>
        <w:rPr>
          <w:rFonts w:ascii="宋体" w:hAnsi="宋体" w:cs="宋体"/>
          <w:bCs/>
          <w:color w:val="auto"/>
          <w:sz w:val="24"/>
          <w:szCs w:val="24"/>
          <w:highlight w:val="none"/>
        </w:rPr>
      </w:pPr>
    </w:p>
    <w:p w14:paraId="15355E16">
      <w:pPr>
        <w:pStyle w:val="7"/>
        <w:snapToGrid w:val="0"/>
        <w:spacing w:before="50" w:after="50"/>
        <w:ind w:firstLine="540" w:firstLineChars="225"/>
        <w:rPr>
          <w:rFonts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7612971D">
      <w:pPr>
        <w:pStyle w:val="7"/>
        <w:snapToGrid w:val="0"/>
        <w:spacing w:before="50" w:after="50"/>
        <w:ind w:firstLine="960" w:firstLineChars="400"/>
        <w:rPr>
          <w:rFonts w:ascii="宋体" w:hAnsi="宋体" w:cs="宋体"/>
          <w:bCs/>
          <w:color w:val="auto"/>
          <w:sz w:val="24"/>
          <w:szCs w:val="24"/>
          <w:highlight w:val="none"/>
        </w:rPr>
      </w:pPr>
    </w:p>
    <w:p w14:paraId="37077B9C">
      <w:pPr>
        <w:snapToGrid w:val="0"/>
        <w:spacing w:before="120" w:beforeLines="50" w:after="50"/>
        <w:ind w:firstLine="600"/>
        <w:rPr>
          <w:rFonts w:ascii="宋体" w:hAnsi="宋体" w:cs="宋体"/>
          <w:color w:val="auto"/>
          <w:sz w:val="24"/>
          <w:highlight w:val="none"/>
        </w:rPr>
      </w:pPr>
      <w:r>
        <w:rPr>
          <w:rFonts w:hint="eastAsia" w:ascii="宋体" w:hAnsi="宋体" w:cs="宋体"/>
          <w:color w:val="auto"/>
          <w:sz w:val="24"/>
          <w:highlight w:val="none"/>
        </w:rPr>
        <w:t xml:space="preserve">                        年  月  日</w:t>
      </w:r>
    </w:p>
    <w:p w14:paraId="20F93726">
      <w:pPr>
        <w:snapToGrid w:val="0"/>
        <w:spacing w:before="120" w:beforeLines="50" w:after="50"/>
        <w:ind w:firstLine="600"/>
        <w:rPr>
          <w:rFonts w:ascii="宋体" w:hAnsi="宋体" w:cs="宋体"/>
          <w:color w:val="auto"/>
          <w:sz w:val="24"/>
          <w:szCs w:val="20"/>
          <w:highlight w:val="none"/>
        </w:rPr>
      </w:pPr>
      <w:r>
        <w:rPr>
          <w:rFonts w:hint="eastAsia" w:ascii="宋体" w:hAnsi="宋体" w:cs="宋体"/>
          <w:color w:val="auto"/>
          <w:sz w:val="24"/>
          <w:szCs w:val="20"/>
          <w:highlight w:val="none"/>
        </w:rPr>
        <w:t xml:space="preserve"> </w:t>
      </w:r>
    </w:p>
    <w:p w14:paraId="6332D371">
      <w:pPr>
        <w:snapToGrid w:val="0"/>
        <w:spacing w:line="360" w:lineRule="auto"/>
        <w:ind w:firstLine="600"/>
        <w:jc w:val="left"/>
        <w:rPr>
          <w:rFonts w:ascii="宋体" w:hAnsi="宋体" w:cs="宋体"/>
          <w:b/>
          <w:color w:val="auto"/>
          <w:sz w:val="24"/>
          <w:highlight w:val="none"/>
        </w:rPr>
      </w:pPr>
      <w:r>
        <w:rPr>
          <w:rFonts w:hint="eastAsia" w:ascii="宋体" w:hAnsi="宋体" w:cs="宋体"/>
          <w:color w:val="auto"/>
          <w:sz w:val="24"/>
          <w:szCs w:val="20"/>
          <w:highlight w:val="none"/>
        </w:rPr>
        <w:br w:type="page"/>
      </w:r>
      <w:r>
        <w:rPr>
          <w:rFonts w:hint="eastAsia" w:ascii="宋体" w:hAnsi="宋体" w:cs="宋体"/>
          <w:b/>
          <w:color w:val="auto"/>
          <w:sz w:val="24"/>
          <w:highlight w:val="none"/>
        </w:rPr>
        <w:t>2.商务及技术文件目录</w:t>
      </w:r>
    </w:p>
    <w:p w14:paraId="0DC99AA5">
      <w:pPr>
        <w:snapToGrid w:val="0"/>
        <w:spacing w:before="50" w:after="120" w:afterLines="50" w:line="360" w:lineRule="auto"/>
        <w:ind w:firstLine="560" w:firstLineChars="200"/>
        <w:jc w:val="left"/>
        <w:rPr>
          <w:rFonts w:ascii="宋体" w:hAnsi="宋体" w:cs="宋体"/>
          <w:b/>
          <w:bCs/>
          <w:color w:val="auto"/>
          <w:sz w:val="32"/>
          <w:szCs w:val="32"/>
          <w:highlight w:val="none"/>
        </w:rPr>
      </w:pPr>
      <w:r>
        <w:rPr>
          <w:rFonts w:hint="eastAsia" w:ascii="宋体" w:hAnsi="宋体" w:cs="宋体"/>
          <w:color w:val="auto"/>
          <w:sz w:val="28"/>
          <w:szCs w:val="28"/>
          <w:highlight w:val="none"/>
        </w:rPr>
        <w:t>根据招标文件规定及投标人提供的材料自行编写目录。</w:t>
      </w:r>
    </w:p>
    <w:p w14:paraId="30D7ED54">
      <w:pPr>
        <w:snapToGrid w:val="0"/>
        <w:spacing w:before="50" w:after="120" w:afterLines="50"/>
        <w:jc w:val="left"/>
        <w:rPr>
          <w:rFonts w:ascii="宋体" w:hAnsi="宋体" w:cs="宋体"/>
          <w:color w:val="auto"/>
          <w:highlight w:val="none"/>
        </w:rPr>
      </w:pPr>
    </w:p>
    <w:p w14:paraId="28DD4306">
      <w:pPr>
        <w:snapToGrid w:val="0"/>
        <w:spacing w:before="120" w:beforeLines="50" w:after="50"/>
        <w:ind w:firstLine="602"/>
        <w:jc w:val="left"/>
        <w:rPr>
          <w:rFonts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3.投标人参加本项目无围标串标行为的承诺</w:t>
      </w:r>
    </w:p>
    <w:p w14:paraId="5EBD658D">
      <w:pPr>
        <w:spacing w:line="360" w:lineRule="auto"/>
        <w:ind w:left="-134" w:firstLine="695"/>
        <w:contextualSpacing/>
        <w:jc w:val="center"/>
        <w:rPr>
          <w:rFonts w:ascii="宋体" w:hAnsi="宋体" w:cs="宋体"/>
          <w:b/>
          <w:color w:val="auto"/>
          <w:sz w:val="30"/>
          <w:szCs w:val="30"/>
          <w:highlight w:val="none"/>
        </w:rPr>
      </w:pPr>
      <w:r>
        <w:rPr>
          <w:rFonts w:hint="eastAsia" w:ascii="宋体" w:hAnsi="宋体" w:cs="宋体"/>
          <w:bCs/>
          <w:color w:val="auto"/>
          <w:spacing w:val="-11"/>
          <w:sz w:val="30"/>
          <w:szCs w:val="30"/>
          <w:highlight w:val="none"/>
        </w:rPr>
        <w:t>投标人参加本项目无围标串标行为的承诺函</w:t>
      </w:r>
    </w:p>
    <w:p w14:paraId="5E8F6BF3">
      <w:pPr>
        <w:spacing w:line="440" w:lineRule="exact"/>
        <w:ind w:firstLine="527"/>
        <w:contextualSpacing/>
        <w:jc w:val="left"/>
        <w:rPr>
          <w:rFonts w:ascii="宋体" w:hAnsi="宋体" w:cs="宋体"/>
          <w:b/>
          <w:color w:val="auto"/>
          <w:szCs w:val="21"/>
          <w:highlight w:val="none"/>
        </w:rPr>
      </w:pPr>
      <w:r>
        <w:rPr>
          <w:rFonts w:hint="eastAsia" w:ascii="宋体" w:hAnsi="宋体" w:cs="宋体"/>
          <w:b/>
          <w:color w:val="auto"/>
          <w:szCs w:val="21"/>
          <w:highlight w:val="none"/>
        </w:rPr>
        <w:t>一、我方承诺无下列相互串通投标的情形：</w:t>
      </w:r>
    </w:p>
    <w:p w14:paraId="0C2EFB21">
      <w:pPr>
        <w:spacing w:line="440" w:lineRule="exact"/>
        <w:ind w:firstLine="411" w:firstLineChars="196"/>
        <w:contextualSpacing/>
        <w:jc w:val="left"/>
        <w:rPr>
          <w:rFonts w:ascii="宋体" w:hAnsi="宋体" w:cs="宋体"/>
          <w:color w:val="auto"/>
          <w:szCs w:val="21"/>
          <w:highlight w:val="none"/>
        </w:rPr>
      </w:pPr>
      <w:r>
        <w:rPr>
          <w:rFonts w:hint="eastAsia" w:ascii="宋体" w:hAnsi="宋体" w:cs="宋体"/>
          <w:color w:val="auto"/>
          <w:szCs w:val="21"/>
          <w:highlight w:val="none"/>
        </w:rPr>
        <w:t>1.不同投标人的投标文件由同一单位或者个人编制；</w:t>
      </w:r>
    </w:p>
    <w:p w14:paraId="68AE9FE7">
      <w:pPr>
        <w:spacing w:line="440" w:lineRule="exact"/>
        <w:ind w:firstLine="411" w:firstLineChars="196"/>
        <w:contextualSpacing/>
        <w:jc w:val="left"/>
        <w:rPr>
          <w:rFonts w:ascii="宋体" w:hAnsi="宋体" w:cs="宋体"/>
          <w:color w:val="auto"/>
          <w:szCs w:val="21"/>
          <w:highlight w:val="none"/>
        </w:rPr>
      </w:pPr>
      <w:r>
        <w:rPr>
          <w:rFonts w:hint="eastAsia" w:ascii="宋体" w:hAnsi="宋体" w:cs="宋体"/>
          <w:color w:val="auto"/>
          <w:szCs w:val="21"/>
          <w:highlight w:val="none"/>
        </w:rPr>
        <w:t>2.不同投标人委托同一单位或者个人办理投标事宜；</w:t>
      </w:r>
    </w:p>
    <w:p w14:paraId="2487B5BF">
      <w:pPr>
        <w:spacing w:line="440" w:lineRule="exact"/>
        <w:ind w:firstLine="411" w:firstLineChars="196"/>
        <w:contextualSpacing/>
        <w:jc w:val="left"/>
        <w:rPr>
          <w:rFonts w:ascii="宋体" w:hAnsi="宋体" w:cs="宋体"/>
          <w:color w:val="auto"/>
          <w:szCs w:val="21"/>
          <w:highlight w:val="none"/>
        </w:rPr>
      </w:pPr>
      <w:r>
        <w:rPr>
          <w:rFonts w:hint="eastAsia" w:ascii="宋体" w:hAnsi="宋体" w:cs="宋体"/>
          <w:color w:val="auto"/>
          <w:szCs w:val="21"/>
          <w:highlight w:val="none"/>
        </w:rPr>
        <w:t>3.不同的投标人的投标文件载明的项目管理员为同一个人；</w:t>
      </w:r>
    </w:p>
    <w:p w14:paraId="3B16F2D2">
      <w:pPr>
        <w:spacing w:line="440" w:lineRule="exact"/>
        <w:ind w:firstLine="411" w:firstLineChars="196"/>
        <w:contextualSpacing/>
        <w:jc w:val="left"/>
        <w:rPr>
          <w:rFonts w:ascii="宋体" w:hAnsi="宋体" w:cs="宋体"/>
          <w:color w:val="auto"/>
          <w:szCs w:val="21"/>
          <w:highlight w:val="none"/>
        </w:rPr>
      </w:pPr>
      <w:r>
        <w:rPr>
          <w:rFonts w:hint="eastAsia" w:ascii="宋体" w:hAnsi="宋体" w:cs="宋体"/>
          <w:color w:val="auto"/>
          <w:szCs w:val="21"/>
          <w:highlight w:val="none"/>
        </w:rPr>
        <w:t>4.不同投标人的投标文件异常一致或者投标报价呈规律性差异；</w:t>
      </w:r>
    </w:p>
    <w:p w14:paraId="70E23F03">
      <w:pPr>
        <w:spacing w:line="440" w:lineRule="exact"/>
        <w:ind w:firstLine="411" w:firstLineChars="196"/>
        <w:contextualSpacing/>
        <w:jc w:val="left"/>
        <w:rPr>
          <w:rFonts w:ascii="宋体" w:hAnsi="宋体" w:cs="宋体"/>
          <w:color w:val="auto"/>
          <w:szCs w:val="21"/>
          <w:highlight w:val="none"/>
        </w:rPr>
      </w:pPr>
      <w:r>
        <w:rPr>
          <w:rFonts w:hint="eastAsia" w:ascii="宋体" w:hAnsi="宋体" w:cs="宋体"/>
          <w:color w:val="auto"/>
          <w:szCs w:val="21"/>
          <w:highlight w:val="none"/>
        </w:rPr>
        <w:t>5.不同投标人的投标文件相互混装；</w:t>
      </w:r>
    </w:p>
    <w:p w14:paraId="653ED363">
      <w:pPr>
        <w:spacing w:line="440" w:lineRule="exact"/>
        <w:ind w:firstLine="411" w:firstLineChars="196"/>
        <w:contextualSpacing/>
        <w:jc w:val="left"/>
        <w:rPr>
          <w:rFonts w:ascii="宋体" w:hAnsi="宋体" w:cs="宋体"/>
          <w:color w:val="auto"/>
          <w:szCs w:val="21"/>
          <w:highlight w:val="none"/>
        </w:rPr>
      </w:pPr>
      <w:r>
        <w:rPr>
          <w:rFonts w:hint="eastAsia" w:ascii="宋体" w:hAnsi="宋体" w:cs="宋体"/>
          <w:color w:val="auto"/>
          <w:szCs w:val="21"/>
          <w:highlight w:val="none"/>
        </w:rPr>
        <w:t>6.不同投标人的投标保证金从同一单位或者个人账户转出。</w:t>
      </w:r>
    </w:p>
    <w:p w14:paraId="7E0A3E37">
      <w:pPr>
        <w:spacing w:line="440" w:lineRule="exact"/>
        <w:ind w:firstLine="527"/>
        <w:contextualSpacing/>
        <w:jc w:val="left"/>
        <w:rPr>
          <w:rFonts w:ascii="宋体" w:hAnsi="宋体" w:cs="宋体"/>
          <w:color w:val="auto"/>
          <w:szCs w:val="21"/>
          <w:highlight w:val="none"/>
        </w:rPr>
      </w:pPr>
      <w:r>
        <w:rPr>
          <w:rFonts w:hint="eastAsia" w:ascii="宋体" w:hAnsi="宋体" w:cs="宋体"/>
          <w:b/>
          <w:color w:val="auto"/>
          <w:szCs w:val="21"/>
          <w:highlight w:val="none"/>
        </w:rPr>
        <w:t>二、我方承诺无下列恶意串通的情形：</w:t>
      </w:r>
    </w:p>
    <w:p w14:paraId="242A288D">
      <w:pPr>
        <w:spacing w:line="440" w:lineRule="exact"/>
        <w:ind w:firstLine="411" w:firstLineChars="196"/>
        <w:contextualSpacing/>
        <w:jc w:val="left"/>
        <w:rPr>
          <w:rFonts w:ascii="宋体" w:hAnsi="宋体" w:cs="宋体"/>
          <w:color w:val="auto"/>
          <w:szCs w:val="21"/>
          <w:highlight w:val="none"/>
        </w:rPr>
      </w:pPr>
      <w:r>
        <w:rPr>
          <w:rFonts w:hint="eastAsia" w:ascii="宋体" w:hAnsi="宋体" w:cs="宋体"/>
          <w:color w:val="auto"/>
          <w:szCs w:val="21"/>
          <w:highlight w:val="none"/>
        </w:rPr>
        <w:t>1.投标人直接或者间接从采购人或者采购代理机构处获得其他投标人的相关信息并修改其投标文件或者投标文件；</w:t>
      </w:r>
    </w:p>
    <w:p w14:paraId="4928C60A">
      <w:pPr>
        <w:spacing w:line="440" w:lineRule="exact"/>
        <w:ind w:firstLine="411" w:firstLineChars="196"/>
        <w:contextualSpacing/>
        <w:jc w:val="left"/>
        <w:rPr>
          <w:rFonts w:ascii="宋体" w:hAnsi="宋体" w:cs="宋体"/>
          <w:color w:val="auto"/>
          <w:szCs w:val="21"/>
          <w:highlight w:val="none"/>
        </w:rPr>
      </w:pPr>
      <w:r>
        <w:rPr>
          <w:rFonts w:hint="eastAsia" w:ascii="宋体" w:hAnsi="宋体" w:cs="宋体"/>
          <w:color w:val="auto"/>
          <w:szCs w:val="21"/>
          <w:highlight w:val="none"/>
        </w:rPr>
        <w:t>2.投标人按照采购人或者采购代理机构的授意撤换、修改投标文件或者投标文件；</w:t>
      </w:r>
    </w:p>
    <w:p w14:paraId="2125C989">
      <w:pPr>
        <w:spacing w:line="440" w:lineRule="exact"/>
        <w:ind w:firstLine="411" w:firstLineChars="196"/>
        <w:contextualSpacing/>
        <w:jc w:val="left"/>
        <w:rPr>
          <w:rFonts w:ascii="宋体" w:hAnsi="宋体" w:cs="宋体"/>
          <w:color w:val="auto"/>
          <w:szCs w:val="21"/>
          <w:highlight w:val="none"/>
        </w:rPr>
      </w:pPr>
      <w:r>
        <w:rPr>
          <w:rFonts w:hint="eastAsia" w:ascii="宋体" w:hAnsi="宋体" w:cs="宋体"/>
          <w:color w:val="auto"/>
          <w:szCs w:val="21"/>
          <w:highlight w:val="none"/>
        </w:rPr>
        <w:t>3.投标人之间协商报价、技术方案等投标文件或者投标文件的实质性内容；</w:t>
      </w:r>
    </w:p>
    <w:p w14:paraId="301BC05C">
      <w:pPr>
        <w:spacing w:line="440" w:lineRule="exact"/>
        <w:ind w:firstLine="411" w:firstLineChars="196"/>
        <w:contextualSpacing/>
        <w:jc w:val="left"/>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4.属于同一集团、协会、商会等组织成员的投标人按照该组织要求协同参加政府采购活动；</w:t>
      </w:r>
    </w:p>
    <w:p w14:paraId="2CCBF55C">
      <w:pPr>
        <w:spacing w:line="440" w:lineRule="exact"/>
        <w:ind w:firstLine="411" w:firstLineChars="196"/>
        <w:contextualSpacing/>
        <w:jc w:val="left"/>
        <w:rPr>
          <w:rFonts w:ascii="宋体" w:hAnsi="宋体" w:cs="宋体"/>
          <w:color w:val="auto"/>
          <w:szCs w:val="21"/>
          <w:highlight w:val="none"/>
        </w:rPr>
      </w:pPr>
      <w:r>
        <w:rPr>
          <w:rFonts w:hint="eastAsia" w:ascii="宋体" w:hAnsi="宋体" w:cs="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5C5B9568">
      <w:pPr>
        <w:spacing w:line="440" w:lineRule="exact"/>
        <w:ind w:firstLine="411" w:firstLineChars="196"/>
        <w:contextualSpacing/>
        <w:jc w:val="left"/>
        <w:rPr>
          <w:rFonts w:ascii="宋体" w:hAnsi="宋体" w:cs="宋体"/>
          <w:color w:val="auto"/>
          <w:szCs w:val="21"/>
          <w:highlight w:val="none"/>
        </w:rPr>
      </w:pPr>
      <w:r>
        <w:rPr>
          <w:rFonts w:hint="eastAsia" w:ascii="宋体" w:hAnsi="宋体" w:cs="宋体"/>
          <w:color w:val="auto"/>
          <w:szCs w:val="21"/>
          <w:highlight w:val="none"/>
        </w:rPr>
        <w:t>6.投标人之间商定部分投标人放弃参加政府采购活动或者放弃中标；</w:t>
      </w:r>
    </w:p>
    <w:p w14:paraId="491A25B0">
      <w:pPr>
        <w:spacing w:line="440" w:lineRule="exact"/>
        <w:ind w:firstLine="411" w:firstLineChars="196"/>
        <w:contextualSpacing/>
        <w:jc w:val="left"/>
        <w:rPr>
          <w:rFonts w:ascii="宋体" w:hAnsi="宋体" w:cs="宋体"/>
          <w:color w:val="auto"/>
          <w:szCs w:val="21"/>
          <w:highlight w:val="none"/>
        </w:rPr>
      </w:pPr>
      <w:r>
        <w:rPr>
          <w:rFonts w:hint="eastAsia" w:ascii="宋体" w:hAnsi="宋体" w:cs="宋体"/>
          <w:color w:val="auto"/>
          <w:szCs w:val="21"/>
          <w:highlight w:val="none"/>
        </w:rPr>
        <w:t>7.投标人与采购人或者采购代理机构之间、投标人相互之间，为谋求特定投标人中标或者排斥其他投标人的其他串通行为。</w:t>
      </w:r>
    </w:p>
    <w:p w14:paraId="63BCA624">
      <w:pPr>
        <w:spacing w:line="440" w:lineRule="exact"/>
        <w:ind w:firstLine="413" w:firstLineChars="196"/>
        <w:contextualSpacing/>
        <w:jc w:val="left"/>
        <w:rPr>
          <w:rFonts w:ascii="宋体" w:hAnsi="宋体" w:cs="宋体"/>
          <w:b/>
          <w:color w:val="auto"/>
          <w:szCs w:val="21"/>
          <w:highlight w:val="none"/>
        </w:rPr>
      </w:pPr>
      <w:r>
        <w:rPr>
          <w:rFonts w:hint="eastAsia" w:ascii="宋体" w:hAnsi="宋体" w:cs="宋体"/>
          <w:b/>
          <w:color w:val="auto"/>
          <w:szCs w:val="21"/>
          <w:highlight w:val="none"/>
        </w:rPr>
        <w:t>以上情形一经核查属实，我方愿意承担一切后果，并不再寻求任何旨在减轻或者免除法律责任的辩解。</w:t>
      </w:r>
    </w:p>
    <w:p w14:paraId="56CF42A3">
      <w:pPr>
        <w:pStyle w:val="27"/>
        <w:spacing w:line="440" w:lineRule="exact"/>
        <w:ind w:firstLine="5985" w:firstLineChars="2850"/>
        <w:contextualSpacing/>
        <w:rPr>
          <w:rFonts w:hAnsi="宋体" w:cs="宋体"/>
          <w:color w:val="auto"/>
          <w:sz w:val="21"/>
          <w:highlight w:val="none"/>
        </w:rPr>
      </w:pPr>
    </w:p>
    <w:p w14:paraId="25BB9783">
      <w:pPr>
        <w:pStyle w:val="27"/>
        <w:spacing w:line="440" w:lineRule="exact"/>
        <w:contextualSpacing/>
        <w:jc w:val="center"/>
        <w:rPr>
          <w:rFonts w:hAnsi="宋体" w:cs="宋体"/>
          <w:color w:val="auto"/>
          <w:sz w:val="21"/>
          <w:highlight w:val="none"/>
        </w:rPr>
      </w:pPr>
      <w:r>
        <w:rPr>
          <w:rFonts w:hint="eastAsia" w:hAnsi="宋体" w:cs="宋体"/>
          <w:color w:val="auto"/>
          <w:sz w:val="21"/>
          <w:highlight w:val="none"/>
        </w:rPr>
        <w:t xml:space="preserve">                                    投标人名称（电子签章）</w:t>
      </w:r>
    </w:p>
    <w:p w14:paraId="4FFB1C9B">
      <w:pPr>
        <w:pStyle w:val="27"/>
        <w:spacing w:line="440" w:lineRule="exact"/>
        <w:contextualSpacing/>
        <w:rPr>
          <w:rFonts w:hAnsi="宋体" w:cs="宋体"/>
          <w:color w:val="auto"/>
          <w:sz w:val="21"/>
          <w:highlight w:val="none"/>
        </w:rPr>
      </w:pPr>
      <w:r>
        <w:rPr>
          <w:rFonts w:hint="eastAsia" w:hAnsi="宋体" w:cs="宋体"/>
          <w:color w:val="auto"/>
          <w:sz w:val="21"/>
          <w:highlight w:val="none"/>
        </w:rPr>
        <w:t xml:space="preserve">                                                </w:t>
      </w:r>
      <w:r>
        <w:rPr>
          <w:rFonts w:hint="eastAsia" w:hAnsi="宋体" w:cs="宋体"/>
          <w:color w:val="auto"/>
          <w:sz w:val="21"/>
          <w:highlight w:val="none"/>
          <w:u w:val="single"/>
        </w:rPr>
        <w:t xml:space="preserve">      </w:t>
      </w:r>
      <w:r>
        <w:rPr>
          <w:rFonts w:hint="eastAsia" w:hAnsi="宋体" w:cs="宋体"/>
          <w:color w:val="auto"/>
          <w:sz w:val="21"/>
          <w:highlight w:val="none"/>
        </w:rPr>
        <w:t>年</w:t>
      </w:r>
      <w:r>
        <w:rPr>
          <w:rFonts w:hint="eastAsia" w:hAnsi="宋体" w:cs="宋体"/>
          <w:color w:val="auto"/>
          <w:sz w:val="21"/>
          <w:highlight w:val="none"/>
          <w:u w:val="single"/>
        </w:rPr>
        <w:t xml:space="preserve">    </w:t>
      </w:r>
      <w:r>
        <w:rPr>
          <w:rFonts w:hint="eastAsia" w:hAnsi="宋体" w:cs="宋体"/>
          <w:color w:val="auto"/>
          <w:sz w:val="21"/>
          <w:highlight w:val="none"/>
        </w:rPr>
        <w:t>月</w:t>
      </w:r>
      <w:r>
        <w:rPr>
          <w:rFonts w:hint="eastAsia" w:hAnsi="宋体" w:cs="宋体"/>
          <w:color w:val="auto"/>
          <w:sz w:val="21"/>
          <w:highlight w:val="none"/>
          <w:u w:val="single"/>
        </w:rPr>
        <w:t xml:space="preserve">     </w:t>
      </w:r>
      <w:r>
        <w:rPr>
          <w:rFonts w:hint="eastAsia" w:hAnsi="宋体" w:cs="宋体"/>
          <w:color w:val="auto"/>
          <w:sz w:val="21"/>
          <w:highlight w:val="none"/>
        </w:rPr>
        <w:t>日</w:t>
      </w:r>
    </w:p>
    <w:p w14:paraId="10CFE1C6">
      <w:pPr>
        <w:snapToGrid w:val="0"/>
        <w:spacing w:before="120" w:beforeLines="50" w:after="50"/>
        <w:ind w:firstLine="602"/>
        <w:jc w:val="left"/>
        <w:rPr>
          <w:rFonts w:ascii="宋体" w:hAnsi="宋体" w:cs="宋体"/>
          <w:b/>
          <w:color w:val="auto"/>
          <w:sz w:val="24"/>
          <w:highlight w:val="none"/>
        </w:rPr>
      </w:pPr>
    </w:p>
    <w:p w14:paraId="76BC8B14">
      <w:pPr>
        <w:snapToGrid w:val="0"/>
        <w:spacing w:before="120" w:beforeLines="50" w:after="50"/>
        <w:ind w:firstLine="602"/>
        <w:jc w:val="left"/>
        <w:rPr>
          <w:rFonts w:ascii="宋体" w:hAnsi="宋体" w:cs="宋体"/>
          <w:b/>
          <w:color w:val="auto"/>
          <w:sz w:val="24"/>
          <w:highlight w:val="none"/>
        </w:rPr>
      </w:pPr>
    </w:p>
    <w:p w14:paraId="5F2CA850">
      <w:pPr>
        <w:snapToGrid w:val="0"/>
        <w:spacing w:before="120" w:beforeLines="50" w:after="50"/>
        <w:ind w:firstLine="602"/>
        <w:jc w:val="left"/>
        <w:rPr>
          <w:rFonts w:ascii="宋体" w:hAnsi="宋体" w:cs="宋体"/>
          <w:b/>
          <w:color w:val="auto"/>
          <w:sz w:val="24"/>
          <w:highlight w:val="none"/>
        </w:rPr>
      </w:pPr>
    </w:p>
    <w:p w14:paraId="7DEEE6A2">
      <w:pPr>
        <w:snapToGrid w:val="0"/>
        <w:spacing w:before="120" w:beforeLines="50" w:after="50"/>
        <w:ind w:firstLine="602"/>
        <w:jc w:val="left"/>
        <w:rPr>
          <w:rFonts w:ascii="宋体" w:hAnsi="宋体" w:cs="宋体"/>
          <w:b/>
          <w:color w:val="auto"/>
          <w:sz w:val="24"/>
          <w:highlight w:val="none"/>
        </w:rPr>
      </w:pPr>
    </w:p>
    <w:p w14:paraId="624AED0D">
      <w:pPr>
        <w:snapToGrid w:val="0"/>
        <w:spacing w:before="120" w:beforeLines="50" w:after="50"/>
        <w:ind w:firstLine="602"/>
        <w:jc w:val="left"/>
        <w:rPr>
          <w:rFonts w:ascii="宋体" w:hAnsi="宋体" w:cs="宋体"/>
          <w:b/>
          <w:color w:val="auto"/>
          <w:sz w:val="24"/>
          <w:highlight w:val="none"/>
        </w:rPr>
      </w:pPr>
    </w:p>
    <w:p w14:paraId="11C9BA65">
      <w:pPr>
        <w:snapToGrid w:val="0"/>
        <w:spacing w:before="120" w:beforeLines="50" w:after="50"/>
        <w:ind w:firstLine="602"/>
        <w:jc w:val="left"/>
        <w:rPr>
          <w:rFonts w:ascii="宋体" w:hAnsi="宋体" w:cs="宋体"/>
          <w:b/>
          <w:color w:val="auto"/>
          <w:sz w:val="24"/>
          <w:szCs w:val="20"/>
          <w:highlight w:val="none"/>
        </w:rPr>
      </w:pPr>
      <w:r>
        <w:rPr>
          <w:rFonts w:hint="eastAsia" w:ascii="宋体" w:hAnsi="宋体" w:cs="宋体"/>
          <w:b/>
          <w:color w:val="auto"/>
          <w:sz w:val="24"/>
          <w:highlight w:val="none"/>
        </w:rPr>
        <w:t>4.法定代表人身份证明</w:t>
      </w:r>
    </w:p>
    <w:p w14:paraId="5935AB5C">
      <w:pPr>
        <w:spacing w:before="240" w:beforeLines="100" w:after="120" w:afterLines="50"/>
        <w:ind w:left="-134" w:firstLine="1100"/>
        <w:jc w:val="center"/>
        <w:rPr>
          <w:rFonts w:ascii="宋体" w:hAnsi="宋体" w:cs="宋体"/>
          <w:bCs/>
          <w:color w:val="auto"/>
          <w:sz w:val="44"/>
          <w:szCs w:val="44"/>
          <w:highlight w:val="none"/>
        </w:rPr>
      </w:pPr>
      <w:r>
        <w:rPr>
          <w:rFonts w:hint="eastAsia" w:ascii="宋体" w:hAnsi="宋体" w:cs="宋体"/>
          <w:bCs/>
          <w:color w:val="auto"/>
          <w:sz w:val="44"/>
          <w:szCs w:val="44"/>
          <w:highlight w:val="none"/>
        </w:rPr>
        <w:t>法定代表人身份证明</w:t>
      </w:r>
    </w:p>
    <w:p w14:paraId="631AB7B7">
      <w:pPr>
        <w:spacing w:line="500" w:lineRule="exact"/>
        <w:ind w:left="-134"/>
        <w:rPr>
          <w:rFonts w:ascii="宋体" w:hAnsi="宋体" w:cs="宋体"/>
          <w:color w:val="auto"/>
          <w:szCs w:val="21"/>
          <w:highlight w:val="none"/>
        </w:rPr>
      </w:pPr>
      <w:r>
        <w:rPr>
          <w:rFonts w:hint="eastAsia" w:ascii="宋体" w:hAnsi="宋体" w:cs="宋体"/>
          <w:color w:val="auto"/>
          <w:szCs w:val="21"/>
          <w:highlight w:val="none"/>
        </w:rPr>
        <w:t>投 标 人：</w:t>
      </w:r>
      <w:r>
        <w:rPr>
          <w:rFonts w:hint="eastAsia" w:ascii="宋体" w:hAnsi="宋体" w:cs="宋体"/>
          <w:color w:val="auto"/>
          <w:szCs w:val="21"/>
          <w:highlight w:val="none"/>
          <w:u w:val="single"/>
        </w:rPr>
        <w:t xml:space="preserve">                                                        </w:t>
      </w:r>
    </w:p>
    <w:p w14:paraId="395E4DD2">
      <w:pPr>
        <w:spacing w:line="500" w:lineRule="exact"/>
        <w:ind w:left="-134"/>
        <w:rPr>
          <w:rFonts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p>
    <w:p w14:paraId="05534356">
      <w:pPr>
        <w:spacing w:line="500" w:lineRule="exact"/>
        <w:ind w:left="-134"/>
        <w:rPr>
          <w:rFonts w:ascii="宋体" w:hAnsi="宋体" w:cs="宋体"/>
          <w:color w:val="auto"/>
          <w:szCs w:val="21"/>
          <w:highlight w:val="non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      别：</w:t>
      </w:r>
      <w:r>
        <w:rPr>
          <w:rFonts w:hint="eastAsia" w:ascii="宋体" w:hAnsi="宋体" w:cs="宋体"/>
          <w:color w:val="auto"/>
          <w:szCs w:val="21"/>
          <w:highlight w:val="none"/>
          <w:u w:val="single"/>
        </w:rPr>
        <w:t xml:space="preserve">                </w:t>
      </w:r>
    </w:p>
    <w:p w14:paraId="3FB347FD">
      <w:pPr>
        <w:spacing w:line="500" w:lineRule="exact"/>
        <w:ind w:left="-134"/>
        <w:rPr>
          <w:rFonts w:ascii="宋体" w:hAnsi="宋体" w:cs="宋体"/>
          <w:color w:val="auto"/>
          <w:szCs w:val="21"/>
          <w:highlight w:val="none"/>
          <w:u w:val="single"/>
        </w:rPr>
      </w:pPr>
      <w:r>
        <w:rPr>
          <w:rFonts w:hint="eastAsia" w:ascii="宋体" w:hAnsi="宋体" w:cs="宋体"/>
          <w:color w:val="auto"/>
          <w:szCs w:val="21"/>
          <w:highlight w:val="none"/>
        </w:rPr>
        <w:t>年    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      务：</w:t>
      </w:r>
      <w:r>
        <w:rPr>
          <w:rFonts w:hint="eastAsia" w:ascii="宋体" w:hAnsi="宋体" w:cs="宋体"/>
          <w:color w:val="auto"/>
          <w:szCs w:val="21"/>
          <w:highlight w:val="none"/>
          <w:u w:val="single"/>
        </w:rPr>
        <w:t xml:space="preserve">                </w:t>
      </w:r>
    </w:p>
    <w:p w14:paraId="41C12684">
      <w:pPr>
        <w:spacing w:line="500" w:lineRule="exact"/>
        <w:ind w:left="-134"/>
        <w:rPr>
          <w:rFonts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0846F78C">
      <w:pPr>
        <w:spacing w:line="500" w:lineRule="exact"/>
        <w:ind w:left="-134"/>
        <w:rPr>
          <w:rFonts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（投标人名称）              </w:t>
      </w:r>
      <w:r>
        <w:rPr>
          <w:rFonts w:hint="eastAsia" w:ascii="宋体" w:hAnsi="宋体" w:cs="宋体"/>
          <w:color w:val="auto"/>
          <w:szCs w:val="21"/>
          <w:highlight w:val="none"/>
        </w:rPr>
        <w:t>的法定代表人。</w:t>
      </w:r>
    </w:p>
    <w:p w14:paraId="715A868C">
      <w:pPr>
        <w:spacing w:line="500" w:lineRule="exact"/>
        <w:ind w:left="-134"/>
        <w:rPr>
          <w:rFonts w:ascii="宋体" w:hAnsi="宋体" w:cs="宋体"/>
          <w:color w:val="auto"/>
          <w:szCs w:val="21"/>
          <w:highlight w:val="none"/>
        </w:rPr>
      </w:pPr>
      <w:r>
        <w:rPr>
          <w:rFonts w:hint="eastAsia" w:ascii="宋体" w:hAnsi="宋体" w:cs="宋体"/>
          <w:color w:val="auto"/>
          <w:szCs w:val="21"/>
          <w:highlight w:val="none"/>
        </w:rPr>
        <w:t>特此证明。</w:t>
      </w:r>
    </w:p>
    <w:p w14:paraId="5347143F">
      <w:pPr>
        <w:spacing w:line="500" w:lineRule="exact"/>
        <w:ind w:left="-134"/>
        <w:rPr>
          <w:rFonts w:ascii="宋体" w:hAnsi="宋体" w:cs="宋体"/>
          <w:color w:val="auto"/>
          <w:szCs w:val="21"/>
          <w:highlight w:val="none"/>
        </w:rPr>
      </w:pPr>
    </w:p>
    <w:p w14:paraId="06CBE5E6">
      <w:pPr>
        <w:spacing w:line="500" w:lineRule="exact"/>
        <w:ind w:left="-134"/>
        <w:rPr>
          <w:rFonts w:ascii="宋体" w:hAnsi="宋体" w:cs="宋体"/>
          <w:color w:val="auto"/>
          <w:szCs w:val="21"/>
          <w:highlight w:val="none"/>
        </w:rPr>
      </w:pPr>
    </w:p>
    <w:p w14:paraId="5BFC6273">
      <w:pPr>
        <w:spacing w:line="500" w:lineRule="exact"/>
        <w:ind w:left="-134"/>
        <w:rPr>
          <w:rFonts w:ascii="宋体" w:hAnsi="宋体" w:cs="宋体"/>
          <w:color w:val="auto"/>
          <w:szCs w:val="21"/>
          <w:highlight w:val="none"/>
        </w:rPr>
      </w:pPr>
      <w:r>
        <w:rPr>
          <w:rFonts w:hint="eastAsia" w:ascii="宋体" w:hAnsi="宋体" w:cs="宋体"/>
          <w:color w:val="auto"/>
          <w:szCs w:val="21"/>
          <w:highlight w:val="none"/>
        </w:rPr>
        <w:t>附件：法定代表人有效身份证正反面复印件</w:t>
      </w:r>
    </w:p>
    <w:p w14:paraId="59BDDC6C">
      <w:pPr>
        <w:spacing w:line="500" w:lineRule="exact"/>
        <w:ind w:left="-134"/>
        <w:rPr>
          <w:rFonts w:ascii="宋体" w:hAnsi="宋体" w:cs="宋体"/>
          <w:color w:val="auto"/>
          <w:szCs w:val="21"/>
          <w:highlight w:val="none"/>
        </w:rPr>
      </w:pPr>
    </w:p>
    <w:p w14:paraId="252145B5">
      <w:pPr>
        <w:spacing w:line="500" w:lineRule="exact"/>
        <w:ind w:left="-134"/>
        <w:jc w:val="right"/>
        <w:rPr>
          <w:rFonts w:ascii="宋体" w:hAnsi="宋体" w:cs="宋体"/>
          <w:color w:val="auto"/>
          <w:szCs w:val="21"/>
          <w:highlight w:val="none"/>
        </w:rPr>
      </w:pPr>
      <w:r>
        <w:rPr>
          <w:rFonts w:hint="eastAsia" w:ascii="宋体" w:hAnsi="宋体" w:cs="宋体"/>
          <w:color w:val="auto"/>
          <w:szCs w:val="21"/>
          <w:highlight w:val="none"/>
        </w:rPr>
        <w:t>投标人名称（电子签章）</w:t>
      </w:r>
    </w:p>
    <w:p w14:paraId="27E7FEEE">
      <w:pPr>
        <w:spacing w:line="500" w:lineRule="exact"/>
        <w:ind w:left="-134"/>
        <w:jc w:val="right"/>
        <w:rPr>
          <w:rFonts w:ascii="宋体" w:hAnsi="宋体" w:cs="宋体"/>
          <w:color w:val="auto"/>
          <w:szCs w:val="21"/>
          <w:highlight w:val="none"/>
        </w:rPr>
      </w:pPr>
    </w:p>
    <w:p w14:paraId="7E2051EB">
      <w:pPr>
        <w:snapToGrid w:val="0"/>
        <w:spacing w:before="120" w:beforeLines="50" w:after="50"/>
        <w:ind w:left="-134"/>
        <w:jc w:val="right"/>
        <w:rPr>
          <w:rFonts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0FDB8006">
      <w:pPr>
        <w:snapToGrid w:val="0"/>
        <w:spacing w:before="120" w:beforeLines="50" w:after="50"/>
        <w:ind w:firstLine="527"/>
        <w:jc w:val="center"/>
        <w:rPr>
          <w:rFonts w:ascii="宋体" w:hAnsi="宋体" w:cs="宋体"/>
          <w:b/>
          <w:color w:val="auto"/>
          <w:szCs w:val="21"/>
          <w:highlight w:val="none"/>
        </w:rPr>
      </w:pPr>
    </w:p>
    <w:p w14:paraId="6CA05050">
      <w:pPr>
        <w:snapToGrid w:val="0"/>
        <w:spacing w:before="120" w:beforeLines="50" w:after="50"/>
        <w:jc w:val="left"/>
        <w:rPr>
          <w:rFonts w:ascii="宋体" w:hAnsi="宋体" w:cs="宋体"/>
          <w:b/>
          <w:color w:val="auto"/>
          <w:szCs w:val="21"/>
          <w:highlight w:val="none"/>
        </w:rPr>
      </w:pPr>
      <w:r>
        <w:rPr>
          <w:rFonts w:hint="eastAsia" w:ascii="宋体" w:hAnsi="宋体" w:cs="宋体"/>
          <w:color w:val="auto"/>
          <w:szCs w:val="21"/>
          <w:highlight w:val="none"/>
        </w:rPr>
        <w:t>注：自然人投标的无需提供</w:t>
      </w:r>
    </w:p>
    <w:p w14:paraId="768132B3">
      <w:pPr>
        <w:snapToGrid w:val="0"/>
        <w:spacing w:before="120" w:beforeLines="50" w:after="50"/>
        <w:ind w:firstLine="527"/>
        <w:jc w:val="left"/>
        <w:rPr>
          <w:rFonts w:ascii="宋体" w:hAnsi="宋体" w:cs="宋体"/>
          <w:b/>
          <w:color w:val="auto"/>
          <w:sz w:val="24"/>
          <w:szCs w:val="20"/>
          <w:highlight w:val="none"/>
        </w:rPr>
      </w:pPr>
      <w:r>
        <w:rPr>
          <w:rFonts w:hint="eastAsia" w:ascii="宋体" w:hAnsi="宋体" w:cs="宋体"/>
          <w:b/>
          <w:color w:val="auto"/>
          <w:szCs w:val="21"/>
          <w:highlight w:val="none"/>
        </w:rPr>
        <w:br w:type="page"/>
      </w:r>
      <w:r>
        <w:rPr>
          <w:rFonts w:hint="eastAsia" w:ascii="宋体" w:hAnsi="宋体" w:cs="宋体"/>
          <w:b/>
          <w:color w:val="auto"/>
          <w:sz w:val="24"/>
          <w:highlight w:val="none"/>
        </w:rPr>
        <w:t>5.授权委托书格式</w:t>
      </w:r>
    </w:p>
    <w:p w14:paraId="3CDEA8E2">
      <w:pPr>
        <w:spacing w:line="360" w:lineRule="auto"/>
        <w:ind w:firstLine="1100"/>
        <w:contextualSpacing/>
        <w:jc w:val="center"/>
        <w:rPr>
          <w:rFonts w:ascii="宋体" w:hAnsi="宋体" w:cs="宋体"/>
          <w:bCs/>
          <w:color w:val="auto"/>
          <w:sz w:val="44"/>
          <w:szCs w:val="44"/>
          <w:highlight w:val="none"/>
        </w:rPr>
      </w:pPr>
      <w:r>
        <w:rPr>
          <w:rFonts w:hint="eastAsia" w:ascii="宋体" w:hAnsi="宋体" w:cs="宋体"/>
          <w:bCs/>
          <w:color w:val="auto"/>
          <w:sz w:val="44"/>
          <w:szCs w:val="44"/>
          <w:highlight w:val="none"/>
        </w:rPr>
        <w:t>授权委托书</w:t>
      </w:r>
    </w:p>
    <w:p w14:paraId="60B89E10">
      <w:pPr>
        <w:spacing w:line="360" w:lineRule="auto"/>
        <w:ind w:firstLine="800"/>
        <w:contextualSpacing/>
        <w:jc w:val="center"/>
        <w:rPr>
          <w:rFonts w:ascii="宋体" w:hAnsi="宋体" w:cs="宋体"/>
          <w:bCs/>
          <w:color w:val="auto"/>
          <w:sz w:val="32"/>
          <w:szCs w:val="32"/>
          <w:highlight w:val="none"/>
        </w:rPr>
      </w:pPr>
      <w:r>
        <w:rPr>
          <w:rFonts w:hint="eastAsia" w:ascii="宋体" w:hAnsi="宋体" w:cs="宋体"/>
          <w:bCs/>
          <w:color w:val="auto"/>
          <w:sz w:val="32"/>
          <w:szCs w:val="32"/>
          <w:highlight w:val="none"/>
        </w:rPr>
        <w:t>（非联合体投标格式）</w:t>
      </w:r>
    </w:p>
    <w:p w14:paraId="19C6B23C">
      <w:pPr>
        <w:spacing w:line="360" w:lineRule="auto"/>
        <w:ind w:firstLine="800"/>
        <w:contextualSpacing/>
        <w:jc w:val="center"/>
        <w:rPr>
          <w:rFonts w:ascii="宋体" w:hAnsi="宋体" w:cs="宋体"/>
          <w:bCs/>
          <w:color w:val="auto"/>
          <w:sz w:val="24"/>
          <w:highlight w:val="none"/>
        </w:rPr>
      </w:pPr>
      <w:r>
        <w:rPr>
          <w:rFonts w:hint="eastAsia" w:ascii="宋体" w:hAnsi="宋体" w:cs="宋体"/>
          <w:bCs/>
          <w:color w:val="auto"/>
          <w:sz w:val="32"/>
          <w:szCs w:val="32"/>
          <w:highlight w:val="none"/>
        </w:rPr>
        <w:t>（如有委托时）</w:t>
      </w:r>
    </w:p>
    <w:p w14:paraId="56F89CA5">
      <w:pPr>
        <w:spacing w:line="440" w:lineRule="exact"/>
        <w:ind w:firstLine="527"/>
        <w:contextualSpacing/>
        <w:jc w:val="center"/>
        <w:rPr>
          <w:rFonts w:ascii="宋体" w:hAnsi="宋体" w:cs="宋体"/>
          <w:b/>
          <w:color w:val="auto"/>
          <w:szCs w:val="21"/>
          <w:highlight w:val="none"/>
        </w:rPr>
      </w:pPr>
    </w:p>
    <w:p w14:paraId="12D1EC40">
      <w:pPr>
        <w:spacing w:line="440" w:lineRule="exact"/>
        <w:contextualSpacing/>
        <w:rPr>
          <w:rFonts w:ascii="宋体" w:hAnsi="宋体" w:cs="宋体"/>
          <w:b/>
          <w:bCs/>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u w:val="single"/>
        </w:rPr>
        <w:t>采购人名称</w:t>
      </w:r>
      <w:r>
        <w:rPr>
          <w:rFonts w:hint="eastAsia" w:ascii="宋体" w:hAnsi="宋体" w:cs="宋体"/>
          <w:color w:val="auto"/>
          <w:szCs w:val="21"/>
          <w:highlight w:val="none"/>
        </w:rPr>
        <w:t>：</w:t>
      </w:r>
    </w:p>
    <w:p w14:paraId="291C4943">
      <w:pPr>
        <w:spacing w:line="440" w:lineRule="exact"/>
        <w:ind w:firstLine="495" w:firstLineChars="236"/>
        <w:contextualSpacing/>
        <w:rPr>
          <w:rFonts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（投标人名称）的法定代表人，现授权委托</w:t>
      </w:r>
      <w:r>
        <w:rPr>
          <w:rFonts w:hint="eastAsia" w:ascii="宋体" w:hAnsi="宋体" w:cs="宋体"/>
          <w:color w:val="auto"/>
          <w:szCs w:val="21"/>
          <w:highlight w:val="none"/>
          <w:u w:val="single"/>
        </w:rPr>
        <w:t xml:space="preserve">              （姓名）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项目的投标活动，并代表我方全权办理针对上述项目的所有采购程序和环节的具体事务和签署相关文件。</w:t>
      </w:r>
    </w:p>
    <w:p w14:paraId="137AE09E">
      <w:pPr>
        <w:spacing w:line="440" w:lineRule="exact"/>
        <w:contextualSpacing/>
        <w:rPr>
          <w:rFonts w:ascii="宋体" w:hAnsi="宋体" w:cs="宋体"/>
          <w:color w:val="auto"/>
          <w:szCs w:val="21"/>
          <w:highlight w:val="none"/>
        </w:rPr>
      </w:pPr>
      <w:r>
        <w:rPr>
          <w:rFonts w:hint="eastAsia" w:ascii="宋体" w:hAnsi="宋体" w:cs="宋体"/>
          <w:color w:val="auto"/>
          <w:szCs w:val="21"/>
          <w:highlight w:val="none"/>
        </w:rPr>
        <w:t xml:space="preserve">    我方对委托代理人的签字或者电子签名事项负全部责任。</w:t>
      </w:r>
    </w:p>
    <w:p w14:paraId="6025270D">
      <w:pPr>
        <w:spacing w:line="440" w:lineRule="exact"/>
        <w:ind w:firstLine="525"/>
        <w:contextualSpacing/>
        <w:rPr>
          <w:rFonts w:ascii="宋体" w:hAnsi="宋体" w:cs="宋体"/>
          <w:color w:val="auto"/>
          <w:szCs w:val="21"/>
          <w:highlight w:val="none"/>
        </w:rPr>
      </w:pPr>
      <w:r>
        <w:rPr>
          <w:rFonts w:hint="eastAsia" w:ascii="宋体" w:hAnsi="宋体" w:cs="宋体"/>
          <w:color w:val="auto"/>
          <w:szCs w:val="21"/>
          <w:highlight w:val="none"/>
          <w:u w:val="single"/>
        </w:rPr>
        <w:t>本授权书自签署之日起生效，在撤销授权的书面通知以前，本授权书一直有效。委托代理人在授权书有效期内签署的所有文件不因授权的撤销而失效。</w:t>
      </w:r>
    </w:p>
    <w:p w14:paraId="0D8CCFC0">
      <w:pPr>
        <w:spacing w:line="440" w:lineRule="exact"/>
        <w:ind w:firstLine="525"/>
        <w:contextualSpacing/>
        <w:rPr>
          <w:rFonts w:ascii="宋体" w:hAnsi="宋体" w:cs="宋体"/>
          <w:color w:val="auto"/>
          <w:szCs w:val="21"/>
          <w:highlight w:val="none"/>
        </w:rPr>
      </w:pPr>
      <w:r>
        <w:rPr>
          <w:rFonts w:hint="eastAsia" w:ascii="宋体" w:hAnsi="宋体" w:cs="宋体"/>
          <w:color w:val="auto"/>
          <w:szCs w:val="21"/>
          <w:highlight w:val="none"/>
        </w:rPr>
        <w:t>委托代理人无转委托权，特此委托。</w:t>
      </w:r>
    </w:p>
    <w:p w14:paraId="3633AB04">
      <w:pPr>
        <w:spacing w:line="440" w:lineRule="exact"/>
        <w:ind w:firstLine="525"/>
        <w:contextualSpacing/>
        <w:rPr>
          <w:rFonts w:ascii="宋体" w:hAnsi="宋体" w:cs="宋体"/>
          <w:color w:val="auto"/>
          <w:szCs w:val="21"/>
          <w:highlight w:val="none"/>
        </w:rPr>
      </w:pPr>
      <w:r>
        <w:rPr>
          <w:rFonts w:hint="eastAsia" w:ascii="宋体" w:hAnsi="宋体" w:cs="宋体"/>
          <w:color w:val="auto"/>
          <w:szCs w:val="21"/>
          <w:highlight w:val="none"/>
        </w:rPr>
        <w:t>附：法定代表人身份证明及委托代理人有效身份证正反面复印件</w:t>
      </w:r>
    </w:p>
    <w:p w14:paraId="292A78B1">
      <w:pPr>
        <w:spacing w:line="440" w:lineRule="exact"/>
        <w:contextualSpacing/>
        <w:rPr>
          <w:rFonts w:ascii="宋体" w:hAnsi="宋体" w:cs="宋体"/>
          <w:color w:val="auto"/>
          <w:szCs w:val="21"/>
          <w:highlight w:val="none"/>
        </w:rPr>
      </w:pPr>
    </w:p>
    <w:p w14:paraId="64A0D640">
      <w:pPr>
        <w:spacing w:line="440" w:lineRule="exact"/>
        <w:contextualSpacing/>
        <w:rPr>
          <w:rFonts w:ascii="宋体" w:hAnsi="宋体" w:cs="宋体"/>
          <w:color w:val="auto"/>
          <w:szCs w:val="21"/>
          <w:highlight w:val="none"/>
        </w:rPr>
      </w:pPr>
      <w:r>
        <w:rPr>
          <w:rFonts w:hint="eastAsia" w:ascii="宋体" w:hAnsi="宋体" w:cs="宋体"/>
          <w:color w:val="auto"/>
          <w:szCs w:val="21"/>
          <w:highlight w:val="none"/>
        </w:rPr>
        <w:t>委托代理人（签字/电子签名）：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6363B68">
      <w:pPr>
        <w:spacing w:line="440" w:lineRule="exact"/>
        <w:contextualSpacing/>
        <w:rPr>
          <w:rFonts w:ascii="宋体" w:hAnsi="宋体" w:cs="宋体"/>
          <w:color w:val="auto"/>
          <w:szCs w:val="21"/>
          <w:highlight w:val="none"/>
          <w:u w:val="single"/>
        </w:rPr>
      </w:pPr>
      <w:r>
        <w:rPr>
          <w:rFonts w:hint="eastAsia" w:ascii="宋体" w:hAnsi="宋体" w:cs="宋体"/>
          <w:color w:val="auto"/>
          <w:szCs w:val="21"/>
          <w:highlight w:val="none"/>
        </w:rPr>
        <w:t>委托代理人身份证号码：</w:t>
      </w:r>
      <w:r>
        <w:rPr>
          <w:rFonts w:hint="eastAsia" w:ascii="宋体" w:hAnsi="宋体" w:cs="宋体"/>
          <w:color w:val="auto"/>
          <w:szCs w:val="21"/>
          <w:highlight w:val="none"/>
          <w:u w:val="single"/>
        </w:rPr>
        <w:t xml:space="preserve">                             </w:t>
      </w:r>
    </w:p>
    <w:p w14:paraId="351BC183">
      <w:pPr>
        <w:spacing w:line="440" w:lineRule="exact"/>
        <w:contextualSpacing/>
        <w:rPr>
          <w:rFonts w:ascii="宋体" w:hAnsi="宋体" w:cs="宋体"/>
          <w:color w:val="auto"/>
          <w:szCs w:val="21"/>
          <w:highlight w:val="none"/>
          <w:u w:val="single"/>
        </w:rPr>
      </w:pPr>
      <w:r>
        <w:rPr>
          <w:rFonts w:hint="eastAsia" w:ascii="宋体" w:hAnsi="宋体" w:cs="宋体"/>
          <w:color w:val="auto"/>
          <w:szCs w:val="21"/>
          <w:highlight w:val="none"/>
        </w:rPr>
        <w:t>法定代表人（签字或者盖章或者电子签名）：</w:t>
      </w:r>
      <w:r>
        <w:rPr>
          <w:rFonts w:hint="eastAsia" w:ascii="宋体" w:hAnsi="宋体" w:cs="宋体"/>
          <w:color w:val="auto"/>
          <w:szCs w:val="21"/>
          <w:highlight w:val="none"/>
          <w:u w:val="single"/>
        </w:rPr>
        <w:t xml:space="preserve">              </w:t>
      </w:r>
    </w:p>
    <w:p w14:paraId="14CF7097">
      <w:pPr>
        <w:spacing w:line="440" w:lineRule="exact"/>
        <w:contextualSpacing/>
        <w:rPr>
          <w:rFonts w:ascii="宋体" w:hAnsi="宋体" w:cs="宋体"/>
          <w:color w:val="auto"/>
          <w:szCs w:val="21"/>
          <w:highlight w:val="none"/>
        </w:rPr>
      </w:pPr>
      <w:r>
        <w:rPr>
          <w:rFonts w:hint="eastAsia" w:ascii="宋体" w:hAnsi="宋体" w:cs="宋体"/>
          <w:color w:val="auto"/>
          <w:szCs w:val="21"/>
          <w:highlight w:val="none"/>
        </w:rPr>
        <w:t xml:space="preserve"> </w:t>
      </w:r>
    </w:p>
    <w:p w14:paraId="072921C6">
      <w:pPr>
        <w:spacing w:line="440" w:lineRule="exact"/>
        <w:contextualSpacing/>
        <w:jc w:val="center"/>
        <w:rPr>
          <w:rFonts w:ascii="宋体" w:hAnsi="宋体" w:cs="宋体"/>
          <w:color w:val="auto"/>
          <w:szCs w:val="21"/>
          <w:highlight w:val="none"/>
        </w:rPr>
      </w:pPr>
      <w:r>
        <w:rPr>
          <w:rFonts w:hint="eastAsia" w:ascii="宋体" w:hAnsi="宋体" w:cs="宋体"/>
          <w:color w:val="auto"/>
          <w:szCs w:val="21"/>
          <w:highlight w:val="none"/>
        </w:rPr>
        <w:t xml:space="preserve">                                                投标人名称（电子签章）：</w:t>
      </w:r>
    </w:p>
    <w:p w14:paraId="29361AE5">
      <w:pPr>
        <w:spacing w:line="440" w:lineRule="exact"/>
        <w:contextualSpacing/>
        <w:jc w:val="center"/>
        <w:rPr>
          <w:rFonts w:ascii="宋体" w:hAnsi="宋体" w:cs="宋体"/>
          <w:color w:val="auto"/>
          <w:szCs w:val="21"/>
          <w:highlight w:val="none"/>
        </w:rPr>
      </w:pPr>
      <w:r>
        <w:rPr>
          <w:rFonts w:hint="eastAsia" w:ascii="宋体" w:hAnsi="宋体" w:cs="宋体"/>
          <w:color w:val="auto"/>
          <w:szCs w:val="21"/>
          <w:highlight w:val="none"/>
        </w:rPr>
        <w:t xml:space="preserve">                                              年    月    日</w:t>
      </w:r>
    </w:p>
    <w:p w14:paraId="67EC8BEA">
      <w:pPr>
        <w:pStyle w:val="19"/>
        <w:rPr>
          <w:rFonts w:ascii="宋体" w:hAnsi="宋体" w:cs="宋体"/>
          <w:color w:val="auto"/>
          <w:sz w:val="21"/>
          <w:szCs w:val="21"/>
          <w:highlight w:val="none"/>
        </w:rPr>
      </w:pPr>
    </w:p>
    <w:p w14:paraId="548EC5EC">
      <w:pPr>
        <w:spacing w:line="440" w:lineRule="exact"/>
        <w:contextualSpacing/>
        <w:rPr>
          <w:rFonts w:ascii="宋体" w:hAnsi="宋体" w:cs="宋体"/>
          <w:color w:val="auto"/>
          <w:szCs w:val="21"/>
          <w:highlight w:val="none"/>
        </w:rPr>
      </w:pPr>
      <w:r>
        <w:rPr>
          <w:rFonts w:hint="eastAsia" w:ascii="宋体" w:hAnsi="宋体" w:cs="宋体"/>
          <w:color w:val="auto"/>
          <w:szCs w:val="21"/>
          <w:highlight w:val="none"/>
        </w:rPr>
        <w:t>注：1.</w:t>
      </w:r>
      <w:bookmarkStart w:id="143" w:name="_Hlk65851555"/>
      <w:bookmarkStart w:id="144" w:name="_Hlk65851620"/>
      <w:r>
        <w:rPr>
          <w:rFonts w:hint="eastAsia" w:ascii="宋体" w:hAnsi="宋体" w:cs="宋体"/>
          <w:color w:val="auto"/>
          <w:szCs w:val="21"/>
          <w:highlight w:val="none"/>
        </w:rPr>
        <w:t>法定代表人必须在授权委托书上亲笔签字或者盖章或者电子签名，</w:t>
      </w:r>
      <w:bookmarkEnd w:id="143"/>
      <w:r>
        <w:rPr>
          <w:rFonts w:hint="eastAsia" w:ascii="宋体" w:hAnsi="宋体" w:cs="宋体"/>
          <w:color w:val="auto"/>
          <w:szCs w:val="21"/>
          <w:highlight w:val="none"/>
        </w:rPr>
        <w:t>委托代理人必须在授权委托书上亲笔签字或者电子签名，</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w:t>
      </w:r>
      <w:bookmarkEnd w:id="144"/>
    </w:p>
    <w:p w14:paraId="6E2714C6">
      <w:pPr>
        <w:spacing w:line="440" w:lineRule="exact"/>
        <w:ind w:firstLine="420" w:firstLineChars="200"/>
        <w:contextualSpacing/>
        <w:jc w:val="left"/>
        <w:rPr>
          <w:rFonts w:ascii="宋体" w:hAnsi="宋体" w:cs="宋体"/>
          <w:color w:val="auto"/>
          <w:szCs w:val="21"/>
          <w:highlight w:val="none"/>
        </w:rPr>
      </w:pPr>
      <w:r>
        <w:rPr>
          <w:rFonts w:hint="eastAsia" w:ascii="宋体" w:hAnsi="宋体" w:cs="宋体"/>
          <w:color w:val="auto"/>
          <w:szCs w:val="21"/>
          <w:highlight w:val="none"/>
        </w:rPr>
        <w:t>2.法人、其他组织投标时“我方”是指“我单位”，自然人投标时“我方”是指“本人”。</w:t>
      </w:r>
    </w:p>
    <w:p w14:paraId="5D1E84CA">
      <w:pPr>
        <w:snapToGrid w:val="0"/>
        <w:spacing w:before="120" w:beforeLines="50" w:after="50"/>
        <w:ind w:firstLine="566" w:firstLineChars="236"/>
        <w:jc w:val="center"/>
        <w:rPr>
          <w:rFonts w:ascii="宋体" w:hAnsi="宋体" w:cs="宋体"/>
          <w:color w:val="auto"/>
          <w:sz w:val="44"/>
          <w:szCs w:val="44"/>
          <w:highlight w:val="none"/>
        </w:rPr>
      </w:pPr>
      <w:r>
        <w:rPr>
          <w:rFonts w:hint="eastAsia" w:ascii="宋体" w:hAnsi="宋体" w:cs="宋体"/>
          <w:color w:val="auto"/>
          <w:sz w:val="24"/>
          <w:highlight w:val="none"/>
        </w:rPr>
        <w:br w:type="page"/>
      </w:r>
      <w:r>
        <w:rPr>
          <w:rFonts w:hint="eastAsia" w:ascii="宋体" w:hAnsi="宋体" w:cs="宋体"/>
          <w:color w:val="auto"/>
          <w:sz w:val="44"/>
          <w:szCs w:val="44"/>
          <w:highlight w:val="none"/>
        </w:rPr>
        <w:t>授权委托书</w:t>
      </w:r>
    </w:p>
    <w:p w14:paraId="1500F793">
      <w:pPr>
        <w:snapToGrid w:val="0"/>
        <w:spacing w:before="120" w:beforeLines="50" w:after="50"/>
        <w:ind w:firstLine="755" w:firstLineChars="236"/>
        <w:jc w:val="center"/>
        <w:rPr>
          <w:rFonts w:ascii="宋体" w:hAnsi="宋体" w:cs="宋体"/>
          <w:color w:val="auto"/>
          <w:sz w:val="32"/>
          <w:szCs w:val="32"/>
          <w:highlight w:val="none"/>
        </w:rPr>
      </w:pPr>
      <w:r>
        <w:rPr>
          <w:rFonts w:hint="eastAsia" w:ascii="宋体" w:hAnsi="宋体" w:cs="宋体"/>
          <w:color w:val="auto"/>
          <w:sz w:val="32"/>
          <w:szCs w:val="32"/>
          <w:highlight w:val="none"/>
        </w:rPr>
        <w:t>（联合体投标格式）</w:t>
      </w:r>
    </w:p>
    <w:p w14:paraId="035E2594">
      <w:pPr>
        <w:snapToGrid w:val="0"/>
        <w:spacing w:before="120" w:beforeLines="50" w:after="50"/>
        <w:ind w:firstLine="755" w:firstLineChars="236"/>
        <w:jc w:val="center"/>
        <w:rPr>
          <w:rFonts w:ascii="宋体" w:hAnsi="宋体" w:cs="宋体"/>
          <w:color w:val="auto"/>
          <w:sz w:val="24"/>
          <w:highlight w:val="none"/>
        </w:rPr>
      </w:pPr>
      <w:r>
        <w:rPr>
          <w:rFonts w:hint="eastAsia" w:ascii="宋体" w:hAnsi="宋体" w:cs="宋体"/>
          <w:color w:val="auto"/>
          <w:sz w:val="32"/>
          <w:szCs w:val="32"/>
          <w:highlight w:val="none"/>
        </w:rPr>
        <w:t>（如有委托时）</w:t>
      </w:r>
    </w:p>
    <w:p w14:paraId="60C94C7B">
      <w:pPr>
        <w:spacing w:line="440" w:lineRule="exact"/>
        <w:contextualSpacing/>
        <w:jc w:val="left"/>
        <w:rPr>
          <w:rFonts w:ascii="宋体" w:hAnsi="宋体" w:cs="宋体"/>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u w:val="single"/>
        </w:rPr>
        <w:t>采购人名称</w:t>
      </w:r>
      <w:r>
        <w:rPr>
          <w:rFonts w:hint="eastAsia" w:ascii="宋体" w:hAnsi="宋体" w:cs="宋体"/>
          <w:color w:val="auto"/>
          <w:szCs w:val="21"/>
          <w:highlight w:val="none"/>
        </w:rPr>
        <w:t>：</w:t>
      </w:r>
    </w:p>
    <w:p w14:paraId="73F880E1">
      <w:pPr>
        <w:spacing w:line="440" w:lineRule="exact"/>
        <w:ind w:firstLine="495" w:firstLineChars="236"/>
        <w:contextualSpacing/>
        <w:rPr>
          <w:rFonts w:ascii="宋体" w:hAnsi="宋体" w:cs="宋体"/>
          <w:color w:val="auto"/>
          <w:szCs w:val="21"/>
          <w:highlight w:val="none"/>
        </w:rPr>
      </w:pPr>
      <w:r>
        <w:rPr>
          <w:rFonts w:hint="eastAsia" w:ascii="宋体" w:hAnsi="宋体" w:cs="宋体"/>
          <w:color w:val="auto"/>
          <w:szCs w:val="21"/>
          <w:highlight w:val="none"/>
        </w:rPr>
        <w:t xml:space="preserve">根据 </w:t>
      </w:r>
      <w:r>
        <w:rPr>
          <w:rFonts w:hint="eastAsia" w:ascii="宋体" w:hAnsi="宋体" w:cs="宋体"/>
          <w:color w:val="auto"/>
          <w:szCs w:val="21"/>
          <w:highlight w:val="none"/>
          <w:u w:val="single"/>
        </w:rPr>
        <w:t xml:space="preserve"> （牵头人名称）</w:t>
      </w:r>
      <w:r>
        <w:rPr>
          <w:rFonts w:hint="eastAsia" w:ascii="宋体" w:hAnsi="宋体" w:cs="宋体"/>
          <w:color w:val="auto"/>
          <w:szCs w:val="21"/>
          <w:highlight w:val="none"/>
        </w:rPr>
        <w:t>与</w:t>
      </w:r>
      <w:r>
        <w:rPr>
          <w:rFonts w:hint="eastAsia" w:ascii="宋体" w:hAnsi="宋体" w:cs="宋体"/>
          <w:color w:val="auto"/>
          <w:szCs w:val="21"/>
          <w:highlight w:val="none"/>
          <w:u w:val="single"/>
        </w:rPr>
        <w:t>（联合体其他成员名称）</w:t>
      </w:r>
      <w:r>
        <w:rPr>
          <w:rFonts w:hint="eastAsia" w:ascii="宋体" w:hAnsi="宋体" w:cs="宋体"/>
          <w:color w:val="auto"/>
          <w:szCs w:val="21"/>
          <w:highlight w:val="none"/>
        </w:rPr>
        <w:t>签订的《联合体投标协议书》的内容，</w:t>
      </w:r>
      <w:r>
        <w:rPr>
          <w:rFonts w:hint="eastAsia" w:ascii="宋体" w:hAnsi="宋体" w:cs="宋体"/>
          <w:color w:val="auto"/>
          <w:szCs w:val="21"/>
          <w:highlight w:val="none"/>
          <w:u w:val="single"/>
        </w:rPr>
        <w:t>（牵头人名称）</w:t>
      </w:r>
      <w:r>
        <w:rPr>
          <w:rFonts w:hint="eastAsia" w:ascii="宋体" w:hAnsi="宋体" w:cs="宋体"/>
          <w:color w:val="auto"/>
          <w:szCs w:val="21"/>
          <w:highlight w:val="none"/>
        </w:rPr>
        <w:t>的法定代表人</w:t>
      </w:r>
      <w:r>
        <w:rPr>
          <w:rFonts w:hint="eastAsia" w:ascii="宋体" w:hAnsi="宋体" w:cs="宋体"/>
          <w:color w:val="auto"/>
          <w:szCs w:val="21"/>
          <w:highlight w:val="none"/>
          <w:u w:val="single"/>
        </w:rPr>
        <w:t>（姓名）</w:t>
      </w:r>
      <w:r>
        <w:rPr>
          <w:rFonts w:hint="eastAsia" w:ascii="宋体" w:hAnsi="宋体" w:cs="宋体"/>
          <w:color w:val="auto"/>
          <w:szCs w:val="21"/>
          <w:highlight w:val="none"/>
        </w:rPr>
        <w:t>现授权委托</w:t>
      </w:r>
      <w:r>
        <w:rPr>
          <w:rFonts w:hint="eastAsia" w:ascii="宋体" w:hAnsi="宋体" w:cs="宋体"/>
          <w:color w:val="auto"/>
          <w:szCs w:val="21"/>
          <w:highlight w:val="none"/>
          <w:u w:val="single"/>
        </w:rPr>
        <w:t xml:space="preserve">              （姓名）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项目的投标活动，并代表我方全权办理针对上述项目的所有采购程序和环节的具体事务和签署相关文件。</w:t>
      </w:r>
    </w:p>
    <w:p w14:paraId="1576DD32">
      <w:pPr>
        <w:spacing w:line="440" w:lineRule="exact"/>
        <w:ind w:firstLine="495" w:firstLineChars="236"/>
        <w:contextualSpacing/>
        <w:rPr>
          <w:rFonts w:ascii="宋体" w:hAnsi="宋体" w:cs="宋体"/>
          <w:color w:val="auto"/>
          <w:szCs w:val="21"/>
          <w:highlight w:val="none"/>
        </w:rPr>
      </w:pPr>
      <w:r>
        <w:rPr>
          <w:rFonts w:hint="eastAsia" w:ascii="宋体" w:hAnsi="宋体" w:cs="宋体"/>
          <w:color w:val="auto"/>
          <w:szCs w:val="21"/>
          <w:highlight w:val="none"/>
        </w:rPr>
        <w:t>我方对委托代理人的签字或者电子签名事项负全部责任。</w:t>
      </w:r>
    </w:p>
    <w:p w14:paraId="141409B0">
      <w:pPr>
        <w:spacing w:line="440" w:lineRule="exact"/>
        <w:ind w:firstLine="495" w:firstLineChars="236"/>
        <w:contextualSpacing/>
        <w:rPr>
          <w:rFonts w:ascii="宋体" w:hAnsi="宋体" w:cs="宋体"/>
          <w:color w:val="auto"/>
          <w:szCs w:val="21"/>
          <w:highlight w:val="none"/>
        </w:rPr>
      </w:pPr>
      <w:r>
        <w:rPr>
          <w:rFonts w:hint="eastAsia" w:ascii="宋体" w:hAnsi="宋体" w:cs="宋体"/>
          <w:color w:val="auto"/>
          <w:szCs w:val="21"/>
          <w:highlight w:val="none"/>
        </w:rPr>
        <w:t>本授权书自签署之日起生效，在撤销授权的书面通知以前，本授权书一直有效。委托代理人在授权书有效期内签署的所有文件不因授权的撤销而失效。</w:t>
      </w:r>
    </w:p>
    <w:p w14:paraId="7E1A3039">
      <w:pPr>
        <w:spacing w:line="440" w:lineRule="exact"/>
        <w:ind w:firstLine="495" w:firstLineChars="236"/>
        <w:contextualSpacing/>
        <w:rPr>
          <w:rFonts w:ascii="宋体" w:hAnsi="宋体" w:cs="宋体"/>
          <w:color w:val="auto"/>
          <w:szCs w:val="21"/>
          <w:highlight w:val="none"/>
        </w:rPr>
      </w:pPr>
      <w:r>
        <w:rPr>
          <w:rFonts w:hint="eastAsia" w:ascii="宋体" w:hAnsi="宋体" w:cs="宋体"/>
          <w:color w:val="auto"/>
          <w:szCs w:val="21"/>
          <w:highlight w:val="none"/>
        </w:rPr>
        <w:t>委托代理人无转委托权，特此委托。</w:t>
      </w:r>
    </w:p>
    <w:p w14:paraId="17785BA2">
      <w:pPr>
        <w:spacing w:line="440" w:lineRule="exact"/>
        <w:ind w:firstLine="495" w:firstLineChars="236"/>
        <w:contextualSpacing/>
        <w:rPr>
          <w:rFonts w:ascii="宋体" w:hAnsi="宋体" w:cs="宋体"/>
          <w:color w:val="auto"/>
          <w:szCs w:val="21"/>
          <w:highlight w:val="none"/>
        </w:rPr>
      </w:pPr>
      <w:r>
        <w:rPr>
          <w:rFonts w:hint="eastAsia" w:ascii="宋体" w:hAnsi="宋体" w:cs="宋体"/>
          <w:color w:val="auto"/>
          <w:szCs w:val="21"/>
          <w:highlight w:val="none"/>
        </w:rPr>
        <w:t>附：牵头人法定代表人身份证明及委托代理人有效身份证正反面复印件</w:t>
      </w:r>
    </w:p>
    <w:p w14:paraId="0E4FD356">
      <w:pPr>
        <w:spacing w:line="440" w:lineRule="exact"/>
        <w:ind w:firstLine="495" w:firstLineChars="236"/>
        <w:contextualSpacing/>
        <w:rPr>
          <w:rFonts w:ascii="宋体" w:hAnsi="宋体" w:cs="宋体"/>
          <w:color w:val="auto"/>
          <w:szCs w:val="21"/>
          <w:highlight w:val="none"/>
        </w:rPr>
      </w:pPr>
    </w:p>
    <w:p w14:paraId="025B1C49">
      <w:pPr>
        <w:spacing w:line="440" w:lineRule="exact"/>
        <w:ind w:firstLine="495" w:firstLineChars="236"/>
        <w:contextualSpacing/>
        <w:rPr>
          <w:rFonts w:ascii="宋体" w:hAnsi="宋体" w:cs="宋体"/>
          <w:color w:val="auto"/>
          <w:szCs w:val="21"/>
          <w:highlight w:val="none"/>
        </w:rPr>
      </w:pPr>
      <w:r>
        <w:rPr>
          <w:rFonts w:hint="eastAsia" w:ascii="宋体" w:hAnsi="宋体" w:cs="宋体"/>
          <w:color w:val="auto"/>
          <w:szCs w:val="21"/>
          <w:highlight w:val="none"/>
        </w:rPr>
        <w:t>牵头人法定代表人（签字或者盖章或者电子签名）：</w:t>
      </w:r>
    </w:p>
    <w:p w14:paraId="1B318D3E">
      <w:pPr>
        <w:spacing w:line="440" w:lineRule="exact"/>
        <w:ind w:firstLine="495" w:firstLineChars="236"/>
        <w:contextualSpacing/>
        <w:rPr>
          <w:rFonts w:ascii="宋体" w:hAnsi="宋体" w:cs="宋体"/>
          <w:color w:val="auto"/>
          <w:szCs w:val="21"/>
          <w:highlight w:val="none"/>
        </w:rPr>
      </w:pPr>
      <w:r>
        <w:rPr>
          <w:rFonts w:hint="eastAsia" w:ascii="宋体" w:hAnsi="宋体" w:cs="宋体"/>
          <w:color w:val="auto"/>
          <w:szCs w:val="21"/>
          <w:highlight w:val="none"/>
        </w:rPr>
        <w:t>牵头人（电子签章）：</w:t>
      </w:r>
    </w:p>
    <w:p w14:paraId="54F0EF6C">
      <w:pPr>
        <w:spacing w:line="440" w:lineRule="exact"/>
        <w:ind w:firstLine="495" w:firstLineChars="236"/>
        <w:contextualSpacing/>
        <w:rPr>
          <w:rFonts w:ascii="宋体" w:hAnsi="宋体" w:cs="宋体"/>
          <w:color w:val="auto"/>
          <w:szCs w:val="21"/>
          <w:highlight w:val="none"/>
        </w:rPr>
      </w:pPr>
      <w:r>
        <w:rPr>
          <w:rFonts w:hint="eastAsia" w:ascii="宋体" w:hAnsi="宋体" w:cs="宋体"/>
          <w:color w:val="auto"/>
          <w:szCs w:val="21"/>
          <w:highlight w:val="none"/>
        </w:rPr>
        <w:t>日期：    年   月   日</w:t>
      </w:r>
    </w:p>
    <w:p w14:paraId="3BC63F61">
      <w:pPr>
        <w:spacing w:line="440" w:lineRule="exact"/>
        <w:ind w:firstLine="495" w:firstLineChars="236"/>
        <w:contextualSpacing/>
        <w:rPr>
          <w:rFonts w:ascii="宋体" w:hAnsi="宋体" w:cs="宋体"/>
          <w:color w:val="auto"/>
          <w:szCs w:val="21"/>
          <w:highlight w:val="none"/>
        </w:rPr>
      </w:pPr>
    </w:p>
    <w:p w14:paraId="2F2899FF">
      <w:pPr>
        <w:spacing w:line="440" w:lineRule="exact"/>
        <w:ind w:firstLine="495" w:firstLineChars="236"/>
        <w:contextualSpacing/>
        <w:rPr>
          <w:rFonts w:ascii="宋体" w:hAnsi="宋体" w:cs="宋体"/>
          <w:color w:val="auto"/>
          <w:szCs w:val="21"/>
          <w:highlight w:val="none"/>
        </w:rPr>
      </w:pPr>
      <w:r>
        <w:rPr>
          <w:rFonts w:hint="eastAsia" w:ascii="宋体" w:hAnsi="宋体" w:cs="宋体"/>
          <w:color w:val="auto"/>
          <w:szCs w:val="21"/>
          <w:highlight w:val="none"/>
        </w:rPr>
        <w:t>被授权人（签字/电子签名）：</w:t>
      </w:r>
    </w:p>
    <w:p w14:paraId="1D099848">
      <w:pPr>
        <w:spacing w:line="440" w:lineRule="exact"/>
        <w:ind w:firstLine="495" w:firstLineChars="236"/>
        <w:contextualSpacing/>
        <w:rPr>
          <w:rFonts w:ascii="宋体" w:hAnsi="宋体" w:cs="宋体"/>
          <w:color w:val="auto"/>
          <w:szCs w:val="21"/>
          <w:highlight w:val="none"/>
        </w:rPr>
      </w:pPr>
      <w:r>
        <w:rPr>
          <w:rFonts w:hint="eastAsia" w:ascii="宋体" w:hAnsi="宋体" w:cs="宋体"/>
          <w:color w:val="auto"/>
          <w:szCs w:val="21"/>
          <w:highlight w:val="none"/>
        </w:rPr>
        <w:t>日期：    年   月   日</w:t>
      </w:r>
    </w:p>
    <w:p w14:paraId="3CFBAC96">
      <w:pPr>
        <w:pStyle w:val="19"/>
        <w:rPr>
          <w:rFonts w:ascii="宋体" w:hAnsi="宋体" w:cs="宋体"/>
          <w:color w:val="auto"/>
          <w:sz w:val="21"/>
          <w:szCs w:val="21"/>
          <w:highlight w:val="none"/>
        </w:rPr>
      </w:pPr>
    </w:p>
    <w:p w14:paraId="5D8A39F7">
      <w:pPr>
        <w:spacing w:line="440" w:lineRule="exact"/>
        <w:contextualSpacing/>
        <w:rPr>
          <w:rFonts w:ascii="宋体" w:hAnsi="宋体" w:cs="宋体"/>
          <w:color w:val="auto"/>
          <w:szCs w:val="21"/>
          <w:highlight w:val="none"/>
        </w:rPr>
      </w:pPr>
      <w:r>
        <w:rPr>
          <w:rFonts w:hint="eastAsia" w:ascii="宋体" w:hAnsi="宋体" w:cs="宋体"/>
          <w:color w:val="auto"/>
          <w:szCs w:val="21"/>
          <w:highlight w:val="none"/>
        </w:rPr>
        <w:t>注：</w:t>
      </w:r>
    </w:p>
    <w:p w14:paraId="18193E4F">
      <w:pPr>
        <w:spacing w:line="440" w:lineRule="exact"/>
        <w:contextualSpacing/>
        <w:rPr>
          <w:rFonts w:ascii="宋体" w:hAnsi="宋体" w:cs="宋体"/>
          <w:color w:val="auto"/>
          <w:szCs w:val="21"/>
          <w:highlight w:val="none"/>
        </w:rPr>
      </w:pPr>
      <w:r>
        <w:rPr>
          <w:rFonts w:hint="eastAsia" w:ascii="宋体" w:hAnsi="宋体" w:cs="宋体"/>
          <w:color w:val="auto"/>
          <w:szCs w:val="21"/>
          <w:highlight w:val="none"/>
        </w:rPr>
        <w:t>1. 法定代表人必须在授权委托书上亲笔签字或者盖章或者电子签名，委托代理人必须在授权委托书上亲笔签字或者电子签名，</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w:t>
      </w:r>
    </w:p>
    <w:p w14:paraId="52E73179">
      <w:pPr>
        <w:spacing w:line="440" w:lineRule="exact"/>
        <w:contextualSpacing/>
        <w:rPr>
          <w:rFonts w:ascii="宋体" w:hAnsi="宋体" w:cs="宋体"/>
          <w:color w:val="auto"/>
          <w:szCs w:val="21"/>
          <w:highlight w:val="none"/>
        </w:rPr>
      </w:pPr>
      <w:r>
        <w:rPr>
          <w:rFonts w:hint="eastAsia" w:ascii="宋体" w:hAnsi="宋体" w:cs="宋体"/>
          <w:color w:val="auto"/>
          <w:szCs w:val="21"/>
          <w:highlight w:val="none"/>
        </w:rPr>
        <w:t>2.本授权委托书应由联合体牵头人的法定代表人按上述规定签字或者盖章或者电子签名。</w:t>
      </w:r>
    </w:p>
    <w:p w14:paraId="0D30AD2E">
      <w:pPr>
        <w:spacing w:line="440" w:lineRule="exact"/>
        <w:contextualSpacing/>
        <w:rPr>
          <w:rFonts w:ascii="宋体" w:hAnsi="宋体" w:cs="宋体"/>
          <w:color w:val="auto"/>
          <w:szCs w:val="21"/>
          <w:highlight w:val="none"/>
        </w:rPr>
      </w:pPr>
      <w:r>
        <w:rPr>
          <w:rFonts w:hint="eastAsia" w:ascii="宋体" w:hAnsi="宋体" w:cs="宋体"/>
          <w:color w:val="auto"/>
          <w:szCs w:val="21"/>
          <w:highlight w:val="none"/>
        </w:rPr>
        <w:t>3.法人、其他组织投标时“我方”是指“我单位”，自然人投标时“我方”是指“本人”。</w:t>
      </w:r>
    </w:p>
    <w:p w14:paraId="5AC3B1AD">
      <w:pPr>
        <w:snapToGrid w:val="0"/>
        <w:spacing w:before="50" w:after="120" w:afterLines="50"/>
        <w:ind w:firstLine="480" w:firstLineChars="200"/>
        <w:jc w:val="left"/>
        <w:rPr>
          <w:rFonts w:ascii="宋体" w:hAnsi="宋体" w:cs="宋体"/>
          <w:color w:val="auto"/>
          <w:sz w:val="24"/>
          <w:highlight w:val="none"/>
        </w:rPr>
        <w:sectPr>
          <w:footerReference r:id="rId17" w:type="first"/>
          <w:headerReference r:id="rId14" w:type="default"/>
          <w:footerReference r:id="rId15" w:type="default"/>
          <w:footerReference r:id="rId16" w:type="even"/>
          <w:pgSz w:w="11906" w:h="16838"/>
          <w:pgMar w:top="1701" w:right="1701" w:bottom="1701" w:left="1701" w:header="851" w:footer="992" w:gutter="0"/>
          <w:cols w:space="720" w:num="1"/>
          <w:titlePg/>
          <w:docGrid w:linePitch="312" w:charSpace="0"/>
        </w:sectPr>
      </w:pPr>
    </w:p>
    <w:p w14:paraId="2FE40654">
      <w:pPr>
        <w:ind w:firstLine="600"/>
        <w:rPr>
          <w:rFonts w:ascii="宋体" w:hAnsi="宋体" w:cs="宋体"/>
          <w:color w:val="auto"/>
          <w:sz w:val="24"/>
          <w:highlight w:val="none"/>
        </w:rPr>
      </w:pPr>
    </w:p>
    <w:p w14:paraId="5F53CB6B">
      <w:pPr>
        <w:ind w:firstLine="602"/>
        <w:rPr>
          <w:rFonts w:ascii="宋体" w:hAnsi="宋体" w:cs="宋体"/>
          <w:b/>
          <w:color w:val="auto"/>
          <w:sz w:val="24"/>
          <w:szCs w:val="20"/>
          <w:highlight w:val="none"/>
        </w:rPr>
      </w:pPr>
      <w:r>
        <w:rPr>
          <w:rFonts w:hint="eastAsia" w:ascii="宋体" w:hAnsi="宋体" w:cs="宋体"/>
          <w:b/>
          <w:color w:val="auto"/>
          <w:sz w:val="24"/>
          <w:highlight w:val="none"/>
        </w:rPr>
        <w:t>6.商务要求偏离表格式（注：按项目需求表具体项目修改）</w:t>
      </w:r>
    </w:p>
    <w:p w14:paraId="2D15FD19">
      <w:pPr>
        <w:snapToGrid w:val="0"/>
        <w:spacing w:before="50"/>
        <w:ind w:firstLine="600"/>
        <w:jc w:val="left"/>
        <w:rPr>
          <w:rFonts w:ascii="宋体" w:hAnsi="宋体" w:cs="宋体"/>
          <w:color w:val="auto"/>
          <w:sz w:val="24"/>
          <w:highlight w:val="none"/>
        </w:rPr>
      </w:pPr>
    </w:p>
    <w:p w14:paraId="02673C9F">
      <w:pPr>
        <w:pStyle w:val="27"/>
        <w:rPr>
          <w:rFonts w:hAnsi="宋体" w:cs="宋体"/>
          <w:color w:val="auto"/>
          <w:sz w:val="21"/>
          <w:highlight w:val="none"/>
        </w:rPr>
      </w:pPr>
      <w:r>
        <w:rPr>
          <w:rFonts w:hint="eastAsia" w:hAnsi="宋体" w:cs="宋体"/>
          <w:color w:val="auto"/>
          <w:sz w:val="21"/>
          <w:highlight w:val="none"/>
        </w:rPr>
        <w:t>所投分标：</w:t>
      </w:r>
      <w:r>
        <w:rPr>
          <w:rFonts w:hint="eastAsia" w:hAnsi="宋体" w:cs="宋体"/>
          <w:color w:val="auto"/>
          <w:sz w:val="21"/>
          <w:highlight w:val="none"/>
          <w:u w:val="single"/>
        </w:rPr>
        <w:t xml:space="preserve">     </w:t>
      </w:r>
      <w:r>
        <w:rPr>
          <w:rFonts w:hint="eastAsia" w:hAnsi="宋体" w:cs="宋体"/>
          <w:color w:val="auto"/>
          <w:sz w:val="21"/>
          <w:highlight w:val="none"/>
        </w:rPr>
        <w:t>分标</w:t>
      </w:r>
    </w:p>
    <w:p w14:paraId="10A81C3D">
      <w:pPr>
        <w:snapToGrid w:val="0"/>
        <w:spacing w:before="50"/>
        <w:jc w:val="left"/>
        <w:rPr>
          <w:rFonts w:ascii="宋体" w:hAnsi="宋体" w:cs="宋体"/>
          <w:color w:val="auto"/>
          <w:szCs w:val="21"/>
          <w:highlight w:val="none"/>
          <w:u w:val="single"/>
        </w:rPr>
      </w:pPr>
    </w:p>
    <w:tbl>
      <w:tblPr>
        <w:tblStyle w:val="51"/>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37"/>
        <w:gridCol w:w="2977"/>
        <w:gridCol w:w="1701"/>
        <w:gridCol w:w="1326"/>
      </w:tblGrid>
      <w:tr w14:paraId="2F15A1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637" w:type="dxa"/>
            <w:tcBorders>
              <w:top w:val="single" w:color="auto" w:sz="4" w:space="0"/>
              <w:left w:val="single" w:color="auto" w:sz="4" w:space="0"/>
              <w:bottom w:val="single" w:color="auto" w:sz="4" w:space="0"/>
              <w:right w:val="single" w:color="auto" w:sz="4" w:space="0"/>
            </w:tcBorders>
          </w:tcPr>
          <w:p w14:paraId="2F682CC6">
            <w:pPr>
              <w:snapToGrid w:val="0"/>
              <w:spacing w:before="120" w:beforeLines="50"/>
              <w:jc w:val="center"/>
              <w:rPr>
                <w:rFonts w:ascii="宋体" w:hAnsi="宋体" w:cs="宋体"/>
                <w:color w:val="auto"/>
                <w:szCs w:val="21"/>
                <w:highlight w:val="none"/>
              </w:rPr>
            </w:pPr>
            <w:r>
              <w:rPr>
                <w:rFonts w:hint="eastAsia" w:ascii="宋体" w:hAnsi="宋体" w:cs="宋体"/>
                <w:color w:val="auto"/>
                <w:szCs w:val="21"/>
                <w:highlight w:val="none"/>
              </w:rPr>
              <w:t>项目</w:t>
            </w:r>
          </w:p>
        </w:tc>
        <w:tc>
          <w:tcPr>
            <w:tcW w:w="2977" w:type="dxa"/>
            <w:tcBorders>
              <w:top w:val="single" w:color="auto" w:sz="4" w:space="0"/>
              <w:left w:val="single" w:color="auto" w:sz="4" w:space="0"/>
              <w:bottom w:val="single" w:color="auto" w:sz="4" w:space="0"/>
              <w:right w:val="single" w:color="auto" w:sz="4" w:space="0"/>
            </w:tcBorders>
          </w:tcPr>
          <w:p w14:paraId="7DB07230">
            <w:pPr>
              <w:snapToGrid w:val="0"/>
              <w:spacing w:before="120" w:beforeLines="50"/>
              <w:jc w:val="center"/>
              <w:rPr>
                <w:rFonts w:ascii="宋体" w:hAnsi="宋体" w:cs="宋体"/>
                <w:color w:val="auto"/>
                <w:szCs w:val="21"/>
                <w:highlight w:val="none"/>
              </w:rPr>
            </w:pPr>
            <w:r>
              <w:rPr>
                <w:rFonts w:hint="eastAsia" w:ascii="宋体" w:hAnsi="宋体" w:cs="宋体"/>
                <w:color w:val="auto"/>
                <w:szCs w:val="21"/>
                <w:highlight w:val="none"/>
              </w:rPr>
              <w:t>招标文件商务要求</w:t>
            </w:r>
          </w:p>
        </w:tc>
        <w:tc>
          <w:tcPr>
            <w:tcW w:w="1701" w:type="dxa"/>
            <w:tcBorders>
              <w:top w:val="single" w:color="auto" w:sz="4" w:space="0"/>
              <w:left w:val="single" w:color="auto" w:sz="4" w:space="0"/>
              <w:bottom w:val="single" w:color="auto" w:sz="4" w:space="0"/>
              <w:right w:val="single" w:color="auto" w:sz="4" w:space="0"/>
            </w:tcBorders>
          </w:tcPr>
          <w:p w14:paraId="65850137">
            <w:pPr>
              <w:snapToGrid w:val="0"/>
              <w:spacing w:before="120" w:beforeLines="50"/>
              <w:jc w:val="center"/>
              <w:rPr>
                <w:rFonts w:ascii="宋体" w:hAnsi="宋体" w:cs="宋体"/>
                <w:color w:val="auto"/>
                <w:szCs w:val="21"/>
                <w:highlight w:val="none"/>
              </w:rPr>
            </w:pPr>
            <w:r>
              <w:rPr>
                <w:rFonts w:hint="eastAsia" w:ascii="宋体" w:hAnsi="宋体" w:cs="宋体"/>
                <w:color w:val="auto"/>
                <w:szCs w:val="21"/>
                <w:highlight w:val="none"/>
              </w:rPr>
              <w:t>投标人的承诺</w:t>
            </w:r>
          </w:p>
        </w:tc>
        <w:tc>
          <w:tcPr>
            <w:tcW w:w="1326" w:type="dxa"/>
            <w:tcBorders>
              <w:top w:val="single" w:color="auto" w:sz="4" w:space="0"/>
              <w:left w:val="single" w:color="auto" w:sz="4" w:space="0"/>
              <w:bottom w:val="single" w:color="auto" w:sz="4" w:space="0"/>
              <w:right w:val="single" w:color="auto" w:sz="4" w:space="0"/>
            </w:tcBorders>
          </w:tcPr>
          <w:p w14:paraId="288FB0C9">
            <w:pPr>
              <w:snapToGrid w:val="0"/>
              <w:spacing w:before="120" w:beforeLines="50"/>
              <w:jc w:val="center"/>
              <w:rPr>
                <w:rFonts w:ascii="宋体" w:hAnsi="宋体" w:cs="宋体"/>
                <w:color w:val="auto"/>
                <w:szCs w:val="21"/>
                <w:highlight w:val="none"/>
              </w:rPr>
            </w:pPr>
            <w:r>
              <w:rPr>
                <w:rFonts w:hint="eastAsia" w:ascii="宋体" w:hAnsi="宋体" w:cs="宋体"/>
                <w:color w:val="auto"/>
                <w:szCs w:val="21"/>
                <w:highlight w:val="none"/>
              </w:rPr>
              <w:t>偏离说明</w:t>
            </w:r>
          </w:p>
        </w:tc>
      </w:tr>
      <w:tr w14:paraId="1FC0A4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637" w:type="dxa"/>
            <w:tcBorders>
              <w:top w:val="single" w:color="auto" w:sz="4" w:space="0"/>
              <w:left w:val="single" w:color="auto" w:sz="4" w:space="0"/>
              <w:bottom w:val="single" w:color="auto" w:sz="4" w:space="0"/>
              <w:right w:val="single" w:color="auto" w:sz="4" w:space="0"/>
            </w:tcBorders>
            <w:vAlign w:val="center"/>
          </w:tcPr>
          <w:p w14:paraId="0293A91D">
            <w:pPr>
              <w:snapToGrid w:val="0"/>
              <w:spacing w:line="360" w:lineRule="exact"/>
              <w:jc w:val="center"/>
              <w:rPr>
                <w:rFonts w:ascii="宋体" w:hAnsi="宋体" w:cs="宋体"/>
                <w:color w:val="auto"/>
                <w:szCs w:val="21"/>
                <w:highlight w:val="none"/>
              </w:rPr>
            </w:pPr>
          </w:p>
        </w:tc>
        <w:tc>
          <w:tcPr>
            <w:tcW w:w="2977" w:type="dxa"/>
            <w:tcBorders>
              <w:top w:val="single" w:color="auto" w:sz="4" w:space="0"/>
              <w:left w:val="single" w:color="auto" w:sz="4" w:space="0"/>
              <w:bottom w:val="single" w:color="auto" w:sz="4" w:space="0"/>
              <w:right w:val="single" w:color="auto" w:sz="4" w:space="0"/>
            </w:tcBorders>
          </w:tcPr>
          <w:p w14:paraId="4C6D49BF">
            <w:pPr>
              <w:snapToGrid w:val="0"/>
              <w:spacing w:before="120" w:beforeLines="50"/>
              <w:jc w:val="center"/>
              <w:rPr>
                <w:rFonts w:ascii="宋体" w:hAnsi="宋体" w:cs="宋体"/>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tcPr>
          <w:p w14:paraId="46E2E150">
            <w:pPr>
              <w:snapToGrid w:val="0"/>
              <w:spacing w:before="120" w:beforeLines="50"/>
              <w:jc w:val="center"/>
              <w:rPr>
                <w:rFonts w:ascii="宋体" w:hAnsi="宋体" w:cs="宋体"/>
                <w:color w:val="auto"/>
                <w:szCs w:val="21"/>
                <w:highlight w:val="none"/>
              </w:rPr>
            </w:pPr>
          </w:p>
        </w:tc>
        <w:tc>
          <w:tcPr>
            <w:tcW w:w="1326" w:type="dxa"/>
            <w:tcBorders>
              <w:top w:val="single" w:color="auto" w:sz="4" w:space="0"/>
              <w:left w:val="single" w:color="auto" w:sz="4" w:space="0"/>
              <w:bottom w:val="single" w:color="auto" w:sz="4" w:space="0"/>
              <w:right w:val="single" w:color="auto" w:sz="4" w:space="0"/>
            </w:tcBorders>
          </w:tcPr>
          <w:p w14:paraId="3B57992B">
            <w:pPr>
              <w:snapToGrid w:val="0"/>
              <w:spacing w:before="120" w:beforeLines="50"/>
              <w:jc w:val="center"/>
              <w:rPr>
                <w:rFonts w:ascii="宋体" w:hAnsi="宋体" w:cs="宋体"/>
                <w:color w:val="auto"/>
                <w:szCs w:val="21"/>
                <w:highlight w:val="none"/>
              </w:rPr>
            </w:pPr>
          </w:p>
        </w:tc>
      </w:tr>
      <w:tr w14:paraId="5C6745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637" w:type="dxa"/>
            <w:tcBorders>
              <w:top w:val="single" w:color="auto" w:sz="4" w:space="0"/>
              <w:left w:val="single" w:color="auto" w:sz="4" w:space="0"/>
              <w:bottom w:val="single" w:color="auto" w:sz="4" w:space="0"/>
              <w:right w:val="single" w:color="auto" w:sz="4" w:space="0"/>
            </w:tcBorders>
            <w:vAlign w:val="center"/>
          </w:tcPr>
          <w:p w14:paraId="42826AA2">
            <w:pPr>
              <w:spacing w:line="360" w:lineRule="exact"/>
              <w:jc w:val="center"/>
              <w:rPr>
                <w:rFonts w:ascii="宋体" w:hAnsi="宋体" w:cs="宋体"/>
                <w:color w:val="auto"/>
                <w:szCs w:val="21"/>
                <w:highlight w:val="none"/>
              </w:rPr>
            </w:pPr>
          </w:p>
        </w:tc>
        <w:tc>
          <w:tcPr>
            <w:tcW w:w="2977" w:type="dxa"/>
            <w:tcBorders>
              <w:top w:val="single" w:color="auto" w:sz="4" w:space="0"/>
              <w:left w:val="single" w:color="auto" w:sz="4" w:space="0"/>
              <w:bottom w:val="single" w:color="auto" w:sz="4" w:space="0"/>
              <w:right w:val="single" w:color="auto" w:sz="4" w:space="0"/>
            </w:tcBorders>
          </w:tcPr>
          <w:p w14:paraId="235687EB">
            <w:pPr>
              <w:snapToGrid w:val="0"/>
              <w:spacing w:before="120" w:beforeLines="50"/>
              <w:rPr>
                <w:rFonts w:ascii="宋体" w:hAnsi="宋体" w:cs="宋体"/>
                <w:color w:val="auto"/>
                <w:szCs w:val="21"/>
                <w:highlight w:val="none"/>
                <w:u w:val="single"/>
              </w:rPr>
            </w:pPr>
          </w:p>
        </w:tc>
        <w:tc>
          <w:tcPr>
            <w:tcW w:w="1701" w:type="dxa"/>
            <w:tcBorders>
              <w:top w:val="single" w:color="auto" w:sz="4" w:space="0"/>
              <w:left w:val="single" w:color="auto" w:sz="4" w:space="0"/>
              <w:bottom w:val="single" w:color="auto" w:sz="4" w:space="0"/>
              <w:right w:val="single" w:color="auto" w:sz="4" w:space="0"/>
            </w:tcBorders>
          </w:tcPr>
          <w:p w14:paraId="1DDB38B9">
            <w:pPr>
              <w:snapToGrid w:val="0"/>
              <w:spacing w:before="120" w:beforeLines="50"/>
              <w:ind w:left="-134"/>
              <w:jc w:val="center"/>
              <w:rPr>
                <w:rFonts w:ascii="宋体" w:hAnsi="宋体" w:cs="宋体"/>
                <w:color w:val="auto"/>
                <w:szCs w:val="21"/>
                <w:highlight w:val="none"/>
              </w:rPr>
            </w:pPr>
          </w:p>
        </w:tc>
        <w:tc>
          <w:tcPr>
            <w:tcW w:w="1326" w:type="dxa"/>
            <w:tcBorders>
              <w:top w:val="single" w:color="auto" w:sz="4" w:space="0"/>
              <w:left w:val="single" w:color="auto" w:sz="4" w:space="0"/>
              <w:bottom w:val="single" w:color="auto" w:sz="4" w:space="0"/>
              <w:right w:val="single" w:color="auto" w:sz="4" w:space="0"/>
            </w:tcBorders>
          </w:tcPr>
          <w:p w14:paraId="129BB22C">
            <w:pPr>
              <w:snapToGrid w:val="0"/>
              <w:spacing w:before="120" w:beforeLines="50"/>
              <w:ind w:left="-134"/>
              <w:jc w:val="center"/>
              <w:rPr>
                <w:rFonts w:ascii="宋体" w:hAnsi="宋体" w:cs="宋体"/>
                <w:color w:val="auto"/>
                <w:szCs w:val="21"/>
                <w:highlight w:val="none"/>
              </w:rPr>
            </w:pPr>
          </w:p>
        </w:tc>
      </w:tr>
      <w:tr w14:paraId="2FF352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637" w:type="dxa"/>
            <w:tcBorders>
              <w:top w:val="single" w:color="auto" w:sz="4" w:space="0"/>
              <w:left w:val="single" w:color="auto" w:sz="4" w:space="0"/>
              <w:bottom w:val="single" w:color="auto" w:sz="4" w:space="0"/>
              <w:right w:val="single" w:color="auto" w:sz="4" w:space="0"/>
            </w:tcBorders>
            <w:vAlign w:val="center"/>
          </w:tcPr>
          <w:p w14:paraId="096749AC">
            <w:pPr>
              <w:snapToGrid w:val="0"/>
              <w:spacing w:line="360" w:lineRule="exact"/>
              <w:jc w:val="center"/>
              <w:rPr>
                <w:rFonts w:ascii="宋体" w:hAnsi="宋体" w:cs="宋体"/>
                <w:color w:val="auto"/>
                <w:szCs w:val="21"/>
                <w:highlight w:val="none"/>
              </w:rPr>
            </w:pPr>
          </w:p>
        </w:tc>
        <w:tc>
          <w:tcPr>
            <w:tcW w:w="2977" w:type="dxa"/>
            <w:tcBorders>
              <w:top w:val="single" w:color="auto" w:sz="4" w:space="0"/>
              <w:left w:val="single" w:color="auto" w:sz="4" w:space="0"/>
              <w:bottom w:val="single" w:color="auto" w:sz="4" w:space="0"/>
              <w:right w:val="single" w:color="auto" w:sz="4" w:space="0"/>
            </w:tcBorders>
          </w:tcPr>
          <w:p w14:paraId="782661D0">
            <w:pPr>
              <w:snapToGrid w:val="0"/>
              <w:spacing w:before="120" w:beforeLines="50"/>
              <w:rPr>
                <w:rFonts w:ascii="宋体" w:hAnsi="宋体" w:cs="宋体"/>
                <w:color w:val="auto"/>
                <w:szCs w:val="21"/>
                <w:highlight w:val="none"/>
                <w:u w:val="single"/>
              </w:rPr>
            </w:pPr>
          </w:p>
        </w:tc>
        <w:tc>
          <w:tcPr>
            <w:tcW w:w="1701" w:type="dxa"/>
            <w:tcBorders>
              <w:top w:val="single" w:color="auto" w:sz="4" w:space="0"/>
              <w:left w:val="single" w:color="auto" w:sz="4" w:space="0"/>
              <w:bottom w:val="single" w:color="auto" w:sz="4" w:space="0"/>
              <w:right w:val="single" w:color="auto" w:sz="4" w:space="0"/>
            </w:tcBorders>
          </w:tcPr>
          <w:p w14:paraId="29A09D88">
            <w:pPr>
              <w:snapToGrid w:val="0"/>
              <w:spacing w:before="120" w:beforeLines="50"/>
              <w:ind w:left="-134"/>
              <w:jc w:val="center"/>
              <w:rPr>
                <w:rFonts w:ascii="宋体" w:hAnsi="宋体" w:cs="宋体"/>
                <w:color w:val="auto"/>
                <w:szCs w:val="21"/>
                <w:highlight w:val="none"/>
              </w:rPr>
            </w:pPr>
          </w:p>
        </w:tc>
        <w:tc>
          <w:tcPr>
            <w:tcW w:w="1326" w:type="dxa"/>
            <w:tcBorders>
              <w:top w:val="single" w:color="auto" w:sz="4" w:space="0"/>
              <w:left w:val="single" w:color="auto" w:sz="4" w:space="0"/>
              <w:bottom w:val="single" w:color="auto" w:sz="4" w:space="0"/>
              <w:right w:val="single" w:color="auto" w:sz="4" w:space="0"/>
            </w:tcBorders>
          </w:tcPr>
          <w:p w14:paraId="594230E0">
            <w:pPr>
              <w:snapToGrid w:val="0"/>
              <w:spacing w:before="120" w:beforeLines="50"/>
              <w:ind w:left="-134"/>
              <w:jc w:val="center"/>
              <w:rPr>
                <w:rFonts w:ascii="宋体" w:hAnsi="宋体" w:cs="宋体"/>
                <w:color w:val="auto"/>
                <w:szCs w:val="21"/>
                <w:highlight w:val="none"/>
              </w:rPr>
            </w:pPr>
          </w:p>
        </w:tc>
      </w:tr>
      <w:tr w14:paraId="1DB859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2637" w:type="dxa"/>
            <w:tcBorders>
              <w:top w:val="single" w:color="auto" w:sz="4" w:space="0"/>
              <w:left w:val="single" w:color="auto" w:sz="4" w:space="0"/>
              <w:bottom w:val="single" w:color="auto" w:sz="4" w:space="0"/>
              <w:right w:val="single" w:color="auto" w:sz="4" w:space="0"/>
            </w:tcBorders>
            <w:vAlign w:val="center"/>
          </w:tcPr>
          <w:p w14:paraId="6FF8FC8C">
            <w:pPr>
              <w:snapToGrid w:val="0"/>
              <w:spacing w:line="360" w:lineRule="exact"/>
              <w:jc w:val="center"/>
              <w:rPr>
                <w:rFonts w:ascii="宋体" w:hAnsi="宋体" w:cs="宋体"/>
                <w:color w:val="auto"/>
                <w:szCs w:val="21"/>
                <w:highlight w:val="none"/>
              </w:rPr>
            </w:pPr>
          </w:p>
        </w:tc>
        <w:tc>
          <w:tcPr>
            <w:tcW w:w="2977" w:type="dxa"/>
            <w:tcBorders>
              <w:top w:val="single" w:color="auto" w:sz="4" w:space="0"/>
              <w:left w:val="single" w:color="auto" w:sz="4" w:space="0"/>
              <w:bottom w:val="single" w:color="auto" w:sz="4" w:space="0"/>
              <w:right w:val="single" w:color="auto" w:sz="4" w:space="0"/>
            </w:tcBorders>
          </w:tcPr>
          <w:p w14:paraId="11F2098E">
            <w:pPr>
              <w:snapToGrid w:val="0"/>
              <w:spacing w:before="120" w:beforeLines="50"/>
              <w:rPr>
                <w:rFonts w:ascii="宋体" w:hAnsi="宋体" w:cs="宋体"/>
                <w:color w:val="auto"/>
                <w:szCs w:val="21"/>
                <w:highlight w:val="none"/>
                <w:u w:val="single"/>
              </w:rPr>
            </w:pPr>
          </w:p>
        </w:tc>
        <w:tc>
          <w:tcPr>
            <w:tcW w:w="1701" w:type="dxa"/>
            <w:tcBorders>
              <w:top w:val="single" w:color="auto" w:sz="4" w:space="0"/>
              <w:left w:val="single" w:color="auto" w:sz="4" w:space="0"/>
              <w:bottom w:val="single" w:color="auto" w:sz="4" w:space="0"/>
              <w:right w:val="single" w:color="auto" w:sz="4" w:space="0"/>
            </w:tcBorders>
          </w:tcPr>
          <w:p w14:paraId="34FAF929">
            <w:pPr>
              <w:snapToGrid w:val="0"/>
              <w:spacing w:before="120" w:beforeLines="50"/>
              <w:ind w:left="-134"/>
              <w:jc w:val="center"/>
              <w:rPr>
                <w:rFonts w:ascii="宋体" w:hAnsi="宋体" w:cs="宋体"/>
                <w:color w:val="auto"/>
                <w:szCs w:val="21"/>
                <w:highlight w:val="none"/>
              </w:rPr>
            </w:pPr>
          </w:p>
        </w:tc>
        <w:tc>
          <w:tcPr>
            <w:tcW w:w="1326" w:type="dxa"/>
            <w:tcBorders>
              <w:top w:val="single" w:color="auto" w:sz="4" w:space="0"/>
              <w:left w:val="single" w:color="auto" w:sz="4" w:space="0"/>
              <w:bottom w:val="single" w:color="auto" w:sz="4" w:space="0"/>
              <w:right w:val="single" w:color="auto" w:sz="4" w:space="0"/>
            </w:tcBorders>
          </w:tcPr>
          <w:p w14:paraId="68944C41">
            <w:pPr>
              <w:snapToGrid w:val="0"/>
              <w:spacing w:before="120" w:beforeLines="50"/>
              <w:ind w:left="-134"/>
              <w:jc w:val="center"/>
              <w:rPr>
                <w:rFonts w:ascii="宋体" w:hAnsi="宋体" w:cs="宋体"/>
                <w:color w:val="auto"/>
                <w:szCs w:val="21"/>
                <w:highlight w:val="none"/>
              </w:rPr>
            </w:pPr>
          </w:p>
        </w:tc>
      </w:tr>
      <w:tr w14:paraId="01C56B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2637" w:type="dxa"/>
            <w:tcBorders>
              <w:top w:val="single" w:color="auto" w:sz="4" w:space="0"/>
              <w:left w:val="single" w:color="auto" w:sz="4" w:space="0"/>
              <w:bottom w:val="single" w:color="auto" w:sz="4" w:space="0"/>
              <w:right w:val="single" w:color="auto" w:sz="4" w:space="0"/>
            </w:tcBorders>
            <w:vAlign w:val="center"/>
          </w:tcPr>
          <w:p w14:paraId="72C54F1C">
            <w:pPr>
              <w:snapToGrid w:val="0"/>
              <w:spacing w:line="360" w:lineRule="exact"/>
              <w:jc w:val="center"/>
              <w:rPr>
                <w:rFonts w:ascii="宋体" w:hAnsi="宋体" w:cs="宋体"/>
                <w:color w:val="auto"/>
                <w:szCs w:val="21"/>
                <w:highlight w:val="none"/>
              </w:rPr>
            </w:pPr>
          </w:p>
        </w:tc>
        <w:tc>
          <w:tcPr>
            <w:tcW w:w="2977" w:type="dxa"/>
            <w:tcBorders>
              <w:top w:val="single" w:color="auto" w:sz="4" w:space="0"/>
              <w:left w:val="single" w:color="auto" w:sz="4" w:space="0"/>
              <w:bottom w:val="single" w:color="auto" w:sz="4" w:space="0"/>
              <w:right w:val="single" w:color="auto" w:sz="4" w:space="0"/>
            </w:tcBorders>
          </w:tcPr>
          <w:p w14:paraId="46B9542D">
            <w:pPr>
              <w:snapToGrid w:val="0"/>
              <w:spacing w:before="120" w:beforeLines="50"/>
              <w:jc w:val="center"/>
              <w:rPr>
                <w:rFonts w:ascii="宋体" w:hAnsi="宋体" w:cs="宋体"/>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tcPr>
          <w:p w14:paraId="2964C593">
            <w:pPr>
              <w:snapToGrid w:val="0"/>
              <w:spacing w:before="120" w:beforeLines="50"/>
              <w:jc w:val="center"/>
              <w:rPr>
                <w:rFonts w:ascii="宋体" w:hAnsi="宋体" w:cs="宋体"/>
                <w:color w:val="auto"/>
                <w:szCs w:val="21"/>
                <w:highlight w:val="none"/>
              </w:rPr>
            </w:pPr>
          </w:p>
        </w:tc>
        <w:tc>
          <w:tcPr>
            <w:tcW w:w="1326" w:type="dxa"/>
            <w:tcBorders>
              <w:top w:val="single" w:color="auto" w:sz="4" w:space="0"/>
              <w:left w:val="single" w:color="auto" w:sz="4" w:space="0"/>
              <w:bottom w:val="single" w:color="auto" w:sz="4" w:space="0"/>
              <w:right w:val="single" w:color="auto" w:sz="4" w:space="0"/>
            </w:tcBorders>
          </w:tcPr>
          <w:p w14:paraId="231F1ABF">
            <w:pPr>
              <w:snapToGrid w:val="0"/>
              <w:spacing w:before="120" w:beforeLines="50"/>
              <w:jc w:val="center"/>
              <w:rPr>
                <w:rFonts w:ascii="宋体" w:hAnsi="宋体" w:cs="宋体"/>
                <w:color w:val="auto"/>
                <w:szCs w:val="21"/>
                <w:highlight w:val="none"/>
              </w:rPr>
            </w:pPr>
          </w:p>
        </w:tc>
      </w:tr>
    </w:tbl>
    <w:p w14:paraId="430CC03F">
      <w:pPr>
        <w:pStyle w:val="18"/>
        <w:ind w:firstLine="527"/>
        <w:rPr>
          <w:rFonts w:ascii="宋体" w:hAnsi="宋体" w:cs="宋体"/>
          <w:color w:val="auto"/>
          <w:sz w:val="21"/>
          <w:szCs w:val="21"/>
          <w:highlight w:val="none"/>
        </w:rPr>
      </w:pPr>
      <w:r>
        <w:rPr>
          <w:rFonts w:hint="eastAsia" w:ascii="宋体" w:hAnsi="宋体" w:cs="宋体"/>
          <w:color w:val="auto"/>
          <w:sz w:val="21"/>
          <w:szCs w:val="21"/>
          <w:highlight w:val="none"/>
        </w:rPr>
        <w:t>注：</w:t>
      </w:r>
    </w:p>
    <w:p w14:paraId="69732032">
      <w:pPr>
        <w:pStyle w:val="20"/>
        <w:spacing w:line="520" w:lineRule="exact"/>
        <w:ind w:firstLine="0" w:firstLineChars="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 说明：应对照招标文件“第二章 采购需求”中的商务要求逐条作明确的投标响应，并作出偏离说明。</w:t>
      </w:r>
    </w:p>
    <w:p w14:paraId="199B8A43">
      <w:pPr>
        <w:pStyle w:val="18"/>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2.投标人应根据自身的承诺，对照招标文件要求在“偏离说明”中注明“</w:t>
      </w:r>
      <w:r>
        <w:rPr>
          <w:rFonts w:hint="eastAsia" w:ascii="宋体" w:hAnsi="宋体" w:cs="宋体"/>
          <w:color w:val="auto"/>
          <w:sz w:val="21"/>
          <w:szCs w:val="21"/>
          <w:highlight w:val="none"/>
        </w:rPr>
        <w:t>正偏离</w:t>
      </w:r>
      <w:r>
        <w:rPr>
          <w:rFonts w:hint="eastAsia" w:ascii="宋体" w:hAnsi="宋体" w:cs="宋体"/>
          <w:b w:val="0"/>
          <w:bCs w:val="0"/>
          <w:color w:val="auto"/>
          <w:sz w:val="21"/>
          <w:szCs w:val="21"/>
          <w:highlight w:val="none"/>
        </w:rPr>
        <w:t>”、“</w:t>
      </w:r>
      <w:r>
        <w:rPr>
          <w:rFonts w:hint="eastAsia" w:ascii="宋体" w:hAnsi="宋体" w:cs="宋体"/>
          <w:color w:val="auto"/>
          <w:sz w:val="21"/>
          <w:szCs w:val="21"/>
          <w:highlight w:val="none"/>
        </w:rPr>
        <w:t>负偏离</w:t>
      </w:r>
      <w:r>
        <w:rPr>
          <w:rFonts w:hint="eastAsia" w:ascii="宋体" w:hAnsi="宋体" w:cs="宋体"/>
          <w:b w:val="0"/>
          <w:bCs w:val="0"/>
          <w:color w:val="auto"/>
          <w:sz w:val="21"/>
          <w:szCs w:val="21"/>
          <w:highlight w:val="none"/>
        </w:rPr>
        <w:t>”或者“</w:t>
      </w:r>
      <w:r>
        <w:rPr>
          <w:rFonts w:hint="eastAsia" w:ascii="宋体" w:hAnsi="宋体" w:cs="宋体"/>
          <w:color w:val="auto"/>
          <w:sz w:val="21"/>
          <w:szCs w:val="21"/>
          <w:highlight w:val="none"/>
        </w:rPr>
        <w:t>无偏离</w:t>
      </w:r>
      <w:r>
        <w:rPr>
          <w:rFonts w:hint="eastAsia" w:ascii="宋体" w:hAnsi="宋体" w:cs="宋体"/>
          <w:b w:val="0"/>
          <w:bCs w:val="0"/>
          <w:color w:val="auto"/>
          <w:sz w:val="21"/>
          <w:szCs w:val="21"/>
          <w:highlight w:val="none"/>
        </w:rPr>
        <w:t>”。既不属于“</w:t>
      </w:r>
      <w:r>
        <w:rPr>
          <w:rFonts w:hint="eastAsia" w:ascii="宋体" w:hAnsi="宋体" w:cs="宋体"/>
          <w:color w:val="auto"/>
          <w:sz w:val="21"/>
          <w:szCs w:val="21"/>
          <w:highlight w:val="none"/>
        </w:rPr>
        <w:t>正偏离</w:t>
      </w:r>
      <w:r>
        <w:rPr>
          <w:rFonts w:hint="eastAsia" w:ascii="宋体" w:hAnsi="宋体" w:cs="宋体"/>
          <w:b w:val="0"/>
          <w:bCs w:val="0"/>
          <w:color w:val="auto"/>
          <w:sz w:val="21"/>
          <w:szCs w:val="21"/>
          <w:highlight w:val="none"/>
        </w:rPr>
        <w:t>”也不属于“</w:t>
      </w:r>
      <w:r>
        <w:rPr>
          <w:rFonts w:hint="eastAsia" w:ascii="宋体" w:hAnsi="宋体" w:cs="宋体"/>
          <w:color w:val="auto"/>
          <w:sz w:val="21"/>
          <w:szCs w:val="21"/>
          <w:highlight w:val="none"/>
        </w:rPr>
        <w:t>负偏离</w:t>
      </w:r>
      <w:r>
        <w:rPr>
          <w:rFonts w:hint="eastAsia" w:ascii="宋体" w:hAnsi="宋体" w:cs="宋体"/>
          <w:b w:val="0"/>
          <w:bCs w:val="0"/>
          <w:color w:val="auto"/>
          <w:sz w:val="21"/>
          <w:szCs w:val="21"/>
          <w:highlight w:val="none"/>
        </w:rPr>
        <w:t>”即为“</w:t>
      </w:r>
      <w:r>
        <w:rPr>
          <w:rFonts w:hint="eastAsia" w:ascii="宋体" w:hAnsi="宋体" w:cs="宋体"/>
          <w:color w:val="auto"/>
          <w:sz w:val="21"/>
          <w:szCs w:val="21"/>
          <w:highlight w:val="none"/>
        </w:rPr>
        <w:t>无偏离</w:t>
      </w:r>
      <w:r>
        <w:rPr>
          <w:rFonts w:hint="eastAsia" w:ascii="宋体" w:hAnsi="宋体" w:cs="宋体"/>
          <w:b w:val="0"/>
          <w:bCs w:val="0"/>
          <w:color w:val="auto"/>
          <w:sz w:val="21"/>
          <w:szCs w:val="21"/>
          <w:highlight w:val="none"/>
        </w:rPr>
        <w:t>”。</w:t>
      </w:r>
    </w:p>
    <w:p w14:paraId="24D7C420">
      <w:pPr>
        <w:snapToGrid w:val="0"/>
        <w:spacing w:before="50" w:after="50"/>
        <w:rPr>
          <w:rFonts w:ascii="宋体" w:hAnsi="宋体" w:cs="宋体"/>
          <w:color w:val="auto"/>
          <w:szCs w:val="21"/>
          <w:highlight w:val="none"/>
        </w:rPr>
      </w:pPr>
    </w:p>
    <w:p w14:paraId="6D823152">
      <w:pPr>
        <w:snapToGrid w:val="0"/>
        <w:spacing w:before="50" w:after="50"/>
        <w:rPr>
          <w:rFonts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（签字/电子签名）：</w:t>
      </w:r>
      <w:r>
        <w:rPr>
          <w:rFonts w:hint="eastAsia" w:ascii="宋体" w:hAnsi="宋体" w:cs="宋体"/>
          <w:color w:val="auto"/>
          <w:spacing w:val="20"/>
          <w:szCs w:val="21"/>
          <w:highlight w:val="none"/>
          <w:u w:val="single"/>
        </w:rPr>
        <w:t xml:space="preserve">        </w:t>
      </w:r>
    </w:p>
    <w:p w14:paraId="2E13BB35">
      <w:pPr>
        <w:snapToGrid w:val="0"/>
        <w:spacing w:before="120" w:beforeLines="50"/>
        <w:ind w:firstLine="625"/>
        <w:rPr>
          <w:rFonts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1C0B5AC3">
      <w:pPr>
        <w:snapToGrid w:val="0"/>
        <w:spacing w:before="120" w:beforeLines="50"/>
        <w:ind w:firstLine="625"/>
        <w:rPr>
          <w:rFonts w:ascii="宋体" w:hAnsi="宋体" w:cs="宋体"/>
          <w:color w:val="auto"/>
          <w:szCs w:val="21"/>
          <w:highlight w:val="none"/>
        </w:rPr>
      </w:pPr>
      <w:r>
        <w:rPr>
          <w:rFonts w:hint="eastAsia" w:ascii="宋体" w:hAnsi="宋体" w:cs="宋体"/>
          <w:color w:val="auto"/>
          <w:spacing w:val="20"/>
          <w:szCs w:val="21"/>
          <w:highlight w:val="none"/>
        </w:rPr>
        <w:t>日  期：</w:t>
      </w:r>
      <w:r>
        <w:rPr>
          <w:rFonts w:hint="eastAsia" w:ascii="宋体" w:hAnsi="宋体" w:cs="宋体"/>
          <w:color w:val="auto"/>
          <w:spacing w:val="20"/>
          <w:szCs w:val="21"/>
          <w:highlight w:val="none"/>
          <w:u w:val="single"/>
        </w:rPr>
        <w:t xml:space="preserve">         </w:t>
      </w:r>
    </w:p>
    <w:p w14:paraId="2E3B8D09">
      <w:pPr>
        <w:snapToGrid w:val="0"/>
        <w:spacing w:before="120" w:beforeLines="50"/>
        <w:rPr>
          <w:rFonts w:ascii="宋体" w:hAnsi="宋体" w:cs="宋体"/>
          <w:color w:val="auto"/>
          <w:szCs w:val="21"/>
          <w:highlight w:val="none"/>
        </w:rPr>
      </w:pPr>
    </w:p>
    <w:p w14:paraId="30592FA2">
      <w:pPr>
        <w:snapToGrid w:val="0"/>
        <w:spacing w:before="120" w:beforeLines="50" w:after="50"/>
        <w:ind w:firstLine="600"/>
        <w:jc w:val="left"/>
        <w:rPr>
          <w:rFonts w:ascii="宋体" w:hAnsi="宋体" w:cs="宋体"/>
          <w:color w:val="auto"/>
          <w:sz w:val="24"/>
          <w:szCs w:val="20"/>
          <w:highlight w:val="none"/>
        </w:rPr>
      </w:pPr>
    </w:p>
    <w:p w14:paraId="2FECB75D">
      <w:pPr>
        <w:snapToGrid w:val="0"/>
        <w:spacing w:before="120" w:beforeLines="50" w:after="50"/>
        <w:ind w:firstLine="600"/>
        <w:jc w:val="left"/>
        <w:rPr>
          <w:rFonts w:ascii="宋体" w:hAnsi="宋体" w:cs="宋体"/>
          <w:b/>
          <w:color w:val="auto"/>
          <w:sz w:val="24"/>
          <w:highlight w:val="none"/>
        </w:rPr>
      </w:pPr>
      <w:r>
        <w:rPr>
          <w:rFonts w:hint="eastAsia" w:ascii="宋体" w:hAnsi="宋体" w:cs="宋体"/>
          <w:color w:val="auto"/>
          <w:sz w:val="24"/>
          <w:szCs w:val="20"/>
          <w:highlight w:val="none"/>
        </w:rPr>
        <w:br w:type="page"/>
      </w:r>
      <w:r>
        <w:rPr>
          <w:rFonts w:hint="eastAsia" w:ascii="宋体" w:hAnsi="宋体" w:cs="宋体"/>
          <w:b/>
          <w:color w:val="auto"/>
          <w:sz w:val="24"/>
          <w:highlight w:val="none"/>
        </w:rPr>
        <w:t>7.投标人业绩证明材料</w:t>
      </w:r>
    </w:p>
    <w:p w14:paraId="086867CF">
      <w:pPr>
        <w:pStyle w:val="37"/>
        <w:snapToGrid w:val="0"/>
        <w:ind w:left="420" w:hanging="420"/>
        <w:rPr>
          <w:rFonts w:ascii="宋体" w:hAnsi="宋体" w:cs="宋体"/>
          <w:color w:val="auto"/>
          <w:sz w:val="21"/>
          <w:szCs w:val="21"/>
          <w:highlight w:val="none"/>
        </w:rPr>
      </w:pPr>
    </w:p>
    <w:p w14:paraId="08746C08">
      <w:pPr>
        <w:pStyle w:val="37"/>
        <w:snapToGrid w:val="0"/>
        <w:ind w:left="420" w:hanging="420"/>
        <w:rPr>
          <w:rFonts w:ascii="宋体" w:hAnsi="宋体" w:cs="宋体"/>
          <w:color w:val="auto"/>
          <w:sz w:val="21"/>
          <w:szCs w:val="21"/>
          <w:highlight w:val="none"/>
        </w:rPr>
      </w:pPr>
      <w:r>
        <w:rPr>
          <w:rFonts w:hint="eastAsia" w:ascii="宋体" w:hAnsi="宋体" w:cs="宋体"/>
          <w:color w:val="auto"/>
          <w:sz w:val="21"/>
          <w:szCs w:val="21"/>
          <w:highlight w:val="none"/>
        </w:rPr>
        <w:t xml:space="preserve">投标人业绩情况一览表格式： </w:t>
      </w:r>
    </w:p>
    <w:tbl>
      <w:tblPr>
        <w:tblStyle w:val="5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3"/>
        <w:gridCol w:w="1770"/>
        <w:gridCol w:w="1770"/>
        <w:gridCol w:w="2855"/>
      </w:tblGrid>
      <w:tr w14:paraId="3E41E5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133" w:type="dxa"/>
            <w:vMerge w:val="restart"/>
            <w:tcBorders>
              <w:top w:val="single" w:color="auto" w:sz="4" w:space="0"/>
              <w:left w:val="single" w:color="auto" w:sz="4" w:space="0"/>
              <w:bottom w:val="single" w:color="auto" w:sz="4" w:space="0"/>
              <w:right w:val="single" w:color="auto" w:sz="4" w:space="0"/>
            </w:tcBorders>
            <w:vAlign w:val="center"/>
          </w:tcPr>
          <w:p w14:paraId="1D70C91E">
            <w:pPr>
              <w:snapToGrid w:val="0"/>
              <w:spacing w:line="240" w:lineRule="exact"/>
              <w:jc w:val="center"/>
              <w:rPr>
                <w:rFonts w:ascii="宋体" w:hAnsi="宋体" w:cs="宋体"/>
                <w:color w:val="auto"/>
                <w:szCs w:val="21"/>
                <w:highlight w:val="none"/>
              </w:rPr>
            </w:pPr>
            <w:r>
              <w:rPr>
                <w:rFonts w:hint="eastAsia" w:ascii="宋体" w:hAnsi="宋体" w:cs="宋体"/>
                <w:color w:val="auto"/>
                <w:szCs w:val="21"/>
                <w:highlight w:val="none"/>
              </w:rPr>
              <w:t>采购人名称</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14:paraId="35B7BFA1">
            <w:pPr>
              <w:snapToGrid w:val="0"/>
              <w:spacing w:line="240" w:lineRule="exact"/>
              <w:jc w:val="center"/>
              <w:rPr>
                <w:rFonts w:ascii="宋体" w:hAnsi="宋体" w:cs="宋体"/>
                <w:color w:val="auto"/>
                <w:szCs w:val="21"/>
                <w:highlight w:val="none"/>
              </w:rPr>
            </w:pPr>
            <w:r>
              <w:rPr>
                <w:rFonts w:hint="eastAsia" w:ascii="宋体" w:hAnsi="宋体" w:cs="宋体"/>
                <w:color w:val="auto"/>
                <w:szCs w:val="21"/>
                <w:highlight w:val="none"/>
              </w:rPr>
              <w:t>项目名称</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14:paraId="33F44DC5">
            <w:pPr>
              <w:snapToGrid w:val="0"/>
              <w:spacing w:line="240" w:lineRule="exact"/>
              <w:jc w:val="center"/>
              <w:rPr>
                <w:rFonts w:ascii="宋体" w:hAnsi="宋体" w:cs="宋体"/>
                <w:color w:val="auto"/>
                <w:szCs w:val="21"/>
                <w:highlight w:val="none"/>
              </w:rPr>
            </w:pPr>
            <w:r>
              <w:rPr>
                <w:rFonts w:hint="eastAsia" w:ascii="宋体" w:hAnsi="宋体" w:cs="宋体"/>
                <w:color w:val="auto"/>
                <w:szCs w:val="21"/>
                <w:highlight w:val="none"/>
              </w:rPr>
              <w:t>合同金额</w:t>
            </w:r>
          </w:p>
          <w:p w14:paraId="2B086B0D">
            <w:pPr>
              <w:snapToGrid w:val="0"/>
              <w:spacing w:line="240" w:lineRule="exact"/>
              <w:jc w:val="center"/>
              <w:rPr>
                <w:rFonts w:ascii="宋体" w:hAnsi="宋体" w:cs="宋体"/>
                <w:color w:val="auto"/>
                <w:szCs w:val="21"/>
                <w:highlight w:val="none"/>
              </w:rPr>
            </w:pPr>
            <w:r>
              <w:rPr>
                <w:rFonts w:hint="eastAsia" w:ascii="宋体" w:hAnsi="宋体" w:cs="宋体"/>
                <w:color w:val="auto"/>
                <w:szCs w:val="21"/>
                <w:highlight w:val="none"/>
              </w:rPr>
              <w:t>（万元）</w:t>
            </w:r>
          </w:p>
        </w:tc>
        <w:tc>
          <w:tcPr>
            <w:tcW w:w="2855" w:type="dxa"/>
            <w:vMerge w:val="restart"/>
            <w:tcBorders>
              <w:top w:val="single" w:color="auto" w:sz="4" w:space="0"/>
              <w:left w:val="single" w:color="auto" w:sz="4" w:space="0"/>
              <w:bottom w:val="single" w:color="auto" w:sz="4" w:space="0"/>
              <w:right w:val="single" w:color="auto" w:sz="4" w:space="0"/>
            </w:tcBorders>
            <w:vAlign w:val="center"/>
          </w:tcPr>
          <w:p w14:paraId="0B2B9BAC">
            <w:pPr>
              <w:snapToGrid w:val="0"/>
              <w:spacing w:line="240" w:lineRule="exact"/>
              <w:jc w:val="center"/>
              <w:rPr>
                <w:rFonts w:ascii="宋体" w:hAnsi="宋体" w:cs="宋体"/>
                <w:color w:val="auto"/>
                <w:szCs w:val="21"/>
                <w:highlight w:val="none"/>
              </w:rPr>
            </w:pPr>
            <w:r>
              <w:rPr>
                <w:rFonts w:hint="eastAsia" w:ascii="宋体" w:hAnsi="宋体" w:cs="宋体"/>
                <w:color w:val="auto"/>
                <w:szCs w:val="21"/>
                <w:highlight w:val="none"/>
              </w:rPr>
              <w:t>采购人联系人及</w:t>
            </w:r>
          </w:p>
          <w:p w14:paraId="67C34305">
            <w:pPr>
              <w:snapToGrid w:val="0"/>
              <w:spacing w:line="240" w:lineRule="exact"/>
              <w:jc w:val="center"/>
              <w:rPr>
                <w:rFonts w:ascii="宋体" w:hAnsi="宋体" w:cs="宋体"/>
                <w:color w:val="auto"/>
                <w:szCs w:val="21"/>
                <w:highlight w:val="none"/>
              </w:rPr>
            </w:pPr>
            <w:r>
              <w:rPr>
                <w:rFonts w:hint="eastAsia" w:ascii="宋体" w:hAnsi="宋体" w:cs="宋体"/>
                <w:color w:val="auto"/>
                <w:szCs w:val="21"/>
                <w:highlight w:val="none"/>
              </w:rPr>
              <w:t>联系电话</w:t>
            </w:r>
          </w:p>
        </w:tc>
      </w:tr>
      <w:tr w14:paraId="236876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133" w:type="dxa"/>
            <w:vMerge w:val="continue"/>
            <w:tcBorders>
              <w:top w:val="single" w:color="auto" w:sz="4" w:space="0"/>
              <w:left w:val="single" w:color="auto" w:sz="4" w:space="0"/>
              <w:bottom w:val="single" w:color="auto" w:sz="4" w:space="0"/>
              <w:right w:val="single" w:color="auto" w:sz="4" w:space="0"/>
            </w:tcBorders>
            <w:vAlign w:val="center"/>
          </w:tcPr>
          <w:p w14:paraId="4787BFDE">
            <w:pPr>
              <w:jc w:val="left"/>
              <w:rPr>
                <w:rFonts w:ascii="宋体" w:hAnsi="宋体" w:cs="宋体"/>
                <w:color w:val="auto"/>
                <w:szCs w:val="21"/>
                <w:highlight w:val="none"/>
              </w:rPr>
            </w:pPr>
          </w:p>
        </w:tc>
        <w:tc>
          <w:tcPr>
            <w:tcW w:w="1770" w:type="dxa"/>
            <w:vMerge w:val="continue"/>
            <w:tcBorders>
              <w:top w:val="single" w:color="auto" w:sz="4" w:space="0"/>
              <w:left w:val="single" w:color="auto" w:sz="4" w:space="0"/>
              <w:bottom w:val="single" w:color="auto" w:sz="4" w:space="0"/>
              <w:right w:val="single" w:color="auto" w:sz="4" w:space="0"/>
            </w:tcBorders>
            <w:vAlign w:val="center"/>
          </w:tcPr>
          <w:p w14:paraId="1671780C">
            <w:pPr>
              <w:jc w:val="left"/>
              <w:rPr>
                <w:rFonts w:ascii="宋体" w:hAnsi="宋体" w:cs="宋体"/>
                <w:color w:val="auto"/>
                <w:szCs w:val="21"/>
                <w:highlight w:val="none"/>
              </w:rPr>
            </w:pPr>
          </w:p>
        </w:tc>
        <w:tc>
          <w:tcPr>
            <w:tcW w:w="1770" w:type="dxa"/>
            <w:vMerge w:val="continue"/>
            <w:tcBorders>
              <w:top w:val="single" w:color="auto" w:sz="4" w:space="0"/>
              <w:left w:val="single" w:color="auto" w:sz="4" w:space="0"/>
              <w:bottom w:val="single" w:color="auto" w:sz="4" w:space="0"/>
              <w:right w:val="single" w:color="auto" w:sz="4" w:space="0"/>
            </w:tcBorders>
            <w:vAlign w:val="center"/>
          </w:tcPr>
          <w:p w14:paraId="552A5EC4">
            <w:pPr>
              <w:jc w:val="left"/>
              <w:rPr>
                <w:rFonts w:ascii="宋体" w:hAnsi="宋体" w:cs="宋体"/>
                <w:color w:val="auto"/>
                <w:szCs w:val="21"/>
                <w:highlight w:val="none"/>
              </w:rPr>
            </w:pPr>
          </w:p>
        </w:tc>
        <w:tc>
          <w:tcPr>
            <w:tcW w:w="2855" w:type="dxa"/>
            <w:vMerge w:val="continue"/>
            <w:tcBorders>
              <w:top w:val="single" w:color="auto" w:sz="4" w:space="0"/>
              <w:left w:val="single" w:color="auto" w:sz="4" w:space="0"/>
              <w:bottom w:val="single" w:color="auto" w:sz="4" w:space="0"/>
              <w:right w:val="single" w:color="auto" w:sz="4" w:space="0"/>
            </w:tcBorders>
            <w:vAlign w:val="center"/>
          </w:tcPr>
          <w:p w14:paraId="2EB52967">
            <w:pPr>
              <w:jc w:val="left"/>
              <w:rPr>
                <w:rFonts w:ascii="宋体" w:hAnsi="宋体" w:cs="宋体"/>
                <w:color w:val="auto"/>
                <w:szCs w:val="21"/>
                <w:highlight w:val="none"/>
              </w:rPr>
            </w:pPr>
          </w:p>
        </w:tc>
      </w:tr>
      <w:tr w14:paraId="3BBB2F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133" w:type="dxa"/>
            <w:tcBorders>
              <w:top w:val="single" w:color="auto" w:sz="4" w:space="0"/>
              <w:left w:val="single" w:color="auto" w:sz="4" w:space="0"/>
              <w:bottom w:val="single" w:color="auto" w:sz="4" w:space="0"/>
              <w:right w:val="single" w:color="auto" w:sz="4" w:space="0"/>
            </w:tcBorders>
          </w:tcPr>
          <w:p w14:paraId="472C3B29">
            <w:pPr>
              <w:snapToGrid w:val="0"/>
              <w:spacing w:line="240" w:lineRule="exact"/>
              <w:jc w:val="left"/>
              <w:rPr>
                <w:rFonts w:ascii="宋体" w:hAnsi="宋体" w:cs="宋体"/>
                <w:color w:val="auto"/>
                <w:szCs w:val="21"/>
                <w:highlight w:val="none"/>
              </w:rPr>
            </w:pPr>
          </w:p>
        </w:tc>
        <w:tc>
          <w:tcPr>
            <w:tcW w:w="1770" w:type="dxa"/>
            <w:tcBorders>
              <w:top w:val="single" w:color="auto" w:sz="4" w:space="0"/>
              <w:left w:val="single" w:color="auto" w:sz="4" w:space="0"/>
              <w:bottom w:val="single" w:color="auto" w:sz="4" w:space="0"/>
              <w:right w:val="single" w:color="auto" w:sz="4" w:space="0"/>
            </w:tcBorders>
          </w:tcPr>
          <w:p w14:paraId="263B6500">
            <w:pPr>
              <w:snapToGrid w:val="0"/>
              <w:spacing w:line="240" w:lineRule="exact"/>
              <w:jc w:val="left"/>
              <w:rPr>
                <w:rFonts w:ascii="宋体" w:hAnsi="宋体" w:cs="宋体"/>
                <w:color w:val="auto"/>
                <w:szCs w:val="21"/>
                <w:highlight w:val="none"/>
              </w:rPr>
            </w:pPr>
          </w:p>
        </w:tc>
        <w:tc>
          <w:tcPr>
            <w:tcW w:w="1770" w:type="dxa"/>
            <w:tcBorders>
              <w:top w:val="single" w:color="auto" w:sz="4" w:space="0"/>
              <w:left w:val="single" w:color="auto" w:sz="4" w:space="0"/>
              <w:bottom w:val="single" w:color="auto" w:sz="4" w:space="0"/>
              <w:right w:val="single" w:color="auto" w:sz="4" w:space="0"/>
            </w:tcBorders>
          </w:tcPr>
          <w:p w14:paraId="5D75F256">
            <w:pPr>
              <w:snapToGrid w:val="0"/>
              <w:spacing w:line="240" w:lineRule="exact"/>
              <w:jc w:val="left"/>
              <w:rPr>
                <w:rFonts w:ascii="宋体" w:hAnsi="宋体" w:cs="宋体"/>
                <w:color w:val="auto"/>
                <w:szCs w:val="21"/>
                <w:highlight w:val="none"/>
              </w:rPr>
            </w:pPr>
          </w:p>
        </w:tc>
        <w:tc>
          <w:tcPr>
            <w:tcW w:w="2855" w:type="dxa"/>
            <w:tcBorders>
              <w:top w:val="single" w:color="auto" w:sz="4" w:space="0"/>
              <w:left w:val="single" w:color="auto" w:sz="4" w:space="0"/>
              <w:bottom w:val="single" w:color="auto" w:sz="4" w:space="0"/>
              <w:right w:val="single" w:color="auto" w:sz="4" w:space="0"/>
            </w:tcBorders>
          </w:tcPr>
          <w:p w14:paraId="7E439913">
            <w:pPr>
              <w:snapToGrid w:val="0"/>
              <w:spacing w:line="240" w:lineRule="exact"/>
              <w:jc w:val="left"/>
              <w:rPr>
                <w:rFonts w:ascii="宋体" w:hAnsi="宋体" w:cs="宋体"/>
                <w:color w:val="auto"/>
                <w:szCs w:val="21"/>
                <w:highlight w:val="none"/>
              </w:rPr>
            </w:pPr>
          </w:p>
        </w:tc>
      </w:tr>
      <w:tr w14:paraId="70A966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33" w:type="dxa"/>
            <w:tcBorders>
              <w:top w:val="single" w:color="auto" w:sz="4" w:space="0"/>
              <w:left w:val="single" w:color="auto" w:sz="4" w:space="0"/>
              <w:bottom w:val="single" w:color="auto" w:sz="4" w:space="0"/>
              <w:right w:val="single" w:color="auto" w:sz="4" w:space="0"/>
            </w:tcBorders>
          </w:tcPr>
          <w:p w14:paraId="3010DB6F">
            <w:pPr>
              <w:snapToGrid w:val="0"/>
              <w:spacing w:before="50" w:after="120" w:afterLines="50" w:line="400" w:lineRule="exact"/>
              <w:jc w:val="left"/>
              <w:rPr>
                <w:rFonts w:ascii="宋体" w:hAnsi="宋体" w:cs="宋体"/>
                <w:color w:val="auto"/>
                <w:szCs w:val="21"/>
                <w:highlight w:val="none"/>
              </w:rPr>
            </w:pPr>
          </w:p>
        </w:tc>
        <w:tc>
          <w:tcPr>
            <w:tcW w:w="1770" w:type="dxa"/>
            <w:tcBorders>
              <w:top w:val="single" w:color="auto" w:sz="4" w:space="0"/>
              <w:left w:val="single" w:color="auto" w:sz="4" w:space="0"/>
              <w:bottom w:val="single" w:color="auto" w:sz="4" w:space="0"/>
              <w:right w:val="single" w:color="auto" w:sz="4" w:space="0"/>
            </w:tcBorders>
          </w:tcPr>
          <w:p w14:paraId="6542D8F4">
            <w:pPr>
              <w:snapToGrid w:val="0"/>
              <w:spacing w:before="50" w:after="120" w:afterLines="50" w:line="400" w:lineRule="exact"/>
              <w:jc w:val="left"/>
              <w:rPr>
                <w:rFonts w:ascii="宋体" w:hAnsi="宋体" w:cs="宋体"/>
                <w:color w:val="auto"/>
                <w:szCs w:val="21"/>
                <w:highlight w:val="none"/>
              </w:rPr>
            </w:pPr>
          </w:p>
        </w:tc>
        <w:tc>
          <w:tcPr>
            <w:tcW w:w="1770" w:type="dxa"/>
            <w:tcBorders>
              <w:top w:val="single" w:color="auto" w:sz="4" w:space="0"/>
              <w:left w:val="single" w:color="auto" w:sz="4" w:space="0"/>
              <w:bottom w:val="single" w:color="auto" w:sz="4" w:space="0"/>
              <w:right w:val="single" w:color="auto" w:sz="4" w:space="0"/>
            </w:tcBorders>
          </w:tcPr>
          <w:p w14:paraId="27BCEEF3">
            <w:pPr>
              <w:snapToGrid w:val="0"/>
              <w:spacing w:before="50" w:after="120" w:afterLines="50" w:line="400" w:lineRule="exact"/>
              <w:jc w:val="left"/>
              <w:rPr>
                <w:rFonts w:ascii="宋体" w:hAnsi="宋体" w:cs="宋体"/>
                <w:color w:val="auto"/>
                <w:szCs w:val="21"/>
                <w:highlight w:val="none"/>
              </w:rPr>
            </w:pPr>
          </w:p>
        </w:tc>
        <w:tc>
          <w:tcPr>
            <w:tcW w:w="2855" w:type="dxa"/>
            <w:tcBorders>
              <w:top w:val="single" w:color="auto" w:sz="4" w:space="0"/>
              <w:left w:val="single" w:color="auto" w:sz="4" w:space="0"/>
              <w:bottom w:val="single" w:color="auto" w:sz="4" w:space="0"/>
              <w:right w:val="single" w:color="auto" w:sz="4" w:space="0"/>
            </w:tcBorders>
          </w:tcPr>
          <w:p w14:paraId="3654DBD1">
            <w:pPr>
              <w:snapToGrid w:val="0"/>
              <w:spacing w:before="50" w:after="120" w:afterLines="50" w:line="400" w:lineRule="exact"/>
              <w:jc w:val="left"/>
              <w:rPr>
                <w:rFonts w:ascii="宋体" w:hAnsi="宋体" w:cs="宋体"/>
                <w:color w:val="auto"/>
                <w:szCs w:val="21"/>
                <w:highlight w:val="none"/>
              </w:rPr>
            </w:pPr>
          </w:p>
        </w:tc>
      </w:tr>
      <w:tr w14:paraId="110732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133" w:type="dxa"/>
            <w:tcBorders>
              <w:top w:val="single" w:color="auto" w:sz="4" w:space="0"/>
              <w:left w:val="single" w:color="auto" w:sz="4" w:space="0"/>
              <w:bottom w:val="single" w:color="auto" w:sz="4" w:space="0"/>
              <w:right w:val="single" w:color="auto" w:sz="4" w:space="0"/>
            </w:tcBorders>
          </w:tcPr>
          <w:p w14:paraId="6A68A192">
            <w:pPr>
              <w:snapToGrid w:val="0"/>
              <w:spacing w:before="50" w:after="120" w:afterLines="50" w:line="400" w:lineRule="exact"/>
              <w:jc w:val="left"/>
              <w:rPr>
                <w:rFonts w:ascii="宋体" w:hAnsi="宋体" w:cs="宋体"/>
                <w:color w:val="auto"/>
                <w:szCs w:val="21"/>
                <w:highlight w:val="none"/>
              </w:rPr>
            </w:pPr>
          </w:p>
        </w:tc>
        <w:tc>
          <w:tcPr>
            <w:tcW w:w="1770" w:type="dxa"/>
            <w:tcBorders>
              <w:top w:val="single" w:color="auto" w:sz="4" w:space="0"/>
              <w:left w:val="single" w:color="auto" w:sz="4" w:space="0"/>
              <w:bottom w:val="single" w:color="auto" w:sz="4" w:space="0"/>
              <w:right w:val="single" w:color="auto" w:sz="4" w:space="0"/>
            </w:tcBorders>
          </w:tcPr>
          <w:p w14:paraId="63C64E6E">
            <w:pPr>
              <w:snapToGrid w:val="0"/>
              <w:spacing w:before="50" w:after="120" w:afterLines="50" w:line="400" w:lineRule="exact"/>
              <w:jc w:val="left"/>
              <w:rPr>
                <w:rFonts w:ascii="宋体" w:hAnsi="宋体" w:cs="宋体"/>
                <w:color w:val="auto"/>
                <w:szCs w:val="21"/>
                <w:highlight w:val="none"/>
              </w:rPr>
            </w:pPr>
          </w:p>
        </w:tc>
        <w:tc>
          <w:tcPr>
            <w:tcW w:w="1770" w:type="dxa"/>
            <w:tcBorders>
              <w:top w:val="single" w:color="auto" w:sz="4" w:space="0"/>
              <w:left w:val="single" w:color="auto" w:sz="4" w:space="0"/>
              <w:bottom w:val="single" w:color="auto" w:sz="4" w:space="0"/>
              <w:right w:val="single" w:color="auto" w:sz="4" w:space="0"/>
            </w:tcBorders>
          </w:tcPr>
          <w:p w14:paraId="57B30B3C">
            <w:pPr>
              <w:snapToGrid w:val="0"/>
              <w:spacing w:before="50" w:after="120" w:afterLines="50" w:line="400" w:lineRule="exact"/>
              <w:jc w:val="left"/>
              <w:rPr>
                <w:rFonts w:ascii="宋体" w:hAnsi="宋体" w:cs="宋体"/>
                <w:color w:val="auto"/>
                <w:szCs w:val="21"/>
                <w:highlight w:val="none"/>
              </w:rPr>
            </w:pPr>
          </w:p>
        </w:tc>
        <w:tc>
          <w:tcPr>
            <w:tcW w:w="2855" w:type="dxa"/>
            <w:tcBorders>
              <w:top w:val="single" w:color="auto" w:sz="4" w:space="0"/>
              <w:left w:val="single" w:color="auto" w:sz="4" w:space="0"/>
              <w:bottom w:val="single" w:color="auto" w:sz="4" w:space="0"/>
              <w:right w:val="single" w:color="auto" w:sz="4" w:space="0"/>
            </w:tcBorders>
          </w:tcPr>
          <w:p w14:paraId="22DC8780">
            <w:pPr>
              <w:snapToGrid w:val="0"/>
              <w:spacing w:before="50" w:after="120" w:afterLines="50" w:line="400" w:lineRule="exact"/>
              <w:jc w:val="left"/>
              <w:rPr>
                <w:rFonts w:ascii="宋体" w:hAnsi="宋体" w:cs="宋体"/>
                <w:color w:val="auto"/>
                <w:szCs w:val="21"/>
                <w:highlight w:val="none"/>
              </w:rPr>
            </w:pPr>
          </w:p>
        </w:tc>
      </w:tr>
      <w:tr w14:paraId="64946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33" w:type="dxa"/>
            <w:tcBorders>
              <w:top w:val="single" w:color="auto" w:sz="4" w:space="0"/>
              <w:left w:val="single" w:color="auto" w:sz="4" w:space="0"/>
              <w:bottom w:val="single" w:color="auto" w:sz="4" w:space="0"/>
              <w:right w:val="single" w:color="auto" w:sz="4" w:space="0"/>
            </w:tcBorders>
          </w:tcPr>
          <w:p w14:paraId="226C3F02">
            <w:pPr>
              <w:snapToGrid w:val="0"/>
              <w:spacing w:before="50" w:after="120" w:afterLines="50" w:line="400" w:lineRule="exact"/>
              <w:jc w:val="left"/>
              <w:rPr>
                <w:rFonts w:ascii="宋体" w:hAnsi="宋体" w:cs="宋体"/>
                <w:color w:val="auto"/>
                <w:szCs w:val="21"/>
                <w:highlight w:val="none"/>
              </w:rPr>
            </w:pPr>
          </w:p>
        </w:tc>
        <w:tc>
          <w:tcPr>
            <w:tcW w:w="1770" w:type="dxa"/>
            <w:tcBorders>
              <w:top w:val="single" w:color="auto" w:sz="4" w:space="0"/>
              <w:left w:val="single" w:color="auto" w:sz="4" w:space="0"/>
              <w:bottom w:val="single" w:color="auto" w:sz="4" w:space="0"/>
              <w:right w:val="single" w:color="auto" w:sz="4" w:space="0"/>
            </w:tcBorders>
          </w:tcPr>
          <w:p w14:paraId="02573068">
            <w:pPr>
              <w:snapToGrid w:val="0"/>
              <w:spacing w:before="50" w:after="120" w:afterLines="50" w:line="400" w:lineRule="exact"/>
              <w:jc w:val="left"/>
              <w:rPr>
                <w:rFonts w:ascii="宋体" w:hAnsi="宋体" w:cs="宋体"/>
                <w:color w:val="auto"/>
                <w:szCs w:val="21"/>
                <w:highlight w:val="none"/>
              </w:rPr>
            </w:pPr>
          </w:p>
        </w:tc>
        <w:tc>
          <w:tcPr>
            <w:tcW w:w="1770" w:type="dxa"/>
            <w:tcBorders>
              <w:top w:val="single" w:color="auto" w:sz="4" w:space="0"/>
              <w:left w:val="single" w:color="auto" w:sz="4" w:space="0"/>
              <w:bottom w:val="single" w:color="auto" w:sz="4" w:space="0"/>
              <w:right w:val="single" w:color="auto" w:sz="4" w:space="0"/>
            </w:tcBorders>
          </w:tcPr>
          <w:p w14:paraId="1F562A42">
            <w:pPr>
              <w:snapToGrid w:val="0"/>
              <w:spacing w:before="50" w:after="120" w:afterLines="50" w:line="400" w:lineRule="exact"/>
              <w:jc w:val="left"/>
              <w:rPr>
                <w:rFonts w:ascii="宋体" w:hAnsi="宋体" w:cs="宋体"/>
                <w:color w:val="auto"/>
                <w:szCs w:val="21"/>
                <w:highlight w:val="none"/>
              </w:rPr>
            </w:pPr>
          </w:p>
        </w:tc>
        <w:tc>
          <w:tcPr>
            <w:tcW w:w="2855" w:type="dxa"/>
            <w:tcBorders>
              <w:top w:val="single" w:color="auto" w:sz="4" w:space="0"/>
              <w:left w:val="single" w:color="auto" w:sz="4" w:space="0"/>
              <w:bottom w:val="single" w:color="auto" w:sz="4" w:space="0"/>
              <w:right w:val="single" w:color="auto" w:sz="4" w:space="0"/>
            </w:tcBorders>
          </w:tcPr>
          <w:p w14:paraId="0E6B320C">
            <w:pPr>
              <w:snapToGrid w:val="0"/>
              <w:spacing w:before="50" w:after="120" w:afterLines="50" w:line="400" w:lineRule="exact"/>
              <w:jc w:val="left"/>
              <w:rPr>
                <w:rFonts w:ascii="宋体" w:hAnsi="宋体" w:cs="宋体"/>
                <w:color w:val="auto"/>
                <w:szCs w:val="21"/>
                <w:highlight w:val="none"/>
              </w:rPr>
            </w:pPr>
          </w:p>
        </w:tc>
      </w:tr>
      <w:tr w14:paraId="725C53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33" w:type="dxa"/>
            <w:tcBorders>
              <w:top w:val="single" w:color="auto" w:sz="4" w:space="0"/>
              <w:left w:val="single" w:color="auto" w:sz="4" w:space="0"/>
              <w:bottom w:val="single" w:color="auto" w:sz="4" w:space="0"/>
              <w:right w:val="single" w:color="auto" w:sz="4" w:space="0"/>
            </w:tcBorders>
          </w:tcPr>
          <w:p w14:paraId="2001979C">
            <w:pPr>
              <w:snapToGrid w:val="0"/>
              <w:spacing w:before="50" w:after="120" w:afterLines="50" w:line="400" w:lineRule="exact"/>
              <w:jc w:val="left"/>
              <w:rPr>
                <w:rFonts w:ascii="宋体" w:hAnsi="宋体" w:cs="宋体"/>
                <w:color w:val="auto"/>
                <w:szCs w:val="21"/>
                <w:highlight w:val="none"/>
              </w:rPr>
            </w:pPr>
          </w:p>
        </w:tc>
        <w:tc>
          <w:tcPr>
            <w:tcW w:w="1770" w:type="dxa"/>
            <w:tcBorders>
              <w:top w:val="single" w:color="auto" w:sz="4" w:space="0"/>
              <w:left w:val="single" w:color="auto" w:sz="4" w:space="0"/>
              <w:bottom w:val="single" w:color="auto" w:sz="4" w:space="0"/>
              <w:right w:val="single" w:color="auto" w:sz="4" w:space="0"/>
            </w:tcBorders>
          </w:tcPr>
          <w:p w14:paraId="09BBD0D9">
            <w:pPr>
              <w:snapToGrid w:val="0"/>
              <w:spacing w:before="50" w:after="120" w:afterLines="50" w:line="400" w:lineRule="exact"/>
              <w:jc w:val="left"/>
              <w:rPr>
                <w:rFonts w:ascii="宋体" w:hAnsi="宋体" w:cs="宋体"/>
                <w:color w:val="auto"/>
                <w:szCs w:val="21"/>
                <w:highlight w:val="none"/>
              </w:rPr>
            </w:pPr>
          </w:p>
        </w:tc>
        <w:tc>
          <w:tcPr>
            <w:tcW w:w="1770" w:type="dxa"/>
            <w:tcBorders>
              <w:top w:val="single" w:color="auto" w:sz="4" w:space="0"/>
              <w:left w:val="single" w:color="auto" w:sz="4" w:space="0"/>
              <w:bottom w:val="single" w:color="auto" w:sz="4" w:space="0"/>
              <w:right w:val="single" w:color="auto" w:sz="4" w:space="0"/>
            </w:tcBorders>
          </w:tcPr>
          <w:p w14:paraId="4799DA6A">
            <w:pPr>
              <w:snapToGrid w:val="0"/>
              <w:spacing w:before="50" w:after="120" w:afterLines="50" w:line="400" w:lineRule="exact"/>
              <w:jc w:val="left"/>
              <w:rPr>
                <w:rFonts w:ascii="宋体" w:hAnsi="宋体" w:cs="宋体"/>
                <w:color w:val="auto"/>
                <w:szCs w:val="21"/>
                <w:highlight w:val="none"/>
              </w:rPr>
            </w:pPr>
          </w:p>
        </w:tc>
        <w:tc>
          <w:tcPr>
            <w:tcW w:w="2855" w:type="dxa"/>
            <w:tcBorders>
              <w:top w:val="single" w:color="auto" w:sz="4" w:space="0"/>
              <w:left w:val="single" w:color="auto" w:sz="4" w:space="0"/>
              <w:bottom w:val="single" w:color="auto" w:sz="4" w:space="0"/>
              <w:right w:val="single" w:color="auto" w:sz="4" w:space="0"/>
            </w:tcBorders>
          </w:tcPr>
          <w:p w14:paraId="431ED5C5">
            <w:pPr>
              <w:snapToGrid w:val="0"/>
              <w:spacing w:before="50" w:after="120" w:afterLines="50" w:line="400" w:lineRule="exact"/>
              <w:jc w:val="left"/>
              <w:rPr>
                <w:rFonts w:ascii="宋体" w:hAnsi="宋体" w:cs="宋体"/>
                <w:color w:val="auto"/>
                <w:szCs w:val="21"/>
                <w:highlight w:val="none"/>
              </w:rPr>
            </w:pPr>
          </w:p>
        </w:tc>
      </w:tr>
    </w:tbl>
    <w:p w14:paraId="550A2711">
      <w:pPr>
        <w:pStyle w:val="15"/>
        <w:spacing w:before="0" w:after="0" w:line="360" w:lineRule="auto"/>
        <w:contextualSpacing/>
        <w:rPr>
          <w:rFonts w:ascii="宋体" w:hAnsi="宋体" w:eastAsia="宋体" w:cs="宋体"/>
          <w:color w:val="auto"/>
          <w:sz w:val="21"/>
          <w:szCs w:val="21"/>
          <w:highlight w:val="none"/>
        </w:rPr>
      </w:pPr>
    </w:p>
    <w:p w14:paraId="4333CF08">
      <w:pPr>
        <w:pStyle w:val="15"/>
        <w:spacing w:before="0" w:after="0" w:line="360" w:lineRule="auto"/>
        <w:contextualSpacing/>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注：投标人根据评标标准具体要求附业绩证明材料。</w:t>
      </w:r>
    </w:p>
    <w:p w14:paraId="4A7692B9">
      <w:pPr>
        <w:pStyle w:val="15"/>
        <w:spacing w:before="0" w:after="0" w:line="360" w:lineRule="auto"/>
        <w:contextualSpacing/>
        <w:jc w:val="left"/>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法定代表人或者委托代理人（签字/电子签名）：</w:t>
      </w:r>
      <w:r>
        <w:rPr>
          <w:rFonts w:hint="eastAsia" w:ascii="宋体" w:hAnsi="宋体" w:eastAsia="宋体" w:cs="宋体"/>
          <w:color w:val="auto"/>
          <w:sz w:val="21"/>
          <w:szCs w:val="21"/>
          <w:highlight w:val="none"/>
          <w:u w:val="single"/>
        </w:rPr>
        <w:t>　　　　　</w:t>
      </w:r>
    </w:p>
    <w:p w14:paraId="62174361">
      <w:pPr>
        <w:spacing w:line="360" w:lineRule="auto"/>
        <w:ind w:right="480"/>
        <w:contextualSpacing/>
        <w:jc w:val="left"/>
        <w:rPr>
          <w:rFonts w:ascii="宋体" w:hAnsi="宋体" w:cs="宋体"/>
          <w:color w:val="auto"/>
          <w:szCs w:val="21"/>
          <w:highlight w:val="none"/>
        </w:rPr>
      </w:pPr>
      <w:r>
        <w:rPr>
          <w:rFonts w:hint="eastAsia" w:ascii="宋体" w:hAnsi="宋体" w:cs="宋体"/>
          <w:color w:val="auto"/>
          <w:szCs w:val="21"/>
          <w:highlight w:val="none"/>
        </w:rPr>
        <w:t xml:space="preserve">投标人名称（电子签章）：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年    月    日</w:t>
      </w:r>
    </w:p>
    <w:p w14:paraId="62F100FD">
      <w:pPr>
        <w:snapToGrid w:val="0"/>
        <w:spacing w:before="50"/>
        <w:ind w:firstLine="420" w:firstLineChars="200"/>
        <w:jc w:val="left"/>
        <w:rPr>
          <w:rFonts w:ascii="宋体" w:hAnsi="宋体" w:cs="宋体"/>
          <w:color w:val="auto"/>
          <w:szCs w:val="21"/>
          <w:highlight w:val="none"/>
        </w:rPr>
      </w:pPr>
    </w:p>
    <w:p w14:paraId="6F0FD24C">
      <w:pPr>
        <w:snapToGrid w:val="0"/>
        <w:spacing w:before="50"/>
        <w:jc w:val="left"/>
        <w:rPr>
          <w:rFonts w:ascii="宋体" w:hAnsi="宋体" w:cs="宋体"/>
          <w:color w:val="auto"/>
          <w:szCs w:val="21"/>
          <w:highlight w:val="none"/>
        </w:rPr>
      </w:pPr>
    </w:p>
    <w:p w14:paraId="7C2F659A">
      <w:pPr>
        <w:snapToGrid w:val="0"/>
        <w:spacing w:before="120" w:beforeLines="50"/>
        <w:ind w:firstLine="600"/>
        <w:rPr>
          <w:rFonts w:ascii="宋体" w:hAnsi="宋体" w:cs="宋体"/>
          <w:color w:val="auto"/>
          <w:sz w:val="24"/>
          <w:szCs w:val="20"/>
          <w:highlight w:val="none"/>
        </w:rPr>
        <w:sectPr>
          <w:pgSz w:w="11906" w:h="16838"/>
          <w:pgMar w:top="1440" w:right="1797" w:bottom="1440" w:left="1797" w:header="851" w:footer="992" w:gutter="0"/>
          <w:cols w:space="720" w:num="1"/>
          <w:docGrid w:linePitch="312" w:charSpace="0"/>
        </w:sectPr>
      </w:pPr>
    </w:p>
    <w:p w14:paraId="5F49D3D0">
      <w:pPr>
        <w:snapToGrid w:val="0"/>
        <w:spacing w:before="120" w:beforeLines="50" w:after="50"/>
        <w:ind w:left="-134" w:firstLine="602"/>
        <w:jc w:val="left"/>
        <w:rPr>
          <w:rFonts w:ascii="宋体" w:hAnsi="宋体" w:cs="宋体"/>
          <w:b/>
          <w:color w:val="auto"/>
          <w:sz w:val="24"/>
          <w:highlight w:val="none"/>
        </w:rPr>
      </w:pPr>
      <w:r>
        <w:rPr>
          <w:rFonts w:hint="eastAsia" w:ascii="宋体" w:hAnsi="宋体" w:cs="宋体"/>
          <w:b/>
          <w:color w:val="auto"/>
          <w:sz w:val="24"/>
          <w:highlight w:val="none"/>
        </w:rPr>
        <w:t>8. 设备性能配置清单格式</w:t>
      </w:r>
    </w:p>
    <w:p w14:paraId="7739059D">
      <w:pPr>
        <w:snapToGrid w:val="0"/>
        <w:spacing w:before="120" w:beforeLines="50" w:after="50"/>
        <w:ind w:left="-134" w:firstLine="602"/>
        <w:jc w:val="left"/>
        <w:rPr>
          <w:rFonts w:hint="eastAsia" w:ascii="宋体" w:hAnsi="宋体" w:eastAsia="宋体" w:cs="宋体"/>
          <w:b/>
          <w:color w:val="auto"/>
          <w:sz w:val="24"/>
          <w:szCs w:val="24"/>
          <w:highlight w:val="none"/>
          <w:lang w:eastAsia="zh-CN"/>
        </w:rPr>
      </w:pPr>
      <w:r>
        <w:rPr>
          <w:rFonts w:hint="eastAsia" w:ascii="宋体" w:hAnsi="宋体" w:cs="宋体"/>
          <w:b/>
          <w:color w:val="auto"/>
          <w:sz w:val="24"/>
          <w:szCs w:val="24"/>
          <w:highlight w:val="none"/>
          <w:lang w:val="en-US" w:eastAsia="zh-CN"/>
        </w:rPr>
        <w:t>8-1</w:t>
      </w:r>
      <w:r>
        <w:rPr>
          <w:rFonts w:hint="eastAsia" w:ascii="宋体" w:hAnsi="宋体" w:cs="宋体"/>
          <w:b/>
          <w:color w:val="auto"/>
          <w:sz w:val="24"/>
          <w:szCs w:val="24"/>
          <w:highlight w:val="none"/>
        </w:rPr>
        <w:t>设备性能配置清单</w:t>
      </w:r>
      <w:r>
        <w:rPr>
          <w:rFonts w:hint="eastAsia" w:ascii="宋体" w:hAnsi="宋体" w:cs="宋体"/>
          <w:b/>
          <w:color w:val="auto"/>
          <w:sz w:val="24"/>
          <w:szCs w:val="24"/>
          <w:highlight w:val="none"/>
          <w:lang w:eastAsia="zh-CN"/>
        </w:rPr>
        <w:t>（分标</w:t>
      </w:r>
      <w:r>
        <w:rPr>
          <w:rFonts w:hint="eastAsia" w:ascii="宋体" w:hAnsi="宋体" w:cs="宋体"/>
          <w:b/>
          <w:color w:val="auto"/>
          <w:sz w:val="24"/>
          <w:szCs w:val="24"/>
          <w:highlight w:val="none"/>
          <w:lang w:val="en-US" w:eastAsia="zh-CN"/>
        </w:rPr>
        <w:t>1、分标2、分标3-1、分标3-2、分标3-3适用</w:t>
      </w:r>
      <w:r>
        <w:rPr>
          <w:rFonts w:hint="eastAsia" w:ascii="宋体" w:hAnsi="宋体" w:cs="宋体"/>
          <w:b/>
          <w:color w:val="auto"/>
          <w:sz w:val="24"/>
          <w:szCs w:val="24"/>
          <w:highlight w:val="none"/>
          <w:lang w:eastAsia="zh-CN"/>
        </w:rPr>
        <w:t>）</w:t>
      </w:r>
    </w:p>
    <w:p w14:paraId="59765B97">
      <w:pPr>
        <w:snapToGrid w:val="0"/>
        <w:spacing w:before="120" w:beforeLines="50" w:after="50"/>
        <w:ind w:left="-134" w:firstLine="803"/>
        <w:jc w:val="center"/>
        <w:rPr>
          <w:rFonts w:ascii="宋体" w:hAnsi="宋体" w:cs="宋体"/>
          <w:b/>
          <w:color w:val="auto"/>
          <w:sz w:val="32"/>
          <w:szCs w:val="32"/>
          <w:highlight w:val="none"/>
        </w:rPr>
      </w:pPr>
    </w:p>
    <w:p w14:paraId="26D9F61E">
      <w:pPr>
        <w:pStyle w:val="27"/>
        <w:rPr>
          <w:rFonts w:hAnsi="宋体" w:cs="宋体"/>
          <w:color w:val="auto"/>
          <w:sz w:val="21"/>
          <w:highlight w:val="none"/>
        </w:rPr>
      </w:pPr>
      <w:r>
        <w:rPr>
          <w:rFonts w:hint="eastAsia" w:hAnsi="宋体" w:cs="宋体"/>
          <w:color w:val="auto"/>
          <w:sz w:val="21"/>
          <w:highlight w:val="none"/>
        </w:rPr>
        <w:t>所投分标：</w:t>
      </w:r>
      <w:r>
        <w:rPr>
          <w:rFonts w:hint="eastAsia" w:hAnsi="宋体" w:cs="宋体"/>
          <w:color w:val="auto"/>
          <w:sz w:val="21"/>
          <w:highlight w:val="none"/>
          <w:u w:val="single"/>
        </w:rPr>
        <w:t xml:space="preserve">     </w:t>
      </w:r>
      <w:r>
        <w:rPr>
          <w:rFonts w:hint="eastAsia" w:hAnsi="宋体" w:cs="宋体"/>
          <w:color w:val="auto"/>
          <w:sz w:val="21"/>
          <w:highlight w:val="none"/>
        </w:rPr>
        <w:t>分标</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187"/>
        <w:gridCol w:w="1336"/>
        <w:gridCol w:w="709"/>
        <w:gridCol w:w="1276"/>
        <w:gridCol w:w="1032"/>
        <w:gridCol w:w="858"/>
        <w:gridCol w:w="1426"/>
      </w:tblGrid>
      <w:tr w14:paraId="75D1B9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8"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1BF67719">
            <w:pPr>
              <w:snapToGrid w:val="0"/>
              <w:spacing w:before="50" w:after="50"/>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187" w:type="dxa"/>
            <w:tcBorders>
              <w:top w:val="single" w:color="auto" w:sz="4" w:space="0"/>
              <w:left w:val="single" w:color="auto" w:sz="4" w:space="0"/>
              <w:bottom w:val="single" w:color="auto" w:sz="4" w:space="0"/>
              <w:right w:val="single" w:color="auto" w:sz="4" w:space="0"/>
            </w:tcBorders>
            <w:vAlign w:val="center"/>
          </w:tcPr>
          <w:p w14:paraId="210F086C">
            <w:pPr>
              <w:snapToGrid w:val="0"/>
              <w:spacing w:before="50" w:after="50"/>
              <w:jc w:val="center"/>
              <w:rPr>
                <w:rFonts w:ascii="宋体" w:hAnsi="宋体" w:cs="宋体"/>
                <w:color w:val="auto"/>
                <w:szCs w:val="21"/>
                <w:highlight w:val="none"/>
              </w:rPr>
            </w:pPr>
            <w:r>
              <w:rPr>
                <w:rFonts w:hint="eastAsia" w:ascii="宋体" w:hAnsi="宋体" w:cs="宋体"/>
                <w:color w:val="auto"/>
                <w:szCs w:val="21"/>
                <w:highlight w:val="none"/>
              </w:rPr>
              <w:t>货物名称</w:t>
            </w:r>
          </w:p>
        </w:tc>
        <w:tc>
          <w:tcPr>
            <w:tcW w:w="1336" w:type="dxa"/>
            <w:tcBorders>
              <w:top w:val="single" w:color="auto" w:sz="4" w:space="0"/>
              <w:left w:val="single" w:color="auto" w:sz="4" w:space="0"/>
              <w:bottom w:val="single" w:color="auto" w:sz="4" w:space="0"/>
              <w:right w:val="single" w:color="auto" w:sz="4" w:space="0"/>
            </w:tcBorders>
            <w:vAlign w:val="center"/>
          </w:tcPr>
          <w:p w14:paraId="17275D49">
            <w:pPr>
              <w:snapToGrid w:val="0"/>
              <w:spacing w:before="50" w:after="50"/>
              <w:jc w:val="center"/>
              <w:rPr>
                <w:rFonts w:ascii="宋体" w:hAnsi="宋体" w:cs="宋体"/>
                <w:color w:val="auto"/>
                <w:szCs w:val="21"/>
                <w:highlight w:val="none"/>
              </w:rPr>
            </w:pPr>
            <w:r>
              <w:rPr>
                <w:rFonts w:hint="eastAsia" w:ascii="宋体" w:hAnsi="宋体" w:cs="宋体"/>
                <w:color w:val="auto"/>
                <w:szCs w:val="21"/>
                <w:highlight w:val="none"/>
              </w:rPr>
              <w:t>数量及单位</w:t>
            </w:r>
          </w:p>
        </w:tc>
        <w:tc>
          <w:tcPr>
            <w:tcW w:w="709" w:type="dxa"/>
            <w:tcBorders>
              <w:top w:val="single" w:color="auto" w:sz="4" w:space="0"/>
              <w:left w:val="single" w:color="auto" w:sz="4" w:space="0"/>
              <w:bottom w:val="single" w:color="auto" w:sz="4" w:space="0"/>
              <w:right w:val="single" w:color="auto" w:sz="4" w:space="0"/>
            </w:tcBorders>
            <w:vAlign w:val="center"/>
          </w:tcPr>
          <w:p w14:paraId="0A23F6D3">
            <w:pPr>
              <w:snapToGrid w:val="0"/>
              <w:spacing w:before="50" w:after="50"/>
              <w:jc w:val="center"/>
              <w:rPr>
                <w:rFonts w:ascii="宋体" w:hAnsi="宋体" w:cs="宋体"/>
                <w:color w:val="auto"/>
                <w:szCs w:val="21"/>
                <w:highlight w:val="none"/>
              </w:rPr>
            </w:pPr>
            <w:r>
              <w:rPr>
                <w:rFonts w:hint="eastAsia" w:ascii="宋体" w:hAnsi="宋体" w:cs="宋体"/>
                <w:color w:val="auto"/>
                <w:szCs w:val="21"/>
                <w:highlight w:val="none"/>
              </w:rPr>
              <w:t>品牌</w:t>
            </w:r>
          </w:p>
        </w:tc>
        <w:tc>
          <w:tcPr>
            <w:tcW w:w="1276" w:type="dxa"/>
            <w:tcBorders>
              <w:top w:val="single" w:color="auto" w:sz="4" w:space="0"/>
              <w:left w:val="single" w:color="auto" w:sz="4" w:space="0"/>
              <w:bottom w:val="single" w:color="auto" w:sz="4" w:space="0"/>
              <w:right w:val="single" w:color="auto" w:sz="4" w:space="0"/>
            </w:tcBorders>
            <w:vAlign w:val="center"/>
          </w:tcPr>
          <w:p w14:paraId="1CA192F1">
            <w:pPr>
              <w:snapToGrid w:val="0"/>
              <w:spacing w:before="50" w:after="50"/>
              <w:jc w:val="center"/>
              <w:rPr>
                <w:rFonts w:ascii="宋体" w:hAnsi="宋体" w:cs="宋体"/>
                <w:color w:val="auto"/>
                <w:szCs w:val="21"/>
                <w:highlight w:val="none"/>
              </w:rPr>
            </w:pPr>
            <w:r>
              <w:rPr>
                <w:rFonts w:hint="eastAsia" w:ascii="宋体" w:hAnsi="宋体" w:eastAsia="宋体" w:cs="宋体"/>
                <w:color w:val="auto"/>
                <w:szCs w:val="21"/>
                <w:highlight w:val="none"/>
              </w:rPr>
              <w:t>规格型号</w:t>
            </w:r>
          </w:p>
        </w:tc>
        <w:tc>
          <w:tcPr>
            <w:tcW w:w="1032" w:type="dxa"/>
            <w:tcBorders>
              <w:top w:val="single" w:color="auto" w:sz="4" w:space="0"/>
              <w:left w:val="single" w:color="auto" w:sz="4" w:space="0"/>
              <w:bottom w:val="single" w:color="auto" w:sz="4" w:space="0"/>
              <w:right w:val="single" w:color="auto" w:sz="4" w:space="0"/>
            </w:tcBorders>
            <w:vAlign w:val="center"/>
          </w:tcPr>
          <w:p w14:paraId="10799FA6">
            <w:pPr>
              <w:snapToGrid w:val="0"/>
              <w:spacing w:before="50" w:after="50"/>
              <w:jc w:val="center"/>
              <w:rPr>
                <w:rFonts w:ascii="宋体" w:hAnsi="宋体" w:cs="宋体"/>
                <w:color w:val="auto"/>
                <w:szCs w:val="21"/>
                <w:highlight w:val="none"/>
              </w:rPr>
            </w:pPr>
            <w:r>
              <w:rPr>
                <w:rFonts w:hint="eastAsia" w:ascii="宋体" w:hAnsi="宋体" w:cs="宋体"/>
                <w:color w:val="auto"/>
                <w:szCs w:val="21"/>
                <w:highlight w:val="none"/>
              </w:rPr>
              <w:t>制造商</w:t>
            </w:r>
          </w:p>
        </w:tc>
        <w:tc>
          <w:tcPr>
            <w:tcW w:w="858" w:type="dxa"/>
            <w:tcBorders>
              <w:top w:val="single" w:color="auto" w:sz="4" w:space="0"/>
              <w:left w:val="single" w:color="auto" w:sz="4" w:space="0"/>
              <w:bottom w:val="single" w:color="auto" w:sz="4" w:space="0"/>
              <w:right w:val="single" w:color="auto" w:sz="4" w:space="0"/>
            </w:tcBorders>
            <w:vAlign w:val="center"/>
          </w:tcPr>
          <w:p w14:paraId="33DF42D0">
            <w:pPr>
              <w:snapToGrid w:val="0"/>
              <w:spacing w:before="50" w:after="50"/>
              <w:jc w:val="center"/>
              <w:rPr>
                <w:rFonts w:ascii="宋体" w:hAnsi="宋体" w:cs="宋体"/>
                <w:color w:val="auto"/>
                <w:szCs w:val="21"/>
                <w:highlight w:val="none"/>
              </w:rPr>
            </w:pPr>
            <w:r>
              <w:rPr>
                <w:rFonts w:hint="eastAsia" w:ascii="宋体" w:hAnsi="宋体" w:cs="宋体"/>
                <w:color w:val="auto"/>
                <w:szCs w:val="21"/>
                <w:highlight w:val="none"/>
              </w:rPr>
              <w:t>原产地</w:t>
            </w:r>
          </w:p>
        </w:tc>
        <w:tc>
          <w:tcPr>
            <w:tcW w:w="1426" w:type="dxa"/>
            <w:tcBorders>
              <w:top w:val="single" w:color="auto" w:sz="4" w:space="0"/>
              <w:left w:val="single" w:color="auto" w:sz="4" w:space="0"/>
              <w:bottom w:val="single" w:color="auto" w:sz="4" w:space="0"/>
              <w:right w:val="single" w:color="auto" w:sz="4" w:space="0"/>
            </w:tcBorders>
            <w:vAlign w:val="center"/>
          </w:tcPr>
          <w:p w14:paraId="5D05C366">
            <w:pPr>
              <w:snapToGrid w:val="0"/>
              <w:spacing w:before="50" w:after="50"/>
              <w:jc w:val="center"/>
              <w:rPr>
                <w:rFonts w:ascii="宋体" w:hAnsi="宋体" w:cs="宋体"/>
                <w:color w:val="auto"/>
                <w:szCs w:val="21"/>
                <w:highlight w:val="none"/>
              </w:rPr>
            </w:pPr>
            <w:r>
              <w:rPr>
                <w:rFonts w:hint="eastAsia" w:ascii="宋体" w:hAnsi="宋体" w:cs="宋体"/>
                <w:color w:val="auto"/>
                <w:szCs w:val="21"/>
                <w:highlight w:val="none"/>
              </w:rPr>
              <w:t>参数性能、指标及配置</w:t>
            </w:r>
          </w:p>
        </w:tc>
      </w:tr>
      <w:tr w14:paraId="5360DE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0E4CB04F">
            <w:pPr>
              <w:snapToGrid w:val="0"/>
              <w:spacing w:before="50" w:after="50"/>
              <w:jc w:val="center"/>
              <w:rPr>
                <w:rFonts w:ascii="宋体" w:hAnsi="宋体" w:cs="宋体"/>
                <w:color w:val="auto"/>
                <w:szCs w:val="21"/>
                <w:highlight w:val="none"/>
              </w:rPr>
            </w:pPr>
          </w:p>
        </w:tc>
        <w:tc>
          <w:tcPr>
            <w:tcW w:w="1187" w:type="dxa"/>
            <w:tcBorders>
              <w:top w:val="single" w:color="auto" w:sz="4" w:space="0"/>
              <w:left w:val="single" w:color="auto" w:sz="4" w:space="0"/>
              <w:bottom w:val="single" w:color="auto" w:sz="4" w:space="0"/>
              <w:right w:val="single" w:color="auto" w:sz="4" w:space="0"/>
            </w:tcBorders>
            <w:vAlign w:val="center"/>
          </w:tcPr>
          <w:p w14:paraId="64BF5F21">
            <w:pPr>
              <w:snapToGrid w:val="0"/>
              <w:spacing w:before="50" w:after="50"/>
              <w:jc w:val="center"/>
              <w:rPr>
                <w:rFonts w:ascii="宋体" w:hAnsi="宋体" w:cs="宋体"/>
                <w:color w:val="auto"/>
                <w:szCs w:val="21"/>
                <w:highlight w:val="none"/>
              </w:rPr>
            </w:pPr>
          </w:p>
        </w:tc>
        <w:tc>
          <w:tcPr>
            <w:tcW w:w="1336" w:type="dxa"/>
            <w:tcBorders>
              <w:top w:val="single" w:color="auto" w:sz="4" w:space="0"/>
              <w:left w:val="single" w:color="auto" w:sz="4" w:space="0"/>
              <w:bottom w:val="single" w:color="auto" w:sz="4" w:space="0"/>
              <w:right w:val="single" w:color="auto" w:sz="4" w:space="0"/>
            </w:tcBorders>
            <w:vAlign w:val="center"/>
          </w:tcPr>
          <w:p w14:paraId="13677154">
            <w:pPr>
              <w:snapToGrid w:val="0"/>
              <w:spacing w:before="50" w:after="50"/>
              <w:jc w:val="center"/>
              <w:rPr>
                <w:rFonts w:ascii="宋体" w:hAnsi="宋体" w:cs="宋体"/>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7A6A82E0">
            <w:pPr>
              <w:snapToGrid w:val="0"/>
              <w:spacing w:before="50" w:after="50"/>
              <w:jc w:val="center"/>
              <w:rPr>
                <w:rFonts w:ascii="宋体" w:hAnsi="宋体" w:cs="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14:paraId="606F7C63">
            <w:pPr>
              <w:snapToGrid w:val="0"/>
              <w:spacing w:before="50" w:after="50"/>
              <w:jc w:val="center"/>
              <w:rPr>
                <w:rFonts w:ascii="宋体" w:hAnsi="宋体" w:cs="宋体"/>
                <w:color w:val="auto"/>
                <w:szCs w:val="21"/>
                <w:highlight w:val="none"/>
              </w:rPr>
            </w:pPr>
          </w:p>
        </w:tc>
        <w:tc>
          <w:tcPr>
            <w:tcW w:w="1032" w:type="dxa"/>
            <w:tcBorders>
              <w:top w:val="single" w:color="auto" w:sz="4" w:space="0"/>
              <w:left w:val="single" w:color="auto" w:sz="4" w:space="0"/>
              <w:bottom w:val="single" w:color="auto" w:sz="4" w:space="0"/>
              <w:right w:val="single" w:color="auto" w:sz="4" w:space="0"/>
            </w:tcBorders>
            <w:vAlign w:val="center"/>
          </w:tcPr>
          <w:p w14:paraId="1131578D">
            <w:pPr>
              <w:snapToGrid w:val="0"/>
              <w:spacing w:before="50" w:after="50"/>
              <w:jc w:val="center"/>
              <w:rPr>
                <w:rFonts w:ascii="宋体" w:hAnsi="宋体" w:cs="宋体"/>
                <w:color w:val="auto"/>
                <w:szCs w:val="21"/>
                <w:highlight w:val="none"/>
              </w:rPr>
            </w:pPr>
          </w:p>
        </w:tc>
        <w:tc>
          <w:tcPr>
            <w:tcW w:w="858" w:type="dxa"/>
            <w:tcBorders>
              <w:top w:val="single" w:color="auto" w:sz="4" w:space="0"/>
              <w:left w:val="single" w:color="auto" w:sz="4" w:space="0"/>
              <w:bottom w:val="single" w:color="auto" w:sz="4" w:space="0"/>
              <w:right w:val="single" w:color="auto" w:sz="4" w:space="0"/>
            </w:tcBorders>
            <w:vAlign w:val="center"/>
          </w:tcPr>
          <w:p w14:paraId="6539B377">
            <w:pPr>
              <w:snapToGrid w:val="0"/>
              <w:spacing w:before="50" w:after="50"/>
              <w:jc w:val="center"/>
              <w:rPr>
                <w:rFonts w:ascii="宋体" w:hAnsi="宋体" w:cs="宋体"/>
                <w:color w:val="auto"/>
                <w:szCs w:val="21"/>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4C40F019">
            <w:pPr>
              <w:snapToGrid w:val="0"/>
              <w:spacing w:before="50" w:after="50"/>
              <w:jc w:val="center"/>
              <w:rPr>
                <w:rFonts w:ascii="宋体" w:hAnsi="宋体" w:cs="宋体"/>
                <w:color w:val="auto"/>
                <w:szCs w:val="21"/>
                <w:highlight w:val="none"/>
              </w:rPr>
            </w:pPr>
          </w:p>
        </w:tc>
      </w:tr>
      <w:tr w14:paraId="639CF1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A185E8D">
            <w:pPr>
              <w:snapToGrid w:val="0"/>
              <w:spacing w:before="50" w:after="50"/>
              <w:jc w:val="center"/>
              <w:rPr>
                <w:rFonts w:ascii="宋体" w:hAnsi="宋体" w:cs="宋体"/>
                <w:color w:val="auto"/>
                <w:szCs w:val="21"/>
                <w:highlight w:val="none"/>
              </w:rPr>
            </w:pPr>
          </w:p>
        </w:tc>
        <w:tc>
          <w:tcPr>
            <w:tcW w:w="1187" w:type="dxa"/>
            <w:tcBorders>
              <w:top w:val="single" w:color="auto" w:sz="4" w:space="0"/>
              <w:left w:val="single" w:color="auto" w:sz="4" w:space="0"/>
              <w:bottom w:val="single" w:color="auto" w:sz="4" w:space="0"/>
              <w:right w:val="single" w:color="auto" w:sz="4" w:space="0"/>
            </w:tcBorders>
            <w:vAlign w:val="center"/>
          </w:tcPr>
          <w:p w14:paraId="023CE6D6">
            <w:pPr>
              <w:snapToGrid w:val="0"/>
              <w:spacing w:before="50" w:after="50"/>
              <w:jc w:val="center"/>
              <w:rPr>
                <w:rFonts w:ascii="宋体" w:hAnsi="宋体" w:cs="宋体"/>
                <w:color w:val="auto"/>
                <w:szCs w:val="21"/>
                <w:highlight w:val="none"/>
              </w:rPr>
            </w:pPr>
          </w:p>
        </w:tc>
        <w:tc>
          <w:tcPr>
            <w:tcW w:w="1336" w:type="dxa"/>
            <w:tcBorders>
              <w:top w:val="single" w:color="auto" w:sz="4" w:space="0"/>
              <w:left w:val="single" w:color="auto" w:sz="4" w:space="0"/>
              <w:bottom w:val="single" w:color="auto" w:sz="4" w:space="0"/>
              <w:right w:val="single" w:color="auto" w:sz="4" w:space="0"/>
            </w:tcBorders>
            <w:vAlign w:val="center"/>
          </w:tcPr>
          <w:p w14:paraId="456715CF">
            <w:pPr>
              <w:snapToGrid w:val="0"/>
              <w:spacing w:before="50" w:after="50"/>
              <w:jc w:val="center"/>
              <w:rPr>
                <w:rFonts w:ascii="宋体" w:hAnsi="宋体" w:cs="宋体"/>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2DED51B6">
            <w:pPr>
              <w:snapToGrid w:val="0"/>
              <w:spacing w:before="50" w:after="50"/>
              <w:jc w:val="center"/>
              <w:rPr>
                <w:rFonts w:ascii="宋体" w:hAnsi="宋体" w:cs="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14:paraId="1D90743A">
            <w:pPr>
              <w:snapToGrid w:val="0"/>
              <w:spacing w:before="50" w:after="50"/>
              <w:jc w:val="center"/>
              <w:rPr>
                <w:rFonts w:ascii="宋体" w:hAnsi="宋体" w:cs="宋体"/>
                <w:color w:val="auto"/>
                <w:szCs w:val="21"/>
                <w:highlight w:val="none"/>
              </w:rPr>
            </w:pPr>
          </w:p>
        </w:tc>
        <w:tc>
          <w:tcPr>
            <w:tcW w:w="1032" w:type="dxa"/>
            <w:tcBorders>
              <w:top w:val="single" w:color="auto" w:sz="4" w:space="0"/>
              <w:left w:val="single" w:color="auto" w:sz="4" w:space="0"/>
              <w:bottom w:val="single" w:color="auto" w:sz="4" w:space="0"/>
              <w:right w:val="single" w:color="auto" w:sz="4" w:space="0"/>
            </w:tcBorders>
            <w:vAlign w:val="center"/>
          </w:tcPr>
          <w:p w14:paraId="27CAE748">
            <w:pPr>
              <w:snapToGrid w:val="0"/>
              <w:spacing w:before="50" w:after="50"/>
              <w:jc w:val="center"/>
              <w:rPr>
                <w:rFonts w:ascii="宋体" w:hAnsi="宋体" w:cs="宋体"/>
                <w:color w:val="auto"/>
                <w:szCs w:val="21"/>
                <w:highlight w:val="none"/>
              </w:rPr>
            </w:pPr>
          </w:p>
        </w:tc>
        <w:tc>
          <w:tcPr>
            <w:tcW w:w="858" w:type="dxa"/>
            <w:tcBorders>
              <w:top w:val="single" w:color="auto" w:sz="4" w:space="0"/>
              <w:left w:val="single" w:color="auto" w:sz="4" w:space="0"/>
              <w:bottom w:val="single" w:color="auto" w:sz="4" w:space="0"/>
              <w:right w:val="single" w:color="auto" w:sz="4" w:space="0"/>
            </w:tcBorders>
            <w:vAlign w:val="center"/>
          </w:tcPr>
          <w:p w14:paraId="2C17FA7C">
            <w:pPr>
              <w:snapToGrid w:val="0"/>
              <w:spacing w:before="50" w:after="50"/>
              <w:jc w:val="center"/>
              <w:rPr>
                <w:rFonts w:ascii="宋体" w:hAnsi="宋体" w:cs="宋体"/>
                <w:color w:val="auto"/>
                <w:szCs w:val="21"/>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50EF3925">
            <w:pPr>
              <w:snapToGrid w:val="0"/>
              <w:spacing w:before="50" w:after="50"/>
              <w:jc w:val="center"/>
              <w:rPr>
                <w:rFonts w:ascii="宋体" w:hAnsi="宋体" w:cs="宋体"/>
                <w:color w:val="auto"/>
                <w:szCs w:val="21"/>
                <w:highlight w:val="none"/>
              </w:rPr>
            </w:pPr>
          </w:p>
        </w:tc>
      </w:tr>
      <w:tr w14:paraId="3869EC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47726B6">
            <w:pPr>
              <w:snapToGrid w:val="0"/>
              <w:spacing w:before="50" w:after="50"/>
              <w:jc w:val="center"/>
              <w:rPr>
                <w:rFonts w:ascii="宋体" w:hAnsi="宋体" w:cs="宋体"/>
                <w:color w:val="auto"/>
                <w:szCs w:val="21"/>
                <w:highlight w:val="none"/>
              </w:rPr>
            </w:pPr>
          </w:p>
        </w:tc>
        <w:tc>
          <w:tcPr>
            <w:tcW w:w="1187" w:type="dxa"/>
            <w:tcBorders>
              <w:top w:val="single" w:color="auto" w:sz="4" w:space="0"/>
              <w:left w:val="single" w:color="auto" w:sz="4" w:space="0"/>
              <w:bottom w:val="single" w:color="auto" w:sz="4" w:space="0"/>
              <w:right w:val="single" w:color="auto" w:sz="4" w:space="0"/>
            </w:tcBorders>
            <w:vAlign w:val="center"/>
          </w:tcPr>
          <w:p w14:paraId="5D49791E">
            <w:pPr>
              <w:snapToGrid w:val="0"/>
              <w:spacing w:before="50" w:after="50"/>
              <w:jc w:val="center"/>
              <w:rPr>
                <w:rFonts w:ascii="宋体" w:hAnsi="宋体" w:cs="宋体"/>
                <w:color w:val="auto"/>
                <w:szCs w:val="21"/>
                <w:highlight w:val="none"/>
              </w:rPr>
            </w:pPr>
          </w:p>
        </w:tc>
        <w:tc>
          <w:tcPr>
            <w:tcW w:w="1336" w:type="dxa"/>
            <w:tcBorders>
              <w:top w:val="single" w:color="auto" w:sz="4" w:space="0"/>
              <w:left w:val="single" w:color="auto" w:sz="4" w:space="0"/>
              <w:bottom w:val="single" w:color="auto" w:sz="4" w:space="0"/>
              <w:right w:val="single" w:color="auto" w:sz="4" w:space="0"/>
            </w:tcBorders>
            <w:vAlign w:val="center"/>
          </w:tcPr>
          <w:p w14:paraId="08C022F2">
            <w:pPr>
              <w:snapToGrid w:val="0"/>
              <w:spacing w:before="50" w:after="50"/>
              <w:jc w:val="center"/>
              <w:rPr>
                <w:rFonts w:ascii="宋体" w:hAnsi="宋体" w:cs="宋体"/>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18F11BD2">
            <w:pPr>
              <w:snapToGrid w:val="0"/>
              <w:spacing w:before="50" w:after="50"/>
              <w:jc w:val="center"/>
              <w:rPr>
                <w:rFonts w:ascii="宋体" w:hAnsi="宋体" w:cs="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14:paraId="02A18F2B">
            <w:pPr>
              <w:snapToGrid w:val="0"/>
              <w:spacing w:before="50" w:after="50"/>
              <w:jc w:val="center"/>
              <w:rPr>
                <w:rFonts w:ascii="宋体" w:hAnsi="宋体" w:cs="宋体"/>
                <w:color w:val="auto"/>
                <w:szCs w:val="21"/>
                <w:highlight w:val="none"/>
              </w:rPr>
            </w:pPr>
          </w:p>
        </w:tc>
        <w:tc>
          <w:tcPr>
            <w:tcW w:w="1032" w:type="dxa"/>
            <w:tcBorders>
              <w:top w:val="single" w:color="auto" w:sz="4" w:space="0"/>
              <w:left w:val="single" w:color="auto" w:sz="4" w:space="0"/>
              <w:bottom w:val="single" w:color="auto" w:sz="4" w:space="0"/>
              <w:right w:val="single" w:color="auto" w:sz="4" w:space="0"/>
            </w:tcBorders>
            <w:vAlign w:val="center"/>
          </w:tcPr>
          <w:p w14:paraId="7DE67045">
            <w:pPr>
              <w:snapToGrid w:val="0"/>
              <w:spacing w:before="50" w:after="50"/>
              <w:jc w:val="center"/>
              <w:rPr>
                <w:rFonts w:ascii="宋体" w:hAnsi="宋体" w:cs="宋体"/>
                <w:color w:val="auto"/>
                <w:szCs w:val="21"/>
                <w:highlight w:val="none"/>
              </w:rPr>
            </w:pPr>
          </w:p>
        </w:tc>
        <w:tc>
          <w:tcPr>
            <w:tcW w:w="858" w:type="dxa"/>
            <w:tcBorders>
              <w:top w:val="single" w:color="auto" w:sz="4" w:space="0"/>
              <w:left w:val="single" w:color="auto" w:sz="4" w:space="0"/>
              <w:bottom w:val="single" w:color="auto" w:sz="4" w:space="0"/>
              <w:right w:val="single" w:color="auto" w:sz="4" w:space="0"/>
            </w:tcBorders>
            <w:vAlign w:val="center"/>
          </w:tcPr>
          <w:p w14:paraId="058375E6">
            <w:pPr>
              <w:snapToGrid w:val="0"/>
              <w:spacing w:before="50" w:after="50"/>
              <w:jc w:val="center"/>
              <w:rPr>
                <w:rFonts w:ascii="宋体" w:hAnsi="宋体" w:cs="宋体"/>
                <w:color w:val="auto"/>
                <w:szCs w:val="21"/>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20B141CB">
            <w:pPr>
              <w:snapToGrid w:val="0"/>
              <w:spacing w:before="50" w:after="50"/>
              <w:jc w:val="center"/>
              <w:rPr>
                <w:rFonts w:ascii="宋体" w:hAnsi="宋体" w:cs="宋体"/>
                <w:color w:val="auto"/>
                <w:szCs w:val="21"/>
                <w:highlight w:val="none"/>
              </w:rPr>
            </w:pPr>
          </w:p>
        </w:tc>
      </w:tr>
    </w:tbl>
    <w:p w14:paraId="2E7B94DF">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备注：</w:t>
      </w:r>
    </w:p>
    <w:p w14:paraId="5FF7AD4F">
      <w:pPr>
        <w:spacing w:line="360" w:lineRule="auto"/>
        <w:ind w:firstLine="420" w:firstLineChars="200"/>
        <w:contextualSpacing/>
        <w:rPr>
          <w:rFonts w:ascii="宋体" w:hAnsi="宋体" w:cs="宋体"/>
          <w:b/>
          <w:color w:val="auto"/>
          <w:szCs w:val="21"/>
          <w:highlight w:val="none"/>
        </w:rPr>
      </w:pPr>
      <w:r>
        <w:rPr>
          <w:rFonts w:hint="eastAsia" w:ascii="宋体" w:hAnsi="宋体" w:cs="宋体"/>
          <w:color w:val="auto"/>
          <w:szCs w:val="21"/>
          <w:highlight w:val="none"/>
        </w:rPr>
        <w:t>以上设备性能配置清单中“货物名称、数量及单位、品牌、规格型号、制造商、原产地、参数性能、指标及配置”必须如实填写完整，品牌、规格型号没有则填无，填写有缺漏</w:t>
      </w:r>
      <w:r>
        <w:rPr>
          <w:rFonts w:hint="eastAsia" w:ascii="宋体" w:hAnsi="宋体" w:cs="宋体"/>
          <w:bCs/>
          <w:color w:val="auto"/>
          <w:szCs w:val="21"/>
          <w:highlight w:val="none"/>
        </w:rPr>
        <w:t>的，</w:t>
      </w:r>
      <w:r>
        <w:rPr>
          <w:rFonts w:hint="eastAsia" w:ascii="宋体" w:hAnsi="宋体" w:cs="宋体"/>
          <w:b/>
          <w:color w:val="auto"/>
          <w:szCs w:val="21"/>
          <w:highlight w:val="none"/>
        </w:rPr>
        <w:t>作无效投标处理。</w:t>
      </w:r>
      <w:r>
        <w:rPr>
          <w:rFonts w:hint="eastAsia" w:ascii="宋体" w:hAnsi="宋体" w:cs="宋体"/>
          <w:color w:val="auto"/>
          <w:szCs w:val="21"/>
          <w:highlight w:val="none"/>
        </w:rPr>
        <w:t>货物名称、数量及单位、品牌必须与“开标一览表”一致，</w:t>
      </w:r>
      <w:r>
        <w:rPr>
          <w:rFonts w:hint="eastAsia" w:ascii="宋体" w:hAnsi="宋体" w:cs="宋体"/>
          <w:b/>
          <w:color w:val="auto"/>
          <w:szCs w:val="21"/>
          <w:highlight w:val="none"/>
        </w:rPr>
        <w:t>否则按无效投标处理。</w:t>
      </w:r>
    </w:p>
    <w:p w14:paraId="5AF5A152">
      <w:pPr>
        <w:spacing w:line="360" w:lineRule="auto"/>
        <w:ind w:firstLine="420" w:firstLineChars="200"/>
        <w:contextualSpacing/>
        <w:rPr>
          <w:rFonts w:ascii="宋体" w:hAnsi="宋体" w:cs="宋体"/>
          <w:color w:val="auto"/>
          <w:szCs w:val="21"/>
          <w:highlight w:val="none"/>
        </w:rPr>
      </w:pPr>
    </w:p>
    <w:p w14:paraId="2F786E5C">
      <w:pPr>
        <w:spacing w:line="360" w:lineRule="auto"/>
        <w:contextualSpacing/>
        <w:rPr>
          <w:rFonts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（签字/电子签名）：</w:t>
      </w:r>
      <w:r>
        <w:rPr>
          <w:rFonts w:hint="eastAsia" w:ascii="宋体" w:hAnsi="宋体" w:cs="宋体"/>
          <w:color w:val="auto"/>
          <w:spacing w:val="20"/>
          <w:szCs w:val="21"/>
          <w:highlight w:val="none"/>
          <w:u w:val="single"/>
        </w:rPr>
        <w:t xml:space="preserve">        </w:t>
      </w:r>
    </w:p>
    <w:p w14:paraId="233B7A46">
      <w:pPr>
        <w:spacing w:line="360" w:lineRule="auto"/>
        <w:ind w:firstLine="625"/>
        <w:contextualSpacing/>
        <w:rPr>
          <w:rFonts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286964A6">
      <w:pPr>
        <w:spacing w:line="360" w:lineRule="auto"/>
        <w:ind w:firstLine="625"/>
        <w:contextualSpacing/>
        <w:rPr>
          <w:rFonts w:ascii="宋体" w:hAnsi="宋体" w:cs="宋体"/>
          <w:color w:val="auto"/>
          <w:szCs w:val="21"/>
          <w:highlight w:val="none"/>
        </w:rPr>
      </w:pPr>
      <w:r>
        <w:rPr>
          <w:rFonts w:hint="eastAsia" w:ascii="宋体" w:hAnsi="宋体" w:cs="宋体"/>
          <w:color w:val="auto"/>
          <w:spacing w:val="20"/>
          <w:szCs w:val="21"/>
          <w:highlight w:val="none"/>
        </w:rPr>
        <w:t>日  期：</w:t>
      </w:r>
      <w:r>
        <w:rPr>
          <w:rFonts w:hint="eastAsia" w:ascii="宋体" w:hAnsi="宋体" w:cs="宋体"/>
          <w:color w:val="auto"/>
          <w:spacing w:val="20"/>
          <w:szCs w:val="21"/>
          <w:highlight w:val="none"/>
          <w:u w:val="single"/>
        </w:rPr>
        <w:t xml:space="preserve">          </w:t>
      </w:r>
    </w:p>
    <w:p w14:paraId="57051522">
      <w:pPr>
        <w:snapToGrid w:val="0"/>
        <w:spacing w:before="50" w:after="120" w:afterLines="50"/>
        <w:ind w:firstLine="600"/>
        <w:jc w:val="left"/>
        <w:rPr>
          <w:rFonts w:ascii="宋体" w:hAnsi="宋体" w:cs="宋体"/>
          <w:color w:val="auto"/>
          <w:sz w:val="24"/>
          <w:szCs w:val="20"/>
          <w:highlight w:val="none"/>
        </w:rPr>
      </w:pPr>
    </w:p>
    <w:p w14:paraId="1E785409">
      <w:pPr>
        <w:snapToGrid w:val="0"/>
        <w:spacing w:before="50" w:after="120" w:afterLines="50"/>
        <w:ind w:firstLine="600"/>
        <w:jc w:val="left"/>
        <w:rPr>
          <w:rFonts w:ascii="宋体" w:hAnsi="宋体" w:cs="宋体"/>
          <w:color w:val="auto"/>
          <w:sz w:val="24"/>
          <w:szCs w:val="20"/>
          <w:highlight w:val="none"/>
        </w:rPr>
      </w:pPr>
    </w:p>
    <w:p w14:paraId="31A912C0">
      <w:pPr>
        <w:rPr>
          <w:rFonts w:hint="eastAsia" w:ascii="宋体" w:hAnsi="宋体" w:cs="宋体"/>
          <w:b/>
          <w:color w:val="auto"/>
          <w:sz w:val="24"/>
          <w:highlight w:val="none"/>
        </w:rPr>
      </w:pPr>
      <w:r>
        <w:rPr>
          <w:rFonts w:hint="eastAsia" w:ascii="宋体" w:hAnsi="宋体" w:cs="宋体"/>
          <w:b/>
          <w:color w:val="auto"/>
          <w:sz w:val="24"/>
          <w:highlight w:val="none"/>
        </w:rPr>
        <w:br w:type="page"/>
      </w:r>
    </w:p>
    <w:p w14:paraId="0255A0A8">
      <w:pPr>
        <w:snapToGrid w:val="0"/>
        <w:spacing w:before="120" w:beforeLines="50" w:after="50"/>
        <w:ind w:left="-134" w:firstLine="602"/>
        <w:jc w:val="left"/>
        <w:rPr>
          <w:rFonts w:hint="eastAsia" w:ascii="宋体" w:hAnsi="宋体" w:cs="宋体"/>
          <w:b/>
          <w:color w:val="auto"/>
          <w:sz w:val="24"/>
          <w:highlight w:val="none"/>
          <w:lang w:val="en-US" w:eastAsia="zh-CN"/>
        </w:rPr>
      </w:pPr>
      <w:r>
        <w:rPr>
          <w:rFonts w:hint="eastAsia" w:ascii="宋体" w:hAnsi="宋体" w:cs="宋体"/>
          <w:b/>
          <w:color w:val="auto"/>
          <w:sz w:val="24"/>
          <w:highlight w:val="none"/>
          <w:lang w:val="en-US" w:eastAsia="zh-CN"/>
        </w:rPr>
        <w:t>8-2图书目录明细表（分标3-4适用）</w:t>
      </w:r>
    </w:p>
    <w:tbl>
      <w:tblPr>
        <w:tblStyle w:val="51"/>
        <w:tblpPr w:leftFromText="180" w:rightFromText="180" w:vertAnchor="text" w:horzAnchor="page" w:tblpX="1101" w:tblpY="1239"/>
        <w:tblOverlap w:val="never"/>
        <w:tblW w:w="1021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2"/>
        <w:gridCol w:w="997"/>
        <w:gridCol w:w="1007"/>
        <w:gridCol w:w="1050"/>
        <w:gridCol w:w="1028"/>
        <w:gridCol w:w="1125"/>
        <w:gridCol w:w="1050"/>
        <w:gridCol w:w="1072"/>
        <w:gridCol w:w="1210"/>
        <w:gridCol w:w="825"/>
      </w:tblGrid>
      <w:tr w14:paraId="06271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3BDA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序号</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9740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条码</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CFC1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书名</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EBE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出版社</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2451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定价</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0923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数量</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C6F2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册数</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349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总册数</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555E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出版日期</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1ED0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备注</w:t>
            </w:r>
          </w:p>
        </w:tc>
      </w:tr>
      <w:tr w14:paraId="55BF8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DED56">
            <w:pPr>
              <w:rPr>
                <w:rFonts w:hint="eastAsia" w:ascii="宋体" w:hAnsi="宋体" w:eastAsia="宋体" w:cs="宋体"/>
                <w:i w:val="0"/>
                <w:iCs w:val="0"/>
                <w:color w:val="auto"/>
                <w:sz w:val="22"/>
                <w:szCs w:val="22"/>
                <w:highlight w:val="none"/>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99E99">
            <w:pPr>
              <w:rPr>
                <w:rFonts w:hint="eastAsia" w:ascii="宋体" w:hAnsi="宋体" w:eastAsia="宋体" w:cs="宋体"/>
                <w:i w:val="0"/>
                <w:iCs w:val="0"/>
                <w:color w:val="auto"/>
                <w:sz w:val="22"/>
                <w:szCs w:val="22"/>
                <w:highlight w:val="none"/>
                <w:u w:val="none"/>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C7E59">
            <w:pPr>
              <w:rPr>
                <w:rFonts w:hint="eastAsia" w:ascii="宋体" w:hAnsi="宋体" w:eastAsia="宋体" w:cs="宋体"/>
                <w:i w:val="0"/>
                <w:iCs w:val="0"/>
                <w:color w:val="auto"/>
                <w:sz w:val="22"/>
                <w:szCs w:val="22"/>
                <w:highlight w:val="none"/>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D8ADD">
            <w:pPr>
              <w:rPr>
                <w:rFonts w:hint="eastAsia" w:ascii="宋体" w:hAnsi="宋体" w:eastAsia="宋体" w:cs="宋体"/>
                <w:i w:val="0"/>
                <w:iCs w:val="0"/>
                <w:color w:val="auto"/>
                <w:sz w:val="22"/>
                <w:szCs w:val="22"/>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F946D">
            <w:pPr>
              <w:rPr>
                <w:rFonts w:hint="eastAsia" w:ascii="宋体" w:hAnsi="宋体" w:eastAsia="宋体" w:cs="宋体"/>
                <w:i w:val="0"/>
                <w:iCs w:val="0"/>
                <w:color w:val="auto"/>
                <w:sz w:val="22"/>
                <w:szCs w:val="22"/>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A43E3">
            <w:pPr>
              <w:rPr>
                <w:rFonts w:hint="eastAsia" w:ascii="宋体" w:hAnsi="宋体" w:eastAsia="宋体" w:cs="宋体"/>
                <w:i w:val="0"/>
                <w:iCs w:val="0"/>
                <w:color w:val="auto"/>
                <w:sz w:val="22"/>
                <w:szCs w:val="22"/>
                <w:highlight w:val="none"/>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47773">
            <w:pPr>
              <w:rPr>
                <w:rFonts w:hint="eastAsia" w:ascii="宋体" w:hAnsi="宋体" w:eastAsia="宋体" w:cs="宋体"/>
                <w:i w:val="0"/>
                <w:iCs w:val="0"/>
                <w:color w:val="auto"/>
                <w:sz w:val="22"/>
                <w:szCs w:val="22"/>
                <w:highlight w:val="none"/>
                <w:u w:val="none"/>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5ACA7">
            <w:pPr>
              <w:rPr>
                <w:rFonts w:hint="eastAsia" w:ascii="宋体" w:hAnsi="宋体" w:eastAsia="宋体" w:cs="宋体"/>
                <w:i w:val="0"/>
                <w:iCs w:val="0"/>
                <w:color w:val="auto"/>
                <w:sz w:val="22"/>
                <w:szCs w:val="22"/>
                <w:highlight w:val="none"/>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FB3DC">
            <w:pPr>
              <w:rPr>
                <w:rFonts w:hint="eastAsia" w:ascii="宋体" w:hAnsi="宋体" w:eastAsia="宋体" w:cs="宋体"/>
                <w:i w:val="0"/>
                <w:iCs w:val="0"/>
                <w:color w:val="auto"/>
                <w:sz w:val="22"/>
                <w:szCs w:val="22"/>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6EFDD">
            <w:pPr>
              <w:rPr>
                <w:rFonts w:hint="eastAsia" w:ascii="宋体" w:hAnsi="宋体" w:eastAsia="宋体" w:cs="宋体"/>
                <w:i w:val="0"/>
                <w:iCs w:val="0"/>
                <w:color w:val="auto"/>
                <w:sz w:val="22"/>
                <w:szCs w:val="22"/>
                <w:highlight w:val="none"/>
                <w:u w:val="none"/>
              </w:rPr>
            </w:pPr>
          </w:p>
        </w:tc>
      </w:tr>
      <w:tr w14:paraId="5B4ED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4F05D">
            <w:pPr>
              <w:rPr>
                <w:rFonts w:hint="eastAsia" w:ascii="宋体" w:hAnsi="宋体" w:eastAsia="宋体" w:cs="宋体"/>
                <w:i w:val="0"/>
                <w:iCs w:val="0"/>
                <w:color w:val="auto"/>
                <w:sz w:val="22"/>
                <w:szCs w:val="22"/>
                <w:highlight w:val="none"/>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121B5">
            <w:pPr>
              <w:rPr>
                <w:rFonts w:hint="eastAsia" w:ascii="宋体" w:hAnsi="宋体" w:eastAsia="宋体" w:cs="宋体"/>
                <w:i w:val="0"/>
                <w:iCs w:val="0"/>
                <w:color w:val="auto"/>
                <w:sz w:val="22"/>
                <w:szCs w:val="22"/>
                <w:highlight w:val="none"/>
                <w:u w:val="none"/>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CF6B6">
            <w:pPr>
              <w:rPr>
                <w:rFonts w:hint="eastAsia" w:ascii="宋体" w:hAnsi="宋体" w:eastAsia="宋体" w:cs="宋体"/>
                <w:i w:val="0"/>
                <w:iCs w:val="0"/>
                <w:color w:val="auto"/>
                <w:sz w:val="22"/>
                <w:szCs w:val="22"/>
                <w:highlight w:val="none"/>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1EDEB">
            <w:pPr>
              <w:rPr>
                <w:rFonts w:hint="eastAsia" w:ascii="宋体" w:hAnsi="宋体" w:eastAsia="宋体" w:cs="宋体"/>
                <w:i w:val="0"/>
                <w:iCs w:val="0"/>
                <w:color w:val="auto"/>
                <w:sz w:val="22"/>
                <w:szCs w:val="22"/>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EB49E">
            <w:pPr>
              <w:rPr>
                <w:rFonts w:hint="eastAsia" w:ascii="宋体" w:hAnsi="宋体" w:eastAsia="宋体" w:cs="宋体"/>
                <w:i w:val="0"/>
                <w:iCs w:val="0"/>
                <w:color w:val="auto"/>
                <w:sz w:val="22"/>
                <w:szCs w:val="22"/>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79E99">
            <w:pPr>
              <w:rPr>
                <w:rFonts w:hint="eastAsia" w:ascii="宋体" w:hAnsi="宋体" w:eastAsia="宋体" w:cs="宋体"/>
                <w:i w:val="0"/>
                <w:iCs w:val="0"/>
                <w:color w:val="auto"/>
                <w:sz w:val="22"/>
                <w:szCs w:val="22"/>
                <w:highlight w:val="none"/>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567C4">
            <w:pPr>
              <w:rPr>
                <w:rFonts w:hint="eastAsia" w:ascii="宋体" w:hAnsi="宋体" w:eastAsia="宋体" w:cs="宋体"/>
                <w:i w:val="0"/>
                <w:iCs w:val="0"/>
                <w:color w:val="auto"/>
                <w:sz w:val="22"/>
                <w:szCs w:val="22"/>
                <w:highlight w:val="none"/>
                <w:u w:val="none"/>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B2253">
            <w:pPr>
              <w:rPr>
                <w:rFonts w:hint="eastAsia" w:ascii="宋体" w:hAnsi="宋体" w:eastAsia="宋体" w:cs="宋体"/>
                <w:i w:val="0"/>
                <w:iCs w:val="0"/>
                <w:color w:val="auto"/>
                <w:sz w:val="22"/>
                <w:szCs w:val="22"/>
                <w:highlight w:val="none"/>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46F2F">
            <w:pPr>
              <w:rPr>
                <w:rFonts w:hint="eastAsia" w:ascii="宋体" w:hAnsi="宋体" w:eastAsia="宋体" w:cs="宋体"/>
                <w:i w:val="0"/>
                <w:iCs w:val="0"/>
                <w:color w:val="auto"/>
                <w:sz w:val="22"/>
                <w:szCs w:val="22"/>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266D7">
            <w:pPr>
              <w:rPr>
                <w:rFonts w:hint="eastAsia" w:ascii="宋体" w:hAnsi="宋体" w:eastAsia="宋体" w:cs="宋体"/>
                <w:i w:val="0"/>
                <w:iCs w:val="0"/>
                <w:color w:val="auto"/>
                <w:sz w:val="22"/>
                <w:szCs w:val="22"/>
                <w:highlight w:val="none"/>
                <w:u w:val="none"/>
              </w:rPr>
            </w:pPr>
          </w:p>
        </w:tc>
      </w:tr>
      <w:tr w14:paraId="221B6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38850">
            <w:pPr>
              <w:rPr>
                <w:rFonts w:hint="eastAsia" w:ascii="宋体" w:hAnsi="宋体" w:eastAsia="宋体" w:cs="宋体"/>
                <w:i w:val="0"/>
                <w:iCs w:val="0"/>
                <w:color w:val="auto"/>
                <w:sz w:val="22"/>
                <w:szCs w:val="22"/>
                <w:highlight w:val="none"/>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FB0CD">
            <w:pPr>
              <w:rPr>
                <w:rFonts w:hint="eastAsia" w:ascii="宋体" w:hAnsi="宋体" w:eastAsia="宋体" w:cs="宋体"/>
                <w:i w:val="0"/>
                <w:iCs w:val="0"/>
                <w:color w:val="auto"/>
                <w:sz w:val="22"/>
                <w:szCs w:val="22"/>
                <w:highlight w:val="none"/>
                <w:u w:val="none"/>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F3116">
            <w:pPr>
              <w:rPr>
                <w:rFonts w:hint="eastAsia" w:ascii="宋体" w:hAnsi="宋体" w:eastAsia="宋体" w:cs="宋体"/>
                <w:i w:val="0"/>
                <w:iCs w:val="0"/>
                <w:color w:val="auto"/>
                <w:sz w:val="22"/>
                <w:szCs w:val="22"/>
                <w:highlight w:val="none"/>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2D1D9">
            <w:pPr>
              <w:rPr>
                <w:rFonts w:hint="eastAsia" w:ascii="宋体" w:hAnsi="宋体" w:eastAsia="宋体" w:cs="宋体"/>
                <w:i w:val="0"/>
                <w:iCs w:val="0"/>
                <w:color w:val="auto"/>
                <w:sz w:val="22"/>
                <w:szCs w:val="22"/>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E84DD">
            <w:pPr>
              <w:rPr>
                <w:rFonts w:hint="eastAsia" w:ascii="宋体" w:hAnsi="宋体" w:eastAsia="宋体" w:cs="宋体"/>
                <w:i w:val="0"/>
                <w:iCs w:val="0"/>
                <w:color w:val="auto"/>
                <w:sz w:val="22"/>
                <w:szCs w:val="22"/>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01FD2">
            <w:pPr>
              <w:rPr>
                <w:rFonts w:hint="eastAsia" w:ascii="宋体" w:hAnsi="宋体" w:eastAsia="宋体" w:cs="宋体"/>
                <w:i w:val="0"/>
                <w:iCs w:val="0"/>
                <w:color w:val="auto"/>
                <w:sz w:val="22"/>
                <w:szCs w:val="22"/>
                <w:highlight w:val="none"/>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0770E">
            <w:pPr>
              <w:rPr>
                <w:rFonts w:hint="eastAsia" w:ascii="宋体" w:hAnsi="宋体" w:eastAsia="宋体" w:cs="宋体"/>
                <w:i w:val="0"/>
                <w:iCs w:val="0"/>
                <w:color w:val="auto"/>
                <w:sz w:val="22"/>
                <w:szCs w:val="22"/>
                <w:highlight w:val="none"/>
                <w:u w:val="none"/>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2922D">
            <w:pPr>
              <w:rPr>
                <w:rFonts w:hint="eastAsia" w:ascii="宋体" w:hAnsi="宋体" w:eastAsia="宋体" w:cs="宋体"/>
                <w:i w:val="0"/>
                <w:iCs w:val="0"/>
                <w:color w:val="auto"/>
                <w:sz w:val="22"/>
                <w:szCs w:val="22"/>
                <w:highlight w:val="none"/>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2D921">
            <w:pPr>
              <w:rPr>
                <w:rFonts w:hint="eastAsia" w:ascii="宋体" w:hAnsi="宋体" w:eastAsia="宋体" w:cs="宋体"/>
                <w:i w:val="0"/>
                <w:iCs w:val="0"/>
                <w:color w:val="auto"/>
                <w:sz w:val="22"/>
                <w:szCs w:val="22"/>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F9323">
            <w:pPr>
              <w:rPr>
                <w:rFonts w:hint="eastAsia" w:ascii="宋体" w:hAnsi="宋体" w:eastAsia="宋体" w:cs="宋体"/>
                <w:i w:val="0"/>
                <w:iCs w:val="0"/>
                <w:color w:val="auto"/>
                <w:sz w:val="22"/>
                <w:szCs w:val="22"/>
                <w:highlight w:val="none"/>
                <w:u w:val="none"/>
              </w:rPr>
            </w:pPr>
          </w:p>
        </w:tc>
      </w:tr>
      <w:tr w14:paraId="15CA4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8EACB">
            <w:pPr>
              <w:rPr>
                <w:rFonts w:hint="eastAsia" w:ascii="宋体" w:hAnsi="宋体" w:eastAsia="宋体" w:cs="宋体"/>
                <w:i w:val="0"/>
                <w:iCs w:val="0"/>
                <w:color w:val="auto"/>
                <w:sz w:val="22"/>
                <w:szCs w:val="22"/>
                <w:highlight w:val="none"/>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C18B2">
            <w:pPr>
              <w:rPr>
                <w:rFonts w:hint="eastAsia" w:ascii="宋体" w:hAnsi="宋体" w:eastAsia="宋体" w:cs="宋体"/>
                <w:i w:val="0"/>
                <w:iCs w:val="0"/>
                <w:color w:val="auto"/>
                <w:sz w:val="22"/>
                <w:szCs w:val="22"/>
                <w:highlight w:val="none"/>
                <w:u w:val="none"/>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9399B">
            <w:pPr>
              <w:rPr>
                <w:rFonts w:hint="eastAsia" w:ascii="宋体" w:hAnsi="宋体" w:eastAsia="宋体" w:cs="宋体"/>
                <w:i w:val="0"/>
                <w:iCs w:val="0"/>
                <w:color w:val="auto"/>
                <w:sz w:val="22"/>
                <w:szCs w:val="22"/>
                <w:highlight w:val="none"/>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4FAA6">
            <w:pPr>
              <w:rPr>
                <w:rFonts w:hint="eastAsia" w:ascii="宋体" w:hAnsi="宋体" w:eastAsia="宋体" w:cs="宋体"/>
                <w:i w:val="0"/>
                <w:iCs w:val="0"/>
                <w:color w:val="auto"/>
                <w:sz w:val="22"/>
                <w:szCs w:val="22"/>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D0A98">
            <w:pPr>
              <w:rPr>
                <w:rFonts w:hint="eastAsia" w:ascii="宋体" w:hAnsi="宋体" w:eastAsia="宋体" w:cs="宋体"/>
                <w:i w:val="0"/>
                <w:iCs w:val="0"/>
                <w:color w:val="auto"/>
                <w:sz w:val="22"/>
                <w:szCs w:val="22"/>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95B79">
            <w:pPr>
              <w:rPr>
                <w:rFonts w:hint="eastAsia" w:ascii="宋体" w:hAnsi="宋体" w:eastAsia="宋体" w:cs="宋体"/>
                <w:i w:val="0"/>
                <w:iCs w:val="0"/>
                <w:color w:val="auto"/>
                <w:sz w:val="22"/>
                <w:szCs w:val="22"/>
                <w:highlight w:val="none"/>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D8923">
            <w:pPr>
              <w:rPr>
                <w:rFonts w:hint="eastAsia" w:ascii="宋体" w:hAnsi="宋体" w:eastAsia="宋体" w:cs="宋体"/>
                <w:i w:val="0"/>
                <w:iCs w:val="0"/>
                <w:color w:val="auto"/>
                <w:sz w:val="22"/>
                <w:szCs w:val="22"/>
                <w:highlight w:val="none"/>
                <w:u w:val="none"/>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10F35">
            <w:pPr>
              <w:rPr>
                <w:rFonts w:hint="eastAsia" w:ascii="宋体" w:hAnsi="宋体" w:eastAsia="宋体" w:cs="宋体"/>
                <w:i w:val="0"/>
                <w:iCs w:val="0"/>
                <w:color w:val="auto"/>
                <w:sz w:val="22"/>
                <w:szCs w:val="22"/>
                <w:highlight w:val="none"/>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097DD">
            <w:pPr>
              <w:rPr>
                <w:rFonts w:hint="eastAsia" w:ascii="宋体" w:hAnsi="宋体" w:eastAsia="宋体" w:cs="宋体"/>
                <w:i w:val="0"/>
                <w:iCs w:val="0"/>
                <w:color w:val="auto"/>
                <w:sz w:val="22"/>
                <w:szCs w:val="22"/>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D466B">
            <w:pPr>
              <w:rPr>
                <w:rFonts w:hint="eastAsia" w:ascii="宋体" w:hAnsi="宋体" w:eastAsia="宋体" w:cs="宋体"/>
                <w:i w:val="0"/>
                <w:iCs w:val="0"/>
                <w:color w:val="auto"/>
                <w:sz w:val="22"/>
                <w:szCs w:val="22"/>
                <w:highlight w:val="none"/>
                <w:u w:val="none"/>
              </w:rPr>
            </w:pPr>
          </w:p>
        </w:tc>
      </w:tr>
      <w:tr w14:paraId="3F747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9DFDA">
            <w:pPr>
              <w:rPr>
                <w:rFonts w:hint="eastAsia" w:ascii="宋体" w:hAnsi="宋体" w:eastAsia="宋体" w:cs="宋体"/>
                <w:i w:val="0"/>
                <w:iCs w:val="0"/>
                <w:color w:val="auto"/>
                <w:sz w:val="22"/>
                <w:szCs w:val="22"/>
                <w:highlight w:val="none"/>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CCFE4">
            <w:pPr>
              <w:rPr>
                <w:rFonts w:hint="eastAsia" w:ascii="宋体" w:hAnsi="宋体" w:eastAsia="宋体" w:cs="宋体"/>
                <w:i w:val="0"/>
                <w:iCs w:val="0"/>
                <w:color w:val="auto"/>
                <w:sz w:val="22"/>
                <w:szCs w:val="22"/>
                <w:highlight w:val="none"/>
                <w:u w:val="none"/>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968A0">
            <w:pPr>
              <w:rPr>
                <w:rFonts w:hint="eastAsia" w:ascii="宋体" w:hAnsi="宋体" w:eastAsia="宋体" w:cs="宋体"/>
                <w:i w:val="0"/>
                <w:iCs w:val="0"/>
                <w:color w:val="auto"/>
                <w:sz w:val="22"/>
                <w:szCs w:val="22"/>
                <w:highlight w:val="none"/>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A17A0">
            <w:pPr>
              <w:rPr>
                <w:rFonts w:hint="eastAsia" w:ascii="宋体" w:hAnsi="宋体" w:eastAsia="宋体" w:cs="宋体"/>
                <w:i w:val="0"/>
                <w:iCs w:val="0"/>
                <w:color w:val="auto"/>
                <w:sz w:val="22"/>
                <w:szCs w:val="22"/>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9A129">
            <w:pPr>
              <w:rPr>
                <w:rFonts w:hint="eastAsia" w:ascii="宋体" w:hAnsi="宋体" w:eastAsia="宋体" w:cs="宋体"/>
                <w:i w:val="0"/>
                <w:iCs w:val="0"/>
                <w:color w:val="auto"/>
                <w:sz w:val="22"/>
                <w:szCs w:val="22"/>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C1592">
            <w:pPr>
              <w:rPr>
                <w:rFonts w:hint="eastAsia" w:ascii="宋体" w:hAnsi="宋体" w:eastAsia="宋体" w:cs="宋体"/>
                <w:i w:val="0"/>
                <w:iCs w:val="0"/>
                <w:color w:val="auto"/>
                <w:sz w:val="22"/>
                <w:szCs w:val="22"/>
                <w:highlight w:val="none"/>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2FCEB">
            <w:pPr>
              <w:rPr>
                <w:rFonts w:hint="eastAsia" w:ascii="宋体" w:hAnsi="宋体" w:eastAsia="宋体" w:cs="宋体"/>
                <w:i w:val="0"/>
                <w:iCs w:val="0"/>
                <w:color w:val="auto"/>
                <w:sz w:val="22"/>
                <w:szCs w:val="22"/>
                <w:highlight w:val="none"/>
                <w:u w:val="none"/>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C4E7F">
            <w:pPr>
              <w:rPr>
                <w:rFonts w:hint="eastAsia" w:ascii="宋体" w:hAnsi="宋体" w:eastAsia="宋体" w:cs="宋体"/>
                <w:i w:val="0"/>
                <w:iCs w:val="0"/>
                <w:color w:val="auto"/>
                <w:sz w:val="22"/>
                <w:szCs w:val="22"/>
                <w:highlight w:val="none"/>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9EE10">
            <w:pPr>
              <w:rPr>
                <w:rFonts w:hint="eastAsia" w:ascii="宋体" w:hAnsi="宋体" w:eastAsia="宋体" w:cs="宋体"/>
                <w:i w:val="0"/>
                <w:iCs w:val="0"/>
                <w:color w:val="auto"/>
                <w:sz w:val="22"/>
                <w:szCs w:val="22"/>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3C833">
            <w:pPr>
              <w:rPr>
                <w:rFonts w:hint="eastAsia" w:ascii="宋体" w:hAnsi="宋体" w:eastAsia="宋体" w:cs="宋体"/>
                <w:i w:val="0"/>
                <w:iCs w:val="0"/>
                <w:color w:val="auto"/>
                <w:sz w:val="22"/>
                <w:szCs w:val="22"/>
                <w:highlight w:val="none"/>
                <w:u w:val="none"/>
              </w:rPr>
            </w:pPr>
          </w:p>
        </w:tc>
      </w:tr>
      <w:tr w14:paraId="5B36E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5A0B3">
            <w:pPr>
              <w:rPr>
                <w:rFonts w:hint="eastAsia" w:ascii="宋体" w:hAnsi="宋体" w:eastAsia="宋体" w:cs="宋体"/>
                <w:i w:val="0"/>
                <w:iCs w:val="0"/>
                <w:color w:val="auto"/>
                <w:sz w:val="22"/>
                <w:szCs w:val="22"/>
                <w:highlight w:val="none"/>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0494D">
            <w:pPr>
              <w:rPr>
                <w:rFonts w:hint="eastAsia" w:ascii="宋体" w:hAnsi="宋体" w:eastAsia="宋体" w:cs="宋体"/>
                <w:i w:val="0"/>
                <w:iCs w:val="0"/>
                <w:color w:val="auto"/>
                <w:sz w:val="22"/>
                <w:szCs w:val="22"/>
                <w:highlight w:val="none"/>
                <w:u w:val="none"/>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B808F">
            <w:pPr>
              <w:rPr>
                <w:rFonts w:hint="eastAsia" w:ascii="宋体" w:hAnsi="宋体" w:eastAsia="宋体" w:cs="宋体"/>
                <w:i w:val="0"/>
                <w:iCs w:val="0"/>
                <w:color w:val="auto"/>
                <w:sz w:val="22"/>
                <w:szCs w:val="22"/>
                <w:highlight w:val="none"/>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F4E1D">
            <w:pPr>
              <w:rPr>
                <w:rFonts w:hint="eastAsia" w:ascii="宋体" w:hAnsi="宋体" w:eastAsia="宋体" w:cs="宋体"/>
                <w:i w:val="0"/>
                <w:iCs w:val="0"/>
                <w:color w:val="auto"/>
                <w:sz w:val="22"/>
                <w:szCs w:val="22"/>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8CAE5">
            <w:pPr>
              <w:rPr>
                <w:rFonts w:hint="eastAsia" w:ascii="宋体" w:hAnsi="宋体" w:eastAsia="宋体" w:cs="宋体"/>
                <w:i w:val="0"/>
                <w:iCs w:val="0"/>
                <w:color w:val="auto"/>
                <w:sz w:val="22"/>
                <w:szCs w:val="22"/>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90BC0">
            <w:pPr>
              <w:rPr>
                <w:rFonts w:hint="eastAsia" w:ascii="宋体" w:hAnsi="宋体" w:eastAsia="宋体" w:cs="宋体"/>
                <w:i w:val="0"/>
                <w:iCs w:val="0"/>
                <w:color w:val="auto"/>
                <w:sz w:val="22"/>
                <w:szCs w:val="22"/>
                <w:highlight w:val="none"/>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AEAE3">
            <w:pPr>
              <w:rPr>
                <w:rFonts w:hint="eastAsia" w:ascii="宋体" w:hAnsi="宋体" w:eastAsia="宋体" w:cs="宋体"/>
                <w:i w:val="0"/>
                <w:iCs w:val="0"/>
                <w:color w:val="auto"/>
                <w:sz w:val="22"/>
                <w:szCs w:val="22"/>
                <w:highlight w:val="none"/>
                <w:u w:val="none"/>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51AC9">
            <w:pPr>
              <w:rPr>
                <w:rFonts w:hint="eastAsia" w:ascii="宋体" w:hAnsi="宋体" w:eastAsia="宋体" w:cs="宋体"/>
                <w:i w:val="0"/>
                <w:iCs w:val="0"/>
                <w:color w:val="auto"/>
                <w:sz w:val="22"/>
                <w:szCs w:val="22"/>
                <w:highlight w:val="none"/>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DB70A">
            <w:pPr>
              <w:rPr>
                <w:rFonts w:hint="eastAsia" w:ascii="宋体" w:hAnsi="宋体" w:eastAsia="宋体" w:cs="宋体"/>
                <w:i w:val="0"/>
                <w:iCs w:val="0"/>
                <w:color w:val="auto"/>
                <w:sz w:val="22"/>
                <w:szCs w:val="22"/>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A5808">
            <w:pPr>
              <w:rPr>
                <w:rFonts w:hint="eastAsia" w:ascii="宋体" w:hAnsi="宋体" w:eastAsia="宋体" w:cs="宋体"/>
                <w:i w:val="0"/>
                <w:iCs w:val="0"/>
                <w:color w:val="auto"/>
                <w:sz w:val="22"/>
                <w:szCs w:val="22"/>
                <w:highlight w:val="none"/>
                <w:u w:val="none"/>
              </w:rPr>
            </w:pPr>
          </w:p>
        </w:tc>
      </w:tr>
      <w:tr w14:paraId="7BCB1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81AFC">
            <w:pPr>
              <w:rPr>
                <w:rFonts w:hint="eastAsia" w:ascii="宋体" w:hAnsi="宋体" w:eastAsia="宋体" w:cs="宋体"/>
                <w:i w:val="0"/>
                <w:iCs w:val="0"/>
                <w:color w:val="auto"/>
                <w:sz w:val="22"/>
                <w:szCs w:val="22"/>
                <w:highlight w:val="none"/>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1E7D5">
            <w:pPr>
              <w:rPr>
                <w:rFonts w:hint="eastAsia" w:ascii="宋体" w:hAnsi="宋体" w:eastAsia="宋体" w:cs="宋体"/>
                <w:i w:val="0"/>
                <w:iCs w:val="0"/>
                <w:color w:val="auto"/>
                <w:sz w:val="22"/>
                <w:szCs w:val="22"/>
                <w:highlight w:val="none"/>
                <w:u w:val="none"/>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25F84">
            <w:pPr>
              <w:rPr>
                <w:rFonts w:hint="eastAsia" w:ascii="宋体" w:hAnsi="宋体" w:eastAsia="宋体" w:cs="宋体"/>
                <w:i w:val="0"/>
                <w:iCs w:val="0"/>
                <w:color w:val="auto"/>
                <w:sz w:val="22"/>
                <w:szCs w:val="22"/>
                <w:highlight w:val="none"/>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7C921">
            <w:pPr>
              <w:rPr>
                <w:rFonts w:hint="eastAsia" w:ascii="宋体" w:hAnsi="宋体" w:eastAsia="宋体" w:cs="宋体"/>
                <w:i w:val="0"/>
                <w:iCs w:val="0"/>
                <w:color w:val="auto"/>
                <w:sz w:val="22"/>
                <w:szCs w:val="22"/>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D6DC9">
            <w:pPr>
              <w:rPr>
                <w:rFonts w:hint="eastAsia" w:ascii="宋体" w:hAnsi="宋体" w:eastAsia="宋体" w:cs="宋体"/>
                <w:i w:val="0"/>
                <w:iCs w:val="0"/>
                <w:color w:val="auto"/>
                <w:sz w:val="22"/>
                <w:szCs w:val="22"/>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DFF46">
            <w:pPr>
              <w:rPr>
                <w:rFonts w:hint="eastAsia" w:ascii="宋体" w:hAnsi="宋体" w:eastAsia="宋体" w:cs="宋体"/>
                <w:i w:val="0"/>
                <w:iCs w:val="0"/>
                <w:color w:val="auto"/>
                <w:sz w:val="22"/>
                <w:szCs w:val="22"/>
                <w:highlight w:val="none"/>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9FC08">
            <w:pPr>
              <w:rPr>
                <w:rFonts w:hint="eastAsia" w:ascii="宋体" w:hAnsi="宋体" w:eastAsia="宋体" w:cs="宋体"/>
                <w:i w:val="0"/>
                <w:iCs w:val="0"/>
                <w:color w:val="auto"/>
                <w:sz w:val="22"/>
                <w:szCs w:val="22"/>
                <w:highlight w:val="none"/>
                <w:u w:val="none"/>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5AB56">
            <w:pPr>
              <w:rPr>
                <w:rFonts w:hint="eastAsia" w:ascii="宋体" w:hAnsi="宋体" w:eastAsia="宋体" w:cs="宋体"/>
                <w:i w:val="0"/>
                <w:iCs w:val="0"/>
                <w:color w:val="auto"/>
                <w:sz w:val="22"/>
                <w:szCs w:val="22"/>
                <w:highlight w:val="none"/>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A8D1F">
            <w:pPr>
              <w:rPr>
                <w:rFonts w:hint="eastAsia" w:ascii="宋体" w:hAnsi="宋体" w:eastAsia="宋体" w:cs="宋体"/>
                <w:i w:val="0"/>
                <w:iCs w:val="0"/>
                <w:color w:val="auto"/>
                <w:sz w:val="22"/>
                <w:szCs w:val="22"/>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EEABB">
            <w:pPr>
              <w:rPr>
                <w:rFonts w:hint="eastAsia" w:ascii="宋体" w:hAnsi="宋体" w:eastAsia="宋体" w:cs="宋体"/>
                <w:i w:val="0"/>
                <w:iCs w:val="0"/>
                <w:color w:val="auto"/>
                <w:sz w:val="22"/>
                <w:szCs w:val="22"/>
                <w:highlight w:val="none"/>
                <w:u w:val="none"/>
              </w:rPr>
            </w:pPr>
          </w:p>
        </w:tc>
      </w:tr>
      <w:tr w14:paraId="31395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251AB">
            <w:pPr>
              <w:rPr>
                <w:rFonts w:hint="eastAsia" w:ascii="宋体" w:hAnsi="宋体" w:eastAsia="宋体" w:cs="宋体"/>
                <w:i w:val="0"/>
                <w:iCs w:val="0"/>
                <w:color w:val="auto"/>
                <w:sz w:val="22"/>
                <w:szCs w:val="22"/>
                <w:highlight w:val="none"/>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BCFB2">
            <w:pPr>
              <w:rPr>
                <w:rFonts w:hint="eastAsia" w:ascii="宋体" w:hAnsi="宋体" w:eastAsia="宋体" w:cs="宋体"/>
                <w:i w:val="0"/>
                <w:iCs w:val="0"/>
                <w:color w:val="auto"/>
                <w:sz w:val="22"/>
                <w:szCs w:val="22"/>
                <w:highlight w:val="none"/>
                <w:u w:val="none"/>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A718F">
            <w:pPr>
              <w:rPr>
                <w:rFonts w:hint="eastAsia" w:ascii="宋体" w:hAnsi="宋体" w:eastAsia="宋体" w:cs="宋体"/>
                <w:i w:val="0"/>
                <w:iCs w:val="0"/>
                <w:color w:val="auto"/>
                <w:sz w:val="22"/>
                <w:szCs w:val="22"/>
                <w:highlight w:val="none"/>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043D5">
            <w:pPr>
              <w:rPr>
                <w:rFonts w:hint="eastAsia" w:ascii="宋体" w:hAnsi="宋体" w:eastAsia="宋体" w:cs="宋体"/>
                <w:i w:val="0"/>
                <w:iCs w:val="0"/>
                <w:color w:val="auto"/>
                <w:sz w:val="22"/>
                <w:szCs w:val="22"/>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417A9">
            <w:pPr>
              <w:rPr>
                <w:rFonts w:hint="eastAsia" w:ascii="宋体" w:hAnsi="宋体" w:eastAsia="宋体" w:cs="宋体"/>
                <w:i w:val="0"/>
                <w:iCs w:val="0"/>
                <w:color w:val="auto"/>
                <w:sz w:val="22"/>
                <w:szCs w:val="22"/>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1FF0B">
            <w:pPr>
              <w:rPr>
                <w:rFonts w:hint="eastAsia" w:ascii="宋体" w:hAnsi="宋体" w:eastAsia="宋体" w:cs="宋体"/>
                <w:i w:val="0"/>
                <w:iCs w:val="0"/>
                <w:color w:val="auto"/>
                <w:sz w:val="22"/>
                <w:szCs w:val="22"/>
                <w:highlight w:val="none"/>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D5F8A">
            <w:pPr>
              <w:rPr>
                <w:rFonts w:hint="eastAsia" w:ascii="宋体" w:hAnsi="宋体" w:eastAsia="宋体" w:cs="宋体"/>
                <w:i w:val="0"/>
                <w:iCs w:val="0"/>
                <w:color w:val="auto"/>
                <w:sz w:val="22"/>
                <w:szCs w:val="22"/>
                <w:highlight w:val="none"/>
                <w:u w:val="none"/>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3A234">
            <w:pPr>
              <w:rPr>
                <w:rFonts w:hint="eastAsia" w:ascii="宋体" w:hAnsi="宋体" w:eastAsia="宋体" w:cs="宋体"/>
                <w:i w:val="0"/>
                <w:iCs w:val="0"/>
                <w:color w:val="auto"/>
                <w:sz w:val="22"/>
                <w:szCs w:val="22"/>
                <w:highlight w:val="none"/>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C4AEA">
            <w:pPr>
              <w:rPr>
                <w:rFonts w:hint="eastAsia" w:ascii="宋体" w:hAnsi="宋体" w:eastAsia="宋体" w:cs="宋体"/>
                <w:i w:val="0"/>
                <w:iCs w:val="0"/>
                <w:color w:val="auto"/>
                <w:sz w:val="22"/>
                <w:szCs w:val="22"/>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3659B">
            <w:pPr>
              <w:rPr>
                <w:rFonts w:hint="eastAsia" w:ascii="宋体" w:hAnsi="宋体" w:eastAsia="宋体" w:cs="宋体"/>
                <w:i w:val="0"/>
                <w:iCs w:val="0"/>
                <w:color w:val="auto"/>
                <w:sz w:val="22"/>
                <w:szCs w:val="22"/>
                <w:highlight w:val="none"/>
                <w:u w:val="none"/>
              </w:rPr>
            </w:pPr>
          </w:p>
        </w:tc>
      </w:tr>
      <w:tr w14:paraId="117BC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50D50">
            <w:pPr>
              <w:rPr>
                <w:rFonts w:hint="eastAsia" w:ascii="宋体" w:hAnsi="宋体" w:eastAsia="宋体" w:cs="宋体"/>
                <w:i w:val="0"/>
                <w:iCs w:val="0"/>
                <w:color w:val="auto"/>
                <w:sz w:val="22"/>
                <w:szCs w:val="22"/>
                <w:highlight w:val="none"/>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0606E">
            <w:pPr>
              <w:rPr>
                <w:rFonts w:hint="eastAsia" w:ascii="宋体" w:hAnsi="宋体" w:eastAsia="宋体" w:cs="宋体"/>
                <w:i w:val="0"/>
                <w:iCs w:val="0"/>
                <w:color w:val="auto"/>
                <w:sz w:val="22"/>
                <w:szCs w:val="22"/>
                <w:highlight w:val="none"/>
                <w:u w:val="none"/>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6F32D">
            <w:pPr>
              <w:rPr>
                <w:rFonts w:hint="eastAsia" w:ascii="宋体" w:hAnsi="宋体" w:eastAsia="宋体" w:cs="宋体"/>
                <w:i w:val="0"/>
                <w:iCs w:val="0"/>
                <w:color w:val="auto"/>
                <w:sz w:val="22"/>
                <w:szCs w:val="22"/>
                <w:highlight w:val="none"/>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B0102">
            <w:pPr>
              <w:rPr>
                <w:rFonts w:hint="eastAsia" w:ascii="宋体" w:hAnsi="宋体" w:eastAsia="宋体" w:cs="宋体"/>
                <w:i w:val="0"/>
                <w:iCs w:val="0"/>
                <w:color w:val="auto"/>
                <w:sz w:val="22"/>
                <w:szCs w:val="22"/>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3D8AA">
            <w:pPr>
              <w:rPr>
                <w:rFonts w:hint="eastAsia" w:ascii="宋体" w:hAnsi="宋体" w:eastAsia="宋体" w:cs="宋体"/>
                <w:i w:val="0"/>
                <w:iCs w:val="0"/>
                <w:color w:val="auto"/>
                <w:sz w:val="22"/>
                <w:szCs w:val="22"/>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9FF8D">
            <w:pPr>
              <w:rPr>
                <w:rFonts w:hint="eastAsia" w:ascii="宋体" w:hAnsi="宋体" w:eastAsia="宋体" w:cs="宋体"/>
                <w:i w:val="0"/>
                <w:iCs w:val="0"/>
                <w:color w:val="auto"/>
                <w:sz w:val="22"/>
                <w:szCs w:val="22"/>
                <w:highlight w:val="none"/>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C6F3D">
            <w:pPr>
              <w:rPr>
                <w:rFonts w:hint="eastAsia" w:ascii="宋体" w:hAnsi="宋体" w:eastAsia="宋体" w:cs="宋体"/>
                <w:i w:val="0"/>
                <w:iCs w:val="0"/>
                <w:color w:val="auto"/>
                <w:sz w:val="22"/>
                <w:szCs w:val="22"/>
                <w:highlight w:val="none"/>
                <w:u w:val="none"/>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09919">
            <w:pPr>
              <w:rPr>
                <w:rFonts w:hint="eastAsia" w:ascii="宋体" w:hAnsi="宋体" w:eastAsia="宋体" w:cs="宋体"/>
                <w:i w:val="0"/>
                <w:iCs w:val="0"/>
                <w:color w:val="auto"/>
                <w:sz w:val="22"/>
                <w:szCs w:val="22"/>
                <w:highlight w:val="none"/>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2F559">
            <w:pPr>
              <w:rPr>
                <w:rFonts w:hint="eastAsia" w:ascii="宋体" w:hAnsi="宋体" w:eastAsia="宋体" w:cs="宋体"/>
                <w:i w:val="0"/>
                <w:iCs w:val="0"/>
                <w:color w:val="auto"/>
                <w:sz w:val="22"/>
                <w:szCs w:val="22"/>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85961">
            <w:pPr>
              <w:rPr>
                <w:rFonts w:hint="eastAsia" w:ascii="宋体" w:hAnsi="宋体" w:eastAsia="宋体" w:cs="宋体"/>
                <w:i w:val="0"/>
                <w:iCs w:val="0"/>
                <w:color w:val="auto"/>
                <w:sz w:val="22"/>
                <w:szCs w:val="22"/>
                <w:highlight w:val="none"/>
                <w:u w:val="none"/>
              </w:rPr>
            </w:pPr>
          </w:p>
        </w:tc>
      </w:tr>
      <w:tr w14:paraId="57E91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C4CED">
            <w:pPr>
              <w:rPr>
                <w:rFonts w:hint="eastAsia" w:ascii="宋体" w:hAnsi="宋体" w:eastAsia="宋体" w:cs="宋体"/>
                <w:i w:val="0"/>
                <w:iCs w:val="0"/>
                <w:color w:val="auto"/>
                <w:sz w:val="22"/>
                <w:szCs w:val="22"/>
                <w:highlight w:val="none"/>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B305B">
            <w:pPr>
              <w:rPr>
                <w:rFonts w:hint="eastAsia" w:ascii="宋体" w:hAnsi="宋体" w:eastAsia="宋体" w:cs="宋体"/>
                <w:i w:val="0"/>
                <w:iCs w:val="0"/>
                <w:color w:val="auto"/>
                <w:sz w:val="22"/>
                <w:szCs w:val="22"/>
                <w:highlight w:val="none"/>
                <w:u w:val="none"/>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8CB87">
            <w:pPr>
              <w:rPr>
                <w:rFonts w:hint="eastAsia" w:ascii="宋体" w:hAnsi="宋体" w:eastAsia="宋体" w:cs="宋体"/>
                <w:i w:val="0"/>
                <w:iCs w:val="0"/>
                <w:color w:val="auto"/>
                <w:sz w:val="22"/>
                <w:szCs w:val="22"/>
                <w:highlight w:val="none"/>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15CDC">
            <w:pPr>
              <w:rPr>
                <w:rFonts w:hint="eastAsia" w:ascii="宋体" w:hAnsi="宋体" w:eastAsia="宋体" w:cs="宋体"/>
                <w:i w:val="0"/>
                <w:iCs w:val="0"/>
                <w:color w:val="auto"/>
                <w:sz w:val="22"/>
                <w:szCs w:val="22"/>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54763">
            <w:pPr>
              <w:rPr>
                <w:rFonts w:hint="eastAsia" w:ascii="宋体" w:hAnsi="宋体" w:eastAsia="宋体" w:cs="宋体"/>
                <w:i w:val="0"/>
                <w:iCs w:val="0"/>
                <w:color w:val="auto"/>
                <w:sz w:val="22"/>
                <w:szCs w:val="22"/>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C701C">
            <w:pPr>
              <w:rPr>
                <w:rFonts w:hint="eastAsia" w:ascii="宋体" w:hAnsi="宋体" w:eastAsia="宋体" w:cs="宋体"/>
                <w:i w:val="0"/>
                <w:iCs w:val="0"/>
                <w:color w:val="auto"/>
                <w:sz w:val="22"/>
                <w:szCs w:val="22"/>
                <w:highlight w:val="none"/>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F170">
            <w:pPr>
              <w:rPr>
                <w:rFonts w:hint="eastAsia" w:ascii="宋体" w:hAnsi="宋体" w:eastAsia="宋体" w:cs="宋体"/>
                <w:i w:val="0"/>
                <w:iCs w:val="0"/>
                <w:color w:val="auto"/>
                <w:sz w:val="22"/>
                <w:szCs w:val="22"/>
                <w:highlight w:val="none"/>
                <w:u w:val="none"/>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73737">
            <w:pPr>
              <w:rPr>
                <w:rFonts w:hint="eastAsia" w:ascii="宋体" w:hAnsi="宋体" w:eastAsia="宋体" w:cs="宋体"/>
                <w:i w:val="0"/>
                <w:iCs w:val="0"/>
                <w:color w:val="auto"/>
                <w:sz w:val="22"/>
                <w:szCs w:val="22"/>
                <w:highlight w:val="none"/>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911A0">
            <w:pPr>
              <w:rPr>
                <w:rFonts w:hint="eastAsia" w:ascii="宋体" w:hAnsi="宋体" w:eastAsia="宋体" w:cs="宋体"/>
                <w:i w:val="0"/>
                <w:iCs w:val="0"/>
                <w:color w:val="auto"/>
                <w:sz w:val="22"/>
                <w:szCs w:val="22"/>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68B1E">
            <w:pPr>
              <w:rPr>
                <w:rFonts w:hint="eastAsia" w:ascii="宋体" w:hAnsi="宋体" w:eastAsia="宋体" w:cs="宋体"/>
                <w:i w:val="0"/>
                <w:iCs w:val="0"/>
                <w:color w:val="auto"/>
                <w:sz w:val="22"/>
                <w:szCs w:val="22"/>
                <w:highlight w:val="none"/>
                <w:u w:val="none"/>
              </w:rPr>
            </w:pPr>
          </w:p>
        </w:tc>
      </w:tr>
      <w:tr w14:paraId="3B706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00D64">
            <w:pPr>
              <w:rPr>
                <w:rFonts w:hint="eastAsia" w:ascii="宋体" w:hAnsi="宋体" w:eastAsia="宋体" w:cs="宋体"/>
                <w:i w:val="0"/>
                <w:iCs w:val="0"/>
                <w:color w:val="auto"/>
                <w:sz w:val="22"/>
                <w:szCs w:val="22"/>
                <w:highlight w:val="none"/>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585AD">
            <w:pPr>
              <w:rPr>
                <w:rFonts w:hint="eastAsia" w:ascii="宋体" w:hAnsi="宋体" w:eastAsia="宋体" w:cs="宋体"/>
                <w:i w:val="0"/>
                <w:iCs w:val="0"/>
                <w:color w:val="auto"/>
                <w:sz w:val="22"/>
                <w:szCs w:val="22"/>
                <w:highlight w:val="none"/>
                <w:u w:val="none"/>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30F67">
            <w:pPr>
              <w:rPr>
                <w:rFonts w:hint="eastAsia" w:ascii="宋体" w:hAnsi="宋体" w:eastAsia="宋体" w:cs="宋体"/>
                <w:i w:val="0"/>
                <w:iCs w:val="0"/>
                <w:color w:val="auto"/>
                <w:sz w:val="22"/>
                <w:szCs w:val="22"/>
                <w:highlight w:val="none"/>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6EC74">
            <w:pPr>
              <w:rPr>
                <w:rFonts w:hint="eastAsia" w:ascii="宋体" w:hAnsi="宋体" w:eastAsia="宋体" w:cs="宋体"/>
                <w:i w:val="0"/>
                <w:iCs w:val="0"/>
                <w:color w:val="auto"/>
                <w:sz w:val="22"/>
                <w:szCs w:val="22"/>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EF4DA">
            <w:pPr>
              <w:rPr>
                <w:rFonts w:hint="eastAsia" w:ascii="宋体" w:hAnsi="宋体" w:eastAsia="宋体" w:cs="宋体"/>
                <w:i w:val="0"/>
                <w:iCs w:val="0"/>
                <w:color w:val="auto"/>
                <w:sz w:val="22"/>
                <w:szCs w:val="22"/>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F876A">
            <w:pPr>
              <w:rPr>
                <w:rFonts w:hint="eastAsia" w:ascii="宋体" w:hAnsi="宋体" w:eastAsia="宋体" w:cs="宋体"/>
                <w:i w:val="0"/>
                <w:iCs w:val="0"/>
                <w:color w:val="auto"/>
                <w:sz w:val="22"/>
                <w:szCs w:val="22"/>
                <w:highlight w:val="none"/>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88B4C">
            <w:pPr>
              <w:rPr>
                <w:rFonts w:hint="eastAsia" w:ascii="宋体" w:hAnsi="宋体" w:eastAsia="宋体" w:cs="宋体"/>
                <w:i w:val="0"/>
                <w:iCs w:val="0"/>
                <w:color w:val="auto"/>
                <w:sz w:val="22"/>
                <w:szCs w:val="22"/>
                <w:highlight w:val="none"/>
                <w:u w:val="none"/>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C6A2D">
            <w:pPr>
              <w:rPr>
                <w:rFonts w:hint="eastAsia" w:ascii="宋体" w:hAnsi="宋体" w:eastAsia="宋体" w:cs="宋体"/>
                <w:i w:val="0"/>
                <w:iCs w:val="0"/>
                <w:color w:val="auto"/>
                <w:sz w:val="22"/>
                <w:szCs w:val="22"/>
                <w:highlight w:val="none"/>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68B91">
            <w:pPr>
              <w:rPr>
                <w:rFonts w:hint="eastAsia" w:ascii="宋体" w:hAnsi="宋体" w:eastAsia="宋体" w:cs="宋体"/>
                <w:i w:val="0"/>
                <w:iCs w:val="0"/>
                <w:color w:val="auto"/>
                <w:sz w:val="22"/>
                <w:szCs w:val="22"/>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F89E1">
            <w:pPr>
              <w:rPr>
                <w:rFonts w:hint="eastAsia" w:ascii="宋体" w:hAnsi="宋体" w:eastAsia="宋体" w:cs="宋体"/>
                <w:i w:val="0"/>
                <w:iCs w:val="0"/>
                <w:color w:val="auto"/>
                <w:sz w:val="22"/>
                <w:szCs w:val="22"/>
                <w:highlight w:val="none"/>
                <w:u w:val="none"/>
              </w:rPr>
            </w:pPr>
          </w:p>
        </w:tc>
      </w:tr>
      <w:tr w14:paraId="6F95E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4C2DE">
            <w:pPr>
              <w:rPr>
                <w:rFonts w:hint="eastAsia" w:ascii="宋体" w:hAnsi="宋体" w:eastAsia="宋体" w:cs="宋体"/>
                <w:i w:val="0"/>
                <w:iCs w:val="0"/>
                <w:color w:val="auto"/>
                <w:sz w:val="22"/>
                <w:szCs w:val="22"/>
                <w:highlight w:val="none"/>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B43D4">
            <w:pPr>
              <w:rPr>
                <w:rFonts w:hint="eastAsia" w:ascii="宋体" w:hAnsi="宋体" w:eastAsia="宋体" w:cs="宋体"/>
                <w:i w:val="0"/>
                <w:iCs w:val="0"/>
                <w:color w:val="auto"/>
                <w:sz w:val="22"/>
                <w:szCs w:val="22"/>
                <w:highlight w:val="none"/>
                <w:u w:val="none"/>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D14A0">
            <w:pPr>
              <w:rPr>
                <w:rFonts w:hint="eastAsia" w:ascii="宋体" w:hAnsi="宋体" w:eastAsia="宋体" w:cs="宋体"/>
                <w:i w:val="0"/>
                <w:iCs w:val="0"/>
                <w:color w:val="auto"/>
                <w:sz w:val="22"/>
                <w:szCs w:val="22"/>
                <w:highlight w:val="none"/>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A17F2">
            <w:pPr>
              <w:rPr>
                <w:rFonts w:hint="eastAsia" w:ascii="宋体" w:hAnsi="宋体" w:eastAsia="宋体" w:cs="宋体"/>
                <w:i w:val="0"/>
                <w:iCs w:val="0"/>
                <w:color w:val="auto"/>
                <w:sz w:val="22"/>
                <w:szCs w:val="22"/>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0D4EB">
            <w:pPr>
              <w:rPr>
                <w:rFonts w:hint="eastAsia" w:ascii="宋体" w:hAnsi="宋体" w:eastAsia="宋体" w:cs="宋体"/>
                <w:i w:val="0"/>
                <w:iCs w:val="0"/>
                <w:color w:val="auto"/>
                <w:sz w:val="22"/>
                <w:szCs w:val="22"/>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A7737">
            <w:pPr>
              <w:rPr>
                <w:rFonts w:hint="eastAsia" w:ascii="宋体" w:hAnsi="宋体" w:eastAsia="宋体" w:cs="宋体"/>
                <w:i w:val="0"/>
                <w:iCs w:val="0"/>
                <w:color w:val="auto"/>
                <w:sz w:val="22"/>
                <w:szCs w:val="22"/>
                <w:highlight w:val="none"/>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3251C">
            <w:pPr>
              <w:rPr>
                <w:rFonts w:hint="eastAsia" w:ascii="宋体" w:hAnsi="宋体" w:eastAsia="宋体" w:cs="宋体"/>
                <w:i w:val="0"/>
                <w:iCs w:val="0"/>
                <w:color w:val="auto"/>
                <w:sz w:val="22"/>
                <w:szCs w:val="22"/>
                <w:highlight w:val="none"/>
                <w:u w:val="none"/>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4FF3B">
            <w:pPr>
              <w:rPr>
                <w:rFonts w:hint="eastAsia" w:ascii="宋体" w:hAnsi="宋体" w:eastAsia="宋体" w:cs="宋体"/>
                <w:i w:val="0"/>
                <w:iCs w:val="0"/>
                <w:color w:val="auto"/>
                <w:sz w:val="22"/>
                <w:szCs w:val="22"/>
                <w:highlight w:val="none"/>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EF1F5">
            <w:pPr>
              <w:rPr>
                <w:rFonts w:hint="eastAsia" w:ascii="宋体" w:hAnsi="宋体" w:eastAsia="宋体" w:cs="宋体"/>
                <w:i w:val="0"/>
                <w:iCs w:val="0"/>
                <w:color w:val="auto"/>
                <w:sz w:val="22"/>
                <w:szCs w:val="22"/>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8B3A2">
            <w:pPr>
              <w:rPr>
                <w:rFonts w:hint="eastAsia" w:ascii="宋体" w:hAnsi="宋体" w:eastAsia="宋体" w:cs="宋体"/>
                <w:i w:val="0"/>
                <w:iCs w:val="0"/>
                <w:color w:val="auto"/>
                <w:sz w:val="22"/>
                <w:szCs w:val="22"/>
                <w:highlight w:val="none"/>
                <w:u w:val="none"/>
              </w:rPr>
            </w:pPr>
          </w:p>
        </w:tc>
      </w:tr>
    </w:tbl>
    <w:p w14:paraId="54BB5476">
      <w:pPr>
        <w:pStyle w:val="27"/>
        <w:rPr>
          <w:rFonts w:hint="eastAsia" w:hAnsi="宋体" w:cs="宋体"/>
          <w:color w:val="auto"/>
          <w:sz w:val="21"/>
          <w:highlight w:val="none"/>
        </w:rPr>
      </w:pPr>
    </w:p>
    <w:p w14:paraId="1A219DE0">
      <w:pPr>
        <w:pStyle w:val="27"/>
        <w:rPr>
          <w:rFonts w:hint="eastAsia" w:hAnsi="宋体" w:cs="宋体"/>
          <w:color w:val="auto"/>
          <w:sz w:val="21"/>
          <w:highlight w:val="none"/>
        </w:rPr>
      </w:pPr>
    </w:p>
    <w:p w14:paraId="2324978A">
      <w:pPr>
        <w:pStyle w:val="27"/>
        <w:rPr>
          <w:rFonts w:hAnsi="宋体" w:cs="宋体"/>
          <w:color w:val="auto"/>
          <w:sz w:val="21"/>
          <w:highlight w:val="none"/>
        </w:rPr>
      </w:pPr>
      <w:r>
        <w:rPr>
          <w:rFonts w:hint="eastAsia" w:hAnsi="宋体" w:cs="宋体"/>
          <w:color w:val="auto"/>
          <w:sz w:val="21"/>
          <w:highlight w:val="none"/>
        </w:rPr>
        <w:t>所投分标：</w:t>
      </w:r>
      <w:r>
        <w:rPr>
          <w:rFonts w:hint="eastAsia" w:hAnsi="宋体" w:cs="宋体"/>
          <w:color w:val="auto"/>
          <w:sz w:val="21"/>
          <w:highlight w:val="none"/>
          <w:u w:val="single"/>
        </w:rPr>
        <w:t xml:space="preserve">     </w:t>
      </w:r>
      <w:r>
        <w:rPr>
          <w:rFonts w:hint="eastAsia" w:hAnsi="宋体" w:cs="宋体"/>
          <w:color w:val="auto"/>
          <w:sz w:val="21"/>
          <w:highlight w:val="none"/>
        </w:rPr>
        <w:t>分标</w:t>
      </w:r>
    </w:p>
    <w:p w14:paraId="447CB8AE">
      <w:pPr>
        <w:snapToGrid w:val="0"/>
        <w:spacing w:before="120" w:beforeLines="50" w:after="50"/>
        <w:jc w:val="left"/>
        <w:rPr>
          <w:rFonts w:hint="eastAsia" w:ascii="宋体" w:hAnsi="宋体" w:cs="宋体"/>
          <w:b/>
          <w:color w:val="auto"/>
          <w:sz w:val="24"/>
          <w:highlight w:val="none"/>
        </w:rPr>
      </w:pPr>
    </w:p>
    <w:p w14:paraId="2CD83731">
      <w:pPr>
        <w:snapToGrid w:val="0"/>
        <w:spacing w:before="120" w:beforeLines="50" w:after="50"/>
        <w:jc w:val="left"/>
        <w:rPr>
          <w:rFonts w:ascii="宋体" w:hAnsi="宋体" w:cs="宋体"/>
          <w:b/>
          <w:color w:val="auto"/>
          <w:sz w:val="24"/>
          <w:highlight w:val="none"/>
        </w:rPr>
      </w:pPr>
      <w:r>
        <w:rPr>
          <w:rFonts w:hint="eastAsia" w:ascii="宋体" w:hAnsi="宋体" w:cs="宋体"/>
          <w:b/>
          <w:color w:val="auto"/>
          <w:sz w:val="24"/>
          <w:highlight w:val="none"/>
          <w:lang w:eastAsia="zh-CN"/>
        </w:rPr>
        <w:t>备注：投标人按照《图书目录明细表》填写，不得留空，否则按无效投标处理。</w:t>
      </w:r>
      <w:r>
        <w:rPr>
          <w:rFonts w:hint="eastAsia" w:ascii="宋体" w:hAnsi="宋体" w:cs="宋体"/>
          <w:b/>
          <w:color w:val="auto"/>
          <w:sz w:val="24"/>
          <w:highlight w:val="none"/>
        </w:rPr>
        <w:br w:type="page"/>
      </w:r>
      <w:r>
        <w:rPr>
          <w:rFonts w:hint="eastAsia" w:ascii="宋体" w:hAnsi="宋体" w:cs="宋体"/>
          <w:b/>
          <w:color w:val="auto"/>
          <w:sz w:val="24"/>
          <w:highlight w:val="none"/>
        </w:rPr>
        <w:t>9. 技术要求偏离表格式</w:t>
      </w:r>
    </w:p>
    <w:p w14:paraId="39C34FCA">
      <w:pPr>
        <w:snapToGrid w:val="0"/>
        <w:spacing w:before="120" w:beforeLines="50" w:after="50"/>
        <w:ind w:left="-134" w:firstLine="803"/>
        <w:jc w:val="center"/>
        <w:rPr>
          <w:rFonts w:ascii="宋体" w:hAnsi="宋体" w:cs="宋体"/>
          <w:b/>
          <w:color w:val="auto"/>
          <w:sz w:val="32"/>
          <w:szCs w:val="32"/>
          <w:highlight w:val="none"/>
        </w:rPr>
      </w:pPr>
    </w:p>
    <w:p w14:paraId="615D684C">
      <w:pPr>
        <w:snapToGrid w:val="0"/>
        <w:spacing w:before="120" w:beforeLines="50" w:after="50"/>
        <w:ind w:left="-134" w:firstLine="803"/>
        <w:jc w:val="center"/>
        <w:rPr>
          <w:rFonts w:ascii="宋体" w:hAnsi="宋体" w:cs="宋体"/>
          <w:b/>
          <w:color w:val="auto"/>
          <w:sz w:val="32"/>
          <w:szCs w:val="32"/>
          <w:highlight w:val="none"/>
        </w:rPr>
      </w:pPr>
      <w:r>
        <w:rPr>
          <w:rFonts w:hint="eastAsia" w:ascii="宋体" w:hAnsi="宋体" w:cs="宋体"/>
          <w:b/>
          <w:color w:val="auto"/>
          <w:sz w:val="32"/>
          <w:szCs w:val="32"/>
          <w:highlight w:val="none"/>
        </w:rPr>
        <w:t>技术要求偏离表</w:t>
      </w:r>
    </w:p>
    <w:p w14:paraId="5EFBD656">
      <w:pPr>
        <w:pStyle w:val="27"/>
        <w:rPr>
          <w:rFonts w:hAnsi="宋体" w:cs="宋体"/>
          <w:color w:val="auto"/>
          <w:sz w:val="21"/>
          <w:highlight w:val="none"/>
        </w:rPr>
      </w:pPr>
      <w:r>
        <w:rPr>
          <w:rFonts w:hint="eastAsia" w:hAnsi="宋体" w:cs="宋体"/>
          <w:color w:val="auto"/>
          <w:sz w:val="21"/>
          <w:highlight w:val="none"/>
        </w:rPr>
        <w:t>所投分标：</w:t>
      </w:r>
      <w:r>
        <w:rPr>
          <w:rFonts w:hint="eastAsia" w:hAnsi="宋体" w:cs="宋体"/>
          <w:color w:val="auto"/>
          <w:sz w:val="21"/>
          <w:highlight w:val="none"/>
          <w:u w:val="single"/>
        </w:rPr>
        <w:t xml:space="preserve">     </w:t>
      </w:r>
      <w:r>
        <w:rPr>
          <w:rFonts w:hint="eastAsia" w:hAnsi="宋体" w:cs="宋体"/>
          <w:color w:val="auto"/>
          <w:sz w:val="21"/>
          <w:highlight w:val="none"/>
        </w:rPr>
        <w:t>分标</w:t>
      </w:r>
    </w:p>
    <w:tbl>
      <w:tblPr>
        <w:tblStyle w:val="51"/>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631FB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60BFBA63">
            <w:pPr>
              <w:pStyle w:val="27"/>
              <w:spacing w:line="400" w:lineRule="exact"/>
              <w:jc w:val="center"/>
              <w:rPr>
                <w:rFonts w:hAnsi="宋体" w:cs="宋体"/>
                <w:color w:val="auto"/>
                <w:kern w:val="2"/>
                <w:sz w:val="21"/>
                <w:highlight w:val="none"/>
                <w:lang w:val="en-US"/>
              </w:rPr>
            </w:pPr>
            <w:r>
              <w:rPr>
                <w:rFonts w:hint="eastAsia" w:hAnsi="宋体" w:cs="宋体"/>
                <w:color w:val="auto"/>
                <w:kern w:val="2"/>
                <w:sz w:val="21"/>
                <w:highlight w:val="none"/>
                <w:lang w:val="en-US"/>
              </w:rPr>
              <w:t>项号</w:t>
            </w:r>
          </w:p>
        </w:tc>
        <w:tc>
          <w:tcPr>
            <w:tcW w:w="2143" w:type="dxa"/>
            <w:vAlign w:val="center"/>
          </w:tcPr>
          <w:p w14:paraId="3C715226">
            <w:pPr>
              <w:pStyle w:val="27"/>
              <w:spacing w:line="400" w:lineRule="exact"/>
              <w:jc w:val="center"/>
              <w:rPr>
                <w:rFonts w:hAnsi="宋体" w:cs="宋体"/>
                <w:color w:val="auto"/>
                <w:kern w:val="2"/>
                <w:sz w:val="21"/>
                <w:highlight w:val="none"/>
                <w:lang w:val="en-US"/>
              </w:rPr>
            </w:pPr>
            <w:r>
              <w:rPr>
                <w:rFonts w:hint="eastAsia" w:hAnsi="宋体" w:cs="宋体"/>
                <w:color w:val="auto"/>
                <w:kern w:val="2"/>
                <w:sz w:val="21"/>
                <w:highlight w:val="none"/>
                <w:lang w:val="en-US"/>
              </w:rPr>
              <w:t>标的的名称</w:t>
            </w:r>
          </w:p>
        </w:tc>
        <w:tc>
          <w:tcPr>
            <w:tcW w:w="1834" w:type="dxa"/>
            <w:vAlign w:val="center"/>
          </w:tcPr>
          <w:p w14:paraId="7A295CE5">
            <w:pPr>
              <w:pStyle w:val="27"/>
              <w:spacing w:line="400" w:lineRule="exact"/>
              <w:jc w:val="center"/>
              <w:rPr>
                <w:rFonts w:hAnsi="宋体" w:cs="宋体"/>
                <w:color w:val="auto"/>
                <w:kern w:val="2"/>
                <w:sz w:val="21"/>
                <w:highlight w:val="none"/>
                <w:lang w:val="en-US"/>
              </w:rPr>
            </w:pPr>
            <w:r>
              <w:rPr>
                <w:rFonts w:hint="eastAsia" w:hAnsi="宋体" w:cs="宋体"/>
                <w:color w:val="auto"/>
                <w:kern w:val="2"/>
                <w:sz w:val="21"/>
                <w:highlight w:val="none"/>
                <w:lang w:val="en-US"/>
              </w:rPr>
              <w:t>技术要求</w:t>
            </w:r>
          </w:p>
        </w:tc>
        <w:tc>
          <w:tcPr>
            <w:tcW w:w="2181" w:type="dxa"/>
            <w:vAlign w:val="center"/>
          </w:tcPr>
          <w:p w14:paraId="7BB154D6">
            <w:pPr>
              <w:pStyle w:val="27"/>
              <w:spacing w:line="400" w:lineRule="exact"/>
              <w:jc w:val="center"/>
              <w:rPr>
                <w:rFonts w:hAnsi="宋体" w:cs="宋体"/>
                <w:color w:val="auto"/>
                <w:kern w:val="2"/>
                <w:sz w:val="21"/>
                <w:highlight w:val="none"/>
                <w:lang w:val="en-US"/>
              </w:rPr>
            </w:pPr>
            <w:r>
              <w:rPr>
                <w:rFonts w:hint="eastAsia" w:hAnsi="宋体" w:cs="宋体"/>
                <w:color w:val="auto"/>
                <w:kern w:val="2"/>
                <w:sz w:val="21"/>
                <w:highlight w:val="none"/>
                <w:lang w:val="en-US"/>
              </w:rPr>
              <w:t>投标响应</w:t>
            </w:r>
          </w:p>
        </w:tc>
        <w:tc>
          <w:tcPr>
            <w:tcW w:w="1934" w:type="dxa"/>
            <w:vAlign w:val="center"/>
          </w:tcPr>
          <w:p w14:paraId="34665BDD">
            <w:pPr>
              <w:pStyle w:val="27"/>
              <w:spacing w:line="400" w:lineRule="exact"/>
              <w:jc w:val="center"/>
              <w:rPr>
                <w:rFonts w:hAnsi="宋体" w:cs="宋体"/>
                <w:color w:val="auto"/>
                <w:kern w:val="2"/>
                <w:sz w:val="21"/>
                <w:highlight w:val="none"/>
                <w:lang w:val="en-US"/>
              </w:rPr>
            </w:pPr>
            <w:r>
              <w:rPr>
                <w:rFonts w:hint="eastAsia" w:hAnsi="宋体" w:cs="宋体"/>
                <w:color w:val="auto"/>
                <w:kern w:val="2"/>
                <w:sz w:val="21"/>
                <w:highlight w:val="none"/>
                <w:lang w:val="en-US"/>
              </w:rPr>
              <w:t>偏离说明</w:t>
            </w:r>
          </w:p>
        </w:tc>
      </w:tr>
      <w:tr w14:paraId="14A86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7DF9A545">
            <w:pPr>
              <w:pStyle w:val="27"/>
              <w:spacing w:line="600" w:lineRule="exact"/>
              <w:jc w:val="center"/>
              <w:rPr>
                <w:rFonts w:hAnsi="宋体" w:cs="宋体"/>
                <w:color w:val="auto"/>
                <w:kern w:val="2"/>
                <w:sz w:val="21"/>
                <w:highlight w:val="none"/>
                <w:lang w:val="en-US"/>
              </w:rPr>
            </w:pPr>
          </w:p>
        </w:tc>
        <w:tc>
          <w:tcPr>
            <w:tcW w:w="2143" w:type="dxa"/>
            <w:vAlign w:val="center"/>
          </w:tcPr>
          <w:p w14:paraId="340DD95A">
            <w:pPr>
              <w:pStyle w:val="27"/>
              <w:spacing w:line="600" w:lineRule="exact"/>
              <w:jc w:val="center"/>
              <w:rPr>
                <w:rFonts w:hAnsi="宋体" w:cs="宋体"/>
                <w:color w:val="auto"/>
                <w:kern w:val="2"/>
                <w:sz w:val="21"/>
                <w:highlight w:val="none"/>
                <w:lang w:val="en-US"/>
              </w:rPr>
            </w:pPr>
          </w:p>
        </w:tc>
        <w:tc>
          <w:tcPr>
            <w:tcW w:w="1834" w:type="dxa"/>
            <w:vAlign w:val="center"/>
          </w:tcPr>
          <w:p w14:paraId="7A321520">
            <w:pPr>
              <w:pStyle w:val="27"/>
              <w:spacing w:line="600" w:lineRule="exact"/>
              <w:jc w:val="center"/>
              <w:rPr>
                <w:rFonts w:hAnsi="宋体" w:cs="宋体"/>
                <w:color w:val="auto"/>
                <w:kern w:val="2"/>
                <w:sz w:val="21"/>
                <w:highlight w:val="none"/>
                <w:lang w:val="en-US"/>
              </w:rPr>
            </w:pPr>
          </w:p>
        </w:tc>
        <w:tc>
          <w:tcPr>
            <w:tcW w:w="2181" w:type="dxa"/>
            <w:vAlign w:val="center"/>
          </w:tcPr>
          <w:p w14:paraId="333CA3CC">
            <w:pPr>
              <w:pStyle w:val="27"/>
              <w:spacing w:line="600" w:lineRule="exact"/>
              <w:jc w:val="center"/>
              <w:rPr>
                <w:rFonts w:hAnsi="宋体" w:cs="宋体"/>
                <w:color w:val="auto"/>
                <w:kern w:val="2"/>
                <w:sz w:val="21"/>
                <w:highlight w:val="none"/>
                <w:lang w:val="en-US"/>
              </w:rPr>
            </w:pPr>
          </w:p>
        </w:tc>
        <w:tc>
          <w:tcPr>
            <w:tcW w:w="1934" w:type="dxa"/>
            <w:vAlign w:val="center"/>
          </w:tcPr>
          <w:p w14:paraId="0B62166F">
            <w:pPr>
              <w:pStyle w:val="27"/>
              <w:spacing w:line="600" w:lineRule="exact"/>
              <w:jc w:val="center"/>
              <w:rPr>
                <w:rFonts w:hAnsi="宋体" w:cs="宋体"/>
                <w:color w:val="auto"/>
                <w:kern w:val="2"/>
                <w:sz w:val="21"/>
                <w:highlight w:val="none"/>
                <w:lang w:val="en-US"/>
              </w:rPr>
            </w:pPr>
          </w:p>
        </w:tc>
      </w:tr>
      <w:tr w14:paraId="04617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61EAE428">
            <w:pPr>
              <w:pStyle w:val="27"/>
              <w:spacing w:line="600" w:lineRule="exact"/>
              <w:rPr>
                <w:rFonts w:hAnsi="宋体" w:cs="宋体"/>
                <w:color w:val="auto"/>
                <w:kern w:val="2"/>
                <w:sz w:val="21"/>
                <w:highlight w:val="none"/>
                <w:lang w:val="en-US"/>
              </w:rPr>
            </w:pPr>
          </w:p>
        </w:tc>
        <w:tc>
          <w:tcPr>
            <w:tcW w:w="2143" w:type="dxa"/>
          </w:tcPr>
          <w:p w14:paraId="2F36C20E">
            <w:pPr>
              <w:pStyle w:val="27"/>
              <w:spacing w:line="600" w:lineRule="exact"/>
              <w:rPr>
                <w:rFonts w:hAnsi="宋体" w:cs="宋体"/>
                <w:color w:val="auto"/>
                <w:kern w:val="2"/>
                <w:sz w:val="21"/>
                <w:highlight w:val="none"/>
                <w:lang w:val="en-US"/>
              </w:rPr>
            </w:pPr>
          </w:p>
        </w:tc>
        <w:tc>
          <w:tcPr>
            <w:tcW w:w="1834" w:type="dxa"/>
          </w:tcPr>
          <w:p w14:paraId="08FBDF6B">
            <w:pPr>
              <w:pStyle w:val="27"/>
              <w:spacing w:line="600" w:lineRule="exact"/>
              <w:rPr>
                <w:rFonts w:hAnsi="宋体" w:cs="宋体"/>
                <w:color w:val="auto"/>
                <w:kern w:val="2"/>
                <w:sz w:val="21"/>
                <w:highlight w:val="none"/>
                <w:lang w:val="en-US"/>
              </w:rPr>
            </w:pPr>
          </w:p>
        </w:tc>
        <w:tc>
          <w:tcPr>
            <w:tcW w:w="2181" w:type="dxa"/>
          </w:tcPr>
          <w:p w14:paraId="22F1B57E">
            <w:pPr>
              <w:pStyle w:val="27"/>
              <w:spacing w:line="600" w:lineRule="exact"/>
              <w:rPr>
                <w:rFonts w:hAnsi="宋体" w:cs="宋体"/>
                <w:color w:val="auto"/>
                <w:kern w:val="2"/>
                <w:sz w:val="21"/>
                <w:highlight w:val="none"/>
                <w:lang w:val="en-US"/>
              </w:rPr>
            </w:pPr>
          </w:p>
        </w:tc>
        <w:tc>
          <w:tcPr>
            <w:tcW w:w="1934" w:type="dxa"/>
          </w:tcPr>
          <w:p w14:paraId="033A4359">
            <w:pPr>
              <w:pStyle w:val="27"/>
              <w:spacing w:line="600" w:lineRule="exact"/>
              <w:rPr>
                <w:rFonts w:hAnsi="宋体" w:cs="宋体"/>
                <w:color w:val="auto"/>
                <w:kern w:val="2"/>
                <w:sz w:val="21"/>
                <w:highlight w:val="none"/>
                <w:lang w:val="en-US"/>
              </w:rPr>
            </w:pPr>
          </w:p>
        </w:tc>
      </w:tr>
      <w:tr w14:paraId="1C013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095ED4D7">
            <w:pPr>
              <w:pStyle w:val="27"/>
              <w:spacing w:line="600" w:lineRule="exact"/>
              <w:rPr>
                <w:rFonts w:hAnsi="宋体" w:cs="宋体"/>
                <w:color w:val="auto"/>
                <w:kern w:val="2"/>
                <w:sz w:val="21"/>
                <w:highlight w:val="none"/>
                <w:lang w:val="en-US"/>
              </w:rPr>
            </w:pPr>
          </w:p>
        </w:tc>
        <w:tc>
          <w:tcPr>
            <w:tcW w:w="2143" w:type="dxa"/>
          </w:tcPr>
          <w:p w14:paraId="1B15C1C9">
            <w:pPr>
              <w:pStyle w:val="27"/>
              <w:spacing w:line="600" w:lineRule="exact"/>
              <w:rPr>
                <w:rFonts w:hAnsi="宋体" w:cs="宋体"/>
                <w:color w:val="auto"/>
                <w:kern w:val="2"/>
                <w:sz w:val="21"/>
                <w:highlight w:val="none"/>
                <w:lang w:val="en-US"/>
              </w:rPr>
            </w:pPr>
          </w:p>
        </w:tc>
        <w:tc>
          <w:tcPr>
            <w:tcW w:w="1834" w:type="dxa"/>
          </w:tcPr>
          <w:p w14:paraId="5EAC899E">
            <w:pPr>
              <w:pStyle w:val="27"/>
              <w:spacing w:line="600" w:lineRule="exact"/>
              <w:rPr>
                <w:rFonts w:hAnsi="宋体" w:cs="宋体"/>
                <w:color w:val="auto"/>
                <w:kern w:val="2"/>
                <w:sz w:val="21"/>
                <w:highlight w:val="none"/>
                <w:lang w:val="en-US"/>
              </w:rPr>
            </w:pPr>
          </w:p>
        </w:tc>
        <w:tc>
          <w:tcPr>
            <w:tcW w:w="2181" w:type="dxa"/>
          </w:tcPr>
          <w:p w14:paraId="7B01959B">
            <w:pPr>
              <w:pStyle w:val="27"/>
              <w:spacing w:line="600" w:lineRule="exact"/>
              <w:rPr>
                <w:rFonts w:hAnsi="宋体" w:cs="宋体"/>
                <w:color w:val="auto"/>
                <w:kern w:val="2"/>
                <w:sz w:val="21"/>
                <w:highlight w:val="none"/>
                <w:lang w:val="en-US"/>
              </w:rPr>
            </w:pPr>
          </w:p>
        </w:tc>
        <w:tc>
          <w:tcPr>
            <w:tcW w:w="1934" w:type="dxa"/>
          </w:tcPr>
          <w:p w14:paraId="4B43F6CD">
            <w:pPr>
              <w:pStyle w:val="27"/>
              <w:spacing w:line="600" w:lineRule="exact"/>
              <w:rPr>
                <w:rFonts w:hAnsi="宋体" w:cs="宋体"/>
                <w:color w:val="auto"/>
                <w:kern w:val="2"/>
                <w:sz w:val="21"/>
                <w:highlight w:val="none"/>
                <w:lang w:val="en-US"/>
              </w:rPr>
            </w:pPr>
          </w:p>
        </w:tc>
      </w:tr>
      <w:tr w14:paraId="25B7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78DB86DB">
            <w:pPr>
              <w:pStyle w:val="27"/>
              <w:spacing w:line="600" w:lineRule="exact"/>
              <w:rPr>
                <w:rFonts w:hAnsi="宋体" w:cs="宋体"/>
                <w:color w:val="auto"/>
                <w:kern w:val="2"/>
                <w:sz w:val="21"/>
                <w:highlight w:val="none"/>
                <w:lang w:val="en-US"/>
              </w:rPr>
            </w:pPr>
          </w:p>
        </w:tc>
        <w:tc>
          <w:tcPr>
            <w:tcW w:w="2143" w:type="dxa"/>
          </w:tcPr>
          <w:p w14:paraId="143DEB9A">
            <w:pPr>
              <w:pStyle w:val="27"/>
              <w:spacing w:line="600" w:lineRule="exact"/>
              <w:rPr>
                <w:rFonts w:hAnsi="宋体" w:cs="宋体"/>
                <w:color w:val="auto"/>
                <w:kern w:val="2"/>
                <w:sz w:val="21"/>
                <w:highlight w:val="none"/>
                <w:lang w:val="en-US"/>
              </w:rPr>
            </w:pPr>
          </w:p>
        </w:tc>
        <w:tc>
          <w:tcPr>
            <w:tcW w:w="1834" w:type="dxa"/>
          </w:tcPr>
          <w:p w14:paraId="220B45B7">
            <w:pPr>
              <w:pStyle w:val="27"/>
              <w:spacing w:line="600" w:lineRule="exact"/>
              <w:rPr>
                <w:rFonts w:hAnsi="宋体" w:cs="宋体"/>
                <w:color w:val="auto"/>
                <w:kern w:val="2"/>
                <w:sz w:val="21"/>
                <w:highlight w:val="none"/>
                <w:lang w:val="en-US"/>
              </w:rPr>
            </w:pPr>
          </w:p>
        </w:tc>
        <w:tc>
          <w:tcPr>
            <w:tcW w:w="2181" w:type="dxa"/>
          </w:tcPr>
          <w:p w14:paraId="5307F093">
            <w:pPr>
              <w:pStyle w:val="27"/>
              <w:spacing w:line="600" w:lineRule="exact"/>
              <w:rPr>
                <w:rFonts w:hAnsi="宋体" w:cs="宋体"/>
                <w:color w:val="auto"/>
                <w:kern w:val="2"/>
                <w:sz w:val="21"/>
                <w:highlight w:val="none"/>
                <w:lang w:val="en-US"/>
              </w:rPr>
            </w:pPr>
          </w:p>
        </w:tc>
        <w:tc>
          <w:tcPr>
            <w:tcW w:w="1934" w:type="dxa"/>
          </w:tcPr>
          <w:p w14:paraId="0D78DAE6">
            <w:pPr>
              <w:pStyle w:val="27"/>
              <w:spacing w:line="600" w:lineRule="exact"/>
              <w:rPr>
                <w:rFonts w:hAnsi="宋体" w:cs="宋体"/>
                <w:color w:val="auto"/>
                <w:kern w:val="2"/>
                <w:sz w:val="21"/>
                <w:highlight w:val="none"/>
                <w:lang w:val="en-US"/>
              </w:rPr>
            </w:pPr>
          </w:p>
        </w:tc>
      </w:tr>
    </w:tbl>
    <w:p w14:paraId="2960285B">
      <w:pPr>
        <w:pStyle w:val="18"/>
        <w:ind w:firstLine="527"/>
        <w:rPr>
          <w:rFonts w:ascii="宋体" w:hAnsi="宋体" w:cs="宋体"/>
          <w:color w:val="auto"/>
          <w:sz w:val="21"/>
          <w:szCs w:val="21"/>
          <w:highlight w:val="none"/>
        </w:rPr>
      </w:pPr>
      <w:r>
        <w:rPr>
          <w:rFonts w:hint="eastAsia" w:ascii="宋体" w:hAnsi="宋体" w:cs="宋体"/>
          <w:color w:val="auto"/>
          <w:sz w:val="21"/>
          <w:szCs w:val="21"/>
          <w:highlight w:val="none"/>
        </w:rPr>
        <w:t>注：</w:t>
      </w:r>
    </w:p>
    <w:p w14:paraId="29742BCA">
      <w:pPr>
        <w:pStyle w:val="20"/>
        <w:spacing w:line="360" w:lineRule="auto"/>
        <w:ind w:firstLine="0" w:firstLineChars="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 说明：应对照招标文件“第二章 采购需求”中的“技术要求”逐条作明确的投标响应，并作出偏离说明。</w:t>
      </w:r>
    </w:p>
    <w:p w14:paraId="101A54E6">
      <w:pPr>
        <w:pStyle w:val="18"/>
        <w:spacing w:line="360" w:lineRule="auto"/>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2.投标人根据投标货物的性能指标，对照招标文件技术要求，在“偏离说明”中注明“</w:t>
      </w:r>
      <w:r>
        <w:rPr>
          <w:rFonts w:hint="eastAsia" w:ascii="宋体" w:hAnsi="宋体" w:cs="宋体"/>
          <w:color w:val="auto"/>
          <w:sz w:val="21"/>
          <w:szCs w:val="21"/>
          <w:highlight w:val="none"/>
        </w:rPr>
        <w:t>正偏离</w:t>
      </w:r>
      <w:r>
        <w:rPr>
          <w:rFonts w:hint="eastAsia" w:ascii="宋体" w:hAnsi="宋体" w:cs="宋体"/>
          <w:b w:val="0"/>
          <w:bCs w:val="0"/>
          <w:color w:val="auto"/>
          <w:sz w:val="21"/>
          <w:szCs w:val="21"/>
          <w:highlight w:val="none"/>
        </w:rPr>
        <w:t>”、“</w:t>
      </w:r>
      <w:r>
        <w:rPr>
          <w:rFonts w:hint="eastAsia" w:ascii="宋体" w:hAnsi="宋体" w:cs="宋体"/>
          <w:color w:val="auto"/>
          <w:sz w:val="21"/>
          <w:szCs w:val="21"/>
          <w:highlight w:val="none"/>
        </w:rPr>
        <w:t>负偏离</w:t>
      </w:r>
      <w:r>
        <w:rPr>
          <w:rFonts w:hint="eastAsia" w:ascii="宋体" w:hAnsi="宋体" w:cs="宋体"/>
          <w:b w:val="0"/>
          <w:bCs w:val="0"/>
          <w:color w:val="auto"/>
          <w:sz w:val="21"/>
          <w:szCs w:val="21"/>
          <w:highlight w:val="none"/>
        </w:rPr>
        <w:t>”或者“</w:t>
      </w:r>
      <w:r>
        <w:rPr>
          <w:rFonts w:hint="eastAsia" w:ascii="宋体" w:hAnsi="宋体" w:cs="宋体"/>
          <w:color w:val="auto"/>
          <w:sz w:val="21"/>
          <w:szCs w:val="21"/>
          <w:highlight w:val="none"/>
        </w:rPr>
        <w:t>无偏离</w:t>
      </w:r>
      <w:r>
        <w:rPr>
          <w:rFonts w:hint="eastAsia" w:ascii="宋体" w:hAnsi="宋体" w:cs="宋体"/>
          <w:b w:val="0"/>
          <w:bCs w:val="0"/>
          <w:color w:val="auto"/>
          <w:sz w:val="21"/>
          <w:szCs w:val="21"/>
          <w:highlight w:val="none"/>
        </w:rPr>
        <w:t>”。既不属于“</w:t>
      </w:r>
      <w:r>
        <w:rPr>
          <w:rFonts w:hint="eastAsia" w:ascii="宋体" w:hAnsi="宋体" w:cs="宋体"/>
          <w:color w:val="auto"/>
          <w:sz w:val="21"/>
          <w:szCs w:val="21"/>
          <w:highlight w:val="none"/>
        </w:rPr>
        <w:t>正偏离</w:t>
      </w:r>
      <w:r>
        <w:rPr>
          <w:rFonts w:hint="eastAsia" w:ascii="宋体" w:hAnsi="宋体" w:cs="宋体"/>
          <w:b w:val="0"/>
          <w:bCs w:val="0"/>
          <w:color w:val="auto"/>
          <w:sz w:val="21"/>
          <w:szCs w:val="21"/>
          <w:highlight w:val="none"/>
        </w:rPr>
        <w:t>”也不属于“</w:t>
      </w:r>
      <w:r>
        <w:rPr>
          <w:rFonts w:hint="eastAsia" w:ascii="宋体" w:hAnsi="宋体" w:cs="宋体"/>
          <w:color w:val="auto"/>
          <w:sz w:val="21"/>
          <w:szCs w:val="21"/>
          <w:highlight w:val="none"/>
        </w:rPr>
        <w:t>负偏离</w:t>
      </w:r>
      <w:r>
        <w:rPr>
          <w:rFonts w:hint="eastAsia" w:ascii="宋体" w:hAnsi="宋体" w:cs="宋体"/>
          <w:b w:val="0"/>
          <w:bCs w:val="0"/>
          <w:color w:val="auto"/>
          <w:sz w:val="21"/>
          <w:szCs w:val="21"/>
          <w:highlight w:val="none"/>
        </w:rPr>
        <w:t>”即为“</w:t>
      </w:r>
      <w:r>
        <w:rPr>
          <w:rFonts w:hint="eastAsia" w:ascii="宋体" w:hAnsi="宋体" w:cs="宋体"/>
          <w:color w:val="auto"/>
          <w:sz w:val="21"/>
          <w:szCs w:val="21"/>
          <w:highlight w:val="none"/>
        </w:rPr>
        <w:t>无偏离</w:t>
      </w:r>
      <w:r>
        <w:rPr>
          <w:rFonts w:hint="eastAsia" w:ascii="宋体" w:hAnsi="宋体" w:cs="宋体"/>
          <w:b w:val="0"/>
          <w:bCs w:val="0"/>
          <w:color w:val="auto"/>
          <w:sz w:val="21"/>
          <w:szCs w:val="21"/>
          <w:highlight w:val="none"/>
        </w:rPr>
        <w:t>”。</w:t>
      </w:r>
    </w:p>
    <w:p w14:paraId="27A9DBC9">
      <w:pPr>
        <w:pStyle w:val="20"/>
        <w:spacing w:line="360" w:lineRule="auto"/>
        <w:ind w:firstLine="0" w:firstLineChars="0"/>
        <w:rPr>
          <w:rFonts w:ascii="宋体" w:hAnsi="宋体" w:cs="宋体"/>
          <w:color w:val="auto"/>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如技术要求偏离表中的投标响应与佐证材料不一致的，以佐证材料为准。</w:t>
      </w:r>
    </w:p>
    <w:p w14:paraId="1D54152F">
      <w:pPr>
        <w:snapToGrid w:val="0"/>
        <w:spacing w:before="50" w:after="50" w:line="360" w:lineRule="auto"/>
        <w:rPr>
          <w:rFonts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（签字/电子签名）：</w:t>
      </w:r>
      <w:r>
        <w:rPr>
          <w:rFonts w:hint="eastAsia" w:ascii="宋体" w:hAnsi="宋体" w:cs="宋体"/>
          <w:color w:val="auto"/>
          <w:spacing w:val="20"/>
          <w:szCs w:val="21"/>
          <w:highlight w:val="none"/>
          <w:u w:val="single"/>
        </w:rPr>
        <w:t xml:space="preserve">        </w:t>
      </w:r>
    </w:p>
    <w:p w14:paraId="7935FE21">
      <w:pPr>
        <w:snapToGrid w:val="0"/>
        <w:spacing w:before="50" w:after="50" w:line="360" w:lineRule="auto"/>
        <w:ind w:firstLine="625"/>
        <w:rPr>
          <w:rFonts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4CB2104D">
      <w:pPr>
        <w:snapToGrid w:val="0"/>
        <w:spacing w:before="50" w:after="50" w:line="360" w:lineRule="auto"/>
        <w:ind w:firstLine="625"/>
        <w:rPr>
          <w:rFonts w:ascii="宋体" w:hAnsi="宋体" w:cs="宋体"/>
          <w:color w:val="auto"/>
          <w:spacing w:val="20"/>
          <w:szCs w:val="21"/>
          <w:highlight w:val="none"/>
          <w:u w:val="single"/>
        </w:rPr>
      </w:pPr>
      <w:r>
        <w:rPr>
          <w:rFonts w:hint="eastAsia" w:ascii="宋体" w:hAnsi="宋体" w:cs="宋体"/>
          <w:color w:val="auto"/>
          <w:spacing w:val="20"/>
          <w:szCs w:val="21"/>
          <w:highlight w:val="none"/>
        </w:rPr>
        <w:t>日 期：</w:t>
      </w:r>
      <w:r>
        <w:rPr>
          <w:rFonts w:hint="eastAsia" w:ascii="宋体" w:hAnsi="宋体" w:cs="宋体"/>
          <w:color w:val="auto"/>
          <w:spacing w:val="20"/>
          <w:szCs w:val="21"/>
          <w:highlight w:val="none"/>
          <w:u w:val="single"/>
        </w:rPr>
        <w:t xml:space="preserve">        </w:t>
      </w:r>
    </w:p>
    <w:p w14:paraId="1C301454">
      <w:pPr>
        <w:snapToGrid w:val="0"/>
        <w:spacing w:before="120" w:beforeLines="50" w:after="50"/>
        <w:ind w:left="-134" w:firstLine="527"/>
        <w:jc w:val="left"/>
        <w:rPr>
          <w:rFonts w:ascii="宋体" w:hAnsi="宋体" w:cs="宋体"/>
          <w:b/>
          <w:color w:val="auto"/>
          <w:szCs w:val="21"/>
          <w:highlight w:val="none"/>
        </w:rPr>
      </w:pPr>
    </w:p>
    <w:p w14:paraId="4A432B5D">
      <w:pPr>
        <w:snapToGrid w:val="0"/>
        <w:spacing w:before="120" w:beforeLines="50" w:after="50"/>
        <w:ind w:left="-134" w:firstLine="527"/>
        <w:jc w:val="left"/>
        <w:rPr>
          <w:rFonts w:ascii="宋体" w:hAnsi="宋体" w:cs="宋体"/>
          <w:b/>
          <w:color w:val="auto"/>
          <w:szCs w:val="21"/>
          <w:highlight w:val="none"/>
        </w:rPr>
      </w:pPr>
    </w:p>
    <w:p w14:paraId="10227DDD">
      <w:pPr>
        <w:snapToGrid w:val="0"/>
        <w:spacing w:before="120" w:beforeLines="50" w:after="50"/>
        <w:ind w:left="-134" w:firstLine="527"/>
        <w:jc w:val="left"/>
        <w:rPr>
          <w:rFonts w:ascii="宋体" w:hAnsi="宋体" w:cs="宋体"/>
          <w:b/>
          <w:color w:val="auto"/>
          <w:szCs w:val="21"/>
          <w:highlight w:val="none"/>
        </w:rPr>
      </w:pPr>
    </w:p>
    <w:p w14:paraId="493B2D1A">
      <w:pPr>
        <w:snapToGrid w:val="0"/>
        <w:spacing w:before="120" w:beforeLines="50" w:after="50"/>
        <w:ind w:left="-134" w:firstLine="527"/>
        <w:jc w:val="left"/>
        <w:rPr>
          <w:rFonts w:ascii="宋体" w:hAnsi="宋体" w:cs="宋体"/>
          <w:b/>
          <w:color w:val="auto"/>
          <w:szCs w:val="21"/>
          <w:highlight w:val="none"/>
        </w:rPr>
      </w:pPr>
    </w:p>
    <w:p w14:paraId="3BC648A1">
      <w:pPr>
        <w:snapToGrid w:val="0"/>
        <w:spacing w:before="120" w:beforeLines="50" w:after="50"/>
        <w:ind w:left="-134" w:firstLine="527"/>
        <w:jc w:val="left"/>
        <w:rPr>
          <w:rFonts w:ascii="宋体" w:hAnsi="宋体" w:cs="宋体"/>
          <w:b/>
          <w:color w:val="auto"/>
          <w:szCs w:val="21"/>
          <w:highlight w:val="none"/>
        </w:rPr>
      </w:pPr>
    </w:p>
    <w:p w14:paraId="48184819">
      <w:pPr>
        <w:rPr>
          <w:color w:val="auto"/>
          <w:highlight w:val="none"/>
        </w:rPr>
      </w:pPr>
      <w:r>
        <w:rPr>
          <w:rFonts w:ascii="宋体" w:hAnsi="宋体" w:cs="宋体"/>
          <w:b/>
          <w:color w:val="auto"/>
          <w:szCs w:val="21"/>
          <w:highlight w:val="none"/>
        </w:rPr>
        <w:br w:type="page"/>
      </w:r>
    </w:p>
    <w:p w14:paraId="4736672D">
      <w:pPr>
        <w:snapToGrid w:val="0"/>
        <w:spacing w:before="120" w:beforeLines="50" w:after="50"/>
        <w:ind w:left="-134" w:firstLine="527"/>
        <w:jc w:val="left"/>
        <w:rPr>
          <w:rFonts w:ascii="宋体" w:hAnsi="宋体" w:cs="宋体"/>
          <w:b/>
          <w:color w:val="auto"/>
          <w:szCs w:val="21"/>
          <w:highlight w:val="none"/>
        </w:rPr>
      </w:pPr>
    </w:p>
    <w:p w14:paraId="4204CD8C">
      <w:pPr>
        <w:snapToGrid w:val="0"/>
        <w:spacing w:before="120" w:beforeLines="50" w:after="50"/>
        <w:ind w:left="-134" w:firstLine="527"/>
        <w:jc w:val="left"/>
        <w:rPr>
          <w:rFonts w:ascii="宋体" w:hAnsi="宋体" w:cs="宋体"/>
          <w:b/>
          <w:color w:val="auto"/>
          <w:szCs w:val="21"/>
          <w:highlight w:val="none"/>
        </w:rPr>
      </w:pPr>
    </w:p>
    <w:p w14:paraId="31D55ED5">
      <w:pPr>
        <w:snapToGrid w:val="0"/>
        <w:spacing w:before="120" w:beforeLines="50" w:after="50"/>
        <w:ind w:left="-134" w:firstLine="527"/>
        <w:jc w:val="left"/>
        <w:rPr>
          <w:rFonts w:ascii="宋体" w:hAnsi="宋体" w:cs="宋体"/>
          <w:b/>
          <w:color w:val="auto"/>
          <w:szCs w:val="21"/>
          <w:highlight w:val="none"/>
        </w:rPr>
      </w:pPr>
      <w:r>
        <w:rPr>
          <w:rFonts w:hint="eastAsia" w:ascii="宋体" w:hAnsi="宋体" w:cs="宋体"/>
          <w:b/>
          <w:color w:val="auto"/>
          <w:szCs w:val="21"/>
          <w:highlight w:val="none"/>
        </w:rPr>
        <w:t>10. 项目实施人员一览表格式</w:t>
      </w:r>
    </w:p>
    <w:p w14:paraId="793F5089">
      <w:pPr>
        <w:snapToGrid w:val="0"/>
        <w:spacing w:before="120" w:beforeLines="50" w:after="50"/>
        <w:ind w:left="-134" w:firstLine="527"/>
        <w:jc w:val="left"/>
        <w:rPr>
          <w:rFonts w:ascii="宋体" w:hAnsi="宋体" w:cs="宋体"/>
          <w:b/>
          <w:color w:val="auto"/>
          <w:szCs w:val="21"/>
          <w:highlight w:val="none"/>
        </w:rPr>
      </w:pPr>
    </w:p>
    <w:p w14:paraId="38ADA08D">
      <w:pPr>
        <w:snapToGrid w:val="0"/>
        <w:spacing w:before="120" w:beforeLines="50" w:after="50"/>
        <w:ind w:left="-134" w:firstLine="527"/>
        <w:jc w:val="center"/>
        <w:rPr>
          <w:rFonts w:ascii="宋体" w:hAnsi="宋体" w:cs="宋体"/>
          <w:b/>
          <w:color w:val="auto"/>
          <w:szCs w:val="21"/>
          <w:highlight w:val="none"/>
        </w:rPr>
      </w:pPr>
      <w:r>
        <w:rPr>
          <w:rFonts w:hint="eastAsia" w:ascii="宋体" w:hAnsi="宋体" w:cs="宋体"/>
          <w:b/>
          <w:color w:val="auto"/>
          <w:szCs w:val="21"/>
          <w:highlight w:val="none"/>
        </w:rPr>
        <w:t>项目实施人员一览表</w:t>
      </w:r>
    </w:p>
    <w:p w14:paraId="62FA69E2">
      <w:pPr>
        <w:pStyle w:val="27"/>
        <w:rPr>
          <w:rFonts w:hAnsi="宋体" w:cs="宋体"/>
          <w:color w:val="auto"/>
          <w:sz w:val="21"/>
          <w:highlight w:val="none"/>
        </w:rPr>
      </w:pPr>
      <w:r>
        <w:rPr>
          <w:rFonts w:hint="eastAsia" w:hAnsi="宋体" w:cs="宋体"/>
          <w:color w:val="auto"/>
          <w:sz w:val="21"/>
          <w:highlight w:val="none"/>
        </w:rPr>
        <w:t>所投分标：</w:t>
      </w:r>
      <w:r>
        <w:rPr>
          <w:rFonts w:hint="eastAsia" w:hAnsi="宋体" w:cs="宋体"/>
          <w:color w:val="auto"/>
          <w:sz w:val="21"/>
          <w:highlight w:val="none"/>
          <w:u w:val="single"/>
        </w:rPr>
        <w:t xml:space="preserve">     </w:t>
      </w:r>
      <w:r>
        <w:rPr>
          <w:rFonts w:hint="eastAsia" w:hAnsi="宋体" w:cs="宋体"/>
          <w:color w:val="auto"/>
          <w:sz w:val="21"/>
          <w:highlight w:val="none"/>
        </w:rPr>
        <w:t>分标</w:t>
      </w: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2977"/>
        <w:gridCol w:w="850"/>
        <w:gridCol w:w="1843"/>
        <w:gridCol w:w="992"/>
      </w:tblGrid>
      <w:tr w14:paraId="76343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vAlign w:val="center"/>
          </w:tcPr>
          <w:p w14:paraId="5C58BFD1">
            <w:pPr>
              <w:snapToGrid w:val="0"/>
              <w:spacing w:before="50" w:after="120" w:afterLines="50"/>
              <w:jc w:val="center"/>
              <w:rPr>
                <w:rFonts w:ascii="宋体" w:hAnsi="宋体" w:cs="宋体"/>
                <w:color w:val="auto"/>
                <w:szCs w:val="21"/>
                <w:highlight w:val="none"/>
              </w:rPr>
            </w:pPr>
            <w:r>
              <w:rPr>
                <w:rFonts w:hint="eastAsia" w:ascii="宋体" w:hAnsi="宋体" w:cs="宋体"/>
                <w:color w:val="auto"/>
                <w:szCs w:val="21"/>
                <w:highlight w:val="none"/>
              </w:rPr>
              <w:t>姓名</w:t>
            </w:r>
          </w:p>
        </w:tc>
        <w:tc>
          <w:tcPr>
            <w:tcW w:w="709" w:type="dxa"/>
            <w:vAlign w:val="center"/>
          </w:tcPr>
          <w:p w14:paraId="516CFD20">
            <w:pPr>
              <w:snapToGrid w:val="0"/>
              <w:spacing w:before="50" w:after="120" w:afterLines="50"/>
              <w:jc w:val="center"/>
              <w:rPr>
                <w:rFonts w:ascii="宋体" w:hAnsi="宋体" w:cs="宋体"/>
                <w:color w:val="auto"/>
                <w:szCs w:val="21"/>
                <w:highlight w:val="none"/>
              </w:rPr>
            </w:pPr>
            <w:r>
              <w:rPr>
                <w:rFonts w:hint="eastAsia" w:ascii="宋体" w:hAnsi="宋体" w:cs="宋体"/>
                <w:color w:val="auto"/>
                <w:szCs w:val="21"/>
                <w:highlight w:val="none"/>
              </w:rPr>
              <w:t>职务</w:t>
            </w:r>
          </w:p>
        </w:tc>
        <w:tc>
          <w:tcPr>
            <w:tcW w:w="2977" w:type="dxa"/>
            <w:vAlign w:val="center"/>
          </w:tcPr>
          <w:p w14:paraId="7117B8E8">
            <w:pPr>
              <w:snapToGrid w:val="0"/>
              <w:spacing w:before="50" w:after="120" w:afterLines="50"/>
              <w:jc w:val="center"/>
              <w:rPr>
                <w:rFonts w:ascii="宋体" w:hAnsi="宋体" w:cs="宋体"/>
                <w:color w:val="auto"/>
                <w:szCs w:val="21"/>
                <w:highlight w:val="none"/>
              </w:rPr>
            </w:pPr>
            <w:r>
              <w:rPr>
                <w:rFonts w:hint="eastAsia" w:ascii="宋体" w:hAnsi="宋体" w:cs="宋体"/>
                <w:color w:val="auto"/>
                <w:szCs w:val="21"/>
                <w:highlight w:val="none"/>
              </w:rPr>
              <w:t>专业技术资格（职称）或者职业资格或者执业资格证或者其他证书</w:t>
            </w:r>
          </w:p>
        </w:tc>
        <w:tc>
          <w:tcPr>
            <w:tcW w:w="850" w:type="dxa"/>
            <w:vAlign w:val="center"/>
          </w:tcPr>
          <w:p w14:paraId="484769D1">
            <w:pPr>
              <w:snapToGrid w:val="0"/>
              <w:spacing w:before="50" w:after="120" w:afterLines="50"/>
              <w:jc w:val="center"/>
              <w:rPr>
                <w:rFonts w:ascii="宋体" w:hAnsi="宋体" w:cs="宋体"/>
                <w:color w:val="auto"/>
                <w:szCs w:val="21"/>
                <w:highlight w:val="none"/>
              </w:rPr>
            </w:pPr>
            <w:r>
              <w:rPr>
                <w:rFonts w:hint="eastAsia" w:ascii="宋体" w:hAnsi="宋体" w:cs="宋体"/>
                <w:color w:val="auto"/>
                <w:szCs w:val="21"/>
                <w:highlight w:val="none"/>
              </w:rPr>
              <w:t>证书编号</w:t>
            </w:r>
          </w:p>
        </w:tc>
        <w:tc>
          <w:tcPr>
            <w:tcW w:w="1843" w:type="dxa"/>
            <w:vAlign w:val="center"/>
          </w:tcPr>
          <w:p w14:paraId="04BB2BED">
            <w:pPr>
              <w:snapToGrid w:val="0"/>
              <w:spacing w:before="50" w:after="120" w:afterLines="50"/>
              <w:jc w:val="center"/>
              <w:rPr>
                <w:rFonts w:ascii="宋体" w:hAnsi="宋体" w:cs="宋体"/>
                <w:color w:val="auto"/>
                <w:szCs w:val="21"/>
                <w:highlight w:val="none"/>
              </w:rPr>
            </w:pPr>
            <w:r>
              <w:rPr>
                <w:rFonts w:hint="eastAsia" w:ascii="宋体" w:hAnsi="宋体" w:cs="宋体"/>
                <w:color w:val="auto"/>
                <w:szCs w:val="21"/>
                <w:highlight w:val="none"/>
              </w:rPr>
              <w:t>参加本单位</w:t>
            </w:r>
          </w:p>
          <w:p w14:paraId="69556D99">
            <w:pPr>
              <w:snapToGrid w:val="0"/>
              <w:spacing w:before="50" w:after="120" w:afterLines="50"/>
              <w:jc w:val="center"/>
              <w:rPr>
                <w:rFonts w:ascii="宋体" w:hAnsi="宋体" w:cs="宋体"/>
                <w:color w:val="auto"/>
                <w:szCs w:val="21"/>
                <w:highlight w:val="none"/>
              </w:rPr>
            </w:pPr>
            <w:r>
              <w:rPr>
                <w:rFonts w:hint="eastAsia" w:ascii="宋体" w:hAnsi="宋体" w:cs="宋体"/>
                <w:color w:val="auto"/>
                <w:szCs w:val="21"/>
                <w:highlight w:val="none"/>
              </w:rPr>
              <w:t>工作时间</w:t>
            </w:r>
          </w:p>
        </w:tc>
        <w:tc>
          <w:tcPr>
            <w:tcW w:w="992" w:type="dxa"/>
            <w:vAlign w:val="center"/>
          </w:tcPr>
          <w:p w14:paraId="6F312556">
            <w:pPr>
              <w:snapToGrid w:val="0"/>
              <w:spacing w:before="50" w:after="120" w:afterLines="50"/>
              <w:jc w:val="center"/>
              <w:rPr>
                <w:rFonts w:ascii="宋体" w:hAnsi="宋体" w:cs="宋体"/>
                <w:color w:val="auto"/>
                <w:szCs w:val="21"/>
                <w:highlight w:val="none"/>
              </w:rPr>
            </w:pPr>
            <w:r>
              <w:rPr>
                <w:rFonts w:hint="eastAsia" w:ascii="宋体" w:hAnsi="宋体" w:cs="宋体"/>
                <w:color w:val="auto"/>
                <w:szCs w:val="21"/>
                <w:highlight w:val="none"/>
              </w:rPr>
              <w:t>劳动合同编号</w:t>
            </w:r>
          </w:p>
        </w:tc>
      </w:tr>
      <w:tr w14:paraId="31684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vAlign w:val="center"/>
          </w:tcPr>
          <w:p w14:paraId="1CF20CD8">
            <w:pPr>
              <w:snapToGrid w:val="0"/>
              <w:spacing w:before="50" w:after="120" w:afterLines="50"/>
              <w:jc w:val="center"/>
              <w:rPr>
                <w:rFonts w:ascii="宋体" w:hAnsi="宋体" w:cs="宋体"/>
                <w:color w:val="auto"/>
                <w:szCs w:val="21"/>
                <w:highlight w:val="none"/>
              </w:rPr>
            </w:pPr>
          </w:p>
        </w:tc>
        <w:tc>
          <w:tcPr>
            <w:tcW w:w="709" w:type="dxa"/>
            <w:vAlign w:val="center"/>
          </w:tcPr>
          <w:p w14:paraId="6A42FF7F">
            <w:pPr>
              <w:snapToGrid w:val="0"/>
              <w:spacing w:before="50" w:after="120" w:afterLines="50"/>
              <w:jc w:val="center"/>
              <w:rPr>
                <w:rFonts w:ascii="宋体" w:hAnsi="宋体" w:cs="宋体"/>
                <w:color w:val="auto"/>
                <w:szCs w:val="21"/>
                <w:highlight w:val="none"/>
              </w:rPr>
            </w:pPr>
          </w:p>
        </w:tc>
        <w:tc>
          <w:tcPr>
            <w:tcW w:w="2977" w:type="dxa"/>
            <w:vAlign w:val="center"/>
          </w:tcPr>
          <w:p w14:paraId="16934898">
            <w:pPr>
              <w:snapToGrid w:val="0"/>
              <w:spacing w:before="50" w:after="120" w:afterLines="50"/>
              <w:jc w:val="center"/>
              <w:rPr>
                <w:rFonts w:ascii="宋体" w:hAnsi="宋体" w:cs="宋体"/>
                <w:color w:val="auto"/>
                <w:szCs w:val="21"/>
                <w:highlight w:val="none"/>
              </w:rPr>
            </w:pPr>
          </w:p>
        </w:tc>
        <w:tc>
          <w:tcPr>
            <w:tcW w:w="850" w:type="dxa"/>
            <w:vAlign w:val="center"/>
          </w:tcPr>
          <w:p w14:paraId="7C0D28E5">
            <w:pPr>
              <w:snapToGrid w:val="0"/>
              <w:spacing w:before="50" w:after="120" w:afterLines="50"/>
              <w:jc w:val="center"/>
              <w:rPr>
                <w:rFonts w:ascii="宋体" w:hAnsi="宋体" w:cs="宋体"/>
                <w:color w:val="auto"/>
                <w:szCs w:val="21"/>
                <w:highlight w:val="none"/>
              </w:rPr>
            </w:pPr>
          </w:p>
        </w:tc>
        <w:tc>
          <w:tcPr>
            <w:tcW w:w="1843" w:type="dxa"/>
            <w:vAlign w:val="center"/>
          </w:tcPr>
          <w:p w14:paraId="351F20B2">
            <w:pPr>
              <w:snapToGrid w:val="0"/>
              <w:spacing w:before="50" w:after="120" w:afterLines="50"/>
              <w:jc w:val="center"/>
              <w:rPr>
                <w:rFonts w:ascii="宋体" w:hAnsi="宋体" w:cs="宋体"/>
                <w:color w:val="auto"/>
                <w:szCs w:val="21"/>
                <w:highlight w:val="none"/>
              </w:rPr>
            </w:pPr>
          </w:p>
        </w:tc>
        <w:tc>
          <w:tcPr>
            <w:tcW w:w="992" w:type="dxa"/>
            <w:vAlign w:val="center"/>
          </w:tcPr>
          <w:p w14:paraId="3E139A38">
            <w:pPr>
              <w:snapToGrid w:val="0"/>
              <w:spacing w:before="50" w:after="120" w:afterLines="50"/>
              <w:jc w:val="center"/>
              <w:rPr>
                <w:rFonts w:ascii="宋体" w:hAnsi="宋体" w:cs="宋体"/>
                <w:color w:val="auto"/>
                <w:szCs w:val="21"/>
                <w:highlight w:val="none"/>
              </w:rPr>
            </w:pPr>
          </w:p>
        </w:tc>
      </w:tr>
      <w:tr w14:paraId="20B4A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vAlign w:val="center"/>
          </w:tcPr>
          <w:p w14:paraId="5E1BB874">
            <w:pPr>
              <w:snapToGrid w:val="0"/>
              <w:spacing w:before="50" w:after="120" w:afterLines="50"/>
              <w:jc w:val="center"/>
              <w:rPr>
                <w:rFonts w:ascii="宋体" w:hAnsi="宋体" w:cs="宋体"/>
                <w:color w:val="auto"/>
                <w:szCs w:val="21"/>
                <w:highlight w:val="none"/>
              </w:rPr>
            </w:pPr>
          </w:p>
        </w:tc>
        <w:tc>
          <w:tcPr>
            <w:tcW w:w="709" w:type="dxa"/>
            <w:vAlign w:val="center"/>
          </w:tcPr>
          <w:p w14:paraId="4668348F">
            <w:pPr>
              <w:snapToGrid w:val="0"/>
              <w:spacing w:before="50" w:after="120" w:afterLines="50"/>
              <w:jc w:val="center"/>
              <w:rPr>
                <w:rFonts w:ascii="宋体" w:hAnsi="宋体" w:cs="宋体"/>
                <w:color w:val="auto"/>
                <w:szCs w:val="21"/>
                <w:highlight w:val="none"/>
              </w:rPr>
            </w:pPr>
          </w:p>
        </w:tc>
        <w:tc>
          <w:tcPr>
            <w:tcW w:w="2977" w:type="dxa"/>
            <w:vAlign w:val="center"/>
          </w:tcPr>
          <w:p w14:paraId="3E3CAF13">
            <w:pPr>
              <w:snapToGrid w:val="0"/>
              <w:spacing w:before="50" w:after="120" w:afterLines="50"/>
              <w:jc w:val="center"/>
              <w:rPr>
                <w:rFonts w:ascii="宋体" w:hAnsi="宋体" w:cs="宋体"/>
                <w:color w:val="auto"/>
                <w:szCs w:val="21"/>
                <w:highlight w:val="none"/>
              </w:rPr>
            </w:pPr>
          </w:p>
        </w:tc>
        <w:tc>
          <w:tcPr>
            <w:tcW w:w="850" w:type="dxa"/>
            <w:vAlign w:val="center"/>
          </w:tcPr>
          <w:p w14:paraId="00E76B22">
            <w:pPr>
              <w:snapToGrid w:val="0"/>
              <w:spacing w:before="50" w:after="120" w:afterLines="50"/>
              <w:jc w:val="center"/>
              <w:rPr>
                <w:rFonts w:ascii="宋体" w:hAnsi="宋体" w:cs="宋体"/>
                <w:color w:val="auto"/>
                <w:szCs w:val="21"/>
                <w:highlight w:val="none"/>
              </w:rPr>
            </w:pPr>
          </w:p>
        </w:tc>
        <w:tc>
          <w:tcPr>
            <w:tcW w:w="1843" w:type="dxa"/>
            <w:vAlign w:val="center"/>
          </w:tcPr>
          <w:p w14:paraId="61FF5986">
            <w:pPr>
              <w:snapToGrid w:val="0"/>
              <w:spacing w:before="50" w:after="120" w:afterLines="50"/>
              <w:jc w:val="center"/>
              <w:rPr>
                <w:rFonts w:ascii="宋体" w:hAnsi="宋体" w:cs="宋体"/>
                <w:color w:val="auto"/>
                <w:szCs w:val="21"/>
                <w:highlight w:val="none"/>
              </w:rPr>
            </w:pPr>
          </w:p>
        </w:tc>
        <w:tc>
          <w:tcPr>
            <w:tcW w:w="992" w:type="dxa"/>
            <w:vAlign w:val="center"/>
          </w:tcPr>
          <w:p w14:paraId="48CFE25E">
            <w:pPr>
              <w:snapToGrid w:val="0"/>
              <w:spacing w:before="50" w:after="120" w:afterLines="50"/>
              <w:jc w:val="center"/>
              <w:rPr>
                <w:rFonts w:ascii="宋体" w:hAnsi="宋体" w:cs="宋体"/>
                <w:color w:val="auto"/>
                <w:szCs w:val="21"/>
                <w:highlight w:val="none"/>
              </w:rPr>
            </w:pPr>
          </w:p>
        </w:tc>
      </w:tr>
      <w:tr w14:paraId="62C35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vAlign w:val="center"/>
          </w:tcPr>
          <w:p w14:paraId="4260A625">
            <w:pPr>
              <w:snapToGrid w:val="0"/>
              <w:spacing w:before="50" w:after="120" w:afterLines="50"/>
              <w:jc w:val="center"/>
              <w:rPr>
                <w:rFonts w:ascii="宋体" w:hAnsi="宋体" w:cs="宋体"/>
                <w:color w:val="auto"/>
                <w:szCs w:val="21"/>
                <w:highlight w:val="none"/>
              </w:rPr>
            </w:pPr>
          </w:p>
        </w:tc>
        <w:tc>
          <w:tcPr>
            <w:tcW w:w="709" w:type="dxa"/>
            <w:vAlign w:val="center"/>
          </w:tcPr>
          <w:p w14:paraId="1323B233">
            <w:pPr>
              <w:snapToGrid w:val="0"/>
              <w:spacing w:before="50" w:after="120" w:afterLines="50"/>
              <w:jc w:val="center"/>
              <w:rPr>
                <w:rFonts w:ascii="宋体" w:hAnsi="宋体" w:cs="宋体"/>
                <w:color w:val="auto"/>
                <w:szCs w:val="21"/>
                <w:highlight w:val="none"/>
              </w:rPr>
            </w:pPr>
          </w:p>
        </w:tc>
        <w:tc>
          <w:tcPr>
            <w:tcW w:w="2977" w:type="dxa"/>
            <w:vAlign w:val="center"/>
          </w:tcPr>
          <w:p w14:paraId="7F003C10">
            <w:pPr>
              <w:snapToGrid w:val="0"/>
              <w:spacing w:before="50" w:after="120" w:afterLines="50"/>
              <w:jc w:val="center"/>
              <w:rPr>
                <w:rFonts w:ascii="宋体" w:hAnsi="宋体" w:cs="宋体"/>
                <w:color w:val="auto"/>
                <w:szCs w:val="21"/>
                <w:highlight w:val="none"/>
              </w:rPr>
            </w:pPr>
          </w:p>
        </w:tc>
        <w:tc>
          <w:tcPr>
            <w:tcW w:w="850" w:type="dxa"/>
            <w:vAlign w:val="center"/>
          </w:tcPr>
          <w:p w14:paraId="71C847B2">
            <w:pPr>
              <w:snapToGrid w:val="0"/>
              <w:spacing w:before="50" w:after="120" w:afterLines="50"/>
              <w:jc w:val="center"/>
              <w:rPr>
                <w:rFonts w:ascii="宋体" w:hAnsi="宋体" w:cs="宋体"/>
                <w:color w:val="auto"/>
                <w:szCs w:val="21"/>
                <w:highlight w:val="none"/>
              </w:rPr>
            </w:pPr>
          </w:p>
        </w:tc>
        <w:tc>
          <w:tcPr>
            <w:tcW w:w="1843" w:type="dxa"/>
            <w:vAlign w:val="center"/>
          </w:tcPr>
          <w:p w14:paraId="18CD0254">
            <w:pPr>
              <w:snapToGrid w:val="0"/>
              <w:spacing w:before="50" w:after="120" w:afterLines="50"/>
              <w:jc w:val="center"/>
              <w:rPr>
                <w:rFonts w:ascii="宋体" w:hAnsi="宋体" w:cs="宋体"/>
                <w:color w:val="auto"/>
                <w:szCs w:val="21"/>
                <w:highlight w:val="none"/>
              </w:rPr>
            </w:pPr>
          </w:p>
        </w:tc>
        <w:tc>
          <w:tcPr>
            <w:tcW w:w="992" w:type="dxa"/>
            <w:vAlign w:val="center"/>
          </w:tcPr>
          <w:p w14:paraId="60832301">
            <w:pPr>
              <w:snapToGrid w:val="0"/>
              <w:spacing w:before="50" w:after="120" w:afterLines="50"/>
              <w:jc w:val="center"/>
              <w:rPr>
                <w:rFonts w:ascii="宋体" w:hAnsi="宋体" w:cs="宋体"/>
                <w:color w:val="auto"/>
                <w:szCs w:val="21"/>
                <w:highlight w:val="none"/>
              </w:rPr>
            </w:pPr>
          </w:p>
        </w:tc>
      </w:tr>
    </w:tbl>
    <w:p w14:paraId="509042B8">
      <w:pPr>
        <w:snapToGrid w:val="0"/>
        <w:spacing w:before="50" w:after="120" w:afterLines="50"/>
        <w:jc w:val="left"/>
        <w:rPr>
          <w:rFonts w:ascii="宋体" w:hAnsi="宋体" w:cs="宋体"/>
          <w:color w:val="auto"/>
          <w:szCs w:val="21"/>
          <w:highlight w:val="none"/>
        </w:rPr>
      </w:pPr>
    </w:p>
    <w:p w14:paraId="115175E1">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注：</w:t>
      </w:r>
    </w:p>
    <w:p w14:paraId="759B507F">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1.在填写时，如本表格不适合投标单位的实际情况，可根据本表格式自行制表填写。</w:t>
      </w:r>
    </w:p>
    <w:p w14:paraId="1EFA59A9">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2.投标人应当附本表所列证书的复印件并加盖投标人公章。</w:t>
      </w:r>
    </w:p>
    <w:p w14:paraId="75B35A65">
      <w:pPr>
        <w:spacing w:line="360" w:lineRule="auto"/>
        <w:contextualSpacing/>
        <w:jc w:val="left"/>
        <w:rPr>
          <w:rFonts w:ascii="宋体" w:hAnsi="宋体" w:cs="宋体"/>
          <w:color w:val="auto"/>
          <w:szCs w:val="21"/>
          <w:highlight w:val="none"/>
        </w:rPr>
      </w:pPr>
    </w:p>
    <w:p w14:paraId="2E6689E8">
      <w:pPr>
        <w:spacing w:line="360" w:lineRule="auto"/>
        <w:contextualSpacing/>
        <w:jc w:val="left"/>
        <w:rPr>
          <w:rFonts w:ascii="宋体" w:hAnsi="宋体" w:cs="宋体"/>
          <w:color w:val="auto"/>
          <w:szCs w:val="21"/>
          <w:highlight w:val="none"/>
        </w:rPr>
      </w:pPr>
    </w:p>
    <w:p w14:paraId="4592799F">
      <w:pPr>
        <w:spacing w:line="360" w:lineRule="auto"/>
        <w:contextualSpacing/>
        <w:rPr>
          <w:rFonts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（签字/电子签名）：</w:t>
      </w:r>
      <w:r>
        <w:rPr>
          <w:rFonts w:hint="eastAsia" w:ascii="宋体" w:hAnsi="宋体" w:cs="宋体"/>
          <w:color w:val="auto"/>
          <w:spacing w:val="20"/>
          <w:szCs w:val="21"/>
          <w:highlight w:val="none"/>
          <w:u w:val="single"/>
        </w:rPr>
        <w:t xml:space="preserve">        </w:t>
      </w:r>
    </w:p>
    <w:p w14:paraId="3C97550F">
      <w:pPr>
        <w:spacing w:line="360" w:lineRule="auto"/>
        <w:ind w:firstLine="625"/>
        <w:contextualSpacing/>
        <w:jc w:val="left"/>
        <w:rPr>
          <w:rFonts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09974625">
      <w:pPr>
        <w:spacing w:line="360" w:lineRule="auto"/>
        <w:ind w:firstLine="625"/>
        <w:contextualSpacing/>
        <w:jc w:val="left"/>
        <w:rPr>
          <w:rFonts w:ascii="宋体" w:hAnsi="宋体" w:cs="宋体"/>
          <w:color w:val="auto"/>
          <w:szCs w:val="21"/>
          <w:highlight w:val="none"/>
        </w:rPr>
      </w:pPr>
      <w:r>
        <w:rPr>
          <w:rFonts w:hint="eastAsia" w:ascii="宋体" w:hAnsi="宋体" w:cs="宋体"/>
          <w:color w:val="auto"/>
          <w:spacing w:val="20"/>
          <w:szCs w:val="21"/>
          <w:highlight w:val="none"/>
        </w:rPr>
        <w:t>日 期：</w:t>
      </w:r>
      <w:r>
        <w:rPr>
          <w:rFonts w:hint="eastAsia" w:ascii="宋体" w:hAnsi="宋体" w:cs="宋体"/>
          <w:color w:val="auto"/>
          <w:spacing w:val="20"/>
          <w:szCs w:val="21"/>
          <w:highlight w:val="none"/>
          <w:u w:val="single"/>
        </w:rPr>
        <w:t xml:space="preserve">         </w:t>
      </w:r>
    </w:p>
    <w:p w14:paraId="294F77E5">
      <w:pPr>
        <w:snapToGrid w:val="0"/>
        <w:spacing w:before="50" w:after="120" w:afterLines="50"/>
        <w:ind w:firstLine="600"/>
        <w:jc w:val="left"/>
        <w:rPr>
          <w:rFonts w:ascii="宋体" w:hAnsi="宋体" w:cs="宋体"/>
          <w:color w:val="auto"/>
          <w:sz w:val="24"/>
          <w:szCs w:val="20"/>
          <w:highlight w:val="none"/>
        </w:rPr>
      </w:pPr>
    </w:p>
    <w:p w14:paraId="1FB7FAA2">
      <w:pPr>
        <w:snapToGrid w:val="0"/>
        <w:spacing w:before="120" w:beforeLines="50" w:after="50"/>
        <w:ind w:left="-134" w:firstLine="602"/>
        <w:jc w:val="left"/>
        <w:rPr>
          <w:rFonts w:ascii="宋体" w:hAnsi="宋体" w:cs="宋体"/>
          <w:b/>
          <w:color w:val="auto"/>
          <w:szCs w:val="21"/>
          <w:highlight w:val="none"/>
        </w:rPr>
      </w:pPr>
      <w:r>
        <w:rPr>
          <w:rFonts w:hint="eastAsia" w:ascii="宋体" w:hAnsi="宋体" w:cs="宋体"/>
          <w:b/>
          <w:color w:val="auto"/>
          <w:sz w:val="24"/>
          <w:highlight w:val="none"/>
        </w:rPr>
        <w:br w:type="page"/>
      </w:r>
      <w:r>
        <w:rPr>
          <w:rFonts w:hint="eastAsia" w:ascii="宋体" w:hAnsi="宋体" w:cs="宋体"/>
          <w:b/>
          <w:color w:val="auto"/>
          <w:szCs w:val="21"/>
          <w:highlight w:val="none"/>
        </w:rPr>
        <w:t>11. 选配件、专用耗材、售后服务优惠表格式（注：按项目需求表具体项目修改）</w:t>
      </w:r>
    </w:p>
    <w:p w14:paraId="7DCEDEB8">
      <w:pPr>
        <w:snapToGrid w:val="0"/>
        <w:spacing w:before="120" w:beforeLines="50" w:after="50"/>
        <w:ind w:left="-134" w:firstLine="527"/>
        <w:jc w:val="left"/>
        <w:rPr>
          <w:rFonts w:ascii="宋体" w:hAnsi="宋体" w:cs="宋体"/>
          <w:b/>
          <w:color w:val="auto"/>
          <w:szCs w:val="21"/>
          <w:highlight w:val="none"/>
        </w:rPr>
      </w:pPr>
    </w:p>
    <w:p w14:paraId="70B52D80">
      <w:pPr>
        <w:snapToGrid w:val="0"/>
        <w:spacing w:before="120" w:beforeLines="50" w:after="50"/>
        <w:ind w:left="-134" w:firstLine="527"/>
        <w:jc w:val="center"/>
        <w:rPr>
          <w:rFonts w:ascii="宋体" w:hAnsi="宋体" w:cs="宋体"/>
          <w:b/>
          <w:color w:val="auto"/>
          <w:szCs w:val="21"/>
          <w:highlight w:val="none"/>
        </w:rPr>
      </w:pPr>
      <w:r>
        <w:rPr>
          <w:rFonts w:hint="eastAsia" w:ascii="宋体" w:hAnsi="宋体" w:cs="宋体"/>
          <w:b/>
          <w:color w:val="auto"/>
          <w:szCs w:val="21"/>
          <w:highlight w:val="none"/>
        </w:rPr>
        <w:t>选配件、专用耗材、售后服务优惠表</w:t>
      </w:r>
    </w:p>
    <w:p w14:paraId="24D14ECA">
      <w:pPr>
        <w:pStyle w:val="27"/>
        <w:rPr>
          <w:rFonts w:hAnsi="宋体" w:cs="宋体"/>
          <w:color w:val="auto"/>
          <w:sz w:val="21"/>
          <w:highlight w:val="none"/>
        </w:rPr>
      </w:pPr>
      <w:r>
        <w:rPr>
          <w:rFonts w:hint="eastAsia" w:hAnsi="宋体" w:cs="宋体"/>
          <w:color w:val="auto"/>
          <w:sz w:val="21"/>
          <w:highlight w:val="none"/>
        </w:rPr>
        <w:t>所投分标：</w:t>
      </w:r>
      <w:r>
        <w:rPr>
          <w:rFonts w:hint="eastAsia" w:hAnsi="宋体" w:cs="宋体"/>
          <w:color w:val="auto"/>
          <w:sz w:val="21"/>
          <w:highlight w:val="none"/>
          <w:u w:val="single"/>
        </w:rPr>
        <w:t xml:space="preserve">     </w:t>
      </w:r>
      <w:r>
        <w:rPr>
          <w:rFonts w:hint="eastAsia" w:hAnsi="宋体" w:cs="宋体"/>
          <w:color w:val="auto"/>
          <w:sz w:val="21"/>
          <w:highlight w:val="none"/>
        </w:rPr>
        <w:t>分标</w:t>
      </w:r>
    </w:p>
    <w:tbl>
      <w:tblPr>
        <w:tblStyle w:val="5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2340"/>
      </w:tblGrid>
      <w:tr w14:paraId="2D771A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4DBE30E9">
            <w:pPr>
              <w:pStyle w:val="27"/>
              <w:snapToGrid w:val="0"/>
              <w:spacing w:before="295" w:after="295"/>
              <w:jc w:val="center"/>
              <w:rPr>
                <w:rFonts w:hAnsi="宋体" w:cs="宋体"/>
                <w:color w:val="auto"/>
                <w:kern w:val="2"/>
                <w:sz w:val="21"/>
                <w:highlight w:val="none"/>
                <w:lang w:val="en-US"/>
              </w:rPr>
            </w:pPr>
            <w:r>
              <w:rPr>
                <w:rFonts w:hint="eastAsia" w:hAnsi="宋体" w:cs="宋体"/>
                <w:color w:val="auto"/>
                <w:kern w:val="2"/>
                <w:sz w:val="21"/>
                <w:highlight w:val="none"/>
                <w:lang w:val="en-US"/>
              </w:rPr>
              <w:t>序号</w:t>
            </w:r>
          </w:p>
        </w:tc>
        <w:tc>
          <w:tcPr>
            <w:tcW w:w="2700" w:type="dxa"/>
            <w:tcBorders>
              <w:top w:val="single" w:color="auto" w:sz="4" w:space="0"/>
              <w:left w:val="single" w:color="auto" w:sz="4" w:space="0"/>
              <w:bottom w:val="single" w:color="auto" w:sz="2" w:space="0"/>
              <w:right w:val="single" w:color="auto" w:sz="4" w:space="0"/>
            </w:tcBorders>
            <w:vAlign w:val="center"/>
          </w:tcPr>
          <w:p w14:paraId="59E1838A">
            <w:pPr>
              <w:pStyle w:val="27"/>
              <w:snapToGrid w:val="0"/>
              <w:spacing w:before="295" w:after="295"/>
              <w:jc w:val="center"/>
              <w:rPr>
                <w:rFonts w:hAnsi="宋体" w:cs="宋体"/>
                <w:color w:val="auto"/>
                <w:kern w:val="2"/>
                <w:sz w:val="21"/>
                <w:highlight w:val="none"/>
                <w:lang w:val="en-US"/>
              </w:rPr>
            </w:pPr>
            <w:r>
              <w:rPr>
                <w:rFonts w:hint="eastAsia" w:hAnsi="宋体" w:cs="宋体"/>
                <w:color w:val="auto"/>
                <w:kern w:val="2"/>
                <w:sz w:val="21"/>
                <w:highlight w:val="none"/>
                <w:lang w:val="en-US"/>
              </w:rPr>
              <w:t>优惠内容</w:t>
            </w:r>
          </w:p>
        </w:tc>
        <w:tc>
          <w:tcPr>
            <w:tcW w:w="1440" w:type="dxa"/>
            <w:tcBorders>
              <w:top w:val="single" w:color="auto" w:sz="4" w:space="0"/>
              <w:left w:val="single" w:color="auto" w:sz="4" w:space="0"/>
              <w:bottom w:val="single" w:color="auto" w:sz="2" w:space="0"/>
              <w:right w:val="single" w:color="auto" w:sz="4" w:space="0"/>
            </w:tcBorders>
            <w:vAlign w:val="center"/>
          </w:tcPr>
          <w:p w14:paraId="5B7A2315">
            <w:pPr>
              <w:pStyle w:val="27"/>
              <w:snapToGrid w:val="0"/>
              <w:spacing w:before="295" w:after="295"/>
              <w:jc w:val="center"/>
              <w:rPr>
                <w:rFonts w:hAnsi="宋体" w:cs="宋体"/>
                <w:color w:val="auto"/>
                <w:kern w:val="2"/>
                <w:sz w:val="21"/>
                <w:highlight w:val="none"/>
                <w:lang w:val="en-US"/>
              </w:rPr>
            </w:pPr>
            <w:r>
              <w:rPr>
                <w:rFonts w:hint="eastAsia" w:hAnsi="宋体" w:cs="宋体"/>
                <w:color w:val="auto"/>
                <w:kern w:val="2"/>
                <w:sz w:val="21"/>
                <w:highlight w:val="none"/>
                <w:lang w:val="en-US"/>
              </w:rPr>
              <w:t>适用机型</w:t>
            </w:r>
          </w:p>
        </w:tc>
        <w:tc>
          <w:tcPr>
            <w:tcW w:w="1440"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14:paraId="0E2EEEA8">
            <w:pPr>
              <w:pStyle w:val="27"/>
              <w:snapToGrid w:val="0"/>
              <w:spacing w:before="295" w:after="295"/>
              <w:jc w:val="center"/>
              <w:rPr>
                <w:rFonts w:hAnsi="宋体" w:cs="宋体"/>
                <w:color w:val="auto"/>
                <w:kern w:val="2"/>
                <w:sz w:val="21"/>
                <w:highlight w:val="none"/>
                <w:lang w:val="en-US"/>
              </w:rPr>
            </w:pPr>
            <w:r>
              <w:rPr>
                <w:rFonts w:hint="eastAsia" w:hAnsi="宋体" w:cs="宋体"/>
                <w:color w:val="auto"/>
                <w:kern w:val="2"/>
                <w:sz w:val="21"/>
                <w:highlight w:val="none"/>
                <w:lang w:val="en-US"/>
              </w:rPr>
              <w:t>单价</w:t>
            </w:r>
          </w:p>
        </w:tc>
        <w:tc>
          <w:tcPr>
            <w:tcW w:w="2340" w:type="dxa"/>
            <w:tcBorders>
              <w:top w:val="single" w:color="auto" w:sz="4" w:space="0"/>
              <w:left w:val="single" w:color="auto" w:sz="4" w:space="0"/>
              <w:bottom w:val="single" w:color="auto" w:sz="2" w:space="0"/>
              <w:right w:val="single" w:color="auto" w:sz="4" w:space="0"/>
            </w:tcBorders>
            <w:vAlign w:val="center"/>
          </w:tcPr>
          <w:p w14:paraId="6554AA55">
            <w:pPr>
              <w:pStyle w:val="27"/>
              <w:snapToGrid w:val="0"/>
              <w:spacing w:before="295" w:after="295"/>
              <w:jc w:val="center"/>
              <w:rPr>
                <w:rFonts w:hAnsi="宋体" w:cs="宋体"/>
                <w:color w:val="auto"/>
                <w:kern w:val="2"/>
                <w:sz w:val="21"/>
                <w:highlight w:val="none"/>
                <w:lang w:val="en-US"/>
              </w:rPr>
            </w:pPr>
            <w:r>
              <w:rPr>
                <w:rFonts w:hint="eastAsia" w:hAnsi="宋体" w:cs="宋体"/>
                <w:color w:val="auto"/>
                <w:kern w:val="2"/>
                <w:sz w:val="21"/>
                <w:highlight w:val="none"/>
                <w:lang w:val="en-US"/>
              </w:rPr>
              <w:t>比市场价优惠率</w:t>
            </w:r>
          </w:p>
        </w:tc>
      </w:tr>
      <w:tr w14:paraId="3BC990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14F27369">
            <w:pPr>
              <w:pStyle w:val="27"/>
              <w:snapToGrid w:val="0"/>
              <w:spacing w:before="295" w:after="295"/>
              <w:jc w:val="center"/>
              <w:rPr>
                <w:rFonts w:hAnsi="宋体" w:cs="宋体"/>
                <w:color w:val="auto"/>
                <w:kern w:val="2"/>
                <w:sz w:val="21"/>
                <w:highlight w:val="none"/>
                <w:lang w:val="en-US"/>
              </w:rPr>
            </w:pPr>
            <w:r>
              <w:rPr>
                <w:rFonts w:hint="eastAsia" w:hAnsi="宋体" w:cs="宋体"/>
                <w:color w:val="auto"/>
                <w:kern w:val="2"/>
                <w:sz w:val="21"/>
                <w:highlight w:val="none"/>
                <w:lang w:val="en-US"/>
              </w:rPr>
              <w:t>1</w:t>
            </w:r>
          </w:p>
        </w:tc>
        <w:tc>
          <w:tcPr>
            <w:tcW w:w="2700" w:type="dxa"/>
            <w:tcBorders>
              <w:top w:val="single" w:color="auto" w:sz="2" w:space="0"/>
              <w:left w:val="single" w:color="auto" w:sz="2" w:space="0"/>
              <w:bottom w:val="single" w:color="auto" w:sz="6" w:space="0"/>
              <w:right w:val="single" w:color="auto" w:sz="4" w:space="0"/>
            </w:tcBorders>
            <w:vAlign w:val="center"/>
          </w:tcPr>
          <w:p w14:paraId="51DCE341">
            <w:pPr>
              <w:pStyle w:val="27"/>
              <w:snapToGrid w:val="0"/>
              <w:spacing w:before="295" w:after="295"/>
              <w:jc w:val="center"/>
              <w:rPr>
                <w:rFonts w:hAnsi="宋体" w:cs="宋体"/>
                <w:color w:val="auto"/>
                <w:kern w:val="2"/>
                <w:sz w:val="21"/>
                <w:highlight w:val="none"/>
                <w:lang w:val="en-US"/>
              </w:rPr>
            </w:pPr>
          </w:p>
        </w:tc>
        <w:tc>
          <w:tcPr>
            <w:tcW w:w="1440" w:type="dxa"/>
            <w:tcBorders>
              <w:top w:val="single" w:color="auto" w:sz="2" w:space="0"/>
              <w:left w:val="single" w:color="auto" w:sz="4" w:space="0"/>
              <w:bottom w:val="single" w:color="auto" w:sz="6" w:space="0"/>
              <w:right w:val="single" w:color="auto" w:sz="6" w:space="0"/>
            </w:tcBorders>
            <w:vAlign w:val="center"/>
          </w:tcPr>
          <w:p w14:paraId="46CFC4BC">
            <w:pPr>
              <w:pStyle w:val="27"/>
              <w:snapToGrid w:val="0"/>
              <w:spacing w:before="295" w:after="295"/>
              <w:jc w:val="center"/>
              <w:rPr>
                <w:rFonts w:hAnsi="宋体" w:cs="宋体"/>
                <w:color w:val="auto"/>
                <w:kern w:val="2"/>
                <w:sz w:val="21"/>
                <w:highlight w:val="none"/>
                <w:lang w:val="en-US"/>
              </w:rPr>
            </w:pPr>
          </w:p>
        </w:tc>
        <w:tc>
          <w:tcPr>
            <w:tcW w:w="1440"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14:paraId="6898C4FF">
            <w:pPr>
              <w:pStyle w:val="27"/>
              <w:snapToGrid w:val="0"/>
              <w:spacing w:before="295" w:after="295"/>
              <w:jc w:val="center"/>
              <w:rPr>
                <w:rFonts w:hAnsi="宋体" w:cs="宋体"/>
                <w:color w:val="auto"/>
                <w:kern w:val="2"/>
                <w:sz w:val="21"/>
                <w:highlight w:val="none"/>
                <w:lang w:val="en-US"/>
              </w:rPr>
            </w:pPr>
          </w:p>
        </w:tc>
        <w:tc>
          <w:tcPr>
            <w:tcW w:w="2340" w:type="dxa"/>
            <w:tcBorders>
              <w:top w:val="single" w:color="auto" w:sz="2" w:space="0"/>
              <w:left w:val="single" w:color="auto" w:sz="6" w:space="0"/>
              <w:bottom w:val="single" w:color="auto" w:sz="6" w:space="0"/>
              <w:right w:val="single" w:color="auto" w:sz="2" w:space="0"/>
            </w:tcBorders>
            <w:vAlign w:val="center"/>
          </w:tcPr>
          <w:p w14:paraId="3C75A118">
            <w:pPr>
              <w:pStyle w:val="27"/>
              <w:snapToGrid w:val="0"/>
              <w:spacing w:before="295" w:after="295"/>
              <w:jc w:val="center"/>
              <w:rPr>
                <w:rFonts w:hAnsi="宋体" w:cs="宋体"/>
                <w:color w:val="auto"/>
                <w:kern w:val="2"/>
                <w:sz w:val="21"/>
                <w:highlight w:val="none"/>
                <w:lang w:val="en-US"/>
              </w:rPr>
            </w:pPr>
            <w:r>
              <w:rPr>
                <w:rFonts w:hint="eastAsia" w:hAnsi="宋体" w:cs="宋体"/>
                <w:color w:val="auto"/>
                <w:kern w:val="2"/>
                <w:sz w:val="21"/>
                <w:highlight w:val="none"/>
                <w:lang w:val="en-US"/>
              </w:rPr>
              <w:t xml:space="preserve"> </w:t>
            </w:r>
            <w:r>
              <w:rPr>
                <w:rFonts w:hint="eastAsia" w:hAnsi="宋体" w:cs="宋体"/>
                <w:color w:val="auto"/>
                <w:kern w:val="2"/>
                <w:sz w:val="21"/>
                <w:highlight w:val="none"/>
                <w:u w:val="single"/>
                <w:lang w:val="en-US"/>
              </w:rPr>
              <w:t xml:space="preserve">           </w:t>
            </w:r>
            <w:r>
              <w:rPr>
                <w:rFonts w:hint="eastAsia" w:hAnsi="宋体" w:cs="宋体"/>
                <w:color w:val="auto"/>
                <w:kern w:val="2"/>
                <w:sz w:val="21"/>
                <w:highlight w:val="none"/>
                <w:lang w:val="en-US"/>
              </w:rPr>
              <w:t>%</w:t>
            </w:r>
          </w:p>
        </w:tc>
      </w:tr>
      <w:tr w14:paraId="081D1B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18E22416">
            <w:pPr>
              <w:pStyle w:val="27"/>
              <w:snapToGrid w:val="0"/>
              <w:spacing w:before="295" w:after="295"/>
              <w:jc w:val="center"/>
              <w:rPr>
                <w:rFonts w:hAnsi="宋体" w:cs="宋体"/>
                <w:color w:val="auto"/>
                <w:kern w:val="2"/>
                <w:sz w:val="21"/>
                <w:highlight w:val="none"/>
                <w:lang w:val="en-US"/>
              </w:rPr>
            </w:pPr>
            <w:r>
              <w:rPr>
                <w:rFonts w:hint="eastAsia" w:hAnsi="宋体" w:cs="宋体"/>
                <w:color w:val="auto"/>
                <w:kern w:val="2"/>
                <w:sz w:val="21"/>
                <w:highlight w:val="none"/>
                <w:lang w:val="en-US"/>
              </w:rPr>
              <w:t>2</w:t>
            </w:r>
          </w:p>
        </w:tc>
        <w:tc>
          <w:tcPr>
            <w:tcW w:w="2700" w:type="dxa"/>
            <w:tcBorders>
              <w:top w:val="single" w:color="auto" w:sz="6" w:space="0"/>
              <w:left w:val="single" w:color="auto" w:sz="2" w:space="0"/>
              <w:bottom w:val="single" w:color="auto" w:sz="6" w:space="0"/>
              <w:right w:val="single" w:color="auto" w:sz="4" w:space="0"/>
            </w:tcBorders>
            <w:vAlign w:val="center"/>
          </w:tcPr>
          <w:p w14:paraId="4AC7249B">
            <w:pPr>
              <w:pStyle w:val="27"/>
              <w:snapToGrid w:val="0"/>
              <w:spacing w:before="295" w:after="295"/>
              <w:jc w:val="center"/>
              <w:rPr>
                <w:rFonts w:hAnsi="宋体" w:cs="宋体"/>
                <w:color w:val="auto"/>
                <w:kern w:val="2"/>
                <w:sz w:val="21"/>
                <w:highlight w:val="none"/>
                <w:lang w:val="en-US"/>
              </w:rPr>
            </w:pPr>
          </w:p>
        </w:tc>
        <w:tc>
          <w:tcPr>
            <w:tcW w:w="1440" w:type="dxa"/>
            <w:tcBorders>
              <w:top w:val="single" w:color="auto" w:sz="6" w:space="0"/>
              <w:left w:val="single" w:color="auto" w:sz="4" w:space="0"/>
              <w:bottom w:val="single" w:color="auto" w:sz="6" w:space="0"/>
              <w:right w:val="single" w:color="auto" w:sz="6" w:space="0"/>
            </w:tcBorders>
            <w:vAlign w:val="center"/>
          </w:tcPr>
          <w:p w14:paraId="21D4616F">
            <w:pPr>
              <w:pStyle w:val="27"/>
              <w:snapToGrid w:val="0"/>
              <w:spacing w:before="295" w:after="295"/>
              <w:jc w:val="center"/>
              <w:rPr>
                <w:rFonts w:hAnsi="宋体" w:cs="宋体"/>
                <w:color w:val="auto"/>
                <w:kern w:val="2"/>
                <w:sz w:val="21"/>
                <w:highlight w:val="none"/>
                <w:lang w:val="en-US"/>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6031E6B3">
            <w:pPr>
              <w:pStyle w:val="27"/>
              <w:snapToGrid w:val="0"/>
              <w:spacing w:before="295" w:after="295"/>
              <w:jc w:val="center"/>
              <w:rPr>
                <w:rFonts w:hAnsi="宋体" w:cs="宋体"/>
                <w:color w:val="auto"/>
                <w:kern w:val="2"/>
                <w:sz w:val="21"/>
                <w:highlight w:val="none"/>
                <w:lang w:val="en-US"/>
              </w:rPr>
            </w:pPr>
          </w:p>
        </w:tc>
        <w:tc>
          <w:tcPr>
            <w:tcW w:w="2340" w:type="dxa"/>
            <w:tcBorders>
              <w:top w:val="single" w:color="auto" w:sz="6" w:space="0"/>
              <w:left w:val="single" w:color="auto" w:sz="6" w:space="0"/>
              <w:bottom w:val="single" w:color="auto" w:sz="6" w:space="0"/>
              <w:right w:val="single" w:color="auto" w:sz="2" w:space="0"/>
            </w:tcBorders>
            <w:vAlign w:val="center"/>
          </w:tcPr>
          <w:p w14:paraId="79508959">
            <w:pPr>
              <w:pStyle w:val="27"/>
              <w:snapToGrid w:val="0"/>
              <w:spacing w:before="295" w:after="295"/>
              <w:jc w:val="center"/>
              <w:rPr>
                <w:rFonts w:hAnsi="宋体" w:cs="宋体"/>
                <w:color w:val="auto"/>
                <w:kern w:val="2"/>
                <w:sz w:val="21"/>
                <w:highlight w:val="none"/>
                <w:lang w:val="en-US"/>
              </w:rPr>
            </w:pPr>
            <w:r>
              <w:rPr>
                <w:rFonts w:hint="eastAsia" w:hAnsi="宋体" w:cs="宋体"/>
                <w:color w:val="auto"/>
                <w:kern w:val="2"/>
                <w:sz w:val="21"/>
                <w:highlight w:val="none"/>
                <w:lang w:val="en-US"/>
              </w:rPr>
              <w:t xml:space="preserve"> </w:t>
            </w:r>
            <w:r>
              <w:rPr>
                <w:rFonts w:hint="eastAsia" w:hAnsi="宋体" w:cs="宋体"/>
                <w:color w:val="auto"/>
                <w:kern w:val="2"/>
                <w:sz w:val="21"/>
                <w:highlight w:val="none"/>
                <w:u w:val="single"/>
                <w:lang w:val="en-US"/>
              </w:rPr>
              <w:t xml:space="preserve">           </w:t>
            </w:r>
            <w:r>
              <w:rPr>
                <w:rFonts w:hint="eastAsia" w:hAnsi="宋体" w:cs="宋体"/>
                <w:color w:val="auto"/>
                <w:kern w:val="2"/>
                <w:sz w:val="21"/>
                <w:highlight w:val="none"/>
                <w:lang w:val="en-US"/>
              </w:rPr>
              <w:t>%</w:t>
            </w:r>
          </w:p>
        </w:tc>
      </w:tr>
      <w:tr w14:paraId="0A5DDC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367A70C1">
            <w:pPr>
              <w:pStyle w:val="27"/>
              <w:snapToGrid w:val="0"/>
              <w:spacing w:before="295" w:after="295"/>
              <w:jc w:val="center"/>
              <w:rPr>
                <w:rFonts w:hAnsi="宋体" w:cs="宋体"/>
                <w:color w:val="auto"/>
                <w:kern w:val="2"/>
                <w:sz w:val="21"/>
                <w:highlight w:val="none"/>
                <w:lang w:val="en-US"/>
              </w:rPr>
            </w:pPr>
            <w:r>
              <w:rPr>
                <w:rFonts w:hint="eastAsia" w:hAnsi="宋体" w:cs="宋体"/>
                <w:color w:val="auto"/>
                <w:kern w:val="2"/>
                <w:sz w:val="21"/>
                <w:highlight w:val="none"/>
                <w:lang w:val="en-US"/>
              </w:rPr>
              <w:t>3</w:t>
            </w:r>
          </w:p>
        </w:tc>
        <w:tc>
          <w:tcPr>
            <w:tcW w:w="2700" w:type="dxa"/>
            <w:tcBorders>
              <w:top w:val="single" w:color="auto" w:sz="6" w:space="0"/>
              <w:left w:val="single" w:color="auto" w:sz="2" w:space="0"/>
              <w:bottom w:val="single" w:color="auto" w:sz="6" w:space="0"/>
              <w:right w:val="single" w:color="auto" w:sz="4" w:space="0"/>
            </w:tcBorders>
            <w:vAlign w:val="center"/>
          </w:tcPr>
          <w:p w14:paraId="27A5EFF8">
            <w:pPr>
              <w:pStyle w:val="27"/>
              <w:snapToGrid w:val="0"/>
              <w:spacing w:before="295" w:after="295"/>
              <w:jc w:val="center"/>
              <w:rPr>
                <w:rFonts w:hAnsi="宋体" w:cs="宋体"/>
                <w:color w:val="auto"/>
                <w:kern w:val="2"/>
                <w:sz w:val="21"/>
                <w:highlight w:val="none"/>
                <w:lang w:val="en-US"/>
              </w:rPr>
            </w:pPr>
          </w:p>
        </w:tc>
        <w:tc>
          <w:tcPr>
            <w:tcW w:w="1440" w:type="dxa"/>
            <w:tcBorders>
              <w:top w:val="single" w:color="auto" w:sz="6" w:space="0"/>
              <w:left w:val="single" w:color="auto" w:sz="4" w:space="0"/>
              <w:bottom w:val="single" w:color="auto" w:sz="6" w:space="0"/>
              <w:right w:val="single" w:color="auto" w:sz="6" w:space="0"/>
            </w:tcBorders>
            <w:vAlign w:val="center"/>
          </w:tcPr>
          <w:p w14:paraId="40F61666">
            <w:pPr>
              <w:pStyle w:val="27"/>
              <w:snapToGrid w:val="0"/>
              <w:spacing w:before="295" w:after="295"/>
              <w:jc w:val="center"/>
              <w:rPr>
                <w:rFonts w:hAnsi="宋体" w:cs="宋体"/>
                <w:color w:val="auto"/>
                <w:kern w:val="2"/>
                <w:sz w:val="21"/>
                <w:highlight w:val="none"/>
                <w:lang w:val="en-US"/>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1E08E633">
            <w:pPr>
              <w:pStyle w:val="27"/>
              <w:snapToGrid w:val="0"/>
              <w:spacing w:before="295" w:after="295"/>
              <w:jc w:val="center"/>
              <w:rPr>
                <w:rFonts w:hAnsi="宋体" w:cs="宋体"/>
                <w:color w:val="auto"/>
                <w:kern w:val="2"/>
                <w:sz w:val="21"/>
                <w:highlight w:val="none"/>
                <w:lang w:val="en-US"/>
              </w:rPr>
            </w:pPr>
          </w:p>
        </w:tc>
        <w:tc>
          <w:tcPr>
            <w:tcW w:w="2340" w:type="dxa"/>
            <w:tcBorders>
              <w:top w:val="single" w:color="auto" w:sz="6" w:space="0"/>
              <w:left w:val="single" w:color="auto" w:sz="6" w:space="0"/>
              <w:bottom w:val="single" w:color="auto" w:sz="6" w:space="0"/>
              <w:right w:val="single" w:color="auto" w:sz="2" w:space="0"/>
            </w:tcBorders>
            <w:vAlign w:val="center"/>
          </w:tcPr>
          <w:p w14:paraId="233CC2B5">
            <w:pPr>
              <w:pStyle w:val="27"/>
              <w:snapToGrid w:val="0"/>
              <w:spacing w:before="295" w:after="295"/>
              <w:jc w:val="center"/>
              <w:rPr>
                <w:rFonts w:hAnsi="宋体" w:cs="宋体"/>
                <w:color w:val="auto"/>
                <w:kern w:val="2"/>
                <w:sz w:val="21"/>
                <w:highlight w:val="none"/>
                <w:lang w:val="en-US"/>
              </w:rPr>
            </w:pPr>
            <w:r>
              <w:rPr>
                <w:rFonts w:hint="eastAsia" w:hAnsi="宋体" w:cs="宋体"/>
                <w:color w:val="auto"/>
                <w:kern w:val="2"/>
                <w:sz w:val="21"/>
                <w:highlight w:val="none"/>
                <w:lang w:val="en-US"/>
              </w:rPr>
              <w:t xml:space="preserve"> </w:t>
            </w:r>
            <w:r>
              <w:rPr>
                <w:rFonts w:hint="eastAsia" w:hAnsi="宋体" w:cs="宋体"/>
                <w:color w:val="auto"/>
                <w:kern w:val="2"/>
                <w:sz w:val="21"/>
                <w:highlight w:val="none"/>
                <w:u w:val="single"/>
                <w:lang w:val="en-US"/>
              </w:rPr>
              <w:t xml:space="preserve">           </w:t>
            </w:r>
            <w:r>
              <w:rPr>
                <w:rFonts w:hint="eastAsia" w:hAnsi="宋体" w:cs="宋体"/>
                <w:color w:val="auto"/>
                <w:kern w:val="2"/>
                <w:sz w:val="21"/>
                <w:highlight w:val="none"/>
                <w:lang w:val="en-US"/>
              </w:rPr>
              <w:t>%</w:t>
            </w:r>
          </w:p>
        </w:tc>
      </w:tr>
    </w:tbl>
    <w:p w14:paraId="386F8CC0">
      <w:pPr>
        <w:spacing w:line="360" w:lineRule="auto"/>
        <w:contextualSpacing/>
        <w:rPr>
          <w:rFonts w:ascii="宋体" w:hAnsi="宋体" w:cs="宋体"/>
          <w:color w:val="auto"/>
          <w:szCs w:val="21"/>
          <w:highlight w:val="none"/>
        </w:rPr>
      </w:pPr>
    </w:p>
    <w:p w14:paraId="2A3471FC">
      <w:pPr>
        <w:spacing w:line="360" w:lineRule="auto"/>
        <w:contextualSpacing/>
        <w:rPr>
          <w:rFonts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（签字/电子签名）：</w:t>
      </w:r>
      <w:r>
        <w:rPr>
          <w:rFonts w:hint="eastAsia" w:ascii="宋体" w:hAnsi="宋体" w:cs="宋体"/>
          <w:color w:val="auto"/>
          <w:spacing w:val="20"/>
          <w:szCs w:val="21"/>
          <w:highlight w:val="none"/>
          <w:u w:val="single"/>
        </w:rPr>
        <w:t xml:space="preserve">        </w:t>
      </w:r>
    </w:p>
    <w:p w14:paraId="10C0B6DA">
      <w:pPr>
        <w:spacing w:line="360" w:lineRule="auto"/>
        <w:ind w:firstLine="625"/>
        <w:contextualSpacing/>
        <w:jc w:val="left"/>
        <w:rPr>
          <w:rFonts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658F1F20">
      <w:pPr>
        <w:spacing w:line="360" w:lineRule="auto"/>
        <w:ind w:firstLine="625"/>
        <w:contextualSpacing/>
        <w:jc w:val="left"/>
        <w:rPr>
          <w:rFonts w:ascii="宋体" w:hAnsi="宋体" w:cs="宋体"/>
          <w:color w:val="auto"/>
          <w:szCs w:val="21"/>
          <w:highlight w:val="none"/>
        </w:rPr>
      </w:pPr>
      <w:r>
        <w:rPr>
          <w:rFonts w:hint="eastAsia" w:ascii="宋体" w:hAnsi="宋体" w:cs="宋体"/>
          <w:color w:val="auto"/>
          <w:spacing w:val="20"/>
          <w:szCs w:val="21"/>
          <w:highlight w:val="none"/>
        </w:rPr>
        <w:t>日 期：</w:t>
      </w:r>
      <w:r>
        <w:rPr>
          <w:rFonts w:hint="eastAsia" w:ascii="宋体" w:hAnsi="宋体" w:cs="宋体"/>
          <w:color w:val="auto"/>
          <w:spacing w:val="20"/>
          <w:szCs w:val="21"/>
          <w:highlight w:val="none"/>
          <w:u w:val="single"/>
        </w:rPr>
        <w:t xml:space="preserve">            </w:t>
      </w:r>
    </w:p>
    <w:p w14:paraId="057DA73F">
      <w:pPr>
        <w:snapToGrid w:val="0"/>
        <w:spacing w:before="50" w:after="120" w:afterLines="50"/>
        <w:ind w:firstLine="600"/>
        <w:jc w:val="left"/>
        <w:rPr>
          <w:rFonts w:ascii="宋体" w:hAnsi="宋体" w:cs="宋体"/>
          <w:color w:val="auto"/>
          <w:sz w:val="24"/>
          <w:szCs w:val="20"/>
          <w:highlight w:val="none"/>
        </w:rPr>
      </w:pPr>
    </w:p>
    <w:p w14:paraId="7D402D2A">
      <w:pPr>
        <w:ind w:firstLine="602"/>
        <w:rPr>
          <w:rFonts w:ascii="宋体" w:hAnsi="宋体" w:cs="宋体"/>
          <w:b/>
          <w:color w:val="auto"/>
          <w:sz w:val="28"/>
          <w:szCs w:val="28"/>
          <w:highlight w:val="none"/>
        </w:rPr>
      </w:pPr>
      <w:r>
        <w:rPr>
          <w:rFonts w:hint="eastAsia" w:ascii="宋体" w:hAnsi="宋体" w:cs="宋体"/>
          <w:b/>
          <w:bCs/>
          <w:color w:val="auto"/>
          <w:sz w:val="24"/>
          <w:highlight w:val="none"/>
        </w:rPr>
        <w:br w:type="page"/>
      </w:r>
      <w:r>
        <w:rPr>
          <w:rFonts w:hint="eastAsia" w:ascii="宋体" w:hAnsi="宋体" w:cs="宋体"/>
          <w:b/>
          <w:color w:val="auto"/>
          <w:sz w:val="28"/>
          <w:szCs w:val="28"/>
          <w:highlight w:val="none"/>
        </w:rPr>
        <w:t>四、其他文书、文件格式</w:t>
      </w:r>
    </w:p>
    <w:p w14:paraId="21922140">
      <w:pPr>
        <w:snapToGrid w:val="0"/>
        <w:spacing w:before="120" w:beforeLines="50" w:after="50"/>
        <w:ind w:left="-134" w:firstLine="702"/>
        <w:jc w:val="left"/>
        <w:rPr>
          <w:rFonts w:ascii="宋体" w:hAnsi="宋体" w:cs="宋体"/>
          <w:b/>
          <w:color w:val="auto"/>
          <w:spacing w:val="20"/>
          <w:sz w:val="24"/>
          <w:highlight w:val="none"/>
        </w:rPr>
      </w:pPr>
      <w:r>
        <w:rPr>
          <w:rFonts w:hint="eastAsia" w:ascii="宋体" w:hAnsi="宋体" w:cs="宋体"/>
          <w:b/>
          <w:color w:val="auto"/>
          <w:spacing w:val="20"/>
          <w:sz w:val="24"/>
          <w:highlight w:val="none"/>
        </w:rPr>
        <w:t>1.联合投标协议书格式</w:t>
      </w:r>
    </w:p>
    <w:p w14:paraId="412ECA25">
      <w:pPr>
        <w:pStyle w:val="7"/>
        <w:overflowPunct w:val="0"/>
        <w:ind w:firstLine="1100"/>
        <w:jc w:val="center"/>
        <w:rPr>
          <w:rFonts w:ascii="宋体" w:hAnsi="宋体" w:cs="宋体"/>
          <w:color w:val="auto"/>
          <w:sz w:val="44"/>
          <w:szCs w:val="44"/>
          <w:highlight w:val="none"/>
        </w:rPr>
      </w:pPr>
      <w:r>
        <w:rPr>
          <w:rFonts w:hint="eastAsia" w:ascii="宋体" w:hAnsi="宋体" w:cs="宋体"/>
          <w:color w:val="auto"/>
          <w:sz w:val="44"/>
          <w:szCs w:val="44"/>
          <w:highlight w:val="none"/>
        </w:rPr>
        <w:t>联合体协议书</w:t>
      </w:r>
    </w:p>
    <w:p w14:paraId="0C1E3B17">
      <w:pPr>
        <w:pStyle w:val="7"/>
        <w:overflowPunct w:val="0"/>
        <w:spacing w:line="400" w:lineRule="exact"/>
        <w:ind w:firstLine="600"/>
        <w:contextualSpacing/>
        <w:rPr>
          <w:rFonts w:ascii="宋体" w:hAnsi="宋体" w:cs="宋体"/>
          <w:color w:val="auto"/>
          <w:sz w:val="24"/>
          <w:highlight w:val="none"/>
          <w:u w:val="single"/>
        </w:rPr>
      </w:pPr>
    </w:p>
    <w:p w14:paraId="405BE147">
      <w:pPr>
        <w:pStyle w:val="7"/>
        <w:overflowPunct w:val="0"/>
        <w:spacing w:line="400" w:lineRule="exact"/>
        <w:ind w:firstLine="600"/>
        <w:contextualSpacing/>
        <w:rPr>
          <w:rFonts w:ascii="宋体" w:hAnsi="宋体" w:cs="宋体"/>
          <w:color w:val="auto"/>
          <w:sz w:val="24"/>
          <w:highlight w:val="none"/>
          <w:u w:val="single"/>
        </w:rPr>
      </w:pPr>
    </w:p>
    <w:p w14:paraId="351F7359">
      <w:pPr>
        <w:pStyle w:val="7"/>
        <w:overflowPunct w:val="0"/>
        <w:spacing w:line="400" w:lineRule="exact"/>
        <w:ind w:firstLine="525"/>
        <w:contextualSpacing/>
        <w:rPr>
          <w:rFonts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（所有成员单位名称）自愿组成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（联合体名称）联合体，共同参加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采购招标项目投标。现就联合体投标事宜订立如下协议。</w:t>
      </w:r>
    </w:p>
    <w:p w14:paraId="42003BF7">
      <w:pPr>
        <w:pStyle w:val="7"/>
        <w:overflowPunct w:val="0"/>
        <w:spacing w:line="400" w:lineRule="exact"/>
        <w:ind w:firstLine="525"/>
        <w:contextualSpacing/>
        <w:rPr>
          <w:rFonts w:ascii="宋体" w:hAnsi="宋体" w:cs="宋体"/>
          <w:color w:val="auto"/>
          <w:szCs w:val="21"/>
          <w:highlight w:val="none"/>
        </w:rPr>
      </w:pPr>
      <w:r>
        <w:rPr>
          <w:rFonts w:hint="eastAsia" w:ascii="宋体" w:hAnsi="宋体" w:cs="宋体"/>
          <w:color w:val="auto"/>
          <w:szCs w:val="21"/>
          <w:highlight w:val="none"/>
        </w:rPr>
        <w:t xml:space="preserve">1.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（某成员单位名称）为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（联合体名称）牵头人。</w:t>
      </w:r>
    </w:p>
    <w:p w14:paraId="1C9F487E">
      <w:pPr>
        <w:pStyle w:val="7"/>
        <w:overflowPunct w:val="0"/>
        <w:spacing w:line="400" w:lineRule="exact"/>
        <w:ind w:firstLine="525"/>
        <w:contextualSpacing/>
        <w:rPr>
          <w:rFonts w:ascii="宋体" w:hAnsi="宋体" w:cs="宋体"/>
          <w:color w:val="auto"/>
          <w:szCs w:val="21"/>
          <w:highlight w:val="none"/>
        </w:rPr>
      </w:pPr>
      <w:r>
        <w:rPr>
          <w:rFonts w:hint="eastAsia" w:ascii="宋体" w:hAnsi="宋体" w:cs="宋体"/>
          <w:color w:val="auto"/>
          <w:szCs w:val="21"/>
          <w:highlight w:val="none"/>
        </w:rPr>
        <w:t>2.联合体各成员授权牵头人代表联合体参加投标活动，签署文件及对文件的盖章，提交和接收相关的资料、信息及指示，进行合同谈判活动，负责合同实施阶段的组织和协调工作，以及处理与本招标项目有关的一切事宜。</w:t>
      </w:r>
    </w:p>
    <w:p w14:paraId="18FADB88">
      <w:pPr>
        <w:pStyle w:val="7"/>
        <w:overflowPunct w:val="0"/>
        <w:spacing w:line="400" w:lineRule="exact"/>
        <w:ind w:firstLine="525"/>
        <w:contextualSpacing/>
        <w:rPr>
          <w:rFonts w:ascii="宋体" w:hAnsi="宋体" w:cs="宋体"/>
          <w:color w:val="auto"/>
          <w:szCs w:val="21"/>
          <w:highlight w:val="none"/>
        </w:rPr>
      </w:pPr>
      <w:r>
        <w:rPr>
          <w:rFonts w:hint="eastAsia" w:ascii="宋体" w:hAnsi="宋体" w:cs="宋体"/>
          <w:color w:val="auto"/>
          <w:szCs w:val="21"/>
          <w:highlight w:val="none"/>
        </w:rPr>
        <w:t>3.联合体牵头人在本项目中签署和盖章的一切文件和处理的一切事宜，联合体各成员均予以承认。联合体各成员将严格按照招标文件、投标文件和合同的要求全面履行义务，并向采购人承担连带责任。</w:t>
      </w:r>
    </w:p>
    <w:p w14:paraId="31429599">
      <w:pPr>
        <w:pStyle w:val="7"/>
        <w:overflowPunct w:val="0"/>
        <w:spacing w:line="400" w:lineRule="exact"/>
        <w:ind w:firstLine="525"/>
        <w:contextualSpacing/>
        <w:rPr>
          <w:rFonts w:ascii="宋体" w:hAnsi="宋体" w:cs="宋体"/>
          <w:color w:val="auto"/>
          <w:szCs w:val="21"/>
          <w:highlight w:val="none"/>
        </w:rPr>
      </w:pPr>
      <w:r>
        <w:rPr>
          <w:rFonts w:hint="eastAsia" w:ascii="宋体" w:hAnsi="宋体" w:cs="宋体"/>
          <w:color w:val="auto"/>
          <w:szCs w:val="21"/>
          <w:highlight w:val="none"/>
        </w:rPr>
        <w:t>4.联合体各成员单位内部的职责分工如下：</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w:t>
      </w:r>
    </w:p>
    <w:p w14:paraId="2417A025">
      <w:pPr>
        <w:pStyle w:val="7"/>
        <w:overflowPunct w:val="0"/>
        <w:spacing w:line="400" w:lineRule="exact"/>
        <w:ind w:firstLine="525"/>
        <w:contextualSpacing/>
        <w:rPr>
          <w:rFonts w:ascii="宋体" w:hAnsi="宋体" w:cs="宋体"/>
          <w:color w:val="auto"/>
          <w:szCs w:val="21"/>
          <w:highlight w:val="none"/>
        </w:rPr>
      </w:pPr>
      <w:r>
        <w:rPr>
          <w:rFonts w:hint="eastAsia" w:ascii="宋体" w:hAnsi="宋体" w:cs="宋体"/>
          <w:color w:val="auto"/>
          <w:szCs w:val="21"/>
          <w:highlight w:val="none"/>
        </w:rPr>
        <w:t>5.本协议书自所有成员单位法定代表人或者其委托代理人签字（或者电子签名）或者盖公章之日起生效，合同履行完毕后自动失效。</w:t>
      </w:r>
    </w:p>
    <w:p w14:paraId="0FCAB283">
      <w:pPr>
        <w:pStyle w:val="7"/>
        <w:overflowPunct w:val="0"/>
        <w:spacing w:line="400" w:lineRule="exact"/>
        <w:ind w:firstLine="525"/>
        <w:contextualSpacing/>
        <w:rPr>
          <w:rFonts w:ascii="宋体" w:hAnsi="宋体" w:cs="宋体"/>
          <w:color w:val="auto"/>
          <w:szCs w:val="21"/>
          <w:highlight w:val="none"/>
        </w:rPr>
      </w:pPr>
      <w:r>
        <w:rPr>
          <w:rFonts w:hint="eastAsia" w:ascii="宋体" w:hAnsi="宋体" w:cs="宋体"/>
          <w:color w:val="auto"/>
          <w:szCs w:val="21"/>
          <w:highlight w:val="none"/>
        </w:rPr>
        <w:t>6.本协议书一式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份，联合体成员和采购人各执一份。</w:t>
      </w:r>
    </w:p>
    <w:p w14:paraId="7BB58DA4">
      <w:pPr>
        <w:pStyle w:val="7"/>
        <w:overflowPunct w:val="0"/>
        <w:spacing w:line="400" w:lineRule="exact"/>
        <w:ind w:firstLine="525"/>
        <w:contextualSpacing/>
        <w:rPr>
          <w:rFonts w:ascii="宋体" w:hAnsi="宋体" w:cs="宋体"/>
          <w:color w:val="auto"/>
          <w:szCs w:val="21"/>
          <w:highlight w:val="none"/>
        </w:rPr>
      </w:pPr>
      <w:r>
        <w:rPr>
          <w:rFonts w:hint="eastAsia" w:ascii="宋体" w:hAnsi="宋体" w:cs="宋体"/>
          <w:color w:val="auto"/>
          <w:szCs w:val="21"/>
          <w:highlight w:val="none"/>
        </w:rPr>
        <w:t>注：本协议书由法定代表人签字或者电子签名的，应附法定代表人身份证明；由委托代理人签字或者电子签名的，应附授权委托书。</w:t>
      </w:r>
    </w:p>
    <w:p w14:paraId="0802A9A3">
      <w:pPr>
        <w:pStyle w:val="7"/>
        <w:overflowPunct w:val="0"/>
        <w:spacing w:line="400" w:lineRule="exact"/>
        <w:ind w:firstLine="525"/>
        <w:contextualSpacing/>
        <w:rPr>
          <w:rFonts w:ascii="宋体" w:hAnsi="宋体" w:cs="宋体"/>
          <w:color w:val="auto"/>
          <w:szCs w:val="21"/>
          <w:highlight w:val="none"/>
        </w:rPr>
      </w:pPr>
    </w:p>
    <w:p w14:paraId="7A8194DB">
      <w:pPr>
        <w:pStyle w:val="7"/>
        <w:overflowPunct w:val="0"/>
        <w:spacing w:line="400" w:lineRule="exact"/>
        <w:ind w:firstLine="525"/>
        <w:contextualSpacing/>
        <w:rPr>
          <w:rFonts w:ascii="宋体" w:hAnsi="宋体" w:cs="宋体"/>
          <w:color w:val="auto"/>
          <w:szCs w:val="21"/>
          <w:highlight w:val="none"/>
        </w:rPr>
      </w:pPr>
      <w:r>
        <w:rPr>
          <w:rFonts w:hint="eastAsia" w:ascii="宋体" w:hAnsi="宋体" w:cs="宋体"/>
          <w:color w:val="auto"/>
          <w:szCs w:val="21"/>
          <w:highlight w:val="none"/>
        </w:rPr>
        <w:t>联合体牵头人名称（电子签章）：</w:t>
      </w:r>
    </w:p>
    <w:p w14:paraId="0CC68D03">
      <w:pPr>
        <w:pStyle w:val="7"/>
        <w:overflowPunct w:val="0"/>
        <w:spacing w:line="400" w:lineRule="exact"/>
        <w:ind w:firstLine="525"/>
        <w:contextualSpacing/>
        <w:rPr>
          <w:rFonts w:ascii="宋体" w:hAnsi="宋体" w:cs="宋体"/>
          <w:color w:val="auto"/>
          <w:szCs w:val="21"/>
          <w:highlight w:val="none"/>
        </w:rPr>
      </w:pPr>
      <w:r>
        <w:rPr>
          <w:rFonts w:hint="eastAsia" w:ascii="宋体" w:hAnsi="宋体" w:cs="宋体"/>
          <w:color w:val="auto"/>
          <w:szCs w:val="21"/>
          <w:highlight w:val="none"/>
        </w:rPr>
        <w:t xml:space="preserve">法定代表人或者其委托代理人： </w:t>
      </w:r>
      <w:r>
        <w:rPr>
          <w:rFonts w:hint="eastAsia" w:ascii="宋体" w:hAnsi="宋体" w:cs="宋体"/>
          <w:color w:val="auto"/>
          <w:szCs w:val="21"/>
          <w:highlight w:val="none"/>
        </w:rPr>
        <w:tab/>
      </w:r>
      <w:r>
        <w:rPr>
          <w:rFonts w:hint="eastAsia" w:ascii="宋体" w:hAnsi="宋体" w:cs="宋体"/>
          <w:color w:val="auto"/>
          <w:szCs w:val="21"/>
          <w:highlight w:val="none"/>
        </w:rPr>
        <w:t>（签字/电子签名）</w:t>
      </w:r>
    </w:p>
    <w:p w14:paraId="39AE52D0">
      <w:pPr>
        <w:pStyle w:val="7"/>
        <w:overflowPunct w:val="0"/>
        <w:spacing w:line="400" w:lineRule="exact"/>
        <w:ind w:firstLine="525"/>
        <w:contextualSpacing/>
        <w:rPr>
          <w:rFonts w:ascii="宋体" w:hAnsi="宋体" w:cs="宋体"/>
          <w:color w:val="auto"/>
          <w:szCs w:val="21"/>
          <w:highlight w:val="none"/>
        </w:rPr>
      </w:pPr>
    </w:p>
    <w:p w14:paraId="399D668E">
      <w:pPr>
        <w:pStyle w:val="7"/>
        <w:overflowPunct w:val="0"/>
        <w:spacing w:line="400" w:lineRule="exact"/>
        <w:ind w:firstLine="525"/>
        <w:contextualSpacing/>
        <w:rPr>
          <w:rFonts w:ascii="宋体" w:hAnsi="宋体" w:cs="宋体"/>
          <w:color w:val="auto"/>
          <w:szCs w:val="21"/>
          <w:highlight w:val="none"/>
        </w:rPr>
      </w:pPr>
      <w:r>
        <w:rPr>
          <w:rFonts w:hint="eastAsia" w:ascii="宋体" w:hAnsi="宋体" w:cs="宋体"/>
          <w:color w:val="auto"/>
          <w:szCs w:val="21"/>
          <w:highlight w:val="none"/>
        </w:rPr>
        <w:t>联合体成员名称（盖公章）：</w:t>
      </w:r>
    </w:p>
    <w:p w14:paraId="27705BF3">
      <w:pPr>
        <w:pStyle w:val="7"/>
        <w:overflowPunct w:val="0"/>
        <w:spacing w:line="400" w:lineRule="exact"/>
        <w:ind w:firstLine="525"/>
        <w:contextualSpacing/>
        <w:rPr>
          <w:rFonts w:ascii="宋体" w:hAnsi="宋体" w:cs="宋体"/>
          <w:color w:val="auto"/>
          <w:szCs w:val="21"/>
          <w:highlight w:val="none"/>
        </w:rPr>
      </w:pPr>
      <w:r>
        <w:rPr>
          <w:rFonts w:hint="eastAsia" w:ascii="宋体" w:hAnsi="宋体" w:cs="宋体"/>
          <w:color w:val="auto"/>
          <w:szCs w:val="21"/>
          <w:highlight w:val="none"/>
        </w:rPr>
        <w:t xml:space="preserve">法定代表人或者其委托代理人： </w:t>
      </w:r>
      <w:r>
        <w:rPr>
          <w:rFonts w:hint="eastAsia" w:ascii="宋体" w:hAnsi="宋体" w:cs="宋体"/>
          <w:color w:val="auto"/>
          <w:szCs w:val="21"/>
          <w:highlight w:val="none"/>
        </w:rPr>
        <w:tab/>
      </w:r>
      <w:r>
        <w:rPr>
          <w:rFonts w:hint="eastAsia" w:ascii="宋体" w:hAnsi="宋体" w:cs="宋体"/>
          <w:color w:val="auto"/>
          <w:szCs w:val="21"/>
          <w:highlight w:val="none"/>
        </w:rPr>
        <w:t>（签字/电子签名）</w:t>
      </w:r>
    </w:p>
    <w:p w14:paraId="667ECFBF">
      <w:pPr>
        <w:pStyle w:val="7"/>
        <w:overflowPunct w:val="0"/>
        <w:spacing w:line="400" w:lineRule="exact"/>
        <w:ind w:firstLine="525"/>
        <w:contextualSpacing/>
        <w:rPr>
          <w:rFonts w:ascii="宋体" w:hAnsi="宋体" w:cs="宋体"/>
          <w:color w:val="auto"/>
          <w:szCs w:val="21"/>
          <w:highlight w:val="none"/>
        </w:rPr>
      </w:pPr>
      <w:r>
        <w:rPr>
          <w:rFonts w:hint="eastAsia" w:ascii="宋体" w:hAnsi="宋体" w:cs="宋体"/>
          <w:color w:val="auto"/>
          <w:szCs w:val="21"/>
          <w:highlight w:val="none"/>
        </w:rPr>
        <w:t>……</w:t>
      </w:r>
    </w:p>
    <w:p w14:paraId="0208A540">
      <w:pPr>
        <w:pStyle w:val="7"/>
        <w:overflowPunct w:val="0"/>
        <w:spacing w:line="400" w:lineRule="exact"/>
        <w:ind w:firstLine="525"/>
        <w:contextualSpacing/>
        <w:rPr>
          <w:rFonts w:ascii="宋体" w:hAnsi="宋体" w:cs="宋体"/>
          <w:color w:val="auto"/>
          <w:szCs w:val="21"/>
          <w:highlight w:val="none"/>
        </w:rPr>
      </w:pPr>
    </w:p>
    <w:p w14:paraId="59F995FE">
      <w:pPr>
        <w:pStyle w:val="7"/>
        <w:overflowPunct w:val="0"/>
        <w:spacing w:line="400" w:lineRule="exact"/>
        <w:ind w:firstLine="525"/>
        <w:contextualSpacing/>
        <w:rPr>
          <w:rFonts w:ascii="宋体" w:hAnsi="宋体" w:cs="宋体"/>
          <w:color w:val="auto"/>
          <w:szCs w:val="21"/>
          <w:highlight w:val="none"/>
        </w:rPr>
      </w:pPr>
    </w:p>
    <w:p w14:paraId="0C9EC54C">
      <w:pPr>
        <w:pStyle w:val="7"/>
        <w:overflowPunct w:val="0"/>
        <w:spacing w:line="400" w:lineRule="exact"/>
        <w:ind w:firstLine="525"/>
        <w:contextualSpacing/>
        <w:rPr>
          <w:rFonts w:ascii="宋体" w:hAnsi="宋体" w:cs="宋体"/>
          <w:color w:val="auto"/>
          <w:szCs w:val="21"/>
          <w:highlight w:val="none"/>
        </w:rPr>
      </w:pPr>
    </w:p>
    <w:p w14:paraId="6EA45C5C">
      <w:pPr>
        <w:pStyle w:val="7"/>
        <w:overflowPunct w:val="0"/>
        <w:spacing w:line="400" w:lineRule="exact"/>
        <w:ind w:firstLine="525"/>
        <w:contextualSpacing/>
        <w:jc w:val="right"/>
        <w:rPr>
          <w:rFonts w:ascii="宋体" w:hAnsi="宋体" w:cs="宋体"/>
          <w:b/>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rPr>
        <w:tab/>
      </w:r>
      <w:r>
        <w:rPr>
          <w:rFonts w:hint="eastAsia" w:ascii="宋体" w:hAnsi="宋体" w:cs="宋体"/>
          <w:color w:val="auto"/>
          <w:szCs w:val="21"/>
          <w:highlight w:val="none"/>
        </w:rPr>
        <w:t xml:space="preserve">年 </w:t>
      </w:r>
      <w:r>
        <w:rPr>
          <w:rFonts w:hint="eastAsia" w:ascii="宋体" w:hAnsi="宋体" w:cs="宋体"/>
          <w:color w:val="auto"/>
          <w:szCs w:val="21"/>
          <w:highlight w:val="none"/>
        </w:rPr>
        <w:tab/>
      </w:r>
      <w:r>
        <w:rPr>
          <w:rFonts w:hint="eastAsia" w:ascii="宋体" w:hAnsi="宋体" w:cs="宋体"/>
          <w:color w:val="auto"/>
          <w:szCs w:val="21"/>
          <w:highlight w:val="none"/>
        </w:rPr>
        <w:t xml:space="preserve">月 </w:t>
      </w:r>
      <w:r>
        <w:rPr>
          <w:rFonts w:hint="eastAsia" w:ascii="宋体" w:hAnsi="宋体" w:cs="宋体"/>
          <w:color w:val="auto"/>
          <w:szCs w:val="21"/>
          <w:highlight w:val="none"/>
        </w:rPr>
        <w:tab/>
      </w:r>
      <w:r>
        <w:rPr>
          <w:rFonts w:hint="eastAsia" w:ascii="宋体" w:hAnsi="宋体" w:cs="宋体"/>
          <w:color w:val="auto"/>
          <w:szCs w:val="21"/>
          <w:highlight w:val="none"/>
        </w:rPr>
        <w:t>日</w:t>
      </w:r>
    </w:p>
    <w:p w14:paraId="25BFD72E">
      <w:pPr>
        <w:snapToGrid w:val="0"/>
        <w:spacing w:before="120" w:beforeLines="50" w:after="50"/>
        <w:ind w:firstLine="527"/>
        <w:jc w:val="left"/>
        <w:rPr>
          <w:rFonts w:ascii="宋体" w:hAnsi="宋体" w:cs="宋体"/>
          <w:b/>
          <w:color w:val="auto"/>
          <w:szCs w:val="21"/>
          <w:highlight w:val="none"/>
        </w:rPr>
      </w:pPr>
      <w:r>
        <w:rPr>
          <w:rFonts w:hint="eastAsia" w:ascii="宋体" w:hAnsi="宋体" w:cs="宋体"/>
          <w:b/>
          <w:color w:val="auto"/>
          <w:szCs w:val="21"/>
          <w:highlight w:val="none"/>
        </w:rPr>
        <w:t xml:space="preserve"> </w:t>
      </w:r>
    </w:p>
    <w:p w14:paraId="56C13921">
      <w:pPr>
        <w:snapToGrid w:val="0"/>
        <w:spacing w:before="120" w:beforeLines="50" w:after="50"/>
        <w:ind w:firstLine="602"/>
        <w:jc w:val="left"/>
        <w:rPr>
          <w:rFonts w:ascii="宋体" w:hAnsi="宋体" w:cs="宋体"/>
          <w:color w:val="auto"/>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2.中小企业声明函格式</w:t>
      </w:r>
    </w:p>
    <w:p w14:paraId="26CA4EE8">
      <w:pPr>
        <w:rPr>
          <w:rFonts w:ascii="宋体" w:hAnsi="宋体" w:cs="宋体"/>
          <w:color w:val="auto"/>
          <w:highlight w:val="none"/>
        </w:rPr>
      </w:pPr>
    </w:p>
    <w:p w14:paraId="003F17F8">
      <w:pPr>
        <w:ind w:firstLine="1100"/>
        <w:jc w:val="center"/>
        <w:rPr>
          <w:rFonts w:ascii="宋体" w:hAnsi="宋体" w:cs="宋体"/>
          <w:color w:val="auto"/>
          <w:sz w:val="44"/>
          <w:szCs w:val="44"/>
          <w:highlight w:val="none"/>
        </w:rPr>
      </w:pPr>
      <w:r>
        <w:rPr>
          <w:rFonts w:hint="eastAsia" w:ascii="宋体" w:hAnsi="宋体" w:cs="宋体"/>
          <w:color w:val="auto"/>
          <w:sz w:val="44"/>
          <w:szCs w:val="44"/>
          <w:highlight w:val="none"/>
        </w:rPr>
        <w:t>中小企业声明函（货物）</w:t>
      </w:r>
    </w:p>
    <w:p w14:paraId="3CF8F1D7">
      <w:pPr>
        <w:spacing w:before="2" w:line="500" w:lineRule="exact"/>
        <w:ind w:firstLine="527"/>
        <w:rPr>
          <w:rFonts w:ascii="宋体" w:hAnsi="宋体" w:cs="宋体"/>
          <w:b/>
          <w:bCs/>
          <w:color w:val="auto"/>
          <w:szCs w:val="21"/>
          <w:highlight w:val="none"/>
        </w:rPr>
      </w:pPr>
    </w:p>
    <w:p w14:paraId="23FF3113">
      <w:pPr>
        <w:pStyle w:val="19"/>
        <w:spacing w:line="440" w:lineRule="exact"/>
        <w:ind w:left="-426" w:leftChars="-203" w:right="142" w:firstLine="420" w:firstLineChars="200"/>
        <w:contextualSpacing/>
        <w:rPr>
          <w:rFonts w:ascii="宋体" w:hAnsi="宋体" w:cs="宋体"/>
          <w:color w:val="auto"/>
          <w:kern w:val="24"/>
          <w:sz w:val="21"/>
          <w:szCs w:val="21"/>
          <w:highlight w:val="none"/>
        </w:rPr>
      </w:pPr>
      <w:r>
        <w:rPr>
          <w:rFonts w:hint="eastAsia" w:ascii="宋体" w:hAnsi="宋体" w:cs="宋体"/>
          <w:color w:val="auto"/>
          <w:kern w:val="24"/>
          <w:sz w:val="21"/>
          <w:szCs w:val="21"/>
          <w:highlight w:val="none"/>
        </w:rPr>
        <w:t>本公司（联合体）郑重声明，根据《政府采购促进中小企业发展管理办法》（财库﹝2020﹞46号）的规定，本公司（联合体）参加</w:t>
      </w:r>
      <w:r>
        <w:rPr>
          <w:rFonts w:hint="eastAsia" w:ascii="宋体" w:hAnsi="宋体" w:cs="宋体"/>
          <w:color w:val="auto"/>
          <w:kern w:val="24"/>
          <w:sz w:val="21"/>
          <w:szCs w:val="21"/>
          <w:highlight w:val="none"/>
          <w:u w:val="single"/>
        </w:rPr>
        <w:t>（单位名称）</w:t>
      </w:r>
      <w:r>
        <w:rPr>
          <w:rFonts w:hint="eastAsia" w:ascii="宋体" w:hAnsi="宋体" w:cs="宋体"/>
          <w:color w:val="auto"/>
          <w:kern w:val="24"/>
          <w:sz w:val="21"/>
          <w:szCs w:val="21"/>
          <w:highlight w:val="none"/>
        </w:rPr>
        <w:t>的</w:t>
      </w:r>
      <w:r>
        <w:rPr>
          <w:rFonts w:hint="eastAsia" w:ascii="宋体" w:hAnsi="宋体" w:cs="宋体"/>
          <w:color w:val="auto"/>
          <w:kern w:val="24"/>
          <w:sz w:val="21"/>
          <w:szCs w:val="21"/>
          <w:highlight w:val="none"/>
          <w:u w:val="single"/>
        </w:rPr>
        <w:t>（项目名称）</w:t>
      </w:r>
      <w:r>
        <w:rPr>
          <w:rFonts w:hint="eastAsia" w:ascii="宋体" w:hAnsi="宋体" w:cs="宋体"/>
          <w:color w:val="auto"/>
          <w:kern w:val="24"/>
          <w:sz w:val="21"/>
          <w:szCs w:val="21"/>
          <w:highlight w:val="none"/>
        </w:rPr>
        <w:t>采购活动，提供的货物全部由符合政策要求的中小企业制造。相关企业（含联合体中的中小企业、签订分包意向协议的中小企业）的具体情况如下：</w:t>
      </w:r>
    </w:p>
    <w:p w14:paraId="22B44E87">
      <w:pPr>
        <w:tabs>
          <w:tab w:val="left" w:pos="1384"/>
          <w:tab w:val="left" w:pos="4562"/>
          <w:tab w:val="left" w:pos="6803"/>
        </w:tabs>
        <w:spacing w:line="440" w:lineRule="exact"/>
        <w:ind w:left="-134" w:right="-58" w:firstLine="525"/>
        <w:contextualSpacing/>
        <w:rPr>
          <w:rFonts w:ascii="宋体" w:hAnsi="宋体" w:cs="宋体"/>
          <w:color w:val="auto"/>
          <w:kern w:val="24"/>
          <w:szCs w:val="21"/>
          <w:highlight w:val="none"/>
        </w:rPr>
      </w:pPr>
      <w:r>
        <w:rPr>
          <w:rFonts w:hint="eastAsia" w:ascii="宋体" w:hAnsi="宋体" w:cs="宋体"/>
          <w:color w:val="auto"/>
          <w:kern w:val="24"/>
          <w:szCs w:val="21"/>
          <w:highlight w:val="none"/>
        </w:rPr>
        <w:t>1.</w:t>
      </w:r>
      <w:r>
        <w:rPr>
          <w:rFonts w:hint="eastAsia" w:ascii="宋体" w:hAnsi="宋体" w:cs="宋体"/>
          <w:color w:val="auto"/>
          <w:kern w:val="24"/>
          <w:szCs w:val="21"/>
          <w:highlight w:val="none"/>
          <w:u w:val="single"/>
        </w:rPr>
        <w:t>（标的名称）</w:t>
      </w:r>
      <w:r>
        <w:rPr>
          <w:rFonts w:hint="eastAsia" w:ascii="宋体" w:hAnsi="宋体" w:cs="宋体"/>
          <w:color w:val="auto"/>
          <w:kern w:val="24"/>
          <w:szCs w:val="21"/>
          <w:highlight w:val="none"/>
        </w:rPr>
        <w:t>，属于</w:t>
      </w:r>
      <w:r>
        <w:rPr>
          <w:rFonts w:hint="eastAsia" w:ascii="宋体" w:hAnsi="宋体" w:cs="宋体"/>
          <w:color w:val="auto"/>
          <w:kern w:val="24"/>
          <w:szCs w:val="21"/>
          <w:highlight w:val="none"/>
          <w:u w:val="single"/>
        </w:rPr>
        <w:t>（采购文件中明确的所属行业）</w:t>
      </w:r>
      <w:r>
        <w:rPr>
          <w:rFonts w:hint="eastAsia" w:ascii="宋体" w:hAnsi="宋体" w:cs="宋体"/>
          <w:color w:val="auto"/>
          <w:kern w:val="24"/>
          <w:szCs w:val="21"/>
          <w:highlight w:val="none"/>
        </w:rPr>
        <w:t>行业；制造商为</w:t>
      </w:r>
      <w:r>
        <w:rPr>
          <w:rFonts w:hint="eastAsia" w:ascii="宋体" w:hAnsi="宋体" w:cs="宋体"/>
          <w:color w:val="auto"/>
          <w:kern w:val="24"/>
          <w:szCs w:val="21"/>
          <w:highlight w:val="none"/>
          <w:u w:val="single"/>
        </w:rPr>
        <w:t>（企业名称）</w:t>
      </w:r>
      <w:r>
        <w:rPr>
          <w:rFonts w:hint="eastAsia" w:ascii="宋体" w:hAnsi="宋体" w:cs="宋体"/>
          <w:color w:val="auto"/>
          <w:kern w:val="24"/>
          <w:szCs w:val="21"/>
          <w:highlight w:val="none"/>
        </w:rPr>
        <w:t>，从业人员</w:t>
      </w:r>
      <w:r>
        <w:rPr>
          <w:rFonts w:hint="eastAsia" w:ascii="宋体" w:hAnsi="宋体" w:cs="宋体"/>
          <w:color w:val="auto"/>
          <w:kern w:val="24"/>
          <w:szCs w:val="21"/>
          <w:highlight w:val="none"/>
          <w:u w:val="single"/>
        </w:rPr>
        <w:t xml:space="preserve">      </w:t>
      </w:r>
      <w:r>
        <w:rPr>
          <w:rFonts w:hint="eastAsia" w:ascii="宋体" w:hAnsi="宋体" w:cs="宋体"/>
          <w:color w:val="auto"/>
          <w:kern w:val="24"/>
          <w:szCs w:val="21"/>
          <w:highlight w:val="none"/>
        </w:rPr>
        <w:t>人，营业收入为</w:t>
      </w:r>
      <w:r>
        <w:rPr>
          <w:rFonts w:hint="eastAsia" w:ascii="宋体" w:hAnsi="宋体" w:cs="宋体"/>
          <w:color w:val="auto"/>
          <w:kern w:val="24"/>
          <w:szCs w:val="21"/>
          <w:highlight w:val="none"/>
          <w:u w:val="single"/>
        </w:rPr>
        <w:t xml:space="preserve">      </w:t>
      </w:r>
      <w:r>
        <w:rPr>
          <w:rFonts w:hint="eastAsia" w:ascii="宋体" w:hAnsi="宋体" w:cs="宋体"/>
          <w:color w:val="auto"/>
          <w:kern w:val="24"/>
          <w:szCs w:val="21"/>
          <w:highlight w:val="none"/>
        </w:rPr>
        <w:t>万元，资产总额为</w:t>
      </w:r>
      <w:r>
        <w:rPr>
          <w:rFonts w:hint="eastAsia" w:ascii="宋体" w:hAnsi="宋体" w:cs="宋体"/>
          <w:color w:val="auto"/>
          <w:kern w:val="24"/>
          <w:szCs w:val="21"/>
          <w:highlight w:val="none"/>
          <w:u w:val="single"/>
        </w:rPr>
        <w:t xml:space="preserve">      </w:t>
      </w:r>
      <w:r>
        <w:rPr>
          <w:rFonts w:hint="eastAsia" w:ascii="宋体" w:hAnsi="宋体" w:cs="宋体"/>
          <w:color w:val="auto"/>
          <w:kern w:val="24"/>
          <w:szCs w:val="21"/>
          <w:highlight w:val="none"/>
        </w:rPr>
        <w:t>万元，属于</w:t>
      </w:r>
      <w:r>
        <w:rPr>
          <w:rFonts w:hint="eastAsia" w:ascii="宋体" w:hAnsi="宋体" w:cs="宋体"/>
          <w:color w:val="auto"/>
          <w:kern w:val="24"/>
          <w:szCs w:val="21"/>
          <w:highlight w:val="none"/>
          <w:u w:val="single"/>
        </w:rPr>
        <w:t>（中型企业、小型企业、微型企业）</w:t>
      </w:r>
      <w:r>
        <w:rPr>
          <w:rFonts w:hint="eastAsia" w:ascii="宋体" w:hAnsi="宋体" w:cs="宋体"/>
          <w:color w:val="auto"/>
          <w:kern w:val="24"/>
          <w:szCs w:val="21"/>
          <w:highlight w:val="none"/>
        </w:rPr>
        <w:t>；</w:t>
      </w:r>
    </w:p>
    <w:p w14:paraId="63E0C690">
      <w:pPr>
        <w:tabs>
          <w:tab w:val="left" w:pos="1065"/>
          <w:tab w:val="left" w:pos="6477"/>
        </w:tabs>
        <w:spacing w:line="440" w:lineRule="exact"/>
        <w:ind w:left="-134" w:right="-58" w:firstLine="525"/>
        <w:contextualSpacing/>
        <w:rPr>
          <w:rFonts w:ascii="宋体" w:hAnsi="宋体" w:cs="宋体"/>
          <w:color w:val="auto"/>
          <w:kern w:val="24"/>
          <w:szCs w:val="21"/>
          <w:highlight w:val="none"/>
        </w:rPr>
      </w:pPr>
      <w:r>
        <w:rPr>
          <w:rFonts w:hint="eastAsia" w:ascii="宋体" w:hAnsi="宋体" w:cs="宋体"/>
          <w:color w:val="auto"/>
          <w:kern w:val="24"/>
          <w:szCs w:val="21"/>
          <w:highlight w:val="none"/>
        </w:rPr>
        <w:t>2.</w:t>
      </w:r>
      <w:r>
        <w:rPr>
          <w:rFonts w:hint="eastAsia" w:ascii="宋体" w:hAnsi="宋体" w:cs="宋体"/>
          <w:color w:val="auto"/>
          <w:kern w:val="24"/>
          <w:szCs w:val="21"/>
          <w:highlight w:val="none"/>
          <w:u w:val="single"/>
        </w:rPr>
        <w:t>（标的名称）</w:t>
      </w:r>
      <w:r>
        <w:rPr>
          <w:rFonts w:hint="eastAsia" w:ascii="宋体" w:hAnsi="宋体" w:cs="宋体"/>
          <w:color w:val="auto"/>
          <w:kern w:val="24"/>
          <w:szCs w:val="21"/>
          <w:highlight w:val="none"/>
        </w:rPr>
        <w:t>，属于</w:t>
      </w:r>
      <w:r>
        <w:rPr>
          <w:rFonts w:hint="eastAsia" w:ascii="宋体" w:hAnsi="宋体" w:cs="宋体"/>
          <w:color w:val="auto"/>
          <w:kern w:val="24"/>
          <w:szCs w:val="21"/>
          <w:highlight w:val="none"/>
          <w:u w:val="single"/>
        </w:rPr>
        <w:t>（采购文件中明确的所属行业）</w:t>
      </w:r>
      <w:r>
        <w:rPr>
          <w:rFonts w:hint="eastAsia" w:ascii="宋体" w:hAnsi="宋体" w:cs="宋体"/>
          <w:color w:val="auto"/>
          <w:kern w:val="24"/>
          <w:szCs w:val="21"/>
          <w:highlight w:val="none"/>
        </w:rPr>
        <w:t>行业；制造商为</w:t>
      </w:r>
      <w:r>
        <w:rPr>
          <w:rFonts w:hint="eastAsia" w:ascii="宋体" w:hAnsi="宋体" w:cs="宋体"/>
          <w:color w:val="auto"/>
          <w:kern w:val="24"/>
          <w:szCs w:val="21"/>
          <w:highlight w:val="none"/>
          <w:u w:val="single"/>
        </w:rPr>
        <w:t>（企业名称）</w:t>
      </w:r>
      <w:r>
        <w:rPr>
          <w:rFonts w:hint="eastAsia" w:ascii="宋体" w:hAnsi="宋体" w:cs="宋体"/>
          <w:color w:val="auto"/>
          <w:kern w:val="24"/>
          <w:szCs w:val="21"/>
          <w:highlight w:val="none"/>
        </w:rPr>
        <w:t>，从业人员</w:t>
      </w:r>
      <w:r>
        <w:rPr>
          <w:rFonts w:hint="eastAsia" w:ascii="宋体" w:hAnsi="宋体" w:cs="宋体"/>
          <w:color w:val="auto"/>
          <w:kern w:val="24"/>
          <w:szCs w:val="21"/>
          <w:highlight w:val="none"/>
          <w:u w:val="single"/>
        </w:rPr>
        <w:t xml:space="preserve">      </w:t>
      </w:r>
      <w:r>
        <w:rPr>
          <w:rFonts w:hint="eastAsia" w:ascii="宋体" w:hAnsi="宋体" w:cs="宋体"/>
          <w:color w:val="auto"/>
          <w:kern w:val="24"/>
          <w:szCs w:val="21"/>
          <w:highlight w:val="none"/>
        </w:rPr>
        <w:t>人，营业收入为</w:t>
      </w:r>
      <w:r>
        <w:rPr>
          <w:rFonts w:hint="eastAsia" w:ascii="宋体" w:hAnsi="宋体" w:cs="宋体"/>
          <w:color w:val="auto"/>
          <w:kern w:val="24"/>
          <w:szCs w:val="21"/>
          <w:highlight w:val="none"/>
          <w:u w:val="single"/>
        </w:rPr>
        <w:t xml:space="preserve">      </w:t>
      </w:r>
      <w:r>
        <w:rPr>
          <w:rFonts w:hint="eastAsia" w:ascii="宋体" w:hAnsi="宋体" w:cs="宋体"/>
          <w:color w:val="auto"/>
          <w:kern w:val="24"/>
          <w:szCs w:val="21"/>
          <w:highlight w:val="none"/>
        </w:rPr>
        <w:t>万元，资产总额为</w:t>
      </w:r>
      <w:r>
        <w:rPr>
          <w:rFonts w:hint="eastAsia" w:ascii="宋体" w:hAnsi="宋体" w:cs="宋体"/>
          <w:color w:val="auto"/>
          <w:kern w:val="24"/>
          <w:szCs w:val="21"/>
          <w:highlight w:val="none"/>
          <w:u w:val="single"/>
        </w:rPr>
        <w:t xml:space="preserve">      </w:t>
      </w:r>
      <w:r>
        <w:rPr>
          <w:rFonts w:hint="eastAsia" w:ascii="宋体" w:hAnsi="宋体" w:cs="宋体"/>
          <w:color w:val="auto"/>
          <w:kern w:val="24"/>
          <w:szCs w:val="21"/>
          <w:highlight w:val="none"/>
        </w:rPr>
        <w:t>万元，属于</w:t>
      </w:r>
      <w:r>
        <w:rPr>
          <w:rFonts w:hint="eastAsia" w:ascii="宋体" w:hAnsi="宋体" w:cs="宋体"/>
          <w:color w:val="auto"/>
          <w:kern w:val="24"/>
          <w:szCs w:val="21"/>
          <w:highlight w:val="none"/>
          <w:u w:val="single"/>
        </w:rPr>
        <w:t>（中型企业、小型企业、微型企业）</w:t>
      </w:r>
      <w:r>
        <w:rPr>
          <w:rFonts w:hint="eastAsia" w:ascii="宋体" w:hAnsi="宋体" w:cs="宋体"/>
          <w:color w:val="auto"/>
          <w:kern w:val="24"/>
          <w:szCs w:val="21"/>
          <w:highlight w:val="none"/>
        </w:rPr>
        <w:t>；</w:t>
      </w:r>
    </w:p>
    <w:p w14:paraId="5C31B5DC">
      <w:pPr>
        <w:pStyle w:val="19"/>
        <w:spacing w:line="440" w:lineRule="exact"/>
        <w:ind w:left="-134" w:right="142"/>
        <w:contextualSpacing/>
        <w:rPr>
          <w:rFonts w:ascii="宋体" w:hAnsi="宋体" w:cs="宋体"/>
          <w:color w:val="auto"/>
          <w:kern w:val="24"/>
          <w:sz w:val="21"/>
          <w:szCs w:val="21"/>
          <w:highlight w:val="none"/>
        </w:rPr>
      </w:pPr>
      <w:r>
        <w:rPr>
          <w:rFonts w:hint="eastAsia" w:ascii="宋体" w:hAnsi="宋体" w:cs="宋体"/>
          <w:color w:val="auto"/>
          <w:kern w:val="24"/>
          <w:sz w:val="21"/>
          <w:szCs w:val="21"/>
          <w:highlight w:val="none"/>
        </w:rPr>
        <w:t xml:space="preserve">…… </w:t>
      </w:r>
    </w:p>
    <w:p w14:paraId="4CF71064">
      <w:pPr>
        <w:pStyle w:val="19"/>
        <w:spacing w:line="440" w:lineRule="exact"/>
        <w:ind w:left="-405" w:leftChars="-193" w:right="142" w:firstLine="396" w:firstLineChars="189"/>
        <w:contextualSpacing/>
        <w:rPr>
          <w:rFonts w:ascii="宋体" w:hAnsi="宋体" w:cs="宋体"/>
          <w:color w:val="auto"/>
          <w:kern w:val="24"/>
          <w:sz w:val="21"/>
          <w:szCs w:val="21"/>
          <w:highlight w:val="none"/>
        </w:rPr>
      </w:pPr>
      <w:r>
        <w:rPr>
          <w:rFonts w:hint="eastAsia" w:ascii="宋体" w:hAnsi="宋体" w:cs="宋体"/>
          <w:color w:val="auto"/>
          <w:kern w:val="24"/>
          <w:sz w:val="21"/>
          <w:szCs w:val="21"/>
          <w:highlight w:val="none"/>
        </w:rPr>
        <w:t>以上企业，不属于大企业的分支机构，不存在控股股东为大企业的情形，也不存在与大企业的负责人为同一人的情形。</w:t>
      </w:r>
    </w:p>
    <w:p w14:paraId="6DA5CDA0">
      <w:pPr>
        <w:pStyle w:val="19"/>
        <w:spacing w:line="440" w:lineRule="exact"/>
        <w:ind w:left="-134" w:right="142" w:firstLine="525"/>
        <w:contextualSpacing/>
        <w:rPr>
          <w:rFonts w:ascii="宋体" w:hAnsi="宋体" w:cs="宋体"/>
          <w:color w:val="auto"/>
          <w:kern w:val="24"/>
          <w:sz w:val="21"/>
          <w:szCs w:val="21"/>
          <w:highlight w:val="none"/>
        </w:rPr>
      </w:pPr>
      <w:r>
        <w:rPr>
          <w:rFonts w:hint="eastAsia" w:ascii="宋体" w:hAnsi="宋体" w:cs="宋体"/>
          <w:color w:val="auto"/>
          <w:kern w:val="24"/>
          <w:sz w:val="21"/>
          <w:szCs w:val="21"/>
          <w:highlight w:val="none"/>
        </w:rPr>
        <w:t>本企业对上述声明内容的真实性负责。如有虚假，将依法承担相应责任。</w:t>
      </w:r>
    </w:p>
    <w:p w14:paraId="3CE45FC4">
      <w:pPr>
        <w:pStyle w:val="19"/>
        <w:spacing w:line="440" w:lineRule="exact"/>
        <w:ind w:left="-134" w:right="1808"/>
        <w:contextualSpacing/>
        <w:rPr>
          <w:rFonts w:ascii="宋体" w:hAnsi="宋体" w:cs="宋体"/>
          <w:color w:val="auto"/>
          <w:kern w:val="24"/>
          <w:sz w:val="21"/>
          <w:szCs w:val="21"/>
          <w:highlight w:val="none"/>
        </w:rPr>
      </w:pPr>
    </w:p>
    <w:p w14:paraId="1E5A57C8">
      <w:pPr>
        <w:pStyle w:val="19"/>
        <w:spacing w:line="440" w:lineRule="exact"/>
        <w:ind w:left="-134" w:right="1808"/>
        <w:contextualSpacing/>
        <w:rPr>
          <w:rFonts w:ascii="宋体" w:hAnsi="宋体" w:cs="宋体"/>
          <w:color w:val="auto"/>
          <w:kern w:val="24"/>
          <w:sz w:val="21"/>
          <w:szCs w:val="21"/>
          <w:highlight w:val="none"/>
        </w:rPr>
      </w:pPr>
    </w:p>
    <w:p w14:paraId="65284A79">
      <w:pPr>
        <w:pStyle w:val="19"/>
        <w:spacing w:line="440" w:lineRule="exact"/>
        <w:ind w:left="-134" w:right="1808"/>
        <w:contextualSpacing/>
        <w:rPr>
          <w:rFonts w:ascii="宋体" w:hAnsi="宋体" w:cs="宋体"/>
          <w:color w:val="auto"/>
          <w:kern w:val="24"/>
          <w:sz w:val="21"/>
          <w:szCs w:val="21"/>
          <w:highlight w:val="none"/>
        </w:rPr>
      </w:pPr>
      <w:r>
        <w:rPr>
          <w:rFonts w:hint="eastAsia" w:ascii="宋体" w:hAnsi="宋体" w:cs="宋体"/>
          <w:color w:val="auto"/>
          <w:kern w:val="24"/>
          <w:sz w:val="21"/>
          <w:szCs w:val="21"/>
          <w:highlight w:val="none"/>
        </w:rPr>
        <w:t xml:space="preserve">企业名称（电子签章）： </w:t>
      </w:r>
    </w:p>
    <w:p w14:paraId="7D02617B">
      <w:pPr>
        <w:pStyle w:val="19"/>
        <w:spacing w:line="440" w:lineRule="exact"/>
        <w:ind w:left="-134" w:right="1808"/>
        <w:contextualSpacing/>
        <w:rPr>
          <w:rFonts w:ascii="宋体" w:hAnsi="宋体" w:cs="宋体"/>
          <w:color w:val="auto"/>
          <w:kern w:val="24"/>
          <w:sz w:val="21"/>
          <w:szCs w:val="21"/>
          <w:highlight w:val="none"/>
        </w:rPr>
      </w:pPr>
      <w:r>
        <w:rPr>
          <w:rFonts w:hint="eastAsia" w:ascii="宋体" w:hAnsi="宋体" w:cs="宋体"/>
          <w:color w:val="auto"/>
          <w:kern w:val="24"/>
          <w:sz w:val="21"/>
          <w:szCs w:val="21"/>
          <w:highlight w:val="none"/>
        </w:rPr>
        <w:t>日 期：</w:t>
      </w:r>
    </w:p>
    <w:p w14:paraId="3B829242">
      <w:pPr>
        <w:pStyle w:val="19"/>
        <w:spacing w:line="440" w:lineRule="exact"/>
        <w:ind w:left="-134" w:right="1808"/>
        <w:contextualSpacing/>
        <w:rPr>
          <w:rFonts w:ascii="宋体" w:hAnsi="宋体" w:cs="宋体"/>
          <w:color w:val="auto"/>
          <w:kern w:val="24"/>
          <w:sz w:val="21"/>
          <w:szCs w:val="21"/>
          <w:highlight w:val="none"/>
        </w:rPr>
      </w:pPr>
    </w:p>
    <w:p w14:paraId="51727B88">
      <w:pPr>
        <w:pStyle w:val="19"/>
        <w:spacing w:line="440" w:lineRule="exact"/>
        <w:ind w:left="-134" w:right="1808"/>
        <w:contextualSpacing/>
        <w:rPr>
          <w:rFonts w:ascii="宋体" w:hAnsi="宋体" w:cs="宋体"/>
          <w:color w:val="auto"/>
          <w:kern w:val="24"/>
          <w:sz w:val="21"/>
          <w:szCs w:val="21"/>
          <w:highlight w:val="none"/>
        </w:rPr>
      </w:pPr>
    </w:p>
    <w:p w14:paraId="77CFAA96">
      <w:pPr>
        <w:pStyle w:val="19"/>
        <w:spacing w:line="440" w:lineRule="exact"/>
        <w:ind w:left="-134" w:right="142" w:firstLine="525"/>
        <w:contextualSpacing/>
        <w:rPr>
          <w:rFonts w:ascii="宋体" w:hAnsi="宋体" w:cs="宋体"/>
          <w:color w:val="auto"/>
          <w:kern w:val="24"/>
          <w:sz w:val="21"/>
          <w:szCs w:val="21"/>
          <w:highlight w:val="none"/>
        </w:rPr>
      </w:pPr>
      <w:r>
        <w:rPr>
          <w:rFonts w:hint="eastAsia" w:ascii="宋体" w:hAnsi="宋体" w:cs="宋体"/>
          <w:color w:val="auto"/>
          <w:kern w:val="24"/>
          <w:sz w:val="21"/>
          <w:szCs w:val="21"/>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02E7E0C3">
      <w:pPr>
        <w:snapToGrid w:val="0"/>
        <w:spacing w:before="120" w:beforeLines="50" w:after="50"/>
        <w:ind w:left="-134" w:firstLine="527"/>
        <w:jc w:val="left"/>
        <w:rPr>
          <w:rFonts w:ascii="宋体" w:hAnsi="宋体" w:cs="宋体"/>
          <w:b/>
          <w:color w:val="auto"/>
          <w:sz w:val="24"/>
          <w:highlight w:val="none"/>
        </w:rPr>
      </w:pPr>
      <w:r>
        <w:rPr>
          <w:rFonts w:hint="eastAsia" w:ascii="宋体" w:hAnsi="宋体" w:cs="宋体"/>
          <w:b/>
          <w:color w:val="auto"/>
          <w:szCs w:val="21"/>
          <w:highlight w:val="none"/>
        </w:rPr>
        <w:br w:type="page"/>
      </w:r>
      <w:r>
        <w:rPr>
          <w:rFonts w:hint="eastAsia" w:ascii="宋体" w:hAnsi="宋体" w:cs="宋体"/>
          <w:b/>
          <w:color w:val="auto"/>
          <w:sz w:val="24"/>
          <w:highlight w:val="none"/>
        </w:rPr>
        <w:t>3.残疾人福利性单位声明函格式</w:t>
      </w:r>
    </w:p>
    <w:p w14:paraId="197E25A7">
      <w:pPr>
        <w:spacing w:line="588" w:lineRule="exact"/>
        <w:ind w:firstLine="833"/>
        <w:jc w:val="center"/>
        <w:rPr>
          <w:rFonts w:ascii="宋体" w:hAnsi="宋体" w:cs="宋体"/>
          <w:b/>
          <w:color w:val="auto"/>
          <w:spacing w:val="6"/>
          <w:sz w:val="32"/>
          <w:szCs w:val="32"/>
          <w:highlight w:val="none"/>
        </w:rPr>
      </w:pPr>
    </w:p>
    <w:p w14:paraId="7C6546B7">
      <w:pPr>
        <w:spacing w:line="588" w:lineRule="exact"/>
        <w:ind w:firstLine="1130"/>
        <w:jc w:val="center"/>
        <w:rPr>
          <w:rFonts w:ascii="宋体" w:hAnsi="宋体" w:cs="宋体"/>
          <w:bCs/>
          <w:color w:val="auto"/>
          <w:spacing w:val="6"/>
          <w:sz w:val="44"/>
          <w:szCs w:val="44"/>
          <w:highlight w:val="none"/>
        </w:rPr>
      </w:pPr>
      <w:r>
        <w:rPr>
          <w:rFonts w:hint="eastAsia" w:ascii="宋体" w:hAnsi="宋体" w:cs="宋体"/>
          <w:bCs/>
          <w:color w:val="auto"/>
          <w:spacing w:val="6"/>
          <w:sz w:val="44"/>
          <w:szCs w:val="44"/>
          <w:highlight w:val="none"/>
        </w:rPr>
        <w:t>残疾人福利性单位声明函</w:t>
      </w:r>
    </w:p>
    <w:p w14:paraId="32E03BDC">
      <w:pPr>
        <w:spacing w:line="360" w:lineRule="auto"/>
        <w:ind w:firstLine="780"/>
        <w:contextualSpacing/>
        <w:rPr>
          <w:rFonts w:ascii="宋体" w:hAnsi="宋体" w:cs="宋体"/>
          <w:bCs/>
          <w:color w:val="auto"/>
          <w:spacing w:val="6"/>
          <w:sz w:val="30"/>
          <w:szCs w:val="30"/>
          <w:highlight w:val="none"/>
        </w:rPr>
      </w:pPr>
    </w:p>
    <w:p w14:paraId="2D2BDA4F">
      <w:pPr>
        <w:spacing w:line="360" w:lineRule="auto"/>
        <w:ind w:firstLine="444" w:firstLineChars="200"/>
        <w:contextualSpacing/>
        <w:rPr>
          <w:rFonts w:ascii="宋体" w:hAnsi="宋体" w:cs="宋体"/>
          <w:color w:val="auto"/>
          <w:spacing w:val="6"/>
          <w:szCs w:val="21"/>
          <w:highlight w:val="none"/>
        </w:rPr>
      </w:pPr>
      <w:r>
        <w:rPr>
          <w:rFonts w:hint="eastAsia" w:ascii="宋体" w:hAnsi="宋体" w:cs="宋体"/>
          <w:color w:val="auto"/>
          <w:spacing w:val="6"/>
          <w:szCs w:val="21"/>
          <w:highlight w:val="none"/>
        </w:rPr>
        <w:t>本单位郑重声明，根据《财政部 民政部 中国残疾人联合会关于促进残疾人就业政府采购政策的通知》（财库</w:t>
      </w:r>
      <w:r>
        <w:rPr>
          <w:rFonts w:hint="eastAsia" w:ascii="宋体" w:hAnsi="宋体" w:cs="宋体"/>
          <w:color w:val="auto"/>
          <w:szCs w:val="21"/>
          <w:highlight w:val="none"/>
        </w:rPr>
        <w:t>〔2017〕 141</w:t>
      </w:r>
      <w:r>
        <w:rPr>
          <w:rFonts w:hint="eastAsia" w:ascii="宋体" w:hAnsi="宋体" w:cs="宋体"/>
          <w:color w:val="auto"/>
          <w:spacing w:val="6"/>
          <w:szCs w:val="21"/>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s="宋体"/>
          <w:color w:val="auto"/>
          <w:spacing w:val="-6"/>
          <w:szCs w:val="21"/>
          <w:highlight w:val="none"/>
        </w:rPr>
        <w:t>疾人福利性单位制造的货物（不包括使用非残疾人福利性单位注册商标的货物）。</w:t>
      </w:r>
    </w:p>
    <w:p w14:paraId="790EF337">
      <w:pPr>
        <w:spacing w:line="360" w:lineRule="auto"/>
        <w:ind w:firstLine="444" w:firstLineChars="200"/>
        <w:contextualSpacing/>
        <w:rPr>
          <w:rFonts w:ascii="宋体" w:hAnsi="宋体" w:cs="宋体"/>
          <w:color w:val="auto"/>
          <w:spacing w:val="6"/>
          <w:szCs w:val="21"/>
          <w:highlight w:val="none"/>
        </w:rPr>
      </w:pPr>
      <w:r>
        <w:rPr>
          <w:rFonts w:hint="eastAsia" w:ascii="宋体" w:hAnsi="宋体" w:cs="宋体"/>
          <w:color w:val="auto"/>
          <w:spacing w:val="6"/>
          <w:szCs w:val="21"/>
          <w:highlight w:val="none"/>
        </w:rPr>
        <w:t>本单位对上述声明的真实性负责。如有虚假，将依法承担相应责任。</w:t>
      </w:r>
    </w:p>
    <w:p w14:paraId="5E7B184C">
      <w:pPr>
        <w:spacing w:line="360" w:lineRule="auto"/>
        <w:ind w:firstLine="444" w:firstLineChars="200"/>
        <w:contextualSpacing/>
        <w:rPr>
          <w:rFonts w:ascii="宋体" w:hAnsi="宋体" w:cs="宋体"/>
          <w:color w:val="auto"/>
          <w:spacing w:val="6"/>
          <w:szCs w:val="21"/>
          <w:highlight w:val="none"/>
        </w:rPr>
      </w:pPr>
    </w:p>
    <w:p w14:paraId="2AE5EE53">
      <w:pPr>
        <w:spacing w:line="360" w:lineRule="auto"/>
        <w:ind w:firstLine="444" w:firstLineChars="200"/>
        <w:contextualSpacing/>
        <w:rPr>
          <w:rFonts w:ascii="宋体" w:hAnsi="宋体" w:cs="宋体"/>
          <w:color w:val="auto"/>
          <w:spacing w:val="6"/>
          <w:szCs w:val="21"/>
          <w:highlight w:val="none"/>
        </w:rPr>
      </w:pPr>
    </w:p>
    <w:p w14:paraId="5F44514E">
      <w:pPr>
        <w:tabs>
          <w:tab w:val="left" w:pos="4860"/>
        </w:tabs>
        <w:spacing w:line="360" w:lineRule="auto"/>
        <w:ind w:right="1560" w:firstLine="444" w:firstLineChars="200"/>
        <w:contextualSpacing/>
        <w:jc w:val="center"/>
        <w:rPr>
          <w:rFonts w:ascii="宋体" w:hAnsi="宋体" w:cs="宋体"/>
          <w:color w:val="auto"/>
          <w:spacing w:val="6"/>
          <w:szCs w:val="21"/>
          <w:highlight w:val="none"/>
        </w:rPr>
      </w:pPr>
      <w:r>
        <w:rPr>
          <w:rFonts w:hint="eastAsia" w:ascii="宋体" w:hAnsi="宋体" w:cs="宋体"/>
          <w:color w:val="auto"/>
          <w:spacing w:val="6"/>
          <w:szCs w:val="21"/>
          <w:highlight w:val="none"/>
        </w:rPr>
        <w:t>单位名称（电子签章）：</w:t>
      </w:r>
    </w:p>
    <w:p w14:paraId="4AE73CDF">
      <w:pPr>
        <w:tabs>
          <w:tab w:val="left" w:pos="4860"/>
        </w:tabs>
        <w:spacing w:line="360" w:lineRule="auto"/>
        <w:ind w:right="1560" w:firstLine="444" w:firstLineChars="200"/>
        <w:contextualSpacing/>
        <w:jc w:val="center"/>
        <w:rPr>
          <w:rFonts w:ascii="宋体" w:hAnsi="宋体" w:cs="宋体"/>
          <w:color w:val="auto"/>
          <w:spacing w:val="6"/>
          <w:szCs w:val="21"/>
          <w:highlight w:val="none"/>
        </w:rPr>
      </w:pPr>
      <w:r>
        <w:rPr>
          <w:rFonts w:hint="eastAsia" w:ascii="宋体" w:hAnsi="宋体" w:cs="宋体"/>
          <w:color w:val="auto"/>
          <w:spacing w:val="6"/>
          <w:szCs w:val="21"/>
          <w:highlight w:val="none"/>
        </w:rPr>
        <w:t>日  期：</w:t>
      </w:r>
    </w:p>
    <w:p w14:paraId="243A0B54">
      <w:pPr>
        <w:spacing w:line="360" w:lineRule="auto"/>
        <w:contextualSpacing/>
        <w:rPr>
          <w:rFonts w:ascii="宋体" w:hAnsi="宋体" w:cs="宋体"/>
          <w:color w:val="auto"/>
          <w:szCs w:val="21"/>
          <w:highlight w:val="none"/>
        </w:rPr>
      </w:pPr>
    </w:p>
    <w:p w14:paraId="621DCBDC">
      <w:pPr>
        <w:spacing w:line="360" w:lineRule="auto"/>
        <w:contextualSpacing/>
        <w:rPr>
          <w:rFonts w:ascii="宋体" w:hAnsi="宋体" w:cs="宋体"/>
          <w:color w:val="auto"/>
          <w:szCs w:val="21"/>
          <w:highlight w:val="none"/>
        </w:rPr>
      </w:pPr>
    </w:p>
    <w:p w14:paraId="08384EEF">
      <w:pPr>
        <w:spacing w:line="360" w:lineRule="auto"/>
        <w:contextualSpacing/>
        <w:rPr>
          <w:rFonts w:ascii="宋体" w:hAnsi="宋体" w:cs="宋体"/>
          <w:color w:val="auto"/>
          <w:szCs w:val="21"/>
          <w:highlight w:val="none"/>
        </w:rPr>
      </w:pPr>
    </w:p>
    <w:p w14:paraId="68E90B9C">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2A957AA1">
      <w:pPr>
        <w:rPr>
          <w:rFonts w:hint="eastAsia" w:ascii="宋体" w:hAnsi="宋体" w:cs="宋体"/>
          <w:color w:val="auto"/>
          <w:sz w:val="24"/>
          <w:highlight w:val="none"/>
        </w:rPr>
      </w:pPr>
      <w:r>
        <w:rPr>
          <w:rFonts w:hint="eastAsia" w:ascii="宋体" w:hAnsi="宋体" w:cs="宋体"/>
          <w:color w:val="auto"/>
          <w:sz w:val="24"/>
          <w:highlight w:val="none"/>
        </w:rPr>
        <w:br w:type="page"/>
      </w:r>
    </w:p>
    <w:p w14:paraId="4AFEAFC1">
      <w:pPr>
        <w:snapToGrid w:val="0"/>
        <w:spacing w:before="120" w:beforeLines="50" w:after="50"/>
        <w:jc w:val="left"/>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rPr>
        <w:t>关于符合本国产品标准的声明函</w:t>
      </w:r>
      <w:r>
        <w:rPr>
          <w:rFonts w:hint="eastAsia" w:ascii="仿宋" w:hAnsi="仿宋" w:eastAsia="仿宋" w:cs="仿宋"/>
          <w:b/>
          <w:color w:val="auto"/>
          <w:sz w:val="24"/>
          <w:highlight w:val="none"/>
          <w:lang w:eastAsia="zh-CN"/>
        </w:rPr>
        <w:t>格式</w:t>
      </w:r>
    </w:p>
    <w:p w14:paraId="368B7166">
      <w:pPr>
        <w:snapToGrid w:val="0"/>
        <w:spacing w:line="360" w:lineRule="auto"/>
        <w:jc w:val="center"/>
        <w:rPr>
          <w:rFonts w:hint="eastAsia" w:ascii="宋体" w:hAnsi="宋体" w:eastAsia="宋体" w:cs="宋体"/>
          <w:b/>
          <w:bCs/>
          <w:color w:val="auto"/>
          <w:sz w:val="32"/>
          <w:szCs w:val="32"/>
          <w:highlight w:val="none"/>
        </w:rPr>
      </w:pPr>
    </w:p>
    <w:p w14:paraId="1A44969A">
      <w:pPr>
        <w:snapToGrid w:val="0"/>
        <w:spacing w:line="360" w:lineRule="auto"/>
        <w:jc w:val="center"/>
        <w:rPr>
          <w:rFonts w:hint="eastAsia" w:ascii="宋体" w:hAnsi="宋体" w:eastAsia="宋体" w:cs="宋体"/>
          <w:color w:val="auto"/>
          <w:kern w:val="0"/>
          <w:sz w:val="28"/>
          <w:szCs w:val="28"/>
          <w:highlight w:val="none"/>
          <w:lang w:val="zh-CN" w:eastAsia="zh-CN"/>
        </w:rPr>
      </w:pPr>
      <w:r>
        <w:rPr>
          <w:rFonts w:hint="eastAsia" w:ascii="宋体" w:hAnsi="宋体" w:eastAsia="宋体" w:cs="宋体"/>
          <w:b/>
          <w:bCs/>
          <w:color w:val="auto"/>
          <w:sz w:val="32"/>
          <w:szCs w:val="32"/>
          <w:highlight w:val="none"/>
        </w:rPr>
        <w:t>关于符合本国产品标准的声明函</w:t>
      </w:r>
    </w:p>
    <w:p w14:paraId="337E36D9">
      <w:pPr>
        <w:snapToGrid w:val="0"/>
        <w:spacing w:line="360" w:lineRule="auto"/>
        <w:rPr>
          <w:rFonts w:hint="eastAsia" w:ascii="宋体" w:hAnsi="宋体" w:eastAsia="宋体" w:cs="宋体"/>
          <w:color w:val="auto"/>
          <w:kern w:val="0"/>
          <w:sz w:val="24"/>
          <w:highlight w:val="none"/>
          <w:lang w:val="zh-CN"/>
        </w:rPr>
      </w:pPr>
    </w:p>
    <w:p w14:paraId="606334C4">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288" w:lineRule="auto"/>
        <w:ind w:left="0" w:right="0" w:firstLine="420"/>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56FEA074">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288" w:lineRule="auto"/>
        <w:ind w:left="0" w:right="0" w:firstLine="420"/>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rPr>
        <w:t>1.</w:t>
      </w:r>
      <w:r>
        <w:rPr>
          <w:rStyle w:val="58"/>
          <w:rFonts w:hint="eastAsia" w:ascii="仿宋" w:hAnsi="仿宋" w:eastAsia="仿宋" w:cs="仿宋"/>
          <w:i w:val="0"/>
          <w:iCs w:val="0"/>
          <w:caps w:val="0"/>
          <w:color w:val="auto"/>
          <w:spacing w:val="0"/>
          <w:sz w:val="24"/>
          <w:szCs w:val="24"/>
          <w:highlight w:val="none"/>
          <w:u w:val="single"/>
          <w:shd w:val="clear" w:color="auto" w:fill="FFFFFF"/>
        </w:rPr>
        <w:t>（产品名称1）</w:t>
      </w:r>
      <w:r>
        <w:rPr>
          <w:rStyle w:val="58"/>
          <w:rFonts w:hint="eastAsia" w:ascii="仿宋" w:hAnsi="仿宋" w:eastAsia="仿宋" w:cs="仿宋"/>
          <w:i w:val="0"/>
          <w:iCs w:val="0"/>
          <w:caps w:val="0"/>
          <w:color w:val="auto"/>
          <w:spacing w:val="0"/>
          <w:sz w:val="24"/>
          <w:szCs w:val="24"/>
          <w:highlight w:val="none"/>
          <w:u w:val="single"/>
          <w:shd w:val="clear" w:color="auto" w:fill="FFFFFF"/>
          <w:vertAlign w:val="superscript"/>
        </w:rPr>
        <w:t>1</w:t>
      </w:r>
      <w:r>
        <w:rPr>
          <w:rFonts w:hint="eastAsia" w:ascii="仿宋" w:hAnsi="仿宋" w:eastAsia="仿宋" w:cs="仿宋"/>
          <w:i w:val="0"/>
          <w:iCs w:val="0"/>
          <w:caps w:val="0"/>
          <w:color w:val="auto"/>
          <w:spacing w:val="0"/>
          <w:sz w:val="24"/>
          <w:szCs w:val="24"/>
          <w:highlight w:val="none"/>
          <w:shd w:val="clear" w:color="auto" w:fill="FFFFFF"/>
        </w:rPr>
        <w:t>，生产厂为</w:t>
      </w:r>
      <w:r>
        <w:rPr>
          <w:rStyle w:val="58"/>
          <w:rFonts w:hint="eastAsia" w:ascii="仿宋" w:hAnsi="仿宋" w:eastAsia="仿宋" w:cs="仿宋"/>
          <w:i w:val="0"/>
          <w:iCs w:val="0"/>
          <w:caps w:val="0"/>
          <w:color w:val="auto"/>
          <w:spacing w:val="0"/>
          <w:sz w:val="24"/>
          <w:szCs w:val="24"/>
          <w:highlight w:val="none"/>
          <w:u w:val="single"/>
          <w:shd w:val="clear" w:color="auto" w:fill="FFFFFF"/>
        </w:rPr>
        <w:t>（厂名）</w:t>
      </w:r>
      <w:r>
        <w:rPr>
          <w:rStyle w:val="58"/>
          <w:rFonts w:hint="eastAsia" w:ascii="仿宋" w:hAnsi="仿宋" w:eastAsia="仿宋" w:cs="仿宋"/>
          <w:i w:val="0"/>
          <w:iCs w:val="0"/>
          <w:caps w:val="0"/>
          <w:color w:val="auto"/>
          <w:spacing w:val="0"/>
          <w:sz w:val="24"/>
          <w:szCs w:val="24"/>
          <w:highlight w:val="none"/>
          <w:u w:val="single"/>
          <w:shd w:val="clear" w:color="auto" w:fill="FFFFFF"/>
          <w:vertAlign w:val="superscript"/>
        </w:rPr>
        <w:t>2</w:t>
      </w:r>
      <w:r>
        <w:rPr>
          <w:rFonts w:hint="eastAsia" w:ascii="仿宋" w:hAnsi="仿宋" w:eastAsia="仿宋" w:cs="仿宋"/>
          <w:i w:val="0"/>
          <w:iCs w:val="0"/>
          <w:caps w:val="0"/>
          <w:color w:val="auto"/>
          <w:spacing w:val="0"/>
          <w:sz w:val="24"/>
          <w:szCs w:val="24"/>
          <w:highlight w:val="none"/>
          <w:shd w:val="clear" w:color="auto" w:fill="FFFFFF"/>
        </w:rPr>
        <w:t>，厂址为</w:t>
      </w:r>
      <w:r>
        <w:rPr>
          <w:rStyle w:val="58"/>
          <w:rFonts w:hint="eastAsia" w:ascii="仿宋" w:hAnsi="仿宋" w:eastAsia="仿宋" w:cs="仿宋"/>
          <w:i w:val="0"/>
          <w:iCs w:val="0"/>
          <w:caps w:val="0"/>
          <w:color w:val="auto"/>
          <w:spacing w:val="0"/>
          <w:sz w:val="24"/>
          <w:szCs w:val="24"/>
          <w:highlight w:val="none"/>
          <w:u w:val="single"/>
          <w:shd w:val="clear" w:color="auto" w:fill="FFFFFF"/>
        </w:rPr>
        <w:t>（生产厂址）</w:t>
      </w:r>
      <w:r>
        <w:rPr>
          <w:rFonts w:hint="eastAsia" w:ascii="仿宋" w:hAnsi="仿宋" w:eastAsia="仿宋" w:cs="仿宋"/>
          <w:i w:val="0"/>
          <w:iCs w:val="0"/>
          <w:caps w:val="0"/>
          <w:color w:val="auto"/>
          <w:spacing w:val="0"/>
          <w:sz w:val="24"/>
          <w:szCs w:val="24"/>
          <w:highlight w:val="none"/>
          <w:shd w:val="clear" w:color="auto" w:fill="FFFFFF"/>
        </w:rPr>
        <w:t>。</w:t>
      </w:r>
      <w:r>
        <w:rPr>
          <w:rStyle w:val="58"/>
          <w:rFonts w:hint="eastAsia" w:ascii="仿宋" w:hAnsi="仿宋" w:eastAsia="仿宋" w:cs="仿宋"/>
          <w:i w:val="0"/>
          <w:iCs w:val="0"/>
          <w:caps w:val="0"/>
          <w:color w:val="auto"/>
          <w:spacing w:val="0"/>
          <w:sz w:val="24"/>
          <w:szCs w:val="24"/>
          <w:highlight w:val="none"/>
          <w:u w:val="single"/>
          <w:shd w:val="clear" w:color="auto" w:fill="FFFFFF"/>
        </w:rPr>
        <w:t>（产品名称1）</w:t>
      </w:r>
      <w:r>
        <w:rPr>
          <w:rFonts w:hint="eastAsia" w:ascii="仿宋" w:hAnsi="仿宋" w:eastAsia="仿宋" w:cs="仿宋"/>
          <w:i w:val="0"/>
          <w:iCs w:val="0"/>
          <w:caps w:val="0"/>
          <w:color w:val="auto"/>
          <w:spacing w:val="0"/>
          <w:sz w:val="24"/>
          <w:szCs w:val="24"/>
          <w:highlight w:val="none"/>
          <w:shd w:val="clear" w:color="auto" w:fill="FFFFFF"/>
        </w:rPr>
        <w:t>的中国境内生产的组件成本占比≥</w:t>
      </w:r>
      <w:r>
        <w:rPr>
          <w:rStyle w:val="58"/>
          <w:rFonts w:hint="eastAsia" w:ascii="仿宋" w:hAnsi="仿宋" w:eastAsia="仿宋" w:cs="仿宋"/>
          <w:i w:val="0"/>
          <w:iCs w:val="0"/>
          <w:caps w:val="0"/>
          <w:color w:val="auto"/>
          <w:spacing w:val="0"/>
          <w:sz w:val="24"/>
          <w:szCs w:val="24"/>
          <w:highlight w:val="none"/>
          <w:shd w:val="clear" w:color="auto" w:fill="FFFFFF"/>
        </w:rPr>
        <w:t>（规定比例）</w:t>
      </w:r>
      <w:r>
        <w:rPr>
          <w:rStyle w:val="58"/>
          <w:rFonts w:hint="eastAsia" w:ascii="仿宋" w:hAnsi="仿宋" w:eastAsia="仿宋" w:cs="仿宋"/>
          <w:i w:val="0"/>
          <w:iCs w:val="0"/>
          <w:caps w:val="0"/>
          <w:color w:val="auto"/>
          <w:spacing w:val="0"/>
          <w:sz w:val="24"/>
          <w:szCs w:val="24"/>
          <w:highlight w:val="none"/>
          <w:shd w:val="clear" w:color="auto" w:fill="FFFFFF"/>
          <w:vertAlign w:val="superscript"/>
        </w:rPr>
        <w:t>3</w:t>
      </w:r>
      <w:r>
        <w:rPr>
          <w:rFonts w:hint="eastAsia" w:ascii="仿宋" w:hAnsi="仿宋" w:eastAsia="仿宋" w:cs="仿宋"/>
          <w:i w:val="0"/>
          <w:iCs w:val="0"/>
          <w:caps w:val="0"/>
          <w:color w:val="auto"/>
          <w:spacing w:val="0"/>
          <w:sz w:val="24"/>
          <w:szCs w:val="24"/>
          <w:highlight w:val="none"/>
          <w:shd w:val="clear" w:color="auto" w:fill="FFFFFF"/>
        </w:rPr>
        <w:t>。</w:t>
      </w:r>
      <w:r>
        <w:rPr>
          <w:rStyle w:val="58"/>
          <w:rFonts w:hint="eastAsia" w:ascii="仿宋" w:hAnsi="仿宋" w:eastAsia="仿宋" w:cs="仿宋"/>
          <w:i w:val="0"/>
          <w:iCs w:val="0"/>
          <w:caps w:val="0"/>
          <w:color w:val="auto"/>
          <w:spacing w:val="0"/>
          <w:sz w:val="24"/>
          <w:szCs w:val="24"/>
          <w:highlight w:val="none"/>
          <w:u w:val="single"/>
          <w:shd w:val="clear" w:color="auto" w:fill="FFFFFF"/>
        </w:rPr>
        <w:t>（产品名称1）</w:t>
      </w:r>
      <w:r>
        <w:rPr>
          <w:rFonts w:hint="eastAsia" w:ascii="仿宋" w:hAnsi="仿宋" w:eastAsia="仿宋" w:cs="仿宋"/>
          <w:i w:val="0"/>
          <w:iCs w:val="0"/>
          <w:caps w:val="0"/>
          <w:color w:val="auto"/>
          <w:spacing w:val="0"/>
          <w:sz w:val="24"/>
          <w:szCs w:val="24"/>
          <w:highlight w:val="none"/>
          <w:shd w:val="clear" w:color="auto" w:fill="FFFFFF"/>
        </w:rPr>
        <w:t>的</w:t>
      </w:r>
      <w:r>
        <w:rPr>
          <w:rStyle w:val="58"/>
          <w:rFonts w:hint="eastAsia" w:ascii="仿宋" w:hAnsi="仿宋" w:eastAsia="仿宋" w:cs="仿宋"/>
          <w:i w:val="0"/>
          <w:iCs w:val="0"/>
          <w:caps w:val="0"/>
          <w:color w:val="auto"/>
          <w:spacing w:val="0"/>
          <w:sz w:val="24"/>
          <w:szCs w:val="24"/>
          <w:highlight w:val="none"/>
          <w:shd w:val="clear" w:color="auto" w:fill="FFFFFF"/>
        </w:rPr>
        <w:t>（关键组件）</w:t>
      </w:r>
      <w:r>
        <w:rPr>
          <w:rStyle w:val="58"/>
          <w:rFonts w:hint="eastAsia" w:ascii="仿宋" w:hAnsi="仿宋" w:eastAsia="仿宋" w:cs="仿宋"/>
          <w:i w:val="0"/>
          <w:iCs w:val="0"/>
          <w:caps w:val="0"/>
          <w:color w:val="auto"/>
          <w:spacing w:val="0"/>
          <w:sz w:val="24"/>
          <w:szCs w:val="24"/>
          <w:highlight w:val="none"/>
          <w:shd w:val="clear" w:color="auto" w:fill="FFFFFF"/>
          <w:vertAlign w:val="superscript"/>
        </w:rPr>
        <w:t>4</w:t>
      </w:r>
      <w:r>
        <w:rPr>
          <w:rFonts w:hint="eastAsia" w:ascii="仿宋" w:hAnsi="仿宋" w:eastAsia="仿宋" w:cs="仿宋"/>
          <w:i w:val="0"/>
          <w:iCs w:val="0"/>
          <w:caps w:val="0"/>
          <w:color w:val="auto"/>
          <w:spacing w:val="0"/>
          <w:sz w:val="24"/>
          <w:szCs w:val="24"/>
          <w:highlight w:val="none"/>
          <w:shd w:val="clear" w:color="auto" w:fill="FFFFFF"/>
        </w:rPr>
        <w:t>在中国境内生产。</w:t>
      </w:r>
      <w:r>
        <w:rPr>
          <w:rStyle w:val="58"/>
          <w:rFonts w:hint="eastAsia" w:ascii="仿宋" w:hAnsi="仿宋" w:eastAsia="仿宋" w:cs="仿宋"/>
          <w:i w:val="0"/>
          <w:iCs w:val="0"/>
          <w:caps w:val="0"/>
          <w:color w:val="auto"/>
          <w:spacing w:val="0"/>
          <w:sz w:val="24"/>
          <w:szCs w:val="24"/>
          <w:highlight w:val="none"/>
          <w:u w:val="single"/>
          <w:shd w:val="clear" w:color="auto" w:fill="FFFFFF"/>
        </w:rPr>
        <w:t>（产品名称1）</w:t>
      </w:r>
      <w:r>
        <w:rPr>
          <w:rFonts w:hint="eastAsia" w:ascii="仿宋" w:hAnsi="仿宋" w:eastAsia="仿宋" w:cs="仿宋"/>
          <w:i w:val="0"/>
          <w:iCs w:val="0"/>
          <w:caps w:val="0"/>
          <w:color w:val="auto"/>
          <w:spacing w:val="0"/>
          <w:sz w:val="24"/>
          <w:szCs w:val="24"/>
          <w:highlight w:val="none"/>
          <w:shd w:val="clear" w:color="auto" w:fill="FFFFFF"/>
        </w:rPr>
        <w:t>的</w:t>
      </w:r>
      <w:r>
        <w:rPr>
          <w:rStyle w:val="58"/>
          <w:rFonts w:hint="eastAsia" w:ascii="仿宋" w:hAnsi="仿宋" w:eastAsia="仿宋" w:cs="仿宋"/>
          <w:i w:val="0"/>
          <w:iCs w:val="0"/>
          <w:caps w:val="0"/>
          <w:color w:val="auto"/>
          <w:spacing w:val="0"/>
          <w:sz w:val="24"/>
          <w:szCs w:val="24"/>
          <w:highlight w:val="none"/>
          <w:shd w:val="clear" w:color="auto" w:fill="FFFFFF"/>
        </w:rPr>
        <w:t>（关键工序）</w:t>
      </w:r>
      <w:r>
        <w:rPr>
          <w:rStyle w:val="58"/>
          <w:rFonts w:hint="eastAsia" w:ascii="仿宋" w:hAnsi="仿宋" w:eastAsia="仿宋" w:cs="仿宋"/>
          <w:i w:val="0"/>
          <w:iCs w:val="0"/>
          <w:caps w:val="0"/>
          <w:color w:val="auto"/>
          <w:spacing w:val="0"/>
          <w:sz w:val="24"/>
          <w:szCs w:val="24"/>
          <w:highlight w:val="none"/>
          <w:shd w:val="clear" w:color="auto" w:fill="FFFFFF"/>
          <w:vertAlign w:val="superscript"/>
        </w:rPr>
        <w:t>5</w:t>
      </w:r>
      <w:r>
        <w:rPr>
          <w:rFonts w:hint="eastAsia" w:ascii="仿宋" w:hAnsi="仿宋" w:eastAsia="仿宋" w:cs="仿宋"/>
          <w:i w:val="0"/>
          <w:iCs w:val="0"/>
          <w:caps w:val="0"/>
          <w:color w:val="auto"/>
          <w:spacing w:val="0"/>
          <w:sz w:val="24"/>
          <w:szCs w:val="24"/>
          <w:highlight w:val="none"/>
          <w:shd w:val="clear" w:color="auto" w:fill="FFFFFF"/>
        </w:rPr>
        <w:t>在中国境内完成。</w:t>
      </w:r>
    </w:p>
    <w:p w14:paraId="2B2B6BA8">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288" w:lineRule="auto"/>
        <w:ind w:left="0" w:right="0" w:firstLine="420"/>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rPr>
        <w:t>2.</w:t>
      </w:r>
      <w:r>
        <w:rPr>
          <w:rStyle w:val="58"/>
          <w:rFonts w:hint="eastAsia" w:ascii="仿宋" w:hAnsi="仿宋" w:eastAsia="仿宋" w:cs="仿宋"/>
          <w:i w:val="0"/>
          <w:iCs w:val="0"/>
          <w:caps w:val="0"/>
          <w:color w:val="auto"/>
          <w:spacing w:val="0"/>
          <w:sz w:val="24"/>
          <w:szCs w:val="24"/>
          <w:highlight w:val="none"/>
          <w:u w:val="single"/>
          <w:shd w:val="clear" w:color="auto" w:fill="FFFFFF"/>
        </w:rPr>
        <w:t>（产品名称2）</w:t>
      </w:r>
      <w:r>
        <w:rPr>
          <w:rFonts w:hint="eastAsia" w:ascii="仿宋" w:hAnsi="仿宋" w:eastAsia="仿宋" w:cs="仿宋"/>
          <w:i w:val="0"/>
          <w:iCs w:val="0"/>
          <w:caps w:val="0"/>
          <w:color w:val="auto"/>
          <w:spacing w:val="0"/>
          <w:sz w:val="24"/>
          <w:szCs w:val="24"/>
          <w:highlight w:val="none"/>
          <w:shd w:val="clear" w:color="auto" w:fill="FFFFFF"/>
        </w:rPr>
        <w:t>，生产厂为</w:t>
      </w:r>
      <w:r>
        <w:rPr>
          <w:rStyle w:val="58"/>
          <w:rFonts w:hint="eastAsia" w:ascii="仿宋" w:hAnsi="仿宋" w:eastAsia="仿宋" w:cs="仿宋"/>
          <w:i w:val="0"/>
          <w:iCs w:val="0"/>
          <w:caps w:val="0"/>
          <w:color w:val="auto"/>
          <w:spacing w:val="0"/>
          <w:sz w:val="24"/>
          <w:szCs w:val="24"/>
          <w:highlight w:val="none"/>
          <w:u w:val="single"/>
          <w:shd w:val="clear" w:color="auto" w:fill="FFFFFF"/>
        </w:rPr>
        <w:t>（厂名）</w:t>
      </w:r>
      <w:r>
        <w:rPr>
          <w:rFonts w:hint="eastAsia" w:ascii="仿宋" w:hAnsi="仿宋" w:eastAsia="仿宋" w:cs="仿宋"/>
          <w:i w:val="0"/>
          <w:iCs w:val="0"/>
          <w:caps w:val="0"/>
          <w:color w:val="auto"/>
          <w:spacing w:val="0"/>
          <w:sz w:val="24"/>
          <w:szCs w:val="24"/>
          <w:highlight w:val="none"/>
          <w:shd w:val="clear" w:color="auto" w:fill="FFFFFF"/>
        </w:rPr>
        <w:t>，厂址为</w:t>
      </w:r>
      <w:r>
        <w:rPr>
          <w:rStyle w:val="58"/>
          <w:rFonts w:hint="eastAsia" w:ascii="仿宋" w:hAnsi="仿宋" w:eastAsia="仿宋" w:cs="仿宋"/>
          <w:i w:val="0"/>
          <w:iCs w:val="0"/>
          <w:caps w:val="0"/>
          <w:color w:val="auto"/>
          <w:spacing w:val="0"/>
          <w:sz w:val="24"/>
          <w:szCs w:val="24"/>
          <w:highlight w:val="none"/>
          <w:u w:val="single"/>
          <w:shd w:val="clear" w:color="auto" w:fill="FFFFFF"/>
        </w:rPr>
        <w:t>（生产厂址）</w:t>
      </w:r>
      <w:r>
        <w:rPr>
          <w:rFonts w:hint="eastAsia" w:ascii="仿宋" w:hAnsi="仿宋" w:eastAsia="仿宋" w:cs="仿宋"/>
          <w:i w:val="0"/>
          <w:iCs w:val="0"/>
          <w:caps w:val="0"/>
          <w:color w:val="auto"/>
          <w:spacing w:val="0"/>
          <w:sz w:val="24"/>
          <w:szCs w:val="24"/>
          <w:highlight w:val="none"/>
          <w:shd w:val="clear" w:color="auto" w:fill="FFFFFF"/>
        </w:rPr>
        <w:t>。</w:t>
      </w:r>
      <w:r>
        <w:rPr>
          <w:rStyle w:val="58"/>
          <w:rFonts w:hint="eastAsia" w:ascii="仿宋" w:hAnsi="仿宋" w:eastAsia="仿宋" w:cs="仿宋"/>
          <w:i w:val="0"/>
          <w:iCs w:val="0"/>
          <w:caps w:val="0"/>
          <w:color w:val="auto"/>
          <w:spacing w:val="0"/>
          <w:sz w:val="24"/>
          <w:szCs w:val="24"/>
          <w:highlight w:val="none"/>
          <w:u w:val="single"/>
          <w:shd w:val="clear" w:color="auto" w:fill="FFFFFF"/>
        </w:rPr>
        <w:t>（产品名称2）</w:t>
      </w:r>
      <w:r>
        <w:rPr>
          <w:rFonts w:hint="eastAsia" w:ascii="仿宋" w:hAnsi="仿宋" w:eastAsia="仿宋" w:cs="仿宋"/>
          <w:i w:val="0"/>
          <w:iCs w:val="0"/>
          <w:caps w:val="0"/>
          <w:color w:val="auto"/>
          <w:spacing w:val="0"/>
          <w:sz w:val="24"/>
          <w:szCs w:val="24"/>
          <w:highlight w:val="none"/>
          <w:shd w:val="clear" w:color="auto" w:fill="FFFFFF"/>
        </w:rPr>
        <w:t>的中国境内生产的组件成本占比≥</w:t>
      </w:r>
      <w:r>
        <w:rPr>
          <w:rStyle w:val="58"/>
          <w:rFonts w:hint="eastAsia" w:ascii="仿宋" w:hAnsi="仿宋" w:eastAsia="仿宋" w:cs="仿宋"/>
          <w:i w:val="0"/>
          <w:iCs w:val="0"/>
          <w:caps w:val="0"/>
          <w:color w:val="auto"/>
          <w:spacing w:val="0"/>
          <w:sz w:val="24"/>
          <w:szCs w:val="24"/>
          <w:highlight w:val="none"/>
          <w:shd w:val="clear" w:color="auto" w:fill="FFFFFF"/>
        </w:rPr>
        <w:t>（规定比例）</w:t>
      </w:r>
      <w:r>
        <w:rPr>
          <w:rFonts w:hint="eastAsia" w:ascii="仿宋" w:hAnsi="仿宋" w:eastAsia="仿宋" w:cs="仿宋"/>
          <w:i w:val="0"/>
          <w:iCs w:val="0"/>
          <w:caps w:val="0"/>
          <w:color w:val="auto"/>
          <w:spacing w:val="0"/>
          <w:sz w:val="24"/>
          <w:szCs w:val="24"/>
          <w:highlight w:val="none"/>
          <w:shd w:val="clear" w:color="auto" w:fill="FFFFFF"/>
        </w:rPr>
        <w:t>。</w:t>
      </w:r>
      <w:r>
        <w:rPr>
          <w:rStyle w:val="58"/>
          <w:rFonts w:hint="eastAsia" w:ascii="仿宋" w:hAnsi="仿宋" w:eastAsia="仿宋" w:cs="仿宋"/>
          <w:i w:val="0"/>
          <w:iCs w:val="0"/>
          <w:caps w:val="0"/>
          <w:color w:val="auto"/>
          <w:spacing w:val="0"/>
          <w:sz w:val="24"/>
          <w:szCs w:val="24"/>
          <w:highlight w:val="none"/>
          <w:u w:val="single"/>
          <w:shd w:val="clear" w:color="auto" w:fill="FFFFFF"/>
        </w:rPr>
        <w:t>（产品名称2）</w:t>
      </w:r>
      <w:r>
        <w:rPr>
          <w:rFonts w:hint="eastAsia" w:ascii="仿宋" w:hAnsi="仿宋" w:eastAsia="仿宋" w:cs="仿宋"/>
          <w:i w:val="0"/>
          <w:iCs w:val="0"/>
          <w:caps w:val="0"/>
          <w:color w:val="auto"/>
          <w:spacing w:val="0"/>
          <w:sz w:val="24"/>
          <w:szCs w:val="24"/>
          <w:highlight w:val="none"/>
          <w:shd w:val="clear" w:color="auto" w:fill="FFFFFF"/>
        </w:rPr>
        <w:t>的</w:t>
      </w:r>
      <w:r>
        <w:rPr>
          <w:rStyle w:val="58"/>
          <w:rFonts w:hint="eastAsia" w:ascii="仿宋" w:hAnsi="仿宋" w:eastAsia="仿宋" w:cs="仿宋"/>
          <w:i w:val="0"/>
          <w:iCs w:val="0"/>
          <w:caps w:val="0"/>
          <w:color w:val="auto"/>
          <w:spacing w:val="0"/>
          <w:sz w:val="24"/>
          <w:szCs w:val="24"/>
          <w:highlight w:val="none"/>
          <w:shd w:val="clear" w:color="auto" w:fill="FFFFFF"/>
        </w:rPr>
        <w:t>（关键组件）</w:t>
      </w:r>
      <w:r>
        <w:rPr>
          <w:rFonts w:hint="eastAsia" w:ascii="仿宋" w:hAnsi="仿宋" w:eastAsia="仿宋" w:cs="仿宋"/>
          <w:i w:val="0"/>
          <w:iCs w:val="0"/>
          <w:caps w:val="0"/>
          <w:color w:val="auto"/>
          <w:spacing w:val="0"/>
          <w:sz w:val="24"/>
          <w:szCs w:val="24"/>
          <w:highlight w:val="none"/>
          <w:shd w:val="clear" w:color="auto" w:fill="FFFFFF"/>
        </w:rPr>
        <w:t>在中国境内生产。</w:t>
      </w:r>
      <w:r>
        <w:rPr>
          <w:rStyle w:val="58"/>
          <w:rFonts w:hint="eastAsia" w:ascii="仿宋" w:hAnsi="仿宋" w:eastAsia="仿宋" w:cs="仿宋"/>
          <w:i w:val="0"/>
          <w:iCs w:val="0"/>
          <w:caps w:val="0"/>
          <w:color w:val="auto"/>
          <w:spacing w:val="0"/>
          <w:sz w:val="24"/>
          <w:szCs w:val="24"/>
          <w:highlight w:val="none"/>
          <w:u w:val="single"/>
          <w:shd w:val="clear" w:color="auto" w:fill="FFFFFF"/>
        </w:rPr>
        <w:t>（产品名称2）</w:t>
      </w:r>
      <w:r>
        <w:rPr>
          <w:rFonts w:hint="eastAsia" w:ascii="仿宋" w:hAnsi="仿宋" w:eastAsia="仿宋" w:cs="仿宋"/>
          <w:i w:val="0"/>
          <w:iCs w:val="0"/>
          <w:caps w:val="0"/>
          <w:color w:val="auto"/>
          <w:spacing w:val="0"/>
          <w:sz w:val="24"/>
          <w:szCs w:val="24"/>
          <w:highlight w:val="none"/>
          <w:shd w:val="clear" w:color="auto" w:fill="FFFFFF"/>
        </w:rPr>
        <w:t>的</w:t>
      </w:r>
      <w:r>
        <w:rPr>
          <w:rStyle w:val="58"/>
          <w:rFonts w:hint="eastAsia" w:ascii="仿宋" w:hAnsi="仿宋" w:eastAsia="仿宋" w:cs="仿宋"/>
          <w:i w:val="0"/>
          <w:iCs w:val="0"/>
          <w:caps w:val="0"/>
          <w:color w:val="auto"/>
          <w:spacing w:val="0"/>
          <w:sz w:val="24"/>
          <w:szCs w:val="24"/>
          <w:highlight w:val="none"/>
          <w:shd w:val="clear" w:color="auto" w:fill="FFFFFF"/>
        </w:rPr>
        <w:t>（关键工序）</w:t>
      </w:r>
      <w:r>
        <w:rPr>
          <w:rFonts w:hint="eastAsia" w:ascii="仿宋" w:hAnsi="仿宋" w:eastAsia="仿宋" w:cs="仿宋"/>
          <w:i w:val="0"/>
          <w:iCs w:val="0"/>
          <w:caps w:val="0"/>
          <w:color w:val="auto"/>
          <w:spacing w:val="0"/>
          <w:sz w:val="24"/>
          <w:szCs w:val="24"/>
          <w:highlight w:val="none"/>
          <w:shd w:val="clear" w:color="auto" w:fill="FFFFFF"/>
        </w:rPr>
        <w:t>在中国境内完成。</w:t>
      </w:r>
    </w:p>
    <w:p w14:paraId="3E6A8BEC">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288" w:lineRule="auto"/>
        <w:ind w:left="0" w:right="0" w:firstLine="420"/>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rPr>
        <w:t>……</w:t>
      </w:r>
    </w:p>
    <w:p w14:paraId="403B7D84">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288" w:lineRule="auto"/>
        <w:ind w:left="0" w:right="0" w:firstLine="420"/>
        <w:textAlignment w:val="auto"/>
        <w:rPr>
          <w:rFonts w:hint="eastAsia" w:ascii="仿宋" w:hAnsi="仿宋" w:eastAsia="仿宋" w:cs="仿宋"/>
          <w:i w:val="0"/>
          <w:iCs w:val="0"/>
          <w:caps w:val="0"/>
          <w:color w:val="auto"/>
          <w:spacing w:val="0"/>
          <w:sz w:val="24"/>
          <w:szCs w:val="24"/>
          <w:highlight w:val="none"/>
          <w:shd w:val="clear" w:color="auto" w:fill="FFFFFF"/>
        </w:rPr>
      </w:pPr>
      <w:r>
        <w:rPr>
          <w:rFonts w:hint="eastAsia" w:ascii="仿宋" w:hAnsi="仿宋" w:eastAsia="仿宋" w:cs="仿宋"/>
          <w:i w:val="0"/>
          <w:iCs w:val="0"/>
          <w:caps w:val="0"/>
          <w:color w:val="auto"/>
          <w:spacing w:val="0"/>
          <w:sz w:val="24"/>
          <w:szCs w:val="24"/>
          <w:highlight w:val="none"/>
          <w:shd w:val="clear" w:color="auto" w:fill="FFFFFF"/>
        </w:rPr>
        <w:t>本公司（单位）对上述声明内容的真实性负责。如有虚假，愿承担相应法律责任。</w:t>
      </w:r>
    </w:p>
    <w:p w14:paraId="4479D345">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288" w:lineRule="auto"/>
        <w:ind w:left="0" w:right="0" w:firstLine="420"/>
        <w:textAlignment w:val="auto"/>
        <w:rPr>
          <w:rFonts w:hint="eastAsia" w:ascii="仿宋" w:hAnsi="仿宋" w:eastAsia="仿宋" w:cs="仿宋"/>
          <w:i w:val="0"/>
          <w:iCs w:val="0"/>
          <w:caps w:val="0"/>
          <w:color w:val="auto"/>
          <w:spacing w:val="0"/>
          <w:sz w:val="24"/>
          <w:szCs w:val="24"/>
          <w:highlight w:val="none"/>
          <w:shd w:val="clear" w:color="auto" w:fill="FFFFFF"/>
        </w:rPr>
      </w:pPr>
    </w:p>
    <w:p w14:paraId="0EF1F175">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288" w:lineRule="auto"/>
        <w:ind w:left="0" w:right="0" w:firstLine="420"/>
        <w:textAlignment w:val="auto"/>
        <w:rPr>
          <w:rFonts w:hint="eastAsia" w:ascii="仿宋" w:hAnsi="仿宋" w:eastAsia="仿宋" w:cs="仿宋"/>
          <w:i w:val="0"/>
          <w:iCs w:val="0"/>
          <w:caps w:val="0"/>
          <w:color w:val="auto"/>
          <w:spacing w:val="0"/>
          <w:sz w:val="24"/>
          <w:szCs w:val="24"/>
          <w:highlight w:val="none"/>
          <w:shd w:val="clear" w:color="auto" w:fill="FFFFFF"/>
        </w:rPr>
      </w:pPr>
    </w:p>
    <w:p w14:paraId="6F7C2C2D">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288" w:lineRule="auto"/>
        <w:ind w:left="0" w:right="0" w:firstLine="420"/>
        <w:jc w:val="righ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rPr>
        <w:t>公司（单位）名称（</w:t>
      </w:r>
      <w:r>
        <w:rPr>
          <w:rFonts w:hint="eastAsia" w:ascii="仿宋" w:hAnsi="仿宋" w:eastAsia="仿宋" w:cs="仿宋"/>
          <w:color w:val="auto"/>
          <w:sz w:val="24"/>
          <w:szCs w:val="24"/>
          <w:highlight w:val="none"/>
          <w:lang w:eastAsia="zh-CN"/>
        </w:rPr>
        <w:t>盖</w:t>
      </w:r>
      <w:r>
        <w:rPr>
          <w:rFonts w:hint="eastAsia" w:ascii="仿宋" w:hAnsi="仿宋" w:eastAsia="仿宋" w:cs="仿宋"/>
          <w:color w:val="auto"/>
          <w:sz w:val="24"/>
          <w:szCs w:val="24"/>
          <w:highlight w:val="none"/>
        </w:rPr>
        <w:t>章</w:t>
      </w:r>
      <w:r>
        <w:rPr>
          <w:rFonts w:hint="eastAsia" w:ascii="仿宋" w:hAnsi="仿宋" w:eastAsia="仿宋" w:cs="仿宋"/>
          <w:i w:val="0"/>
          <w:iCs w:val="0"/>
          <w:caps w:val="0"/>
          <w:color w:val="auto"/>
          <w:spacing w:val="0"/>
          <w:sz w:val="24"/>
          <w:szCs w:val="24"/>
          <w:highlight w:val="none"/>
          <w:shd w:val="clear" w:color="auto" w:fill="FFFFFF"/>
        </w:rPr>
        <w:t>）：      </w:t>
      </w:r>
    </w:p>
    <w:p w14:paraId="64F8CECB">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288" w:lineRule="auto"/>
        <w:ind w:left="0" w:right="0" w:firstLine="420"/>
        <w:jc w:val="righ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rPr>
        <w:t>日期：　　年　月　日    </w:t>
      </w:r>
    </w:p>
    <w:p w14:paraId="0B3BB153">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 w:hAnsi="仿宋" w:eastAsia="仿宋" w:cs="仿宋"/>
          <w:i w:val="0"/>
          <w:iCs w:val="0"/>
          <w:caps w:val="0"/>
          <w:color w:val="auto"/>
          <w:spacing w:val="0"/>
          <w:sz w:val="24"/>
          <w:szCs w:val="24"/>
          <w:highlight w:val="none"/>
        </w:rPr>
      </w:pPr>
    </w:p>
    <w:p w14:paraId="5B6052CA">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 w:hAnsi="仿宋" w:eastAsia="仿宋" w:cs="仿宋"/>
          <w:i w:val="0"/>
          <w:iCs w:val="0"/>
          <w:caps w:val="0"/>
          <w:color w:val="auto"/>
          <w:spacing w:val="0"/>
          <w:sz w:val="24"/>
          <w:szCs w:val="24"/>
          <w:highlight w:val="none"/>
        </w:rPr>
      </w:pPr>
    </w:p>
    <w:p w14:paraId="0A2E124C">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rPr>
        <w:t>_____________________________</w:t>
      </w:r>
    </w:p>
    <w:p w14:paraId="7CD2639A">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rPr>
        <w:t>1.产品如有型号，请在“产品名称”栏一并填写。</w:t>
      </w:r>
    </w:p>
    <w:p w14:paraId="1D1B0D24">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 w:hAnsi="仿宋" w:eastAsia="仿宋" w:cs="仿宋"/>
          <w:i w:val="0"/>
          <w:iCs w:val="0"/>
          <w:caps w:val="0"/>
          <w:color w:val="auto"/>
          <w:spacing w:val="0"/>
          <w:sz w:val="24"/>
          <w:szCs w:val="24"/>
          <w:highlight w:val="none"/>
          <w:shd w:val="clear" w:color="auto" w:fill="FFFFFF"/>
        </w:rPr>
      </w:pPr>
      <w:r>
        <w:rPr>
          <w:rFonts w:hint="eastAsia" w:ascii="仿宋" w:hAnsi="仿宋" w:eastAsia="仿宋" w:cs="仿宋"/>
          <w:i w:val="0"/>
          <w:iCs w:val="0"/>
          <w:caps w:val="0"/>
          <w:color w:val="auto"/>
          <w:spacing w:val="0"/>
          <w:sz w:val="24"/>
          <w:szCs w:val="24"/>
          <w:highlight w:val="none"/>
          <w:shd w:val="clear" w:color="auto" w:fill="FFFFFF"/>
        </w:rPr>
        <w:t>2.生产厂名与厂址应与生产厂营业执照载明的相关信息保持一致。</w:t>
      </w:r>
    </w:p>
    <w:p w14:paraId="7EDBA70E">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 w:hAnsi="仿宋" w:eastAsia="仿宋" w:cs="仿宋"/>
          <w:i w:val="0"/>
          <w:iCs w:val="0"/>
          <w:caps w:val="0"/>
          <w:color w:val="auto"/>
          <w:spacing w:val="0"/>
          <w:sz w:val="24"/>
          <w:szCs w:val="24"/>
          <w:highlight w:val="none"/>
          <w:shd w:val="clear" w:color="auto" w:fill="FFFFFF"/>
        </w:rPr>
      </w:pPr>
      <w:r>
        <w:rPr>
          <w:rFonts w:hint="eastAsia" w:ascii="仿宋" w:hAnsi="仿宋" w:eastAsia="仿宋" w:cs="仿宋"/>
          <w:i w:val="0"/>
          <w:iCs w:val="0"/>
          <w:caps w:val="0"/>
          <w:color w:val="auto"/>
          <w:spacing w:val="0"/>
          <w:sz w:val="24"/>
          <w:szCs w:val="24"/>
          <w:highlight w:val="none"/>
          <w:shd w:val="clear" w:color="auto" w:fill="FFFFFF"/>
        </w:rPr>
        <w:t>3.该产品的中国境内生产的组件成本占比相关要求实施前，“规定比例”栏可不填，下同。</w:t>
      </w:r>
    </w:p>
    <w:p w14:paraId="224F87E6">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 w:hAnsi="仿宋" w:eastAsia="仿宋" w:cs="仿宋"/>
          <w:i w:val="0"/>
          <w:iCs w:val="0"/>
          <w:caps w:val="0"/>
          <w:color w:val="auto"/>
          <w:spacing w:val="0"/>
          <w:sz w:val="24"/>
          <w:szCs w:val="24"/>
          <w:highlight w:val="none"/>
          <w:shd w:val="clear" w:color="auto" w:fill="FFFFFF"/>
        </w:rPr>
      </w:pPr>
      <w:r>
        <w:rPr>
          <w:rFonts w:hint="eastAsia" w:ascii="仿宋" w:hAnsi="仿宋" w:eastAsia="仿宋" w:cs="仿宋"/>
          <w:i w:val="0"/>
          <w:iCs w:val="0"/>
          <w:caps w:val="0"/>
          <w:color w:val="auto"/>
          <w:spacing w:val="0"/>
          <w:sz w:val="24"/>
          <w:szCs w:val="24"/>
          <w:highlight w:val="none"/>
          <w:shd w:val="clear" w:color="auto" w:fill="FFFFFF"/>
        </w:rPr>
        <w:t>4.该产品的关键组件要求实施前，“关键组件”栏可不填，下同。</w:t>
      </w:r>
    </w:p>
    <w:p w14:paraId="51D561D8">
      <w:pPr>
        <w:spacing w:line="360" w:lineRule="auto"/>
        <w:ind w:firstLine="600"/>
        <w:jc w:val="left"/>
        <w:rPr>
          <w:rFonts w:ascii="宋体" w:hAnsi="宋体" w:cs="宋体"/>
          <w:color w:val="auto"/>
          <w:sz w:val="24"/>
          <w:highlight w:val="none"/>
        </w:rPr>
      </w:pPr>
      <w:r>
        <w:rPr>
          <w:rFonts w:hint="eastAsia" w:ascii="仿宋" w:hAnsi="仿宋" w:eastAsia="仿宋" w:cs="仿宋"/>
          <w:i w:val="0"/>
          <w:iCs w:val="0"/>
          <w:caps w:val="0"/>
          <w:color w:val="auto"/>
          <w:spacing w:val="0"/>
          <w:sz w:val="24"/>
          <w:szCs w:val="24"/>
          <w:highlight w:val="none"/>
          <w:shd w:val="clear" w:color="auto" w:fill="FFFFFF"/>
        </w:rPr>
        <w:t>5.该产品的关键工序要求实施前，“关键工序”栏可不填，下同。</w:t>
      </w:r>
      <w:r>
        <w:rPr>
          <w:rFonts w:hint="eastAsia" w:ascii="宋体" w:hAnsi="宋体" w:cs="宋体"/>
          <w:color w:val="auto"/>
          <w:sz w:val="24"/>
          <w:highlight w:val="none"/>
        </w:rPr>
        <w:br w:type="page"/>
      </w:r>
      <w:r>
        <w:rPr>
          <w:rFonts w:hint="eastAsia" w:ascii="宋体" w:hAnsi="宋体" w:cs="宋体"/>
          <w:color w:val="auto"/>
          <w:sz w:val="24"/>
          <w:highlight w:val="none"/>
          <w:lang w:val="en-US" w:eastAsia="zh-CN"/>
        </w:rPr>
        <w:t>5</w:t>
      </w:r>
      <w:r>
        <w:rPr>
          <w:rFonts w:hint="eastAsia" w:ascii="宋体" w:hAnsi="宋体" w:cs="宋体"/>
          <w:b/>
          <w:color w:val="auto"/>
          <w:sz w:val="24"/>
          <w:highlight w:val="none"/>
        </w:rPr>
        <w:t>.质疑函（格式）</w:t>
      </w:r>
    </w:p>
    <w:p w14:paraId="7C4F3AC2">
      <w:pPr>
        <w:spacing w:line="360" w:lineRule="auto"/>
        <w:ind w:firstLine="1100"/>
        <w:jc w:val="center"/>
        <w:rPr>
          <w:rFonts w:ascii="宋体" w:hAnsi="宋体" w:cs="宋体"/>
          <w:color w:val="auto"/>
          <w:sz w:val="44"/>
          <w:szCs w:val="44"/>
          <w:highlight w:val="none"/>
        </w:rPr>
      </w:pPr>
      <w:r>
        <w:rPr>
          <w:rFonts w:hint="eastAsia" w:ascii="宋体" w:hAnsi="宋体" w:cs="宋体"/>
          <w:color w:val="auto"/>
          <w:sz w:val="44"/>
          <w:szCs w:val="44"/>
          <w:highlight w:val="none"/>
        </w:rPr>
        <w:t>质疑函（格式）</w:t>
      </w:r>
    </w:p>
    <w:p w14:paraId="3C255FD9">
      <w:pPr>
        <w:pStyle w:val="27"/>
        <w:snapToGrid w:val="0"/>
        <w:spacing w:line="360" w:lineRule="auto"/>
        <w:ind w:firstLine="422" w:firstLineChars="200"/>
        <w:rPr>
          <w:rFonts w:hAnsi="宋体" w:cs="宋体"/>
          <w:b/>
          <w:bCs/>
          <w:color w:val="auto"/>
          <w:sz w:val="21"/>
          <w:highlight w:val="none"/>
        </w:rPr>
      </w:pPr>
      <w:r>
        <w:rPr>
          <w:rFonts w:hint="eastAsia" w:hAnsi="宋体" w:cs="宋体"/>
          <w:b/>
          <w:bCs/>
          <w:color w:val="auto"/>
          <w:sz w:val="21"/>
          <w:highlight w:val="none"/>
        </w:rPr>
        <w:t>一、质疑供应商基本信息：</w:t>
      </w:r>
    </w:p>
    <w:p w14:paraId="03CA4436">
      <w:pPr>
        <w:pStyle w:val="27"/>
        <w:snapToGrid w:val="0"/>
        <w:spacing w:line="360" w:lineRule="auto"/>
        <w:ind w:firstLine="420" w:firstLineChars="200"/>
        <w:rPr>
          <w:rFonts w:hAnsi="宋体" w:cs="宋体"/>
          <w:bCs/>
          <w:color w:val="auto"/>
          <w:sz w:val="21"/>
          <w:highlight w:val="none"/>
          <w:u w:val="single"/>
        </w:rPr>
      </w:pPr>
      <w:r>
        <w:rPr>
          <w:rFonts w:hint="eastAsia" w:hAnsi="宋体" w:cs="宋体"/>
          <w:bCs/>
          <w:color w:val="auto"/>
          <w:sz w:val="21"/>
          <w:highlight w:val="none"/>
        </w:rPr>
        <w:t>质疑供应商：</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02AA9304">
      <w:pPr>
        <w:pStyle w:val="27"/>
        <w:snapToGrid w:val="0"/>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6DD0EEA3">
      <w:pPr>
        <w:pStyle w:val="27"/>
        <w:snapToGrid w:val="0"/>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联系人：</w:t>
      </w:r>
      <w:r>
        <w:rPr>
          <w:rFonts w:hint="eastAsia" w:hAnsi="宋体" w:cs="宋体"/>
          <w:bCs/>
          <w:color w:val="auto"/>
          <w:sz w:val="21"/>
          <w:highlight w:val="none"/>
          <w:u w:val="single"/>
        </w:rPr>
        <w:t xml:space="preserve">                     </w:t>
      </w: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14:paraId="0220ACB8">
      <w:pPr>
        <w:pStyle w:val="27"/>
        <w:snapToGrid w:val="0"/>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授权代表：</w:t>
      </w:r>
      <w:r>
        <w:rPr>
          <w:rFonts w:hint="eastAsia" w:hAnsi="宋体" w:cs="宋体"/>
          <w:bCs/>
          <w:color w:val="auto"/>
          <w:sz w:val="21"/>
          <w:highlight w:val="none"/>
          <w:u w:val="single"/>
        </w:rPr>
        <w:t xml:space="preserve">                      </w:t>
      </w:r>
    </w:p>
    <w:p w14:paraId="52BC11C9">
      <w:pPr>
        <w:pStyle w:val="27"/>
        <w:snapToGrid w:val="0"/>
        <w:spacing w:line="360" w:lineRule="auto"/>
        <w:ind w:firstLine="420" w:firstLineChars="200"/>
        <w:rPr>
          <w:rFonts w:hAnsi="宋体" w:cs="宋体"/>
          <w:bCs/>
          <w:color w:val="auto"/>
          <w:sz w:val="21"/>
          <w:highlight w:val="none"/>
          <w:u w:val="single"/>
        </w:rPr>
      </w:pP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14:paraId="2BA29EAA">
      <w:pPr>
        <w:pStyle w:val="27"/>
        <w:snapToGrid w:val="0"/>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3AA69E50">
      <w:pPr>
        <w:pStyle w:val="27"/>
        <w:snapToGrid w:val="0"/>
        <w:spacing w:line="360" w:lineRule="auto"/>
        <w:ind w:firstLine="422" w:firstLineChars="200"/>
        <w:rPr>
          <w:rFonts w:hAnsi="宋体" w:cs="宋体"/>
          <w:b/>
          <w:bCs/>
          <w:color w:val="auto"/>
          <w:sz w:val="21"/>
          <w:highlight w:val="none"/>
        </w:rPr>
      </w:pPr>
      <w:r>
        <w:rPr>
          <w:rFonts w:hint="eastAsia" w:hAnsi="宋体" w:cs="宋体"/>
          <w:b/>
          <w:bCs/>
          <w:color w:val="auto"/>
          <w:sz w:val="21"/>
          <w:highlight w:val="none"/>
        </w:rPr>
        <w:t>二、质疑项目基本情况：</w:t>
      </w:r>
    </w:p>
    <w:p w14:paraId="73AE867D">
      <w:pPr>
        <w:pStyle w:val="27"/>
        <w:spacing w:line="360" w:lineRule="auto"/>
        <w:ind w:left="25" w:leftChars="12" w:firstLine="413" w:firstLineChars="197"/>
        <w:rPr>
          <w:rFonts w:hAnsi="宋体" w:cs="宋体"/>
          <w:color w:val="auto"/>
          <w:sz w:val="21"/>
          <w:highlight w:val="none"/>
        </w:rPr>
      </w:pPr>
      <w:r>
        <w:rPr>
          <w:rFonts w:hint="eastAsia" w:hAnsi="宋体" w:cs="宋体"/>
          <w:bCs/>
          <w:color w:val="auto"/>
          <w:sz w:val="21"/>
          <w:highlight w:val="none"/>
        </w:rPr>
        <w:t>质疑</w:t>
      </w:r>
      <w:r>
        <w:rPr>
          <w:rFonts w:hint="eastAsia" w:hAnsi="宋体" w:cs="宋体"/>
          <w:color w:val="auto"/>
          <w:sz w:val="21"/>
          <w:highlight w:val="none"/>
        </w:rPr>
        <w:t>项目的名称：</w:t>
      </w:r>
      <w:r>
        <w:rPr>
          <w:rFonts w:hint="eastAsia" w:hAnsi="宋体" w:cs="宋体"/>
          <w:bCs/>
          <w:color w:val="auto"/>
          <w:sz w:val="21"/>
          <w:highlight w:val="none"/>
          <w:u w:val="single"/>
        </w:rPr>
        <w:t xml:space="preserve">                                     </w:t>
      </w:r>
    </w:p>
    <w:p w14:paraId="32B95218">
      <w:pPr>
        <w:pStyle w:val="27"/>
        <w:spacing w:line="360" w:lineRule="auto"/>
        <w:ind w:left="25" w:leftChars="12" w:firstLine="413" w:firstLineChars="197"/>
        <w:rPr>
          <w:rFonts w:hAnsi="宋体" w:cs="宋体"/>
          <w:color w:val="auto"/>
          <w:sz w:val="21"/>
          <w:highlight w:val="none"/>
        </w:rPr>
      </w:pPr>
      <w:r>
        <w:rPr>
          <w:rFonts w:hint="eastAsia" w:hAnsi="宋体" w:cs="宋体"/>
          <w:bCs/>
          <w:color w:val="auto"/>
          <w:sz w:val="21"/>
          <w:highlight w:val="none"/>
        </w:rPr>
        <w:t>质疑</w:t>
      </w:r>
      <w:r>
        <w:rPr>
          <w:rFonts w:hint="eastAsia" w:hAnsi="宋体" w:cs="宋体"/>
          <w:color w:val="auto"/>
          <w:sz w:val="21"/>
          <w:highlight w:val="none"/>
        </w:rPr>
        <w:t>项目的编号：</w:t>
      </w:r>
      <w:r>
        <w:rPr>
          <w:rFonts w:hint="eastAsia" w:hAnsi="宋体" w:cs="宋体"/>
          <w:bCs/>
          <w:color w:val="auto"/>
          <w:sz w:val="21"/>
          <w:highlight w:val="none"/>
          <w:u w:val="single"/>
        </w:rPr>
        <w:t xml:space="preserve">                                     </w:t>
      </w:r>
    </w:p>
    <w:p w14:paraId="3DAC694B">
      <w:pPr>
        <w:pStyle w:val="27"/>
        <w:spacing w:line="360" w:lineRule="auto"/>
        <w:ind w:left="25" w:leftChars="12" w:firstLine="413" w:firstLineChars="197"/>
        <w:rPr>
          <w:rFonts w:hAnsi="宋体" w:cs="宋体"/>
          <w:color w:val="auto"/>
          <w:sz w:val="21"/>
          <w:highlight w:val="none"/>
        </w:rPr>
      </w:pPr>
      <w:r>
        <w:rPr>
          <w:rFonts w:hint="eastAsia" w:hAnsi="宋体" w:cs="宋体"/>
          <w:color w:val="auto"/>
          <w:sz w:val="21"/>
          <w:highlight w:val="none"/>
        </w:rPr>
        <w:t>采购人名称：</w:t>
      </w:r>
      <w:r>
        <w:rPr>
          <w:rFonts w:hint="eastAsia" w:hAnsi="宋体" w:cs="宋体"/>
          <w:bCs/>
          <w:color w:val="auto"/>
          <w:sz w:val="21"/>
          <w:highlight w:val="none"/>
          <w:u w:val="single"/>
        </w:rPr>
        <w:t xml:space="preserve">                                         </w:t>
      </w:r>
    </w:p>
    <w:p w14:paraId="7173D6B1">
      <w:pPr>
        <w:pStyle w:val="27"/>
        <w:spacing w:line="360" w:lineRule="auto"/>
        <w:ind w:left="25" w:leftChars="12" w:firstLine="413" w:firstLineChars="197"/>
        <w:rPr>
          <w:rFonts w:hAnsi="宋体" w:cs="宋体"/>
          <w:color w:val="auto"/>
          <w:sz w:val="21"/>
          <w:highlight w:val="none"/>
        </w:rPr>
      </w:pPr>
      <w:r>
        <w:rPr>
          <w:rFonts w:hint="eastAsia" w:hAnsi="宋体" w:cs="宋体"/>
          <w:color w:val="auto"/>
          <w:sz w:val="21"/>
          <w:highlight w:val="none"/>
        </w:rPr>
        <w:t>质疑事项：</w:t>
      </w:r>
    </w:p>
    <w:p w14:paraId="5155C569">
      <w:pPr>
        <w:pStyle w:val="27"/>
        <w:spacing w:line="360" w:lineRule="auto"/>
        <w:ind w:left="25" w:leftChars="12" w:firstLine="308" w:firstLineChars="147"/>
        <w:rPr>
          <w:rFonts w:hAnsi="宋体" w:cs="宋体"/>
          <w:color w:val="auto"/>
          <w:sz w:val="21"/>
          <w:highlight w:val="none"/>
        </w:rPr>
      </w:pPr>
      <w:r>
        <w:rPr>
          <w:rFonts w:hint="eastAsia" w:hAnsi="宋体" w:cs="宋体"/>
          <w:color w:val="auto"/>
          <w:sz w:val="21"/>
          <w:highlight w:val="none"/>
        </w:rPr>
        <w:t>□采购文件   采购文件获取日期：</w:t>
      </w:r>
      <w:r>
        <w:rPr>
          <w:rFonts w:hint="eastAsia" w:hAnsi="宋体" w:cs="宋体"/>
          <w:bCs/>
          <w:color w:val="auto"/>
          <w:sz w:val="21"/>
          <w:highlight w:val="none"/>
          <w:u w:val="single"/>
        </w:rPr>
        <w:t xml:space="preserve">                                   </w:t>
      </w:r>
    </w:p>
    <w:p w14:paraId="63F6F31A">
      <w:pPr>
        <w:pStyle w:val="27"/>
        <w:spacing w:line="360" w:lineRule="auto"/>
        <w:ind w:left="25" w:leftChars="12" w:firstLine="308" w:firstLineChars="147"/>
        <w:rPr>
          <w:rFonts w:hAnsi="宋体" w:cs="宋体"/>
          <w:color w:val="auto"/>
          <w:sz w:val="21"/>
          <w:highlight w:val="none"/>
        </w:rPr>
      </w:pPr>
      <w:r>
        <w:rPr>
          <w:rFonts w:hint="eastAsia" w:hAnsi="宋体" w:cs="宋体"/>
          <w:color w:val="auto"/>
          <w:sz w:val="21"/>
          <w:highlight w:val="none"/>
        </w:rPr>
        <w:t xml:space="preserve">□采购过程   </w:t>
      </w:r>
    </w:p>
    <w:p w14:paraId="77BB4D24">
      <w:pPr>
        <w:pStyle w:val="27"/>
        <w:spacing w:line="360" w:lineRule="auto"/>
        <w:ind w:left="25" w:leftChars="12" w:firstLine="308" w:firstLineChars="147"/>
        <w:rPr>
          <w:rFonts w:hAnsi="宋体" w:cs="宋体"/>
          <w:bCs/>
          <w:color w:val="auto"/>
          <w:sz w:val="21"/>
          <w:highlight w:val="none"/>
          <w:u w:val="single"/>
        </w:rPr>
      </w:pPr>
      <w:r>
        <w:rPr>
          <w:rFonts w:hint="eastAsia" w:hAnsi="宋体" w:cs="宋体"/>
          <w:color w:val="auto"/>
          <w:sz w:val="21"/>
          <w:highlight w:val="none"/>
        </w:rPr>
        <w:t xml:space="preserve">□采购结果   </w:t>
      </w:r>
    </w:p>
    <w:p w14:paraId="2E581768">
      <w:pPr>
        <w:pStyle w:val="27"/>
        <w:spacing w:line="360" w:lineRule="auto"/>
        <w:ind w:left="25" w:leftChars="12" w:firstLine="413" w:firstLineChars="196"/>
        <w:rPr>
          <w:rFonts w:hAnsi="宋体" w:cs="宋体"/>
          <w:b/>
          <w:color w:val="auto"/>
          <w:sz w:val="21"/>
          <w:highlight w:val="none"/>
        </w:rPr>
      </w:pPr>
      <w:r>
        <w:rPr>
          <w:rFonts w:hint="eastAsia" w:hAnsi="宋体" w:cs="宋体"/>
          <w:b/>
          <w:color w:val="auto"/>
          <w:sz w:val="21"/>
          <w:highlight w:val="none"/>
        </w:rPr>
        <w:t>三、质疑事项具体内容</w:t>
      </w:r>
    </w:p>
    <w:p w14:paraId="62485003">
      <w:pPr>
        <w:pStyle w:val="27"/>
        <w:spacing w:line="360" w:lineRule="auto"/>
        <w:ind w:left="25" w:leftChars="12" w:firstLine="413" w:firstLineChars="197"/>
        <w:rPr>
          <w:rFonts w:hAnsi="宋体" w:cs="宋体"/>
          <w:color w:val="auto"/>
          <w:sz w:val="21"/>
          <w:highlight w:val="none"/>
        </w:rPr>
      </w:pPr>
      <w:r>
        <w:rPr>
          <w:rFonts w:hint="eastAsia" w:hAnsi="宋体" w:cs="宋体"/>
          <w:color w:val="auto"/>
          <w:sz w:val="21"/>
          <w:highlight w:val="none"/>
        </w:rPr>
        <w:t>质疑事项1：</w:t>
      </w:r>
      <w:r>
        <w:rPr>
          <w:rFonts w:hint="eastAsia" w:hAnsi="宋体" w:cs="宋体"/>
          <w:bCs/>
          <w:color w:val="auto"/>
          <w:sz w:val="21"/>
          <w:highlight w:val="none"/>
          <w:u w:val="single"/>
        </w:rPr>
        <w:t xml:space="preserve">                                                                    </w:t>
      </w:r>
    </w:p>
    <w:p w14:paraId="1B43391E">
      <w:pPr>
        <w:pStyle w:val="27"/>
        <w:spacing w:line="360" w:lineRule="auto"/>
        <w:ind w:left="25" w:leftChars="12" w:firstLine="413" w:firstLineChars="197"/>
        <w:rPr>
          <w:rFonts w:hAnsi="宋体" w:cs="宋体"/>
          <w:color w:val="auto"/>
          <w:sz w:val="21"/>
          <w:highlight w:val="none"/>
        </w:rPr>
      </w:pPr>
      <w:r>
        <w:rPr>
          <w:rFonts w:hint="eastAsia" w:hAnsi="宋体" w:cs="宋体"/>
          <w:color w:val="auto"/>
          <w:sz w:val="21"/>
          <w:highlight w:val="none"/>
        </w:rPr>
        <w:t>事实依据：</w:t>
      </w:r>
      <w:r>
        <w:rPr>
          <w:rFonts w:hint="eastAsia" w:hAnsi="宋体" w:cs="宋体"/>
          <w:bCs/>
          <w:color w:val="auto"/>
          <w:sz w:val="21"/>
          <w:highlight w:val="none"/>
          <w:u w:val="single"/>
        </w:rPr>
        <w:t xml:space="preserve">                                                                      </w:t>
      </w:r>
    </w:p>
    <w:p w14:paraId="072D8146">
      <w:pPr>
        <w:pStyle w:val="27"/>
        <w:spacing w:line="360" w:lineRule="auto"/>
        <w:ind w:left="25" w:leftChars="12" w:firstLine="413" w:firstLineChars="197"/>
        <w:rPr>
          <w:rFonts w:hAnsi="宋体" w:cs="宋体"/>
          <w:color w:val="auto"/>
          <w:sz w:val="21"/>
          <w:highlight w:val="none"/>
        </w:rPr>
      </w:pPr>
      <w:r>
        <w:rPr>
          <w:rFonts w:hint="eastAsia" w:hAnsi="宋体" w:cs="宋体"/>
          <w:color w:val="auto"/>
          <w:sz w:val="21"/>
          <w:highlight w:val="none"/>
        </w:rPr>
        <w:t>法律依据：</w:t>
      </w:r>
      <w:r>
        <w:rPr>
          <w:rFonts w:hint="eastAsia" w:hAnsi="宋体" w:cs="宋体"/>
          <w:color w:val="auto"/>
          <w:sz w:val="21"/>
          <w:highlight w:val="none"/>
          <w:u w:val="single"/>
        </w:rPr>
        <w:t xml:space="preserve">                                                        </w:t>
      </w:r>
      <w:r>
        <w:rPr>
          <w:rFonts w:hint="eastAsia" w:hAnsi="宋体" w:cs="宋体"/>
          <w:bCs/>
          <w:color w:val="auto"/>
          <w:sz w:val="21"/>
          <w:highlight w:val="none"/>
          <w:u w:val="single"/>
        </w:rPr>
        <w:t xml:space="preserve">               </w:t>
      </w:r>
    </w:p>
    <w:p w14:paraId="757500E1">
      <w:pPr>
        <w:pStyle w:val="27"/>
        <w:spacing w:line="360" w:lineRule="auto"/>
        <w:ind w:left="25" w:leftChars="12" w:firstLine="413" w:firstLineChars="197"/>
        <w:rPr>
          <w:rFonts w:hAnsi="宋体" w:cs="宋体"/>
          <w:color w:val="auto"/>
          <w:sz w:val="21"/>
          <w:highlight w:val="none"/>
        </w:rPr>
      </w:pPr>
      <w:r>
        <w:rPr>
          <w:rFonts w:hint="eastAsia" w:hAnsi="宋体" w:cs="宋体"/>
          <w:color w:val="auto"/>
          <w:sz w:val="21"/>
          <w:highlight w:val="none"/>
        </w:rPr>
        <w:t>质疑事项2</w:t>
      </w:r>
    </w:p>
    <w:p w14:paraId="6197FD3D">
      <w:pPr>
        <w:pStyle w:val="27"/>
        <w:spacing w:line="360" w:lineRule="auto"/>
        <w:ind w:left="25" w:leftChars="12" w:firstLine="413" w:firstLineChars="197"/>
        <w:rPr>
          <w:rFonts w:hAnsi="宋体" w:cs="宋体"/>
          <w:color w:val="auto"/>
          <w:sz w:val="21"/>
          <w:highlight w:val="none"/>
        </w:rPr>
      </w:pPr>
      <w:r>
        <w:rPr>
          <w:rFonts w:hint="eastAsia" w:hAnsi="宋体" w:cs="宋体"/>
          <w:color w:val="auto"/>
          <w:sz w:val="21"/>
          <w:highlight w:val="none"/>
        </w:rPr>
        <w:t>……</w:t>
      </w:r>
    </w:p>
    <w:p w14:paraId="090C1861">
      <w:pPr>
        <w:pStyle w:val="27"/>
        <w:spacing w:line="360" w:lineRule="auto"/>
        <w:ind w:left="25" w:leftChars="12" w:firstLine="413" w:firstLineChars="197"/>
        <w:rPr>
          <w:rFonts w:hAnsi="宋体" w:cs="宋体"/>
          <w:color w:val="auto"/>
          <w:sz w:val="21"/>
          <w:highlight w:val="none"/>
        </w:rPr>
      </w:pPr>
      <w:r>
        <w:rPr>
          <w:rFonts w:hint="eastAsia" w:hAnsi="宋体" w:cs="宋体"/>
          <w:color w:val="auto"/>
          <w:sz w:val="21"/>
          <w:highlight w:val="none"/>
        </w:rPr>
        <w:t>四、与质疑事项相关的质疑请求：</w:t>
      </w:r>
    </w:p>
    <w:p w14:paraId="5F5F0C0F">
      <w:pPr>
        <w:pStyle w:val="27"/>
        <w:spacing w:line="360" w:lineRule="auto"/>
        <w:ind w:left="25" w:leftChars="12" w:firstLine="413" w:firstLineChars="197"/>
        <w:rPr>
          <w:rFonts w:hAnsi="宋体" w:cs="宋体"/>
          <w:color w:val="auto"/>
          <w:sz w:val="21"/>
          <w:highlight w:val="none"/>
        </w:rPr>
      </w:pPr>
      <w:r>
        <w:rPr>
          <w:rFonts w:hint="eastAsia" w:hAnsi="宋体" w:cs="宋体"/>
          <w:color w:val="auto"/>
          <w:sz w:val="21"/>
          <w:highlight w:val="none"/>
        </w:rPr>
        <w:t>请求：</w:t>
      </w:r>
      <w:r>
        <w:rPr>
          <w:rFonts w:hint="eastAsia" w:hAnsi="宋体" w:cs="宋体"/>
          <w:bCs/>
          <w:color w:val="auto"/>
          <w:sz w:val="21"/>
          <w:highlight w:val="none"/>
          <w:u w:val="single"/>
        </w:rPr>
        <w:t xml:space="preserve">                                                                </w:t>
      </w:r>
    </w:p>
    <w:p w14:paraId="7D0B9BD2">
      <w:pPr>
        <w:pStyle w:val="27"/>
        <w:spacing w:line="360" w:lineRule="auto"/>
        <w:ind w:left="25" w:leftChars="12" w:firstLine="308" w:firstLineChars="147"/>
        <w:rPr>
          <w:rFonts w:hAnsi="宋体" w:cs="宋体"/>
          <w:color w:val="auto"/>
          <w:sz w:val="21"/>
          <w:highlight w:val="none"/>
        </w:rPr>
      </w:pPr>
    </w:p>
    <w:p w14:paraId="6FA64816">
      <w:pPr>
        <w:pStyle w:val="27"/>
        <w:spacing w:line="360" w:lineRule="auto"/>
        <w:ind w:left="25" w:leftChars="12" w:firstLine="413" w:firstLineChars="197"/>
        <w:rPr>
          <w:rFonts w:hAnsi="宋体" w:cs="宋体"/>
          <w:color w:val="auto"/>
          <w:sz w:val="21"/>
          <w:highlight w:val="none"/>
        </w:rPr>
      </w:pPr>
      <w:r>
        <w:rPr>
          <w:rFonts w:hint="eastAsia" w:hAnsi="宋体" w:cs="宋体"/>
          <w:color w:val="auto"/>
          <w:sz w:val="21"/>
          <w:highlight w:val="none"/>
        </w:rPr>
        <w:t>签字（签章）：                                       公章：</w:t>
      </w:r>
    </w:p>
    <w:p w14:paraId="31469933">
      <w:pPr>
        <w:pStyle w:val="27"/>
        <w:spacing w:line="360" w:lineRule="auto"/>
        <w:ind w:left="25" w:leftChars="12" w:firstLine="308" w:firstLineChars="147"/>
        <w:rPr>
          <w:rFonts w:hAnsi="宋体" w:cs="宋体"/>
          <w:color w:val="auto"/>
          <w:sz w:val="21"/>
          <w:highlight w:val="none"/>
        </w:rPr>
      </w:pPr>
    </w:p>
    <w:p w14:paraId="75B90367">
      <w:pPr>
        <w:pStyle w:val="27"/>
        <w:spacing w:line="360" w:lineRule="auto"/>
        <w:ind w:left="25" w:leftChars="12" w:firstLine="413" w:firstLineChars="197"/>
        <w:rPr>
          <w:rFonts w:hAnsi="宋体" w:cs="宋体"/>
          <w:color w:val="auto"/>
          <w:sz w:val="21"/>
          <w:highlight w:val="none"/>
        </w:rPr>
      </w:pPr>
      <w:r>
        <w:rPr>
          <w:rFonts w:hint="eastAsia" w:hAnsi="宋体" w:cs="宋体"/>
          <w:color w:val="auto"/>
          <w:sz w:val="21"/>
          <w:highlight w:val="none"/>
        </w:rPr>
        <w:t>日期：</w:t>
      </w:r>
    </w:p>
    <w:p w14:paraId="60ECAFF8">
      <w:pPr>
        <w:pStyle w:val="27"/>
        <w:snapToGrid w:val="0"/>
        <w:spacing w:line="360" w:lineRule="auto"/>
        <w:ind w:firstLine="527"/>
        <w:rPr>
          <w:rFonts w:hAnsi="宋体" w:cs="宋体"/>
          <w:b/>
          <w:color w:val="auto"/>
          <w:sz w:val="21"/>
          <w:highlight w:val="none"/>
        </w:rPr>
      </w:pPr>
    </w:p>
    <w:p w14:paraId="517A2F75">
      <w:pPr>
        <w:pStyle w:val="27"/>
        <w:snapToGrid w:val="0"/>
        <w:spacing w:line="360" w:lineRule="auto"/>
        <w:ind w:firstLine="527"/>
        <w:rPr>
          <w:rFonts w:hAnsi="宋体" w:cs="宋体"/>
          <w:b/>
          <w:color w:val="auto"/>
          <w:sz w:val="21"/>
          <w:highlight w:val="none"/>
        </w:rPr>
      </w:pPr>
      <w:r>
        <w:rPr>
          <w:rFonts w:hint="eastAsia" w:hAnsi="宋体" w:cs="宋体"/>
          <w:b/>
          <w:color w:val="auto"/>
          <w:sz w:val="21"/>
          <w:highlight w:val="none"/>
        </w:rPr>
        <w:t>说明：</w:t>
      </w:r>
    </w:p>
    <w:p w14:paraId="6E11F315">
      <w:pPr>
        <w:pStyle w:val="27"/>
        <w:spacing w:line="360" w:lineRule="auto"/>
        <w:ind w:left="25" w:leftChars="12" w:firstLine="310" w:firstLineChars="147"/>
        <w:rPr>
          <w:rFonts w:hAnsi="宋体" w:cs="宋体"/>
          <w:b/>
          <w:bCs/>
          <w:color w:val="auto"/>
          <w:sz w:val="21"/>
          <w:highlight w:val="none"/>
        </w:rPr>
      </w:pPr>
      <w:r>
        <w:rPr>
          <w:rFonts w:hint="eastAsia" w:hAnsi="宋体" w:cs="宋体"/>
          <w:b/>
          <w:color w:val="auto"/>
          <w:sz w:val="21"/>
          <w:highlight w:val="none"/>
        </w:rPr>
        <w:t>1.供应商提出质疑时，应提交质疑函和必要的证明材料</w:t>
      </w:r>
      <w:r>
        <w:rPr>
          <w:rFonts w:hint="eastAsia" w:hAnsi="宋体" w:cs="宋体"/>
          <w:b/>
          <w:bCs/>
          <w:color w:val="auto"/>
          <w:sz w:val="21"/>
          <w:highlight w:val="none"/>
        </w:rPr>
        <w:t>。</w:t>
      </w:r>
    </w:p>
    <w:p w14:paraId="3C36C4F5">
      <w:pPr>
        <w:pStyle w:val="27"/>
        <w:spacing w:line="360" w:lineRule="auto"/>
        <w:ind w:left="25" w:leftChars="12" w:firstLine="310" w:firstLineChars="147"/>
        <w:rPr>
          <w:rFonts w:hAnsi="宋体" w:cs="宋体"/>
          <w:b/>
          <w:color w:val="auto"/>
          <w:sz w:val="21"/>
          <w:highlight w:val="none"/>
        </w:rPr>
      </w:pPr>
      <w:r>
        <w:rPr>
          <w:rFonts w:hint="eastAsia" w:hAnsi="宋体" w:cs="宋体"/>
          <w:b/>
          <w:color w:val="auto"/>
          <w:sz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958A8A9">
      <w:pPr>
        <w:pStyle w:val="27"/>
        <w:spacing w:line="360" w:lineRule="auto"/>
        <w:ind w:left="25" w:leftChars="12" w:firstLine="310" w:firstLineChars="147"/>
        <w:rPr>
          <w:rFonts w:hAnsi="宋体" w:cs="宋体"/>
          <w:b/>
          <w:color w:val="auto"/>
          <w:sz w:val="21"/>
          <w:highlight w:val="none"/>
        </w:rPr>
      </w:pPr>
      <w:r>
        <w:rPr>
          <w:rFonts w:hint="eastAsia" w:hAnsi="宋体" w:cs="宋体"/>
          <w:b/>
          <w:color w:val="auto"/>
          <w:sz w:val="21"/>
          <w:highlight w:val="none"/>
        </w:rPr>
        <w:t>3.质疑函的质疑事项应具体、明确，并有必要的事实依据和法律依据。</w:t>
      </w:r>
    </w:p>
    <w:p w14:paraId="4A0CFA34">
      <w:pPr>
        <w:pStyle w:val="27"/>
        <w:spacing w:line="360" w:lineRule="auto"/>
        <w:ind w:left="25" w:leftChars="12" w:firstLine="310" w:firstLineChars="147"/>
        <w:rPr>
          <w:rFonts w:hAnsi="宋体" w:cs="宋体"/>
          <w:b/>
          <w:color w:val="auto"/>
          <w:sz w:val="21"/>
          <w:highlight w:val="none"/>
        </w:rPr>
      </w:pPr>
      <w:r>
        <w:rPr>
          <w:rFonts w:hint="eastAsia" w:hAnsi="宋体" w:cs="宋体"/>
          <w:b/>
          <w:color w:val="auto"/>
          <w:sz w:val="21"/>
          <w:highlight w:val="none"/>
        </w:rPr>
        <w:t>4.质疑函的质疑请求应与质疑事项相关。</w:t>
      </w:r>
    </w:p>
    <w:p w14:paraId="2D15DCC5">
      <w:pPr>
        <w:pStyle w:val="27"/>
        <w:spacing w:line="360" w:lineRule="auto"/>
        <w:ind w:left="25" w:leftChars="12" w:firstLine="310" w:firstLineChars="147"/>
        <w:rPr>
          <w:rFonts w:hAnsi="宋体" w:cs="宋体"/>
          <w:b/>
          <w:color w:val="auto"/>
          <w:sz w:val="21"/>
          <w:highlight w:val="none"/>
        </w:rPr>
      </w:pPr>
      <w:r>
        <w:rPr>
          <w:rFonts w:hint="eastAsia" w:hAnsi="宋体" w:cs="宋体"/>
          <w:b/>
          <w:color w:val="auto"/>
          <w:sz w:val="21"/>
          <w:highlight w:val="none"/>
        </w:rPr>
        <w:t>5.质疑供应商为法人或者其他组织的，质疑函应由法定代表人、主要负责人，或者其授权代表签字或者盖章，并加盖公章。</w:t>
      </w:r>
    </w:p>
    <w:p w14:paraId="7CDE9C71">
      <w:pPr>
        <w:pStyle w:val="27"/>
        <w:snapToGrid w:val="0"/>
        <w:ind w:firstLine="527"/>
        <w:rPr>
          <w:rFonts w:hAnsi="宋体" w:cs="宋体"/>
          <w:b/>
          <w:color w:val="auto"/>
          <w:sz w:val="21"/>
          <w:highlight w:val="none"/>
        </w:rPr>
      </w:pPr>
    </w:p>
    <w:p w14:paraId="19B7657A">
      <w:pPr>
        <w:spacing w:line="360" w:lineRule="auto"/>
        <w:ind w:firstLine="1100"/>
        <w:jc w:val="left"/>
        <w:rPr>
          <w:rFonts w:ascii="宋体" w:hAnsi="宋体" w:cs="宋体"/>
          <w:b/>
          <w:bCs/>
          <w:color w:val="auto"/>
          <w:sz w:val="32"/>
          <w:szCs w:val="32"/>
          <w:highlight w:val="none"/>
        </w:rPr>
      </w:pPr>
      <w:r>
        <w:rPr>
          <w:rFonts w:hint="eastAsia" w:ascii="宋体" w:hAnsi="宋体" w:cs="宋体"/>
          <w:color w:val="auto"/>
          <w:sz w:val="44"/>
          <w:highlight w:val="none"/>
        </w:rPr>
        <w:br w:type="page"/>
      </w:r>
      <w:r>
        <w:rPr>
          <w:rFonts w:hint="eastAsia" w:ascii="宋体" w:hAnsi="宋体" w:eastAsia="宋体" w:cs="宋体"/>
          <w:b/>
          <w:color w:val="auto"/>
          <w:sz w:val="24"/>
          <w:highlight w:val="none"/>
          <w:lang w:val="en-US" w:eastAsia="zh-CN"/>
        </w:rPr>
        <w:t>6</w:t>
      </w:r>
      <w:r>
        <w:rPr>
          <w:rFonts w:hint="eastAsia" w:ascii="宋体" w:hAnsi="宋体" w:eastAsia="宋体" w:cs="宋体"/>
          <w:b/>
          <w:color w:val="auto"/>
          <w:sz w:val="24"/>
          <w:highlight w:val="none"/>
        </w:rPr>
        <w:t>.投</w:t>
      </w:r>
      <w:r>
        <w:rPr>
          <w:rFonts w:hint="eastAsia" w:ascii="宋体" w:hAnsi="宋体" w:cs="宋体"/>
          <w:b/>
          <w:color w:val="auto"/>
          <w:sz w:val="24"/>
          <w:highlight w:val="none"/>
        </w:rPr>
        <w:t>诉书（格式）</w:t>
      </w:r>
    </w:p>
    <w:p w14:paraId="2B8409D7">
      <w:pPr>
        <w:spacing w:line="360" w:lineRule="auto"/>
        <w:ind w:firstLine="1100"/>
        <w:jc w:val="center"/>
        <w:rPr>
          <w:rFonts w:ascii="宋体" w:hAnsi="宋体" w:cs="宋体"/>
          <w:color w:val="auto"/>
          <w:sz w:val="44"/>
          <w:szCs w:val="44"/>
          <w:highlight w:val="none"/>
        </w:rPr>
      </w:pPr>
      <w:r>
        <w:rPr>
          <w:rFonts w:hint="eastAsia" w:ascii="宋体" w:hAnsi="宋体" w:cs="宋体"/>
          <w:color w:val="auto"/>
          <w:sz w:val="44"/>
          <w:szCs w:val="44"/>
          <w:highlight w:val="none"/>
        </w:rPr>
        <w:t>投诉书（格式）</w:t>
      </w:r>
    </w:p>
    <w:p w14:paraId="1DF1726E">
      <w:pPr>
        <w:pStyle w:val="27"/>
        <w:snapToGrid w:val="0"/>
        <w:spacing w:line="440" w:lineRule="exact"/>
        <w:ind w:firstLine="422" w:firstLineChars="200"/>
        <w:rPr>
          <w:rFonts w:hAnsi="宋体" w:cs="宋体"/>
          <w:b/>
          <w:bCs/>
          <w:color w:val="auto"/>
          <w:sz w:val="21"/>
          <w:highlight w:val="none"/>
        </w:rPr>
      </w:pPr>
      <w:r>
        <w:rPr>
          <w:rFonts w:hint="eastAsia" w:hAnsi="宋体" w:cs="宋体"/>
          <w:b/>
          <w:bCs/>
          <w:color w:val="auto"/>
          <w:sz w:val="21"/>
          <w:highlight w:val="none"/>
        </w:rPr>
        <w:t>一、投诉相关主体基本情况：</w:t>
      </w:r>
    </w:p>
    <w:p w14:paraId="47D124DF">
      <w:pPr>
        <w:pStyle w:val="27"/>
        <w:snapToGrid w:val="0"/>
        <w:spacing w:line="440" w:lineRule="exact"/>
        <w:ind w:firstLine="420" w:firstLineChars="200"/>
        <w:jc w:val="left"/>
        <w:rPr>
          <w:rFonts w:hAnsi="宋体" w:cs="宋体"/>
          <w:bCs/>
          <w:color w:val="auto"/>
          <w:sz w:val="21"/>
          <w:highlight w:val="none"/>
          <w:u w:val="single"/>
        </w:rPr>
      </w:pPr>
      <w:r>
        <w:rPr>
          <w:rFonts w:hint="eastAsia" w:hAnsi="宋体" w:cs="宋体"/>
          <w:bCs/>
          <w:color w:val="auto"/>
          <w:sz w:val="21"/>
          <w:highlight w:val="none"/>
        </w:rPr>
        <w:t>投标人：</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02E880B0">
      <w:pPr>
        <w:pStyle w:val="27"/>
        <w:snapToGrid w:val="0"/>
        <w:spacing w:line="440" w:lineRule="exact"/>
        <w:ind w:firstLine="420" w:firstLineChars="200"/>
        <w:jc w:val="left"/>
        <w:rPr>
          <w:rFonts w:hAnsi="宋体" w:cs="宋体"/>
          <w:bCs/>
          <w:color w:val="auto"/>
          <w:sz w:val="21"/>
          <w:highlight w:val="non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2DE65205">
      <w:pPr>
        <w:pStyle w:val="27"/>
        <w:snapToGrid w:val="0"/>
        <w:spacing w:line="440" w:lineRule="exact"/>
        <w:ind w:firstLine="420" w:firstLineChars="200"/>
        <w:jc w:val="left"/>
        <w:rPr>
          <w:rFonts w:hAnsi="宋体" w:cs="宋体"/>
          <w:bCs/>
          <w:color w:val="auto"/>
          <w:sz w:val="21"/>
          <w:highlight w:val="none"/>
          <w:u w:val="single"/>
        </w:rPr>
      </w:pPr>
      <w:r>
        <w:rPr>
          <w:rFonts w:hint="eastAsia" w:hAnsi="宋体" w:cs="宋体"/>
          <w:bCs/>
          <w:color w:val="auto"/>
          <w:sz w:val="21"/>
          <w:highlight w:val="none"/>
        </w:rPr>
        <w:t>法定代表人/主要负责人：</w:t>
      </w:r>
      <w:r>
        <w:rPr>
          <w:rFonts w:hint="eastAsia" w:hAnsi="宋体" w:cs="宋体"/>
          <w:bCs/>
          <w:color w:val="auto"/>
          <w:sz w:val="21"/>
          <w:highlight w:val="none"/>
          <w:u w:val="single"/>
        </w:rPr>
        <w:t xml:space="preserve">                                                         </w:t>
      </w:r>
    </w:p>
    <w:p w14:paraId="11143D1E">
      <w:pPr>
        <w:pStyle w:val="27"/>
        <w:snapToGrid w:val="0"/>
        <w:spacing w:line="440" w:lineRule="exact"/>
        <w:ind w:firstLine="420" w:firstLineChars="200"/>
        <w:jc w:val="left"/>
        <w:rPr>
          <w:rFonts w:hAnsi="宋体" w:cs="宋体"/>
          <w:bCs/>
          <w:color w:val="auto"/>
          <w:sz w:val="21"/>
          <w:highlight w:val="none"/>
        </w:rPr>
      </w:pP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14:paraId="3AB978BB">
      <w:pPr>
        <w:pStyle w:val="27"/>
        <w:snapToGrid w:val="0"/>
        <w:spacing w:line="440" w:lineRule="exact"/>
        <w:ind w:firstLine="420" w:firstLineChars="200"/>
        <w:jc w:val="left"/>
        <w:rPr>
          <w:rFonts w:hAnsi="宋体" w:cs="宋体"/>
          <w:bCs/>
          <w:color w:val="auto"/>
          <w:sz w:val="21"/>
          <w:highlight w:val="none"/>
          <w:u w:val="single"/>
        </w:rPr>
      </w:pPr>
      <w:r>
        <w:rPr>
          <w:rFonts w:hint="eastAsia" w:hAnsi="宋体" w:cs="宋体"/>
          <w:bCs/>
          <w:color w:val="auto"/>
          <w:sz w:val="21"/>
          <w:highlight w:val="none"/>
        </w:rPr>
        <w:t>授权代表：</w:t>
      </w:r>
      <w:r>
        <w:rPr>
          <w:rFonts w:hint="eastAsia" w:hAnsi="宋体" w:cs="宋体"/>
          <w:bCs/>
          <w:color w:val="auto"/>
          <w:sz w:val="21"/>
          <w:highlight w:val="none"/>
          <w:u w:val="single"/>
        </w:rPr>
        <w:t xml:space="preserve">                                         </w:t>
      </w: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14:paraId="08A836B4">
      <w:pPr>
        <w:pStyle w:val="27"/>
        <w:snapToGrid w:val="0"/>
        <w:spacing w:line="440" w:lineRule="exact"/>
        <w:ind w:firstLine="420" w:firstLineChars="200"/>
        <w:jc w:val="left"/>
        <w:rPr>
          <w:rFonts w:hAnsi="宋体" w:cs="宋体"/>
          <w:bCs/>
          <w:color w:val="auto"/>
          <w:sz w:val="21"/>
          <w:highlight w:val="none"/>
          <w:u w:val="singl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p>
    <w:p w14:paraId="6DF562DA">
      <w:pPr>
        <w:pStyle w:val="27"/>
        <w:snapToGrid w:val="0"/>
        <w:spacing w:line="440" w:lineRule="exact"/>
        <w:ind w:firstLine="420" w:firstLineChars="200"/>
        <w:jc w:val="left"/>
        <w:rPr>
          <w:rFonts w:hAnsi="宋体" w:cs="宋体"/>
          <w:bCs/>
          <w:color w:val="auto"/>
          <w:sz w:val="21"/>
          <w:highlight w:val="none"/>
        </w:rPr>
      </w:pP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098E865E">
      <w:pPr>
        <w:pStyle w:val="27"/>
        <w:snapToGrid w:val="0"/>
        <w:spacing w:line="440" w:lineRule="exact"/>
        <w:ind w:firstLine="420" w:firstLineChars="200"/>
        <w:jc w:val="left"/>
        <w:rPr>
          <w:rFonts w:hAnsi="宋体" w:cs="宋体"/>
          <w:bCs/>
          <w:color w:val="auto"/>
          <w:sz w:val="21"/>
          <w:highlight w:val="none"/>
        </w:rPr>
      </w:pPr>
      <w:r>
        <w:rPr>
          <w:rFonts w:hint="eastAsia" w:hAnsi="宋体" w:cs="宋体"/>
          <w:bCs/>
          <w:color w:val="auto"/>
          <w:sz w:val="21"/>
          <w:highlight w:val="none"/>
        </w:rPr>
        <w:t>被投诉人1：</w:t>
      </w:r>
    </w:p>
    <w:p w14:paraId="3C3C9A30">
      <w:pPr>
        <w:pStyle w:val="27"/>
        <w:snapToGrid w:val="0"/>
        <w:spacing w:line="440" w:lineRule="exact"/>
        <w:ind w:firstLine="420" w:firstLineChars="200"/>
        <w:jc w:val="left"/>
        <w:rPr>
          <w:rFonts w:hAnsi="宋体" w:cs="宋体"/>
          <w:bCs/>
          <w:color w:val="auto"/>
          <w:sz w:val="21"/>
          <w:highlight w:val="none"/>
          <w:u w:val="singl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p>
    <w:p w14:paraId="3B4465FA">
      <w:pPr>
        <w:pStyle w:val="27"/>
        <w:snapToGrid w:val="0"/>
        <w:spacing w:line="440" w:lineRule="exact"/>
        <w:ind w:firstLine="420" w:firstLineChars="200"/>
        <w:jc w:val="left"/>
        <w:rPr>
          <w:rFonts w:hAnsi="宋体" w:cs="宋体"/>
          <w:bCs/>
          <w:color w:val="auto"/>
          <w:sz w:val="21"/>
          <w:highlight w:val="none"/>
        </w:rPr>
      </w:pP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0B352833">
      <w:pPr>
        <w:pStyle w:val="27"/>
        <w:snapToGrid w:val="0"/>
        <w:spacing w:line="440" w:lineRule="exact"/>
        <w:ind w:firstLine="420" w:firstLineChars="200"/>
        <w:jc w:val="left"/>
        <w:rPr>
          <w:rFonts w:hAnsi="宋体" w:cs="宋体"/>
          <w:bCs/>
          <w:color w:val="auto"/>
          <w:sz w:val="21"/>
          <w:highlight w:val="none"/>
          <w:u w:val="single"/>
        </w:rPr>
      </w:pPr>
      <w:r>
        <w:rPr>
          <w:rFonts w:hint="eastAsia" w:hAnsi="宋体" w:cs="宋体"/>
          <w:bCs/>
          <w:color w:val="auto"/>
          <w:sz w:val="21"/>
          <w:highlight w:val="none"/>
        </w:rPr>
        <w:t>联系人：</w:t>
      </w:r>
      <w:r>
        <w:rPr>
          <w:rFonts w:hint="eastAsia" w:hAnsi="宋体" w:cs="宋体"/>
          <w:bCs/>
          <w:color w:val="auto"/>
          <w:sz w:val="21"/>
          <w:highlight w:val="none"/>
          <w:u w:val="single"/>
        </w:rPr>
        <w:t xml:space="preserve">                            </w:t>
      </w: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14:paraId="4DA3BC91">
      <w:pPr>
        <w:pStyle w:val="27"/>
        <w:snapToGrid w:val="0"/>
        <w:spacing w:line="440" w:lineRule="exact"/>
        <w:ind w:firstLine="420" w:firstLineChars="200"/>
        <w:jc w:val="left"/>
        <w:rPr>
          <w:rFonts w:hAnsi="宋体" w:cs="宋体"/>
          <w:bCs/>
          <w:color w:val="auto"/>
          <w:sz w:val="21"/>
          <w:highlight w:val="none"/>
        </w:rPr>
      </w:pPr>
      <w:r>
        <w:rPr>
          <w:rFonts w:hint="eastAsia" w:hAnsi="宋体" w:cs="宋体"/>
          <w:bCs/>
          <w:color w:val="auto"/>
          <w:sz w:val="21"/>
          <w:highlight w:val="none"/>
        </w:rPr>
        <w:t>被投诉人2：</w:t>
      </w:r>
    </w:p>
    <w:p w14:paraId="7A757280">
      <w:pPr>
        <w:pStyle w:val="27"/>
        <w:snapToGrid w:val="0"/>
        <w:spacing w:line="440" w:lineRule="exact"/>
        <w:ind w:firstLine="420" w:firstLineChars="200"/>
        <w:jc w:val="left"/>
        <w:rPr>
          <w:rFonts w:hAnsi="宋体" w:cs="宋体"/>
          <w:bCs/>
          <w:color w:val="auto"/>
          <w:sz w:val="21"/>
          <w:highlight w:val="none"/>
        </w:rPr>
      </w:pPr>
      <w:r>
        <w:rPr>
          <w:rFonts w:hint="eastAsia" w:hAnsi="宋体" w:cs="宋体"/>
          <w:bCs/>
          <w:color w:val="auto"/>
          <w:sz w:val="21"/>
          <w:highlight w:val="none"/>
        </w:rPr>
        <w:t>……</w:t>
      </w:r>
    </w:p>
    <w:p w14:paraId="5B751272">
      <w:pPr>
        <w:pStyle w:val="27"/>
        <w:snapToGrid w:val="0"/>
        <w:spacing w:line="440" w:lineRule="exact"/>
        <w:ind w:firstLine="420" w:firstLineChars="200"/>
        <w:jc w:val="left"/>
        <w:rPr>
          <w:rFonts w:hAnsi="宋体" w:cs="宋体"/>
          <w:bCs/>
          <w:color w:val="auto"/>
          <w:sz w:val="21"/>
          <w:highlight w:val="none"/>
          <w:u w:val="single"/>
        </w:rPr>
      </w:pPr>
      <w:r>
        <w:rPr>
          <w:rFonts w:hint="eastAsia" w:hAnsi="宋体" w:cs="宋体"/>
          <w:bCs/>
          <w:color w:val="auto"/>
          <w:sz w:val="21"/>
          <w:highlight w:val="none"/>
        </w:rPr>
        <w:t>相关供应商：</w:t>
      </w:r>
      <w:r>
        <w:rPr>
          <w:rFonts w:hint="eastAsia" w:hAnsi="宋体" w:cs="宋体"/>
          <w:bCs/>
          <w:color w:val="auto"/>
          <w:sz w:val="21"/>
          <w:highlight w:val="none"/>
          <w:u w:val="single"/>
        </w:rPr>
        <w:t xml:space="preserve">                                                                       </w:t>
      </w:r>
    </w:p>
    <w:p w14:paraId="1BC9776D">
      <w:pPr>
        <w:pStyle w:val="27"/>
        <w:snapToGrid w:val="0"/>
        <w:spacing w:line="440" w:lineRule="exact"/>
        <w:ind w:firstLine="420" w:firstLineChars="200"/>
        <w:jc w:val="left"/>
        <w:rPr>
          <w:rFonts w:hAnsi="宋体" w:cs="宋体"/>
          <w:bCs/>
          <w:color w:val="auto"/>
          <w:sz w:val="21"/>
          <w:highlight w:val="none"/>
          <w:u w:val="singl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r>
        <w:rPr>
          <w:rFonts w:hint="eastAsia" w:hAnsi="宋体" w:cs="宋体"/>
          <w:bCs/>
          <w:color w:val="auto"/>
          <w:sz w:val="21"/>
          <w:highlight w:val="none"/>
        </w:rPr>
        <w:t>邮编：</w:t>
      </w:r>
      <w:r>
        <w:rPr>
          <w:rFonts w:hint="eastAsia" w:hAnsi="宋体" w:cs="宋体"/>
          <w:bCs/>
          <w:color w:val="auto"/>
          <w:sz w:val="21"/>
          <w:highlight w:val="none"/>
          <w:u w:val="single"/>
        </w:rPr>
        <w:t xml:space="preserve">                         </w:t>
      </w:r>
    </w:p>
    <w:p w14:paraId="4C14DAF9">
      <w:pPr>
        <w:pStyle w:val="27"/>
        <w:snapToGrid w:val="0"/>
        <w:spacing w:line="440" w:lineRule="exact"/>
        <w:ind w:firstLine="420" w:firstLineChars="200"/>
        <w:jc w:val="left"/>
        <w:rPr>
          <w:rFonts w:hAnsi="宋体" w:cs="宋体"/>
          <w:bCs/>
          <w:color w:val="auto"/>
          <w:sz w:val="21"/>
          <w:highlight w:val="none"/>
        </w:rPr>
      </w:pPr>
      <w:r>
        <w:rPr>
          <w:rFonts w:hint="eastAsia" w:hAnsi="宋体" w:cs="宋体"/>
          <w:bCs/>
          <w:color w:val="auto"/>
          <w:sz w:val="21"/>
          <w:highlight w:val="none"/>
        </w:rPr>
        <w:t>联系人：</w:t>
      </w:r>
      <w:r>
        <w:rPr>
          <w:rFonts w:hint="eastAsia" w:hAnsi="宋体" w:cs="宋体"/>
          <w:bCs/>
          <w:color w:val="auto"/>
          <w:sz w:val="21"/>
          <w:highlight w:val="none"/>
          <w:u w:val="single"/>
        </w:rPr>
        <w:t xml:space="preserve">                                            </w:t>
      </w: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73F79523">
      <w:pPr>
        <w:pStyle w:val="27"/>
        <w:snapToGrid w:val="0"/>
        <w:spacing w:line="440" w:lineRule="exact"/>
        <w:ind w:firstLine="422" w:firstLineChars="200"/>
        <w:rPr>
          <w:rFonts w:hAnsi="宋体" w:cs="宋体"/>
          <w:b/>
          <w:bCs/>
          <w:color w:val="auto"/>
          <w:sz w:val="21"/>
          <w:highlight w:val="none"/>
        </w:rPr>
      </w:pPr>
      <w:r>
        <w:rPr>
          <w:rFonts w:hint="eastAsia" w:hAnsi="宋体" w:cs="宋体"/>
          <w:b/>
          <w:bCs/>
          <w:color w:val="auto"/>
          <w:sz w:val="21"/>
          <w:highlight w:val="none"/>
        </w:rPr>
        <w:t>二、投诉项目基本情况：</w:t>
      </w:r>
    </w:p>
    <w:p w14:paraId="2372A410">
      <w:pPr>
        <w:pStyle w:val="27"/>
        <w:spacing w:line="440" w:lineRule="exact"/>
        <w:ind w:left="25" w:leftChars="12" w:firstLine="413" w:firstLineChars="197"/>
        <w:rPr>
          <w:rFonts w:hAnsi="宋体" w:cs="宋体"/>
          <w:color w:val="auto"/>
          <w:sz w:val="21"/>
          <w:highlight w:val="none"/>
        </w:rPr>
      </w:pPr>
      <w:r>
        <w:rPr>
          <w:rFonts w:hint="eastAsia" w:hAnsi="宋体" w:cs="宋体"/>
          <w:bCs/>
          <w:color w:val="auto"/>
          <w:sz w:val="21"/>
          <w:highlight w:val="none"/>
        </w:rPr>
        <w:t>采购</w:t>
      </w:r>
      <w:r>
        <w:rPr>
          <w:rFonts w:hint="eastAsia" w:hAnsi="宋体" w:cs="宋体"/>
          <w:color w:val="auto"/>
          <w:sz w:val="21"/>
          <w:highlight w:val="none"/>
        </w:rPr>
        <w:t>项目的名称：</w:t>
      </w:r>
      <w:r>
        <w:rPr>
          <w:rFonts w:hint="eastAsia" w:hAnsi="宋体" w:cs="宋体"/>
          <w:bCs/>
          <w:color w:val="auto"/>
          <w:sz w:val="21"/>
          <w:highlight w:val="none"/>
          <w:u w:val="single"/>
        </w:rPr>
        <w:t xml:space="preserve">                                                                   </w:t>
      </w:r>
    </w:p>
    <w:p w14:paraId="26D91FB5">
      <w:pPr>
        <w:pStyle w:val="27"/>
        <w:spacing w:line="440" w:lineRule="exact"/>
        <w:ind w:left="25" w:leftChars="12" w:firstLine="413" w:firstLineChars="197"/>
        <w:rPr>
          <w:rFonts w:hAnsi="宋体" w:cs="宋体"/>
          <w:color w:val="auto"/>
          <w:sz w:val="21"/>
          <w:highlight w:val="none"/>
        </w:rPr>
      </w:pPr>
      <w:r>
        <w:rPr>
          <w:rFonts w:hint="eastAsia" w:hAnsi="宋体" w:cs="宋体"/>
          <w:bCs/>
          <w:color w:val="auto"/>
          <w:sz w:val="21"/>
          <w:highlight w:val="none"/>
        </w:rPr>
        <w:t>采购</w:t>
      </w:r>
      <w:r>
        <w:rPr>
          <w:rFonts w:hint="eastAsia" w:hAnsi="宋体" w:cs="宋体"/>
          <w:color w:val="auto"/>
          <w:sz w:val="21"/>
          <w:highlight w:val="none"/>
        </w:rPr>
        <w:t>项目的编号：</w:t>
      </w:r>
      <w:r>
        <w:rPr>
          <w:rFonts w:hint="eastAsia" w:hAnsi="宋体" w:cs="宋体"/>
          <w:bCs/>
          <w:color w:val="auto"/>
          <w:sz w:val="21"/>
          <w:highlight w:val="none"/>
          <w:u w:val="single"/>
        </w:rPr>
        <w:t xml:space="preserve">                                          </w:t>
      </w:r>
    </w:p>
    <w:p w14:paraId="103009DA">
      <w:pPr>
        <w:pStyle w:val="27"/>
        <w:spacing w:line="440" w:lineRule="exact"/>
        <w:ind w:left="25" w:leftChars="12" w:firstLine="413" w:firstLineChars="197"/>
        <w:rPr>
          <w:rFonts w:hAnsi="宋体" w:cs="宋体"/>
          <w:bCs/>
          <w:color w:val="auto"/>
          <w:sz w:val="21"/>
          <w:highlight w:val="none"/>
          <w:u w:val="single"/>
        </w:rPr>
      </w:pPr>
      <w:r>
        <w:rPr>
          <w:rFonts w:hint="eastAsia" w:hAnsi="宋体" w:cs="宋体"/>
          <w:color w:val="auto"/>
          <w:sz w:val="21"/>
          <w:highlight w:val="none"/>
        </w:rPr>
        <w:t>采购人名称：</w:t>
      </w:r>
      <w:r>
        <w:rPr>
          <w:rFonts w:hint="eastAsia" w:hAnsi="宋体" w:cs="宋体"/>
          <w:bCs/>
          <w:color w:val="auto"/>
          <w:sz w:val="21"/>
          <w:highlight w:val="none"/>
          <w:u w:val="single"/>
        </w:rPr>
        <w:t xml:space="preserve">                                                                        </w:t>
      </w:r>
    </w:p>
    <w:p w14:paraId="3D7BA692">
      <w:pPr>
        <w:pStyle w:val="27"/>
        <w:spacing w:line="440" w:lineRule="exact"/>
        <w:ind w:left="25" w:leftChars="12" w:firstLine="413" w:firstLineChars="197"/>
        <w:rPr>
          <w:rFonts w:hAnsi="宋体" w:cs="宋体"/>
          <w:bCs/>
          <w:color w:val="auto"/>
          <w:sz w:val="21"/>
          <w:highlight w:val="none"/>
          <w:u w:val="single"/>
        </w:rPr>
      </w:pPr>
      <w:r>
        <w:rPr>
          <w:rFonts w:hint="eastAsia" w:hAnsi="宋体" w:cs="宋体"/>
          <w:color w:val="auto"/>
          <w:sz w:val="21"/>
          <w:highlight w:val="none"/>
        </w:rPr>
        <w:t>代理机构名称：</w:t>
      </w:r>
      <w:r>
        <w:rPr>
          <w:rFonts w:hint="eastAsia" w:hAnsi="宋体" w:cs="宋体"/>
          <w:bCs/>
          <w:color w:val="auto"/>
          <w:sz w:val="21"/>
          <w:highlight w:val="none"/>
          <w:u w:val="single"/>
        </w:rPr>
        <w:t xml:space="preserve">                                                                      </w:t>
      </w:r>
    </w:p>
    <w:p w14:paraId="451E5BBD">
      <w:pPr>
        <w:pStyle w:val="27"/>
        <w:spacing w:line="440" w:lineRule="exact"/>
        <w:ind w:left="25" w:leftChars="12" w:firstLine="413" w:firstLineChars="197"/>
        <w:rPr>
          <w:rFonts w:hAnsi="宋体" w:cs="宋体"/>
          <w:bCs/>
          <w:color w:val="auto"/>
          <w:sz w:val="21"/>
          <w:highlight w:val="none"/>
          <w:u w:val="single"/>
        </w:rPr>
      </w:pPr>
      <w:r>
        <w:rPr>
          <w:rFonts w:hint="eastAsia" w:hAnsi="宋体" w:cs="宋体"/>
          <w:bCs/>
          <w:color w:val="auto"/>
          <w:sz w:val="21"/>
          <w:highlight w:val="none"/>
        </w:rPr>
        <w:t>采购文件公告：</w:t>
      </w:r>
      <w:r>
        <w:rPr>
          <w:rFonts w:hint="eastAsia" w:hAnsi="宋体" w:cs="宋体"/>
          <w:bCs/>
          <w:color w:val="auto"/>
          <w:sz w:val="21"/>
          <w:highlight w:val="none"/>
          <w:u w:val="single"/>
        </w:rPr>
        <w:t>是/否</w:t>
      </w:r>
      <w:r>
        <w:rPr>
          <w:rFonts w:hint="eastAsia" w:hAnsi="宋体" w:cs="宋体"/>
          <w:bCs/>
          <w:color w:val="auto"/>
          <w:sz w:val="21"/>
          <w:highlight w:val="none"/>
        </w:rPr>
        <w:t>公告期限：</w:t>
      </w:r>
      <w:r>
        <w:rPr>
          <w:rFonts w:hint="eastAsia" w:hAnsi="宋体" w:cs="宋体"/>
          <w:bCs/>
          <w:color w:val="auto"/>
          <w:sz w:val="21"/>
          <w:highlight w:val="none"/>
          <w:u w:val="single"/>
        </w:rPr>
        <w:t xml:space="preserve">                                                       </w:t>
      </w:r>
    </w:p>
    <w:p w14:paraId="6292DA67">
      <w:pPr>
        <w:pStyle w:val="27"/>
        <w:spacing w:line="440" w:lineRule="exact"/>
        <w:ind w:left="25" w:leftChars="12" w:firstLine="413" w:firstLineChars="197"/>
        <w:rPr>
          <w:rFonts w:hAnsi="宋体" w:cs="宋体"/>
          <w:b/>
          <w:color w:val="auto"/>
          <w:sz w:val="21"/>
          <w:highlight w:val="none"/>
        </w:rPr>
      </w:pPr>
      <w:r>
        <w:rPr>
          <w:rFonts w:hint="eastAsia" w:hAnsi="宋体" w:cs="宋体"/>
          <w:bCs/>
          <w:color w:val="auto"/>
          <w:sz w:val="21"/>
          <w:highlight w:val="none"/>
        </w:rPr>
        <w:t>采购结果公告：</w:t>
      </w:r>
      <w:r>
        <w:rPr>
          <w:rFonts w:hint="eastAsia" w:hAnsi="宋体" w:cs="宋体"/>
          <w:bCs/>
          <w:color w:val="auto"/>
          <w:sz w:val="21"/>
          <w:highlight w:val="none"/>
          <w:u w:val="single"/>
        </w:rPr>
        <w:t>是/否</w:t>
      </w:r>
      <w:r>
        <w:rPr>
          <w:rFonts w:hint="eastAsia" w:hAnsi="宋体" w:cs="宋体"/>
          <w:bCs/>
          <w:color w:val="auto"/>
          <w:sz w:val="21"/>
          <w:highlight w:val="none"/>
        </w:rPr>
        <w:t>公告期限：</w:t>
      </w:r>
      <w:r>
        <w:rPr>
          <w:rFonts w:hint="eastAsia" w:hAnsi="宋体" w:cs="宋体"/>
          <w:bCs/>
          <w:color w:val="auto"/>
          <w:sz w:val="21"/>
          <w:highlight w:val="none"/>
          <w:u w:val="single"/>
        </w:rPr>
        <w:t xml:space="preserve">                                                       </w:t>
      </w:r>
    </w:p>
    <w:p w14:paraId="41576A12">
      <w:pPr>
        <w:pStyle w:val="27"/>
        <w:spacing w:line="440" w:lineRule="exact"/>
        <w:ind w:left="25" w:leftChars="12" w:firstLine="413" w:firstLineChars="196"/>
        <w:rPr>
          <w:rFonts w:hAnsi="宋体" w:cs="宋体"/>
          <w:b/>
          <w:color w:val="auto"/>
          <w:sz w:val="21"/>
          <w:highlight w:val="none"/>
        </w:rPr>
      </w:pPr>
      <w:r>
        <w:rPr>
          <w:rFonts w:hint="eastAsia" w:hAnsi="宋体" w:cs="宋体"/>
          <w:b/>
          <w:color w:val="auto"/>
          <w:sz w:val="21"/>
          <w:highlight w:val="none"/>
        </w:rPr>
        <w:t>三、质疑基本情况</w:t>
      </w:r>
    </w:p>
    <w:p w14:paraId="18E275B9">
      <w:pPr>
        <w:pStyle w:val="27"/>
        <w:spacing w:line="440" w:lineRule="exact"/>
        <w:ind w:left="25" w:leftChars="12" w:firstLine="420" w:firstLineChars="200"/>
        <w:rPr>
          <w:rFonts w:hAnsi="宋体" w:cs="宋体"/>
          <w:color w:val="auto"/>
          <w:sz w:val="21"/>
          <w:highlight w:val="none"/>
        </w:rPr>
      </w:pPr>
      <w:r>
        <w:rPr>
          <w:rFonts w:hint="eastAsia" w:hAnsi="宋体" w:cs="宋体"/>
          <w:color w:val="auto"/>
          <w:sz w:val="21"/>
          <w:highlight w:val="none"/>
        </w:rPr>
        <w:t>投诉人于</w:t>
      </w:r>
      <w:r>
        <w:rPr>
          <w:rFonts w:hint="eastAsia" w:hAnsi="宋体" w:cs="宋体"/>
          <w:color w:val="auto"/>
          <w:sz w:val="21"/>
          <w:highlight w:val="none"/>
          <w:u w:val="single"/>
        </w:rPr>
        <w:t xml:space="preserve">      </w:t>
      </w:r>
      <w:r>
        <w:rPr>
          <w:rFonts w:hint="eastAsia" w:hAnsi="宋体" w:cs="宋体"/>
          <w:color w:val="auto"/>
          <w:sz w:val="21"/>
          <w:highlight w:val="none"/>
        </w:rPr>
        <w:t>年</w:t>
      </w:r>
      <w:r>
        <w:rPr>
          <w:rFonts w:hint="eastAsia" w:hAnsi="宋体" w:cs="宋体"/>
          <w:color w:val="auto"/>
          <w:sz w:val="21"/>
          <w:highlight w:val="none"/>
          <w:u w:val="single"/>
        </w:rPr>
        <w:t xml:space="preserve">   </w:t>
      </w:r>
      <w:r>
        <w:rPr>
          <w:rFonts w:hint="eastAsia" w:hAnsi="宋体" w:cs="宋体"/>
          <w:color w:val="auto"/>
          <w:sz w:val="21"/>
          <w:highlight w:val="none"/>
        </w:rPr>
        <w:t>月</w:t>
      </w:r>
      <w:r>
        <w:rPr>
          <w:rFonts w:hint="eastAsia" w:hAnsi="宋体" w:cs="宋体"/>
          <w:color w:val="auto"/>
          <w:sz w:val="21"/>
          <w:highlight w:val="none"/>
          <w:u w:val="single"/>
        </w:rPr>
        <w:t xml:space="preserve">   </w:t>
      </w:r>
      <w:r>
        <w:rPr>
          <w:rFonts w:hint="eastAsia" w:hAnsi="宋体" w:cs="宋体"/>
          <w:color w:val="auto"/>
          <w:sz w:val="21"/>
          <w:highlight w:val="none"/>
        </w:rPr>
        <w:t>日，向</w:t>
      </w:r>
      <w:r>
        <w:rPr>
          <w:rFonts w:hint="eastAsia" w:hAnsi="宋体" w:cs="宋体"/>
          <w:color w:val="auto"/>
          <w:sz w:val="21"/>
          <w:highlight w:val="none"/>
          <w:u w:val="single"/>
        </w:rPr>
        <w:t xml:space="preserve">                                </w:t>
      </w:r>
      <w:r>
        <w:rPr>
          <w:rFonts w:hint="eastAsia" w:hAnsi="宋体" w:cs="宋体"/>
          <w:color w:val="auto"/>
          <w:sz w:val="21"/>
          <w:highlight w:val="none"/>
        </w:rPr>
        <w:t>提出质疑，质疑事项为：</w:t>
      </w:r>
    </w:p>
    <w:p w14:paraId="18CF5DD5">
      <w:pPr>
        <w:pStyle w:val="27"/>
        <w:spacing w:line="440" w:lineRule="exact"/>
        <w:ind w:firstLine="525"/>
        <w:rPr>
          <w:rFonts w:hAnsi="宋体" w:cs="宋体"/>
          <w:bCs/>
          <w:color w:val="auto"/>
          <w:sz w:val="21"/>
          <w:highlight w:val="none"/>
          <w:u w:val="single"/>
        </w:rPr>
      </w:pPr>
      <w:r>
        <w:rPr>
          <w:rFonts w:hint="eastAsia" w:hAnsi="宋体" w:cs="宋体"/>
          <w:color w:val="auto"/>
          <w:sz w:val="21"/>
          <w:highlight w:val="none"/>
        </w:rPr>
        <w:t xml:space="preserve">    </w:t>
      </w:r>
      <w:r>
        <w:rPr>
          <w:rFonts w:hint="eastAsia" w:hAnsi="宋体" w:cs="宋体"/>
          <w:bCs/>
          <w:color w:val="auto"/>
          <w:sz w:val="21"/>
          <w:highlight w:val="none"/>
          <w:u w:val="single"/>
        </w:rPr>
        <w:t xml:space="preserve">                                                                                      </w:t>
      </w:r>
    </w:p>
    <w:p w14:paraId="7CDF332C">
      <w:pPr>
        <w:pStyle w:val="27"/>
        <w:spacing w:line="440" w:lineRule="exact"/>
        <w:ind w:firstLine="525"/>
        <w:rPr>
          <w:rFonts w:hAnsi="宋体" w:cs="宋体"/>
          <w:bCs/>
          <w:color w:val="auto"/>
          <w:sz w:val="21"/>
          <w:highlight w:val="none"/>
          <w:u w:val="single"/>
        </w:rPr>
      </w:pPr>
      <w:r>
        <w:rPr>
          <w:rFonts w:hint="eastAsia" w:hAnsi="宋体" w:cs="宋体"/>
          <w:bCs/>
          <w:color w:val="auto"/>
          <w:sz w:val="21"/>
          <w:highlight w:val="none"/>
        </w:rPr>
        <w:t xml:space="preserve">    </w:t>
      </w:r>
      <w:r>
        <w:rPr>
          <w:rFonts w:hint="eastAsia" w:hAnsi="宋体" w:cs="宋体"/>
          <w:bCs/>
          <w:color w:val="auto"/>
          <w:sz w:val="21"/>
          <w:highlight w:val="none"/>
          <w:u w:val="single"/>
        </w:rPr>
        <w:t xml:space="preserve">                                                                                      </w:t>
      </w:r>
    </w:p>
    <w:p w14:paraId="2CF9A54D">
      <w:pPr>
        <w:pStyle w:val="27"/>
        <w:spacing w:line="440" w:lineRule="exact"/>
        <w:ind w:firstLine="420" w:firstLineChars="200"/>
        <w:rPr>
          <w:rFonts w:hAnsi="宋体" w:cs="宋体"/>
          <w:color w:val="auto"/>
          <w:sz w:val="21"/>
          <w:highlight w:val="none"/>
        </w:rPr>
      </w:pPr>
      <w:r>
        <w:rPr>
          <w:rFonts w:hint="eastAsia" w:hAnsi="宋体" w:cs="宋体"/>
          <w:bCs/>
          <w:color w:val="auto"/>
          <w:sz w:val="21"/>
          <w:highlight w:val="none"/>
          <w:u w:val="single"/>
        </w:rPr>
        <w:t>采购人/代理机构</w:t>
      </w:r>
      <w:r>
        <w:rPr>
          <w:rFonts w:hint="eastAsia" w:hAnsi="宋体" w:cs="宋体"/>
          <w:bCs/>
          <w:color w:val="auto"/>
          <w:sz w:val="21"/>
          <w:highlight w:val="none"/>
        </w:rPr>
        <w:t>于</w:t>
      </w:r>
      <w:r>
        <w:rPr>
          <w:rFonts w:hint="eastAsia" w:hAnsi="宋体" w:cs="宋体"/>
          <w:color w:val="auto"/>
          <w:sz w:val="21"/>
          <w:highlight w:val="none"/>
          <w:u w:val="single"/>
        </w:rPr>
        <w:t xml:space="preserve">      </w:t>
      </w:r>
      <w:r>
        <w:rPr>
          <w:rFonts w:hint="eastAsia" w:hAnsi="宋体" w:cs="宋体"/>
          <w:color w:val="auto"/>
          <w:sz w:val="21"/>
          <w:highlight w:val="none"/>
        </w:rPr>
        <w:t>年</w:t>
      </w:r>
      <w:r>
        <w:rPr>
          <w:rFonts w:hint="eastAsia" w:hAnsi="宋体" w:cs="宋体"/>
          <w:color w:val="auto"/>
          <w:sz w:val="21"/>
          <w:highlight w:val="none"/>
          <w:u w:val="single"/>
        </w:rPr>
        <w:t xml:space="preserve">   </w:t>
      </w:r>
      <w:r>
        <w:rPr>
          <w:rFonts w:hint="eastAsia" w:hAnsi="宋体" w:cs="宋体"/>
          <w:color w:val="auto"/>
          <w:sz w:val="21"/>
          <w:highlight w:val="none"/>
        </w:rPr>
        <w:t>月</w:t>
      </w:r>
      <w:r>
        <w:rPr>
          <w:rFonts w:hint="eastAsia" w:hAnsi="宋体" w:cs="宋体"/>
          <w:color w:val="auto"/>
          <w:sz w:val="21"/>
          <w:highlight w:val="none"/>
          <w:u w:val="single"/>
        </w:rPr>
        <w:t xml:space="preserve">   </w:t>
      </w:r>
      <w:r>
        <w:rPr>
          <w:rFonts w:hint="eastAsia" w:hAnsi="宋体" w:cs="宋体"/>
          <w:color w:val="auto"/>
          <w:sz w:val="21"/>
          <w:highlight w:val="none"/>
        </w:rPr>
        <w:t>日，</w:t>
      </w:r>
      <w:r>
        <w:rPr>
          <w:rFonts w:hint="eastAsia" w:hAnsi="宋体" w:cs="宋体"/>
          <w:bCs/>
          <w:color w:val="auto"/>
          <w:sz w:val="21"/>
          <w:highlight w:val="none"/>
        </w:rPr>
        <w:t xml:space="preserve">就质疑事项作出了答复/没有在法定期限内作出答复。                                                                                             </w:t>
      </w:r>
    </w:p>
    <w:p w14:paraId="66AA6D2C">
      <w:pPr>
        <w:pStyle w:val="27"/>
        <w:spacing w:line="440" w:lineRule="exact"/>
        <w:ind w:left="25" w:leftChars="12" w:firstLine="413" w:firstLineChars="196"/>
        <w:rPr>
          <w:rFonts w:hAnsi="宋体" w:cs="宋体"/>
          <w:b/>
          <w:color w:val="auto"/>
          <w:sz w:val="21"/>
          <w:highlight w:val="none"/>
        </w:rPr>
      </w:pPr>
      <w:r>
        <w:rPr>
          <w:rFonts w:hint="eastAsia" w:hAnsi="宋体" w:cs="宋体"/>
          <w:b/>
          <w:color w:val="auto"/>
          <w:sz w:val="21"/>
          <w:highlight w:val="none"/>
        </w:rPr>
        <w:t>四、投诉事项具体内容</w:t>
      </w:r>
    </w:p>
    <w:p w14:paraId="5BDCF939">
      <w:pPr>
        <w:pStyle w:val="27"/>
        <w:spacing w:line="440" w:lineRule="exact"/>
        <w:ind w:left="25" w:leftChars="12" w:firstLine="413" w:firstLineChars="197"/>
        <w:rPr>
          <w:rFonts w:hAnsi="宋体" w:cs="宋体"/>
          <w:bCs/>
          <w:color w:val="auto"/>
          <w:sz w:val="21"/>
          <w:highlight w:val="none"/>
          <w:u w:val="single"/>
        </w:rPr>
      </w:pPr>
      <w:r>
        <w:rPr>
          <w:rFonts w:hint="eastAsia" w:hAnsi="宋体" w:cs="宋体"/>
          <w:color w:val="auto"/>
          <w:sz w:val="21"/>
          <w:highlight w:val="none"/>
        </w:rPr>
        <w:t>投诉事项1：</w:t>
      </w:r>
      <w:r>
        <w:rPr>
          <w:rFonts w:hint="eastAsia" w:hAnsi="宋体" w:cs="宋体"/>
          <w:bCs/>
          <w:color w:val="auto"/>
          <w:sz w:val="21"/>
          <w:highlight w:val="none"/>
          <w:u w:val="single"/>
        </w:rPr>
        <w:t xml:space="preserve">                                                                           </w:t>
      </w:r>
    </w:p>
    <w:p w14:paraId="6538108A">
      <w:pPr>
        <w:pStyle w:val="27"/>
        <w:spacing w:line="440" w:lineRule="exact"/>
        <w:ind w:firstLine="420" w:firstLineChars="200"/>
        <w:rPr>
          <w:rFonts w:hAnsi="宋体" w:cs="宋体"/>
          <w:bCs/>
          <w:color w:val="auto"/>
          <w:sz w:val="21"/>
          <w:highlight w:val="none"/>
          <w:u w:val="single"/>
        </w:rPr>
      </w:pPr>
      <w:r>
        <w:rPr>
          <w:rFonts w:hint="eastAsia" w:hAnsi="宋体" w:cs="宋体"/>
          <w:bCs/>
          <w:color w:val="auto"/>
          <w:sz w:val="21"/>
          <w:highlight w:val="none"/>
        </w:rPr>
        <w:t>事实依据：</w:t>
      </w:r>
      <w:r>
        <w:rPr>
          <w:rFonts w:hint="eastAsia" w:hAnsi="宋体" w:cs="宋体"/>
          <w:color w:val="auto"/>
          <w:sz w:val="21"/>
          <w:highlight w:val="none"/>
        </w:rPr>
        <w:t xml:space="preserve"> </w:t>
      </w:r>
      <w:r>
        <w:rPr>
          <w:rFonts w:hint="eastAsia" w:hAnsi="宋体" w:cs="宋体"/>
          <w:bCs/>
          <w:color w:val="auto"/>
          <w:sz w:val="21"/>
          <w:highlight w:val="none"/>
          <w:u w:val="single"/>
        </w:rPr>
        <w:t xml:space="preserve">                                                                                      </w:t>
      </w:r>
    </w:p>
    <w:p w14:paraId="3E1038BC">
      <w:pPr>
        <w:pStyle w:val="27"/>
        <w:spacing w:line="440" w:lineRule="exact"/>
        <w:ind w:left="25" w:leftChars="12" w:firstLine="413" w:firstLineChars="197"/>
        <w:rPr>
          <w:rFonts w:hAnsi="宋体" w:cs="宋体"/>
          <w:color w:val="auto"/>
          <w:sz w:val="21"/>
          <w:highlight w:val="none"/>
        </w:rPr>
      </w:pPr>
      <w:r>
        <w:rPr>
          <w:rFonts w:hint="eastAsia" w:hAnsi="宋体" w:cs="宋体"/>
          <w:bCs/>
          <w:color w:val="auto"/>
          <w:sz w:val="21"/>
          <w:highlight w:val="none"/>
          <w:u w:val="single"/>
        </w:rPr>
        <w:t xml:space="preserve">                                                                                        </w:t>
      </w:r>
    </w:p>
    <w:p w14:paraId="069F91DA">
      <w:pPr>
        <w:pStyle w:val="27"/>
        <w:spacing w:line="440" w:lineRule="exact"/>
        <w:ind w:firstLine="420" w:firstLineChars="200"/>
        <w:rPr>
          <w:rFonts w:hAnsi="宋体" w:cs="宋体"/>
          <w:bCs/>
          <w:color w:val="auto"/>
          <w:sz w:val="21"/>
          <w:highlight w:val="none"/>
          <w:u w:val="single"/>
        </w:rPr>
      </w:pPr>
      <w:r>
        <w:rPr>
          <w:rFonts w:hint="eastAsia" w:hAnsi="宋体" w:cs="宋体"/>
          <w:bCs/>
          <w:color w:val="auto"/>
          <w:sz w:val="21"/>
          <w:highlight w:val="none"/>
        </w:rPr>
        <w:t>法律依据：</w:t>
      </w:r>
      <w:r>
        <w:rPr>
          <w:rFonts w:hint="eastAsia" w:hAnsi="宋体" w:cs="宋体"/>
          <w:color w:val="auto"/>
          <w:sz w:val="21"/>
          <w:highlight w:val="none"/>
        </w:rPr>
        <w:t xml:space="preserve"> </w:t>
      </w:r>
      <w:r>
        <w:rPr>
          <w:rFonts w:hint="eastAsia" w:hAnsi="宋体" w:cs="宋体"/>
          <w:bCs/>
          <w:color w:val="auto"/>
          <w:sz w:val="21"/>
          <w:highlight w:val="none"/>
          <w:u w:val="single"/>
        </w:rPr>
        <w:t xml:space="preserve">                                                                                      </w:t>
      </w:r>
    </w:p>
    <w:p w14:paraId="1820FE4A">
      <w:pPr>
        <w:pStyle w:val="27"/>
        <w:spacing w:line="440" w:lineRule="exact"/>
        <w:ind w:left="25" w:leftChars="12" w:firstLine="308" w:firstLineChars="147"/>
        <w:rPr>
          <w:rFonts w:hAnsi="宋体" w:cs="宋体"/>
          <w:bCs/>
          <w:color w:val="auto"/>
          <w:sz w:val="21"/>
          <w:highlight w:val="none"/>
          <w:u w:val="single"/>
        </w:rPr>
      </w:pPr>
      <w:r>
        <w:rPr>
          <w:rFonts w:hint="eastAsia" w:hAnsi="宋体" w:cs="宋体"/>
          <w:bCs/>
          <w:color w:val="auto"/>
          <w:sz w:val="21"/>
          <w:highlight w:val="none"/>
        </w:rPr>
        <w:t xml:space="preserve"> </w:t>
      </w:r>
      <w:r>
        <w:rPr>
          <w:rFonts w:hint="eastAsia" w:hAnsi="宋体" w:cs="宋体"/>
          <w:bCs/>
          <w:color w:val="auto"/>
          <w:sz w:val="21"/>
          <w:highlight w:val="none"/>
          <w:u w:val="single"/>
        </w:rPr>
        <w:t xml:space="preserve">                                                                                        </w:t>
      </w:r>
    </w:p>
    <w:p w14:paraId="3322467C">
      <w:pPr>
        <w:pStyle w:val="27"/>
        <w:spacing w:line="440" w:lineRule="exact"/>
        <w:ind w:left="25" w:leftChars="12" w:firstLine="413" w:firstLineChars="197"/>
        <w:rPr>
          <w:rFonts w:hAnsi="宋体" w:cs="宋体"/>
          <w:bCs/>
          <w:color w:val="auto"/>
          <w:sz w:val="21"/>
          <w:highlight w:val="none"/>
        </w:rPr>
      </w:pPr>
      <w:r>
        <w:rPr>
          <w:rFonts w:hint="eastAsia" w:hAnsi="宋体" w:cs="宋体"/>
          <w:color w:val="auto"/>
          <w:sz w:val="21"/>
          <w:highlight w:val="none"/>
        </w:rPr>
        <w:t xml:space="preserve">投诉事项2  </w:t>
      </w:r>
      <w:r>
        <w:rPr>
          <w:rFonts w:hint="eastAsia" w:hAnsi="宋体" w:cs="宋体"/>
          <w:bCs/>
          <w:color w:val="auto"/>
          <w:sz w:val="21"/>
          <w:highlight w:val="none"/>
        </w:rPr>
        <w:t xml:space="preserve">   </w:t>
      </w:r>
    </w:p>
    <w:p w14:paraId="69F7493C">
      <w:pPr>
        <w:pStyle w:val="27"/>
        <w:spacing w:line="440" w:lineRule="exact"/>
        <w:ind w:left="25" w:leftChars="12" w:firstLine="413" w:firstLineChars="197"/>
        <w:rPr>
          <w:rFonts w:hAnsi="宋体" w:cs="宋体"/>
          <w:bCs/>
          <w:color w:val="auto"/>
          <w:sz w:val="21"/>
          <w:highlight w:val="none"/>
        </w:rPr>
      </w:pPr>
      <w:r>
        <w:rPr>
          <w:rFonts w:hint="eastAsia" w:hAnsi="宋体" w:cs="宋体"/>
          <w:bCs/>
          <w:color w:val="auto"/>
          <w:sz w:val="21"/>
          <w:highlight w:val="none"/>
        </w:rPr>
        <w:t>……</w:t>
      </w:r>
    </w:p>
    <w:p w14:paraId="100917E3">
      <w:pPr>
        <w:pStyle w:val="27"/>
        <w:spacing w:line="440" w:lineRule="exact"/>
        <w:ind w:left="25" w:leftChars="12" w:firstLine="413" w:firstLineChars="196"/>
        <w:rPr>
          <w:rFonts w:hAnsi="宋体" w:cs="宋体"/>
          <w:b/>
          <w:color w:val="auto"/>
          <w:sz w:val="21"/>
          <w:highlight w:val="none"/>
        </w:rPr>
      </w:pPr>
      <w:r>
        <w:rPr>
          <w:rFonts w:hint="eastAsia" w:hAnsi="宋体" w:cs="宋体"/>
          <w:b/>
          <w:color w:val="auto"/>
          <w:sz w:val="21"/>
          <w:highlight w:val="none"/>
        </w:rPr>
        <w:t>五、与投诉事项相关的投诉请求：</w:t>
      </w:r>
    </w:p>
    <w:p w14:paraId="6EFB82EC">
      <w:pPr>
        <w:pStyle w:val="27"/>
        <w:spacing w:line="440" w:lineRule="exact"/>
        <w:ind w:left="25" w:leftChars="12" w:firstLine="413" w:firstLineChars="197"/>
        <w:rPr>
          <w:rFonts w:hAnsi="宋体" w:cs="宋体"/>
          <w:color w:val="auto"/>
          <w:sz w:val="21"/>
          <w:highlight w:val="none"/>
        </w:rPr>
      </w:pPr>
      <w:r>
        <w:rPr>
          <w:rFonts w:hint="eastAsia" w:hAnsi="宋体" w:cs="宋体"/>
          <w:color w:val="auto"/>
          <w:sz w:val="21"/>
          <w:highlight w:val="none"/>
        </w:rPr>
        <w:t>请求：</w:t>
      </w:r>
      <w:r>
        <w:rPr>
          <w:rFonts w:hint="eastAsia" w:hAnsi="宋体" w:cs="宋体"/>
          <w:bCs/>
          <w:color w:val="auto"/>
          <w:sz w:val="21"/>
          <w:highlight w:val="none"/>
          <w:u w:val="single"/>
        </w:rPr>
        <w:t xml:space="preserve">                                                                                 </w:t>
      </w:r>
    </w:p>
    <w:p w14:paraId="544B0061">
      <w:pPr>
        <w:pStyle w:val="27"/>
        <w:spacing w:line="440" w:lineRule="exact"/>
        <w:ind w:left="25" w:leftChars="12" w:firstLine="308" w:firstLineChars="147"/>
        <w:rPr>
          <w:rFonts w:hAnsi="宋体" w:cs="宋体"/>
          <w:color w:val="auto"/>
          <w:sz w:val="21"/>
          <w:highlight w:val="none"/>
        </w:rPr>
      </w:pPr>
    </w:p>
    <w:p w14:paraId="72B4FE28">
      <w:pPr>
        <w:pStyle w:val="27"/>
        <w:spacing w:line="440" w:lineRule="exact"/>
        <w:ind w:left="25" w:leftChars="12" w:firstLine="413" w:firstLineChars="197"/>
        <w:rPr>
          <w:rFonts w:hAnsi="宋体" w:cs="宋体"/>
          <w:color w:val="auto"/>
          <w:sz w:val="21"/>
          <w:highlight w:val="none"/>
        </w:rPr>
      </w:pPr>
      <w:r>
        <w:rPr>
          <w:rFonts w:hint="eastAsia" w:hAnsi="宋体" w:cs="宋体"/>
          <w:color w:val="auto"/>
          <w:sz w:val="21"/>
          <w:highlight w:val="none"/>
        </w:rPr>
        <w:t>签字（签章）：                                       公章：</w:t>
      </w:r>
    </w:p>
    <w:p w14:paraId="10C982E5">
      <w:pPr>
        <w:pStyle w:val="27"/>
        <w:spacing w:line="440" w:lineRule="exact"/>
        <w:ind w:left="25" w:leftChars="12" w:firstLine="308" w:firstLineChars="147"/>
        <w:rPr>
          <w:rFonts w:hAnsi="宋体" w:cs="宋体"/>
          <w:color w:val="auto"/>
          <w:sz w:val="21"/>
          <w:highlight w:val="none"/>
        </w:rPr>
      </w:pPr>
    </w:p>
    <w:p w14:paraId="305F2B48">
      <w:pPr>
        <w:pStyle w:val="27"/>
        <w:spacing w:line="440" w:lineRule="exact"/>
        <w:ind w:left="25" w:leftChars="12" w:firstLine="413" w:firstLineChars="197"/>
        <w:rPr>
          <w:rFonts w:hAnsi="宋体" w:cs="宋体"/>
          <w:color w:val="auto"/>
          <w:sz w:val="21"/>
          <w:highlight w:val="none"/>
        </w:rPr>
      </w:pPr>
      <w:r>
        <w:rPr>
          <w:rFonts w:hint="eastAsia" w:hAnsi="宋体" w:cs="宋体"/>
          <w:color w:val="auto"/>
          <w:sz w:val="21"/>
          <w:highlight w:val="none"/>
        </w:rPr>
        <w:t>日期：</w:t>
      </w:r>
    </w:p>
    <w:p w14:paraId="4E81679A">
      <w:pPr>
        <w:pStyle w:val="27"/>
        <w:spacing w:line="440" w:lineRule="exact"/>
        <w:ind w:left="25" w:leftChars="12" w:firstLine="413" w:firstLineChars="197"/>
        <w:rPr>
          <w:rFonts w:hAnsi="宋体" w:cs="宋体"/>
          <w:color w:val="auto"/>
          <w:sz w:val="21"/>
          <w:highlight w:val="none"/>
        </w:rPr>
      </w:pPr>
      <w:r>
        <w:rPr>
          <w:rFonts w:hint="eastAsia" w:hAnsi="宋体" w:cs="宋体"/>
          <w:bCs/>
          <w:color w:val="auto"/>
          <w:sz w:val="21"/>
          <w:highlight w:val="none"/>
        </w:rPr>
        <w:t xml:space="preserve">                                                                              </w:t>
      </w:r>
    </w:p>
    <w:p w14:paraId="20FAE803">
      <w:pPr>
        <w:pStyle w:val="27"/>
        <w:snapToGrid w:val="0"/>
        <w:spacing w:line="440" w:lineRule="exact"/>
        <w:ind w:firstLine="527"/>
        <w:rPr>
          <w:rFonts w:hAnsi="宋体" w:cs="宋体"/>
          <w:b/>
          <w:color w:val="auto"/>
          <w:sz w:val="21"/>
          <w:highlight w:val="none"/>
        </w:rPr>
      </w:pPr>
      <w:r>
        <w:rPr>
          <w:rFonts w:hint="eastAsia" w:hAnsi="宋体" w:cs="宋体"/>
          <w:b/>
          <w:color w:val="auto"/>
          <w:sz w:val="21"/>
          <w:highlight w:val="none"/>
        </w:rPr>
        <w:t>说明：</w:t>
      </w:r>
    </w:p>
    <w:p w14:paraId="3A06C2B7">
      <w:pPr>
        <w:pStyle w:val="27"/>
        <w:spacing w:line="440" w:lineRule="exact"/>
        <w:ind w:left="25" w:leftChars="12" w:firstLine="310" w:firstLineChars="147"/>
        <w:rPr>
          <w:rFonts w:hAnsi="宋体" w:cs="宋体"/>
          <w:b/>
          <w:bCs/>
          <w:color w:val="auto"/>
          <w:sz w:val="21"/>
          <w:highlight w:val="none"/>
        </w:rPr>
      </w:pPr>
      <w:r>
        <w:rPr>
          <w:rFonts w:hint="eastAsia" w:hAnsi="宋体" w:cs="宋体"/>
          <w:b/>
          <w:color w:val="auto"/>
          <w:sz w:val="21"/>
          <w:highlight w:val="none"/>
        </w:rPr>
        <w:t>1.投诉人提起投诉时，应当提交投诉书和必要的证明材料，并按照被投诉人和与投诉事项有关的供应商数量提供投诉书副本</w:t>
      </w:r>
      <w:r>
        <w:rPr>
          <w:rFonts w:hint="eastAsia" w:hAnsi="宋体" w:cs="宋体"/>
          <w:b/>
          <w:bCs/>
          <w:color w:val="auto"/>
          <w:sz w:val="21"/>
          <w:highlight w:val="none"/>
        </w:rPr>
        <w:t>。</w:t>
      </w:r>
    </w:p>
    <w:p w14:paraId="43F65D64">
      <w:pPr>
        <w:pStyle w:val="27"/>
        <w:spacing w:line="440" w:lineRule="exact"/>
        <w:ind w:left="25" w:leftChars="12" w:firstLine="310" w:firstLineChars="147"/>
        <w:rPr>
          <w:rFonts w:hAnsi="宋体" w:cs="宋体"/>
          <w:b/>
          <w:color w:val="auto"/>
          <w:sz w:val="21"/>
          <w:highlight w:val="none"/>
        </w:rPr>
      </w:pPr>
      <w:r>
        <w:rPr>
          <w:rFonts w:hint="eastAsia" w:hAnsi="宋体" w:cs="宋体"/>
          <w:b/>
          <w:color w:val="auto"/>
          <w:sz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E9392D1">
      <w:pPr>
        <w:pStyle w:val="27"/>
        <w:spacing w:line="440" w:lineRule="exact"/>
        <w:ind w:left="25" w:leftChars="12" w:firstLine="310" w:firstLineChars="147"/>
        <w:rPr>
          <w:rFonts w:hAnsi="宋体" w:cs="宋体"/>
          <w:b/>
          <w:color w:val="auto"/>
          <w:sz w:val="21"/>
          <w:highlight w:val="none"/>
        </w:rPr>
      </w:pPr>
      <w:r>
        <w:rPr>
          <w:rFonts w:hint="eastAsia" w:hAnsi="宋体" w:cs="宋体"/>
          <w:b/>
          <w:color w:val="auto"/>
          <w:sz w:val="21"/>
          <w:highlight w:val="none"/>
        </w:rPr>
        <w:t>3.投诉书应简要列明质疑事项，质疑函、质疑答复等作为附件材料提供。</w:t>
      </w:r>
    </w:p>
    <w:p w14:paraId="60E8F9B0">
      <w:pPr>
        <w:pStyle w:val="27"/>
        <w:spacing w:line="440" w:lineRule="exact"/>
        <w:ind w:left="25" w:leftChars="12" w:firstLine="310" w:firstLineChars="147"/>
        <w:rPr>
          <w:rFonts w:hAnsi="宋体" w:cs="宋体"/>
          <w:b/>
          <w:color w:val="auto"/>
          <w:sz w:val="21"/>
          <w:highlight w:val="none"/>
        </w:rPr>
      </w:pPr>
      <w:r>
        <w:rPr>
          <w:rFonts w:hint="eastAsia" w:hAnsi="宋体" w:cs="宋体"/>
          <w:b/>
          <w:color w:val="auto"/>
          <w:sz w:val="21"/>
          <w:highlight w:val="none"/>
        </w:rPr>
        <w:t>4.投诉书的投诉事项应具体、明确，并有必要的事实依据和法律依据。</w:t>
      </w:r>
    </w:p>
    <w:p w14:paraId="23EB13D1">
      <w:pPr>
        <w:pStyle w:val="27"/>
        <w:spacing w:line="440" w:lineRule="exact"/>
        <w:ind w:left="25" w:leftChars="12" w:firstLine="310" w:firstLineChars="147"/>
        <w:rPr>
          <w:rFonts w:hAnsi="宋体" w:cs="宋体"/>
          <w:b/>
          <w:color w:val="auto"/>
          <w:sz w:val="21"/>
          <w:highlight w:val="none"/>
        </w:rPr>
      </w:pPr>
      <w:r>
        <w:rPr>
          <w:rFonts w:hint="eastAsia" w:hAnsi="宋体" w:cs="宋体"/>
          <w:b/>
          <w:color w:val="auto"/>
          <w:sz w:val="21"/>
          <w:highlight w:val="none"/>
        </w:rPr>
        <w:t>5.投诉书的投诉请求应与投诉事项相关。</w:t>
      </w:r>
    </w:p>
    <w:p w14:paraId="79FCF17D">
      <w:pPr>
        <w:pStyle w:val="27"/>
        <w:spacing w:line="440" w:lineRule="exact"/>
        <w:ind w:left="25" w:leftChars="12" w:firstLine="310" w:firstLineChars="147"/>
        <w:rPr>
          <w:rFonts w:hAnsi="宋体" w:cs="宋体"/>
          <w:b/>
          <w:color w:val="auto"/>
          <w:sz w:val="21"/>
          <w:highlight w:val="none"/>
        </w:rPr>
      </w:pPr>
      <w:r>
        <w:rPr>
          <w:rFonts w:hint="eastAsia" w:hAnsi="宋体" w:cs="宋体"/>
          <w:b/>
          <w:color w:val="auto"/>
          <w:sz w:val="21"/>
          <w:highlight w:val="none"/>
        </w:rPr>
        <w:t>6.投诉人为法人或者其他组织的，投诉书应由法定代表人、主要负责人，或者其授权代表签字或者盖章，并加盖公章。</w:t>
      </w:r>
    </w:p>
    <w:sectPr>
      <w:footerReference r:id="rId21" w:type="first"/>
      <w:headerReference r:id="rId18" w:type="default"/>
      <w:footerReference r:id="rId19" w:type="default"/>
      <w:footerReference r:id="rId20" w:type="even"/>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7461B47E-1E40-4468-8025-7CE580B2223F}"/>
  </w:font>
  <w:font w:name="黑体">
    <w:panose1 w:val="02010609060101010101"/>
    <w:charset w:val="86"/>
    <w:family w:val="auto"/>
    <w:pitch w:val="default"/>
    <w:sig w:usb0="800002BF" w:usb1="38CF7CFA" w:usb2="00000016" w:usb3="00000000" w:csb0="00040001" w:csb1="00000000"/>
    <w:embedRegular r:id="rId2" w:fontKey="{EB9D7C5D-B776-4DDA-B6CA-3F06AB65D78D}"/>
  </w:font>
  <w:font w:name="Courier New">
    <w:panose1 w:val="02070309020205020404"/>
    <w:charset w:val="01"/>
    <w:family w:val="modern"/>
    <w:pitch w:val="default"/>
    <w:sig w:usb0="E0002AFF" w:usb1="C0007843" w:usb2="00000009" w:usb3="00000000" w:csb0="400001FF" w:csb1="FFFF0000"/>
    <w:embedRegular r:id="rId3" w:fontKey="{9F4CA557-985D-4410-9807-6FBE643D247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BEF954A2-7436-4ED8-B5EA-01F448DA1616}"/>
  </w:font>
  <w:font w:name="Cambria">
    <w:panose1 w:val="02040503050406030204"/>
    <w:charset w:val="00"/>
    <w:family w:val="roman"/>
    <w:pitch w:val="default"/>
    <w:sig w:usb0="E00002FF" w:usb1="400004FF" w:usb2="00000000" w:usb3="00000000" w:csb0="2000019F" w:csb1="00000000"/>
  </w:font>
  <w:font w:name="Century">
    <w:altName w:val="Nyala"/>
    <w:panose1 w:val="02040604050505020304"/>
    <w:charset w:val="00"/>
    <w:family w:val="roman"/>
    <w:pitch w:val="default"/>
    <w:sig w:usb0="00000000" w:usb1="00000000" w:usb2="00000000" w:usb3="00000000" w:csb0="2000009F" w:csb1="DFD70000"/>
  </w:font>
  <w:font w:name="Nyala">
    <w:panose1 w:val="02000504070300020003"/>
    <w:charset w:val="00"/>
    <w:family w:val="auto"/>
    <w:pitch w:val="default"/>
    <w:sig w:usb0="A000006F" w:usb1="00000000" w:usb2="00000800" w:usb3="00000000" w:csb0="00000093"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embedRegular r:id="rId5" w:fontKey="{BBDF3A92-5B6D-47B8-A7B0-8A0F4628E657}"/>
  </w:font>
  <w:font w:name="方正小标宋简体">
    <w:altName w:val="黑体"/>
    <w:panose1 w:val="02000000000000000000"/>
    <w:charset w:val="86"/>
    <w:family w:val="auto"/>
    <w:pitch w:val="default"/>
    <w:sig w:usb0="00000000" w:usb1="00000000" w:usb2="00000000" w:usb3="00000000" w:csb0="00040000" w:csb1="00000000"/>
  </w:font>
  <w:font w:name="Segoe UI Symbol">
    <w:panose1 w:val="020B0502040204020203"/>
    <w:charset w:val="00"/>
    <w:family w:val="swiss"/>
    <w:pitch w:val="default"/>
    <w:sig w:usb0="8000006F" w:usb1="1200FBEF" w:usb2="0064C000" w:usb3="00000002" w:csb0="00000001" w:csb1="40000000"/>
    <w:embedRegular r:id="rId6" w:fontKey="{F529897B-C499-4684-B68B-94B4F959D417}"/>
  </w:font>
  <w:font w:name="新宋体">
    <w:panose1 w:val="02010609030101010101"/>
    <w:charset w:val="86"/>
    <w:family w:val="modern"/>
    <w:pitch w:val="default"/>
    <w:sig w:usb0="00000003" w:usb1="288F0000" w:usb2="00000006" w:usb3="00000000" w:csb0="00040001" w:csb1="00000000"/>
    <w:embedRegular r:id="rId7" w:fontKey="{9761E215-95F1-4A3E-A92D-ACB712155EF5}"/>
  </w:font>
  <w:font w:name="MS PGothic">
    <w:panose1 w:val="020B0600070205080204"/>
    <w:charset w:val="80"/>
    <w:family w:val="auto"/>
    <w:pitch w:val="default"/>
    <w:sig w:usb0="E00002FF" w:usb1="6AC7FDFB" w:usb2="00000012" w:usb3="00000000" w:csb0="4002009F" w:csb1="DFD7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A705D">
    <w:pPr>
      <w:pStyle w:val="33"/>
    </w:pPr>
    <w:r>
      <w:rPr>
        <w:lang w:val="en-US"/>
      </w:rPr>
      <mc:AlternateContent>
        <mc:Choice Requires="wps">
          <w:drawing>
            <wp:anchor distT="0" distB="0" distL="114300" distR="114300" simplePos="0" relativeHeight="251659264" behindDoc="0" locked="0" layoutInCell="0" allowOverlap="1">
              <wp:simplePos x="0" y="0"/>
              <wp:positionH relativeFrom="page">
                <wp:align>center</wp:align>
              </wp:positionH>
              <wp:positionV relativeFrom="page">
                <wp:align>bottom</wp:align>
              </wp:positionV>
              <wp:extent cx="7772400" cy="442595"/>
              <wp:effectExtent l="0" t="0" r="0" b="14605"/>
              <wp:wrapNone/>
              <wp:docPr id="3" name="MSIPCM452541e6a3841bcb613bf07e" descr="{&quot;HashCode&quot;:1235388660,&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wps:spPr>
                    <wps:txbx>
                      <w:txbxContent>
                        <w:p w14:paraId="2065ABD4">
                          <w:pPr>
                            <w:jc w:val="center"/>
                            <w:rPr>
                              <w:rFonts w:ascii="Arial" w:hAnsi="Arial" w:cs="Arial"/>
                              <w:color w:val="626469"/>
                              <w:sz w:val="12"/>
                            </w:rPr>
                          </w:pPr>
                          <w:r>
                            <w:rPr>
                              <w:rFonts w:ascii="Arial" w:hAnsi="Arial" w:cs="Arial"/>
                              <w:color w:val="626469"/>
                              <w:sz w:val="12"/>
                            </w:rPr>
                            <w:t>Internal</w:t>
                          </w:r>
                        </w:p>
                      </w:txbxContent>
                    </wps:txbx>
                    <wps:bodyPr rot="0" spcFirstLastPara="0" vertOverflow="overflow" horzOverflow="overflow" vert="horz" wrap="square" lIns="91440" tIns="0" rIns="91440" bIns="0" numCol="1" spcCol="0" rtlCol="0" fromWordArt="0" anchor="ctr" anchorCtr="0" forceAA="0" compatLnSpc="1">
                      <a:noAutofit/>
                    </wps:bodyPr>
                  </wps:wsp>
                </a:graphicData>
              </a:graphic>
            </wp:anchor>
          </w:drawing>
        </mc:Choice>
        <mc:Fallback>
          <w:pict>
            <v:shape id="MSIPCM452541e6a3841bcb613bf07e" o:spid="_x0000_s1026" o:spt="202" alt="{&quot;HashCode&quot;:1235388660,&quot;Height&quot;:9999999.0,&quot;Width&quot;:9999999.0,&quot;Placement&quot;:&quot;Footer&quot;,&quot;Index&quot;:&quot;Primary&quot;,&quot;Section&quot;:1,&quot;Top&quot;:0.0,&quot;Left&quot;:0.0}" type="#_x0000_t202" style="position:absolute;left:0pt;height:34.85pt;width:612pt;mso-position-horizontal:center;mso-position-horizontal-relative:page;mso-position-vertical:bottom;mso-position-vertical-relative:page;z-index:251659264;v-text-anchor:middle;mso-width-relative:page;mso-height-relative:page;" filled="f" stroked="f" coordsize="21600,21600" o:allowincell="f" o:gfxdata="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l1RyYtQAAAAFAQAADwAAAAAAAAABACAAAAAiAAAAZHJzL2Rvd25yZXYu&#10;eG1sUEsBAhQAFAAAAAgAh07iQLgS7BGqAgAAZAUAAA4AAAAAAAAAAQAgAAAAIwEAAGRycy9lMm9E&#10;b2MueG1sUEsFBgAAAAAGAAYAWQEAAD8GAAAAAA==&#10;">
              <v:fill on="f" focussize="0,0"/>
              <v:stroke on="f" weight="0.5pt"/>
              <v:imagedata o:title=""/>
              <o:lock v:ext="edit" aspectratio="f"/>
              <v:textbox inset="2.54mm,0mm,2.54mm,0mm">
                <w:txbxContent>
                  <w:p w14:paraId="2065ABD4">
                    <w:pPr>
                      <w:jc w:val="center"/>
                      <w:rPr>
                        <w:rFonts w:ascii="Arial" w:hAnsi="Arial" w:cs="Arial"/>
                        <w:color w:val="626469"/>
                        <w:sz w:val="12"/>
                      </w:rPr>
                    </w:pPr>
                    <w:r>
                      <w:rPr>
                        <w:rFonts w:ascii="Arial" w:hAnsi="Arial" w:cs="Arial"/>
                        <w:color w:val="626469"/>
                        <w:sz w:val="12"/>
                      </w:rPr>
                      <w:t>Internal</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105C9">
    <w:pPr>
      <w:pStyle w:val="33"/>
      <w:jc w:val="cente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821176">
                          <w:pPr>
                            <w:pStyle w:val="33"/>
                          </w:pPr>
                          <w:r>
                            <w:fldChar w:fldCharType="begin"/>
                          </w:r>
                          <w:r>
                            <w:instrText xml:space="preserve"> PAGE  \* MERGEFORMAT </w:instrText>
                          </w:r>
                          <w:r>
                            <w:fldChar w:fldCharType="separate"/>
                          </w:r>
                          <w:r>
                            <w:t>107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3VycE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A3VycEtAgAAVwQAAA4AAAAAAAAAAQAgAAAAHwEAAGRycy9lMm9Eb2MueG1sUEsFBgAAAAAG&#10;AAYAWQEAAL4FAAAAAA==&#10;">
              <v:fill on="f" focussize="0,0"/>
              <v:stroke on="f" weight="0.5pt"/>
              <v:imagedata o:title=""/>
              <o:lock v:ext="edit" aspectratio="f"/>
              <v:textbox inset="0mm,0mm,0mm,0mm" style="mso-fit-shape-to-text:t;">
                <w:txbxContent>
                  <w:p w14:paraId="63821176">
                    <w:pPr>
                      <w:pStyle w:val="33"/>
                    </w:pPr>
                    <w:r>
                      <w:fldChar w:fldCharType="begin"/>
                    </w:r>
                    <w:r>
                      <w:instrText xml:space="preserve"> PAGE  \* MERGEFORMAT </w:instrText>
                    </w:r>
                    <w:r>
                      <w:fldChar w:fldCharType="separate"/>
                    </w:r>
                    <w:r>
                      <w:t>107</w:t>
                    </w:r>
                    <w:r>
                      <w:fldChar w:fldCharType="end"/>
                    </w:r>
                  </w:p>
                </w:txbxContent>
              </v:textbox>
            </v:shape>
          </w:pict>
        </mc:Fallback>
      </mc:AlternateContent>
    </w:r>
    <w:r>
      <w:rPr>
        <w:lang w:val="en-US"/>
      </w:rPr>
      <mc:AlternateContent>
        <mc:Choice Requires="wps">
          <w:drawing>
            <wp:anchor distT="0" distB="0" distL="114300" distR="114300" simplePos="0" relativeHeight="251661312" behindDoc="0" locked="0" layoutInCell="0" allowOverlap="1">
              <wp:simplePos x="0" y="0"/>
              <wp:positionH relativeFrom="page">
                <wp:align>center</wp:align>
              </wp:positionH>
              <wp:positionV relativeFrom="page">
                <wp:align>bottom</wp:align>
              </wp:positionV>
              <wp:extent cx="7772400" cy="442595"/>
              <wp:effectExtent l="0" t="0" r="0" b="14605"/>
              <wp:wrapNone/>
              <wp:docPr id="7" name="MSIPCMf4b74f45b8826f173e53ddea" descr="{&quot;HashCode&quot;:1235388660,&quot;Height&quot;:9999999.0,&quot;Width&quot;:9999999.0,&quot;Placement&quot;:&quot;Footer&quot;,&quot;Index&quot;:&quot;FirstPage&quot;,&quot;Section&quot;:4,&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wps:spPr>
                    <wps:txbx>
                      <w:txbxContent>
                        <w:p w14:paraId="06E1194F">
                          <w:pPr>
                            <w:jc w:val="center"/>
                            <w:rPr>
                              <w:rFonts w:ascii="Arial" w:hAnsi="Arial" w:cs="Arial"/>
                              <w:color w:val="626469"/>
                              <w:sz w:val="12"/>
                            </w:rPr>
                          </w:pPr>
                          <w:r>
                            <w:rPr>
                              <w:rFonts w:ascii="Arial" w:hAnsi="Arial" w:cs="Arial"/>
                              <w:color w:val="626469"/>
                              <w:sz w:val="12"/>
                            </w:rPr>
                            <w:t>Internal</w:t>
                          </w:r>
                        </w:p>
                      </w:txbxContent>
                    </wps:txbx>
                    <wps:bodyPr rot="0" spcFirstLastPara="0" vertOverflow="overflow" horzOverflow="overflow" vert="horz" wrap="square" lIns="91440" tIns="0" rIns="91440" bIns="0" numCol="1" spcCol="0" rtlCol="0" fromWordArt="0" anchor="ctr" anchorCtr="0" forceAA="0" compatLnSpc="1">
                      <a:noAutofit/>
                    </wps:bodyPr>
                  </wps:wsp>
                </a:graphicData>
              </a:graphic>
            </wp:anchor>
          </w:drawing>
        </mc:Choice>
        <mc:Fallback>
          <w:pict>
            <v:shape id="MSIPCMf4b74f45b8826f173e53ddea" o:spid="_x0000_s1026" o:spt="202" alt="{&quot;HashCode&quot;:1235388660,&quot;Height&quot;:9999999.0,&quot;Width&quot;:9999999.0,&quot;Placement&quot;:&quot;Footer&quot;,&quot;Index&quot;:&quot;FirstPage&quot;,&quot;Section&quot;:4,&quot;Top&quot;:0.0,&quot;Left&quot;:0.0}" type="#_x0000_t202" style="position:absolute;left:0pt;height:34.85pt;width:612pt;mso-position-horizontal:center;mso-position-horizontal-relative:page;mso-position-vertical:bottom;mso-position-vertical-relative:page;z-index:251661312;v-text-anchor:middle;mso-width-relative:page;mso-height-relative:page;" filled="f" stroked="f" coordsize="21600,21600" o:allowincell="f" o:gfxdata="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CXVHJi1AAAAAUBAAAPAAAAAAAAAAEAIAAAACIAAABkcnMvZG93bnJldi54&#10;bWxQSwECFAAUAAAACACHTuJABljwrakCAABmBQAADgAAAAAAAAABACAAAAAjAQAAZHJzL2Uyb0Rv&#10;Yy54bWxQSwUGAAAAAAYABgBZAQAAPgYAAAAA&#10;">
              <v:fill on="f" focussize="0,0"/>
              <v:stroke on="f" weight="0.5pt"/>
              <v:imagedata o:title=""/>
              <o:lock v:ext="edit" aspectratio="f"/>
              <v:textbox inset="2.54mm,0mm,2.54mm,0mm">
                <w:txbxContent>
                  <w:p w14:paraId="06E1194F">
                    <w:pPr>
                      <w:jc w:val="center"/>
                      <w:rPr>
                        <w:rFonts w:ascii="Arial" w:hAnsi="Arial" w:cs="Arial"/>
                        <w:color w:val="626469"/>
                        <w:sz w:val="12"/>
                      </w:rPr>
                    </w:pPr>
                    <w:r>
                      <w:rPr>
                        <w:rFonts w:ascii="Arial" w:hAnsi="Arial" w:cs="Arial"/>
                        <w:color w:val="626469"/>
                        <w:sz w:val="12"/>
                      </w:rPr>
                      <w:t>Internal</w:t>
                    </w:r>
                  </w:p>
                </w:txbxContent>
              </v:textbox>
            </v:shape>
          </w:pict>
        </mc:Fallback>
      </mc:AlternateContent>
    </w:r>
  </w:p>
  <w:p w14:paraId="356AECA2">
    <w:pPr>
      <w:pStyle w:val="33"/>
      <w:ind w:right="360"/>
      <w:jc w:val="both"/>
    </w:pPr>
  </w:p>
  <w:p w14:paraId="443FA33F"/>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2BE8B">
    <w:pPr>
      <w:pStyle w:val="33"/>
      <w:ind w:firstLine="450"/>
      <w:jc w:val="cente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662EC8">
                          <w:pPr>
                            <w:pStyle w:val="33"/>
                          </w:pPr>
                          <w:r>
                            <w:fldChar w:fldCharType="begin"/>
                          </w:r>
                          <w:r>
                            <w:instrText xml:space="preserve"> PAGE  \* MERGEFORMAT </w:instrText>
                          </w:r>
                          <w:r>
                            <w:fldChar w:fldCharType="separate"/>
                          </w:r>
                          <w:r>
                            <w:t>118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dUCbQ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JdUCbQtAgAAVwQAAA4AAAAAAAAAAQAgAAAAHwEAAGRycy9lMm9Eb2MueG1sUEsFBgAAAAAG&#10;AAYAWQEAAL4FAAAAAA==&#10;">
              <v:fill on="f" focussize="0,0"/>
              <v:stroke on="f" weight="0.5pt"/>
              <v:imagedata o:title=""/>
              <o:lock v:ext="edit" aspectratio="f"/>
              <v:textbox inset="0mm,0mm,0mm,0mm" style="mso-fit-shape-to-text:t;">
                <w:txbxContent>
                  <w:p w14:paraId="20662EC8">
                    <w:pPr>
                      <w:pStyle w:val="33"/>
                    </w:pPr>
                    <w:r>
                      <w:fldChar w:fldCharType="begin"/>
                    </w:r>
                    <w:r>
                      <w:instrText xml:space="preserve"> PAGE  \* MERGEFORMAT </w:instrText>
                    </w:r>
                    <w:r>
                      <w:fldChar w:fldCharType="separate"/>
                    </w:r>
                    <w:r>
                      <w:t>118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65D1C">
    <w:pPr>
      <w:pStyle w:val="33"/>
      <w:framePr w:wrap="around" w:vAnchor="text" w:hAnchor="margin" w:xAlign="center" w:y="1"/>
      <w:ind w:firstLine="450"/>
      <w:rPr>
        <w:rStyle w:val="56"/>
      </w:rPr>
    </w:pPr>
    <w:r>
      <w:fldChar w:fldCharType="begin"/>
    </w:r>
    <w:r>
      <w:rPr>
        <w:rStyle w:val="56"/>
      </w:rPr>
      <w:instrText xml:space="preserve">PAGE  </w:instrText>
    </w:r>
    <w:r>
      <w:fldChar w:fldCharType="end"/>
    </w:r>
  </w:p>
  <w:p w14:paraId="6D290AB7">
    <w:pPr>
      <w:pStyle w:val="33"/>
      <w:ind w:firstLine="450"/>
    </w:pPr>
  </w:p>
  <w:p w14:paraId="2D827981"/>
  <w:p w14:paraId="038AF6DF"/>
  <w:p w14:paraId="60A2EA35"/>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C0400">
    <w:pPr>
      <w:pStyle w:val="33"/>
      <w:ind w:right="360" w:firstLine="45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2B061">
    <w:pPr>
      <w:pStyle w:val="33"/>
    </w:pPr>
    <w:r>
      <w:rPr>
        <w:lang w:val="en-US"/>
      </w:rPr>
      <mc:AlternateContent>
        <mc:Choice Requires="wps">
          <w:drawing>
            <wp:anchor distT="0" distB="0" distL="114300" distR="114300" simplePos="0" relativeHeight="251660288" behindDoc="0" locked="0" layoutInCell="0" allowOverlap="1">
              <wp:simplePos x="0" y="0"/>
              <wp:positionH relativeFrom="page">
                <wp:align>center</wp:align>
              </wp:positionH>
              <wp:positionV relativeFrom="page">
                <wp:align>bottom</wp:align>
              </wp:positionV>
              <wp:extent cx="7772400" cy="442595"/>
              <wp:effectExtent l="0" t="0" r="0" b="14605"/>
              <wp:wrapNone/>
              <wp:docPr id="4" name="MSIPCMac2340c98306ccd56ca2e4b3" descr="{&quot;HashCode&quot;:1235388660,&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wps:spPr>
                    <wps:txbx>
                      <w:txbxContent>
                        <w:p w14:paraId="1A934CF0"/>
                      </w:txbxContent>
                    </wps:txbx>
                    <wps:bodyPr rot="0" spcFirstLastPara="0" vertOverflow="overflow" horzOverflow="overflow" vert="horz" wrap="square" lIns="91440" tIns="0" rIns="91440" bIns="0" numCol="1" spcCol="0" rtlCol="0" fromWordArt="0" anchor="ctr" anchorCtr="0" forceAA="0" compatLnSpc="1">
                      <a:noAutofit/>
                    </wps:bodyPr>
                  </wps:wsp>
                </a:graphicData>
              </a:graphic>
            </wp:anchor>
          </w:drawing>
        </mc:Choice>
        <mc:Fallback>
          <w:pict>
            <v:shape id="MSIPCMac2340c98306ccd56ca2e4b3" o:spid="_x0000_s1026" o:spt="202" alt="{&quot;HashCode&quot;:1235388660,&quot;Height&quot;:9999999.0,&quot;Width&quot;:9999999.0,&quot;Placement&quot;:&quot;Footer&quot;,&quot;Index&quot;:&quot;FirstPage&quot;,&quot;Section&quot;:1,&quot;Top&quot;:0.0,&quot;Left&quot;:0.0}" type="#_x0000_t202" style="position:absolute;left:0pt;height:34.85pt;width:612pt;mso-position-horizontal:center;mso-position-horizontal-relative:page;mso-position-vertical:bottom;mso-position-vertical-relative:page;z-index:251660288;v-text-anchor:middle;mso-width-relative:page;mso-height-relative:page;" filled="f" stroked="f" coordsize="21600,21600" o:allowincell="f" o:gfxdata="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CXVHJi1AAAAAUBAAAPAAAAAAAAAAEAIAAAACIAAABkcnMvZG93bnJldi54&#10;bWxQSwECFAAUAAAACACHTuJAKhZDmakCAABmBQAADgAAAAAAAAABACAAAAAjAQAAZHJzL2Uyb0Rv&#10;Yy54bWxQSwUGAAAAAAYABgBZAQAAPgYAAAAA&#10;">
              <v:fill on="f" focussize="0,0"/>
              <v:stroke on="f" weight="0.5pt"/>
              <v:imagedata o:title=""/>
              <o:lock v:ext="edit" aspectratio="f"/>
              <v:textbox inset="2.54mm,0mm,2.54mm,0mm">
                <w:txbxContent>
                  <w:p w14:paraId="1A934CF0"/>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DE2E0">
    <w:pPr>
      <w:spacing w:line="176" w:lineRule="auto"/>
      <w:ind w:left="4740"/>
      <w:rPr>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D2BA42">
                          <w:pPr>
                            <w:pStyle w:val="33"/>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4AZkgtAgAAVwQAAA4AAABkcnMvZTJvRG9jLnhtbK1UzY7TMBC+I/EO&#10;lu80aVes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4AZkgtAgAAVwQAAA4AAAAAAAAAAQAgAAAAHwEAAGRycy9lMm9Eb2MueG1sUEsFBgAAAAAG&#10;AAYAWQEAAL4FAAAAAA==&#10;">
              <v:fill on="f" focussize="0,0"/>
              <v:stroke on="f" weight="0.5pt"/>
              <v:imagedata o:title=""/>
              <o:lock v:ext="edit" aspectratio="f"/>
              <v:textbox inset="0mm,0mm,0mm,0mm" style="mso-fit-shape-to-text:t;">
                <w:txbxContent>
                  <w:p w14:paraId="2AD2BA42">
                    <w:pPr>
                      <w:pStyle w:val="33"/>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AC9FD">
    <w:pPr>
      <w:spacing w:line="176" w:lineRule="auto"/>
      <w:ind w:left="4740"/>
      <w:rPr>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FCB1DE">
                          <w:pPr>
                            <w:pStyle w:val="33"/>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J7cdktAgAAV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J7cdktAgAAVwQAAA4AAAAAAAAAAQAgAAAAHwEAAGRycy9lMm9Eb2MueG1sUEsFBgAAAAAG&#10;AAYAWQEAAL4FAAAAAA==&#10;">
              <v:fill on="f" focussize="0,0"/>
              <v:stroke on="f" weight="0.5pt"/>
              <v:imagedata o:title=""/>
              <o:lock v:ext="edit" aspectratio="f"/>
              <v:textbox inset="0mm,0mm,0mm,0mm" style="mso-fit-shape-to-text:t;">
                <w:txbxContent>
                  <w:p w14:paraId="30FCB1DE">
                    <w:pPr>
                      <w:pStyle w:val="33"/>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B947D">
    <w:pPr>
      <w:spacing w:line="176" w:lineRule="auto"/>
      <w:ind w:left="4740"/>
      <w:rPr>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4581B8">
                          <w:pPr>
                            <w:pStyle w:val="33"/>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o2IpktAgAAV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o2IpktAgAAVwQAAA4AAAAAAAAAAQAgAAAAHwEAAGRycy9lMm9Eb2MueG1sUEsFBgAAAAAG&#10;AAYAWQEAAL4FAAAAAA==&#10;">
              <v:fill on="f" focussize="0,0"/>
              <v:stroke on="f" weight="0.5pt"/>
              <v:imagedata o:title=""/>
              <o:lock v:ext="edit" aspectratio="f"/>
              <v:textbox inset="0mm,0mm,0mm,0mm" style="mso-fit-shape-to-text:t;">
                <w:txbxContent>
                  <w:p w14:paraId="0D4581B8">
                    <w:pPr>
                      <w:pStyle w:val="33"/>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C7499">
    <w:pPr>
      <w:spacing w:line="176" w:lineRule="auto"/>
      <w:ind w:left="4716"/>
      <w:rPr>
        <w:rFonts w:eastAsia="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49C6CC">
                          <w:pPr>
                            <w:pStyle w:val="33"/>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Lg11ktAgAAV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Lg11ktAgAAVwQAAA4AAAAAAAAAAQAgAAAAHwEAAGRycy9lMm9Eb2MueG1sUEsFBgAAAAAG&#10;AAYAWQEAAL4FAAAAAA==&#10;">
              <v:fill on="f" focussize="0,0"/>
              <v:stroke on="f" weight="0.5pt"/>
              <v:imagedata o:title=""/>
              <o:lock v:ext="edit" aspectratio="f"/>
              <v:textbox inset="0mm,0mm,0mm,0mm" style="mso-fit-shape-to-text:t;">
                <w:txbxContent>
                  <w:p w14:paraId="4849C6CC">
                    <w:pPr>
                      <w:pStyle w:val="33"/>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61760">
    <w:pPr>
      <w:spacing w:line="176" w:lineRule="auto"/>
      <w:ind w:left="4731"/>
      <w:rPr>
        <w:rFonts w:eastAsia="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B179B5">
                          <w:pPr>
                            <w:pStyle w:val="33"/>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1Ob0EtAgAAV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1Ob0EtAgAAVwQAAA4AAAAAAAAAAQAgAAAAHwEAAGRycy9lMm9Eb2MueG1sUEsFBgAAAAAG&#10;AAYAWQEAAL4FAAAAAA==&#10;">
              <v:fill on="f" focussize="0,0"/>
              <v:stroke on="f" weight="0.5pt"/>
              <v:imagedata o:title=""/>
              <o:lock v:ext="edit" aspectratio="f"/>
              <v:textbox inset="0mm,0mm,0mm,0mm" style="mso-fit-shape-to-text:t;">
                <w:txbxContent>
                  <w:p w14:paraId="1AB179B5">
                    <w:pPr>
                      <w:pStyle w:val="33"/>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0D961">
    <w:pPr>
      <w:pStyle w:val="33"/>
      <w:jc w:val="cente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F2279D">
                          <w:pPr>
                            <w:pStyle w:val="33"/>
                          </w:pPr>
                          <w:r>
                            <w:fldChar w:fldCharType="begin"/>
                          </w:r>
                          <w:r>
                            <w:instrText xml:space="preserve"> PAGE  \* MERGEFORMAT </w:instrText>
                          </w:r>
                          <w:r>
                            <w:fldChar w:fldCharType="separate"/>
                          </w:r>
                          <w:r>
                            <w:t>108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WYmoEtAgAAV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WYmoEtAgAAVwQAAA4AAAAAAAAAAQAgAAAAHwEAAGRycy9lMm9Eb2MueG1sUEsFBgAAAAAG&#10;AAYAWQEAAL4FAAAAAA==&#10;">
              <v:fill on="f" focussize="0,0"/>
              <v:stroke on="f" weight="0.5pt"/>
              <v:imagedata o:title=""/>
              <o:lock v:ext="edit" aspectratio="f"/>
              <v:textbox inset="0mm,0mm,0mm,0mm" style="mso-fit-shape-to-text:t;">
                <w:txbxContent>
                  <w:p w14:paraId="5BF2279D">
                    <w:pPr>
                      <w:pStyle w:val="33"/>
                    </w:pPr>
                    <w:r>
                      <w:fldChar w:fldCharType="begin"/>
                    </w:r>
                    <w:r>
                      <w:instrText xml:space="preserve"> PAGE  \* MERGEFORMAT </w:instrText>
                    </w:r>
                    <w:r>
                      <w:fldChar w:fldCharType="separate"/>
                    </w:r>
                    <w:r>
                      <w:t>108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446F3">
    <w:pPr>
      <w:pStyle w:val="33"/>
      <w:framePr w:wrap="around" w:vAnchor="text" w:hAnchor="margin" w:xAlign="center" w:y="1"/>
      <w:rPr>
        <w:rStyle w:val="56"/>
      </w:rPr>
    </w:pPr>
    <w:r>
      <w:fldChar w:fldCharType="begin"/>
    </w:r>
    <w:r>
      <w:rPr>
        <w:rStyle w:val="56"/>
      </w:rPr>
      <w:instrText xml:space="preserve">PAGE  </w:instrText>
    </w:r>
    <w:r>
      <w:fldChar w:fldCharType="end"/>
    </w:r>
  </w:p>
  <w:p w14:paraId="4DA3707D">
    <w:pPr>
      <w:pStyle w:val="33"/>
    </w:pPr>
  </w:p>
  <w:p w14:paraId="0267E86C"/>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ADE9F">
    <w:pPr>
      <w:pStyle w:val="34"/>
      <w:pBdr>
        <w:bottom w:val="none" w:color="auto" w:sz="0" w:space="1"/>
      </w:pBdr>
      <w:tabs>
        <w:tab w:val="center" w:pos="4153"/>
        <w:tab w:val="right" w:pos="8306"/>
        <w:tab w:val="clear" w:pos="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085BE">
    <w:pPr>
      <w:pStyle w:val="34"/>
      <w:tabs>
        <w:tab w:val="center" w:pos="4153"/>
        <w:tab w:val="right" w:pos="8306"/>
        <w:tab w:val="clear" w:pos="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0EB6A">
    <w:pPr>
      <w:pStyle w:val="34"/>
      <w:tabs>
        <w:tab w:val="center" w:pos="4153"/>
        <w:tab w:val="right" w:pos="8306"/>
        <w:tab w:val="clear" w:pos="0"/>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D3CA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AB477"/>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6F1F8">
    <w:pPr>
      <w:pStyle w:val="34"/>
      <w:pBdr>
        <w:bottom w:val="none" w:color="auto" w:sz="0" w:space="0"/>
      </w:pBdr>
      <w:ind w:firstLine="450"/>
    </w:pPr>
  </w:p>
  <w:p w14:paraId="027634E8"/>
  <w:p w14:paraId="5786D208"/>
  <w:p w14:paraId="556B536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0F15A3"/>
    <w:multiLevelType w:val="singleLevel"/>
    <w:tmpl w:val="D60F15A3"/>
    <w:lvl w:ilvl="0" w:tentative="0">
      <w:start w:val="3"/>
      <w:numFmt w:val="decimal"/>
      <w:lvlText w:val="%1."/>
      <w:lvlJc w:val="left"/>
      <w:pPr>
        <w:tabs>
          <w:tab w:val="left" w:pos="312"/>
        </w:tabs>
      </w:pPr>
    </w:lvl>
  </w:abstractNum>
  <w:abstractNum w:abstractNumId="1">
    <w:nsid w:val="FFFFFF7E"/>
    <w:multiLevelType w:val="singleLevel"/>
    <w:tmpl w:val="FFFFFF7E"/>
    <w:lvl w:ilvl="0" w:tentative="0">
      <w:start w:val="1"/>
      <w:numFmt w:val="decimal"/>
      <w:pStyle w:val="22"/>
      <w:lvlText w:val="%1."/>
      <w:lvlJc w:val="left"/>
      <w:pPr>
        <w:tabs>
          <w:tab w:val="left" w:pos="1200"/>
        </w:tabs>
        <w:ind w:left="1200" w:hanging="360"/>
      </w:pPr>
    </w:lvl>
  </w:abstractNum>
  <w:abstractNum w:abstractNumId="2">
    <w:nsid w:val="2B4D7D5E"/>
    <w:multiLevelType w:val="singleLevel"/>
    <w:tmpl w:val="2B4D7D5E"/>
    <w:lvl w:ilvl="0" w:tentative="0">
      <w:start w:val="1"/>
      <w:numFmt w:val="decimal"/>
      <w:suff w:val="nothing"/>
      <w:lvlText w:val="（%1）"/>
      <w:lvlJc w:val="left"/>
    </w:lvl>
  </w:abstractNum>
  <w:abstractNum w:abstractNumId="3">
    <w:nsid w:val="2F489789"/>
    <w:multiLevelType w:val="singleLevel"/>
    <w:tmpl w:val="2F489789"/>
    <w:lvl w:ilvl="0" w:tentative="0">
      <w:start w:val="5"/>
      <w:numFmt w:val="decimal"/>
      <w:lvlText w:val="%1."/>
      <w:lvlJc w:val="left"/>
      <w:pPr>
        <w:tabs>
          <w:tab w:val="left" w:pos="312"/>
        </w:tabs>
      </w:pPr>
    </w:lvl>
  </w:abstractNum>
  <w:abstractNum w:abstractNumId="4">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5">
    <w:nsid w:val="3C9CA0FB"/>
    <w:multiLevelType w:val="singleLevel"/>
    <w:tmpl w:val="3C9CA0FB"/>
    <w:lvl w:ilvl="0" w:tentative="0">
      <w:start w:val="2"/>
      <w:numFmt w:val="chineseCounting"/>
      <w:suff w:val="nothing"/>
      <w:lvlText w:val="第%1条　"/>
      <w:lvlJc w:val="left"/>
      <w:rPr>
        <w:rFonts w:hint="eastAsia"/>
      </w:rPr>
    </w:lvl>
  </w:abstractNum>
  <w:abstractNum w:abstractNumId="6">
    <w:nsid w:val="4C601917"/>
    <w:multiLevelType w:val="singleLevel"/>
    <w:tmpl w:val="4C601917"/>
    <w:lvl w:ilvl="0" w:tentative="0">
      <w:start w:val="1"/>
      <w:numFmt w:val="decimal"/>
      <w:suff w:val="nothing"/>
      <w:lvlText w:val="（%1）"/>
      <w:lvlJc w:val="left"/>
      <w:pPr>
        <w:ind w:left="-2"/>
      </w:pPr>
    </w:lvl>
  </w:abstractNum>
  <w:abstractNum w:abstractNumId="7">
    <w:nsid w:val="5FABD14B"/>
    <w:multiLevelType w:val="singleLevel"/>
    <w:tmpl w:val="5FABD14B"/>
    <w:lvl w:ilvl="0" w:tentative="0">
      <w:start w:val="1"/>
      <w:numFmt w:val="decimal"/>
      <w:suff w:val="nothing"/>
      <w:lvlText w:val="（%1）"/>
      <w:lvlJc w:val="left"/>
    </w:lvl>
  </w:abstractNum>
  <w:abstractNum w:abstractNumId="8">
    <w:nsid w:val="763060DB"/>
    <w:multiLevelType w:val="multilevel"/>
    <w:tmpl w:val="763060DB"/>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4"/>
  </w:num>
  <w:num w:numId="2">
    <w:abstractNumId w:val="1"/>
  </w:num>
  <w:num w:numId="3">
    <w:abstractNumId w:val="0"/>
  </w:num>
  <w:num w:numId="4">
    <w:abstractNumId w:val="3"/>
  </w:num>
  <w:num w:numId="5">
    <w:abstractNumId w:val="6"/>
  </w:num>
  <w:num w:numId="6">
    <w:abstractNumId w:val="7"/>
  </w:num>
  <w:num w:numId="7">
    <w:abstractNumId w:val="2"/>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E3ZTAyMmY5MGFiNjQ3ZGI5NWZkNzFmZTQ2YmY0MWEifQ=="/>
  </w:docVars>
  <w:rsids>
    <w:rsidRoot w:val="00172A27"/>
    <w:rsid w:val="000004ED"/>
    <w:rsid w:val="0000122C"/>
    <w:rsid w:val="000060FF"/>
    <w:rsid w:val="0000733E"/>
    <w:rsid w:val="0001028F"/>
    <w:rsid w:val="0001245C"/>
    <w:rsid w:val="00020776"/>
    <w:rsid w:val="00024DE6"/>
    <w:rsid w:val="000274A4"/>
    <w:rsid w:val="00043BFC"/>
    <w:rsid w:val="000452D2"/>
    <w:rsid w:val="00051FAA"/>
    <w:rsid w:val="00055B62"/>
    <w:rsid w:val="00060028"/>
    <w:rsid w:val="0006004F"/>
    <w:rsid w:val="0007245B"/>
    <w:rsid w:val="00073BB7"/>
    <w:rsid w:val="00077132"/>
    <w:rsid w:val="0008274C"/>
    <w:rsid w:val="00082E78"/>
    <w:rsid w:val="000849F6"/>
    <w:rsid w:val="00094E95"/>
    <w:rsid w:val="000A1370"/>
    <w:rsid w:val="000A5FA9"/>
    <w:rsid w:val="000A6001"/>
    <w:rsid w:val="000B009A"/>
    <w:rsid w:val="000B7A83"/>
    <w:rsid w:val="000C3FEB"/>
    <w:rsid w:val="000C5F6D"/>
    <w:rsid w:val="000D1955"/>
    <w:rsid w:val="000D20CF"/>
    <w:rsid w:val="000D3408"/>
    <w:rsid w:val="000D7EA0"/>
    <w:rsid w:val="000E6E0F"/>
    <w:rsid w:val="000E71AC"/>
    <w:rsid w:val="000F2F9B"/>
    <w:rsid w:val="000F3252"/>
    <w:rsid w:val="000F3F7D"/>
    <w:rsid w:val="000F6470"/>
    <w:rsid w:val="00100AB6"/>
    <w:rsid w:val="001015EA"/>
    <w:rsid w:val="001100C6"/>
    <w:rsid w:val="00116DAD"/>
    <w:rsid w:val="0012068F"/>
    <w:rsid w:val="001247F5"/>
    <w:rsid w:val="00124B76"/>
    <w:rsid w:val="001274DD"/>
    <w:rsid w:val="00135D8F"/>
    <w:rsid w:val="00140A69"/>
    <w:rsid w:val="00142805"/>
    <w:rsid w:val="00156A9F"/>
    <w:rsid w:val="00164F21"/>
    <w:rsid w:val="00172A27"/>
    <w:rsid w:val="00176610"/>
    <w:rsid w:val="00182DFC"/>
    <w:rsid w:val="00195061"/>
    <w:rsid w:val="001970D1"/>
    <w:rsid w:val="001A2AA6"/>
    <w:rsid w:val="001B1FC7"/>
    <w:rsid w:val="001B20CD"/>
    <w:rsid w:val="001B27B0"/>
    <w:rsid w:val="001B38BB"/>
    <w:rsid w:val="001B39C8"/>
    <w:rsid w:val="001C0875"/>
    <w:rsid w:val="001C33C8"/>
    <w:rsid w:val="001C4FF3"/>
    <w:rsid w:val="001C539D"/>
    <w:rsid w:val="001C58BE"/>
    <w:rsid w:val="001D290A"/>
    <w:rsid w:val="001E2825"/>
    <w:rsid w:val="001E51E4"/>
    <w:rsid w:val="001E78C2"/>
    <w:rsid w:val="001F3906"/>
    <w:rsid w:val="00200E84"/>
    <w:rsid w:val="002043D0"/>
    <w:rsid w:val="00204A34"/>
    <w:rsid w:val="0020758D"/>
    <w:rsid w:val="00216012"/>
    <w:rsid w:val="00216E4C"/>
    <w:rsid w:val="00221BF4"/>
    <w:rsid w:val="00225F4C"/>
    <w:rsid w:val="00235CE6"/>
    <w:rsid w:val="00237B7A"/>
    <w:rsid w:val="00244FDB"/>
    <w:rsid w:val="00245F0C"/>
    <w:rsid w:val="00246B39"/>
    <w:rsid w:val="00246DE4"/>
    <w:rsid w:val="00250D1B"/>
    <w:rsid w:val="0025443E"/>
    <w:rsid w:val="00257C9F"/>
    <w:rsid w:val="00273E85"/>
    <w:rsid w:val="00277894"/>
    <w:rsid w:val="002779F9"/>
    <w:rsid w:val="00282CF6"/>
    <w:rsid w:val="002904AE"/>
    <w:rsid w:val="00290B50"/>
    <w:rsid w:val="002A5C27"/>
    <w:rsid w:val="002A5C53"/>
    <w:rsid w:val="002B18E8"/>
    <w:rsid w:val="002B1962"/>
    <w:rsid w:val="002B6EA8"/>
    <w:rsid w:val="002C5647"/>
    <w:rsid w:val="002C6C44"/>
    <w:rsid w:val="002D1A67"/>
    <w:rsid w:val="002D61B4"/>
    <w:rsid w:val="002D6BC7"/>
    <w:rsid w:val="002E0D21"/>
    <w:rsid w:val="002E3009"/>
    <w:rsid w:val="002E7855"/>
    <w:rsid w:val="002F3544"/>
    <w:rsid w:val="002F3BF9"/>
    <w:rsid w:val="002F7D5E"/>
    <w:rsid w:val="00301753"/>
    <w:rsid w:val="00306DC4"/>
    <w:rsid w:val="00312ECA"/>
    <w:rsid w:val="00314CB8"/>
    <w:rsid w:val="0032044B"/>
    <w:rsid w:val="003219C2"/>
    <w:rsid w:val="0032651C"/>
    <w:rsid w:val="003330DD"/>
    <w:rsid w:val="00336476"/>
    <w:rsid w:val="00337AD9"/>
    <w:rsid w:val="003421AB"/>
    <w:rsid w:val="00342D59"/>
    <w:rsid w:val="00345951"/>
    <w:rsid w:val="003470F9"/>
    <w:rsid w:val="00347919"/>
    <w:rsid w:val="00350C65"/>
    <w:rsid w:val="00350E51"/>
    <w:rsid w:val="003530A8"/>
    <w:rsid w:val="003531AF"/>
    <w:rsid w:val="003673B4"/>
    <w:rsid w:val="0038077A"/>
    <w:rsid w:val="00380ACA"/>
    <w:rsid w:val="00383AE3"/>
    <w:rsid w:val="003849FE"/>
    <w:rsid w:val="00384BA6"/>
    <w:rsid w:val="00385F51"/>
    <w:rsid w:val="00387D2F"/>
    <w:rsid w:val="003A2D2F"/>
    <w:rsid w:val="003A52B7"/>
    <w:rsid w:val="003B0506"/>
    <w:rsid w:val="003B2A94"/>
    <w:rsid w:val="003C0707"/>
    <w:rsid w:val="003D0FF4"/>
    <w:rsid w:val="003D5DA6"/>
    <w:rsid w:val="003E16DD"/>
    <w:rsid w:val="003E195B"/>
    <w:rsid w:val="003E1A00"/>
    <w:rsid w:val="003E4919"/>
    <w:rsid w:val="003F07C0"/>
    <w:rsid w:val="003F7B55"/>
    <w:rsid w:val="0040237A"/>
    <w:rsid w:val="004047D3"/>
    <w:rsid w:val="004101F7"/>
    <w:rsid w:val="004127DE"/>
    <w:rsid w:val="00413248"/>
    <w:rsid w:val="00413CDB"/>
    <w:rsid w:val="004160D6"/>
    <w:rsid w:val="00416702"/>
    <w:rsid w:val="00416839"/>
    <w:rsid w:val="004175D0"/>
    <w:rsid w:val="00422E21"/>
    <w:rsid w:val="00423771"/>
    <w:rsid w:val="00426802"/>
    <w:rsid w:val="00436AEC"/>
    <w:rsid w:val="0044042C"/>
    <w:rsid w:val="00446F68"/>
    <w:rsid w:val="0045132C"/>
    <w:rsid w:val="00454008"/>
    <w:rsid w:val="0046141B"/>
    <w:rsid w:val="00470032"/>
    <w:rsid w:val="0047053D"/>
    <w:rsid w:val="004725C6"/>
    <w:rsid w:val="00485264"/>
    <w:rsid w:val="00486091"/>
    <w:rsid w:val="00486335"/>
    <w:rsid w:val="00490317"/>
    <w:rsid w:val="00491BFD"/>
    <w:rsid w:val="004A2AFE"/>
    <w:rsid w:val="004B1BDB"/>
    <w:rsid w:val="004B2CF3"/>
    <w:rsid w:val="004B5168"/>
    <w:rsid w:val="004C10F5"/>
    <w:rsid w:val="004C19A1"/>
    <w:rsid w:val="004C3277"/>
    <w:rsid w:val="004C5564"/>
    <w:rsid w:val="004C7E46"/>
    <w:rsid w:val="004D2AE7"/>
    <w:rsid w:val="004D59E5"/>
    <w:rsid w:val="004D7C8E"/>
    <w:rsid w:val="004F1566"/>
    <w:rsid w:val="004F5F53"/>
    <w:rsid w:val="005001E4"/>
    <w:rsid w:val="00502706"/>
    <w:rsid w:val="0050285B"/>
    <w:rsid w:val="00526EE1"/>
    <w:rsid w:val="005469BA"/>
    <w:rsid w:val="00551EE1"/>
    <w:rsid w:val="0056534D"/>
    <w:rsid w:val="0057612C"/>
    <w:rsid w:val="00577181"/>
    <w:rsid w:val="00587AA1"/>
    <w:rsid w:val="005A21F3"/>
    <w:rsid w:val="005B1851"/>
    <w:rsid w:val="005B35D3"/>
    <w:rsid w:val="005B726E"/>
    <w:rsid w:val="005C7444"/>
    <w:rsid w:val="005D12E6"/>
    <w:rsid w:val="005D2983"/>
    <w:rsid w:val="005E0B78"/>
    <w:rsid w:val="005E0DD5"/>
    <w:rsid w:val="005E1C49"/>
    <w:rsid w:val="005E44A7"/>
    <w:rsid w:val="005E48D1"/>
    <w:rsid w:val="005E6221"/>
    <w:rsid w:val="005F02CD"/>
    <w:rsid w:val="00610665"/>
    <w:rsid w:val="00616E74"/>
    <w:rsid w:val="006208AB"/>
    <w:rsid w:val="00620905"/>
    <w:rsid w:val="00623142"/>
    <w:rsid w:val="006246D0"/>
    <w:rsid w:val="00624C8C"/>
    <w:rsid w:val="00626E43"/>
    <w:rsid w:val="006274CA"/>
    <w:rsid w:val="006349AC"/>
    <w:rsid w:val="00636BE4"/>
    <w:rsid w:val="006406B8"/>
    <w:rsid w:val="0064191F"/>
    <w:rsid w:val="006440DC"/>
    <w:rsid w:val="00646C13"/>
    <w:rsid w:val="00650EF2"/>
    <w:rsid w:val="006518DA"/>
    <w:rsid w:val="00651C42"/>
    <w:rsid w:val="00653248"/>
    <w:rsid w:val="0066306D"/>
    <w:rsid w:val="006709F3"/>
    <w:rsid w:val="006756A7"/>
    <w:rsid w:val="0067586B"/>
    <w:rsid w:val="006800E5"/>
    <w:rsid w:val="006801C4"/>
    <w:rsid w:val="00682F36"/>
    <w:rsid w:val="00694C4A"/>
    <w:rsid w:val="0069544C"/>
    <w:rsid w:val="006A7D66"/>
    <w:rsid w:val="006A7E7E"/>
    <w:rsid w:val="006B05A2"/>
    <w:rsid w:val="006B1E64"/>
    <w:rsid w:val="006B423F"/>
    <w:rsid w:val="006B50A8"/>
    <w:rsid w:val="006B6D1F"/>
    <w:rsid w:val="006B7B55"/>
    <w:rsid w:val="006C2B42"/>
    <w:rsid w:val="006C4D00"/>
    <w:rsid w:val="006C6CD4"/>
    <w:rsid w:val="006D477F"/>
    <w:rsid w:val="006E0F9F"/>
    <w:rsid w:val="006E32A4"/>
    <w:rsid w:val="006E5716"/>
    <w:rsid w:val="006F2F05"/>
    <w:rsid w:val="006F59F3"/>
    <w:rsid w:val="006F657F"/>
    <w:rsid w:val="00703CA8"/>
    <w:rsid w:val="00707672"/>
    <w:rsid w:val="00710DE4"/>
    <w:rsid w:val="00711118"/>
    <w:rsid w:val="00711E2C"/>
    <w:rsid w:val="0071521E"/>
    <w:rsid w:val="007221C9"/>
    <w:rsid w:val="007231F1"/>
    <w:rsid w:val="00724CD4"/>
    <w:rsid w:val="007328BB"/>
    <w:rsid w:val="00736F39"/>
    <w:rsid w:val="007524CD"/>
    <w:rsid w:val="007525BE"/>
    <w:rsid w:val="00755058"/>
    <w:rsid w:val="00757DCD"/>
    <w:rsid w:val="00761694"/>
    <w:rsid w:val="00761B9E"/>
    <w:rsid w:val="00762A48"/>
    <w:rsid w:val="00763543"/>
    <w:rsid w:val="00764362"/>
    <w:rsid w:val="007712ED"/>
    <w:rsid w:val="00772209"/>
    <w:rsid w:val="00772C72"/>
    <w:rsid w:val="00775D4B"/>
    <w:rsid w:val="007771B1"/>
    <w:rsid w:val="007779C1"/>
    <w:rsid w:val="00777AF6"/>
    <w:rsid w:val="00777E53"/>
    <w:rsid w:val="00780000"/>
    <w:rsid w:val="00781985"/>
    <w:rsid w:val="00785F09"/>
    <w:rsid w:val="007914E3"/>
    <w:rsid w:val="007920FE"/>
    <w:rsid w:val="00793218"/>
    <w:rsid w:val="007A34E2"/>
    <w:rsid w:val="007A3D7F"/>
    <w:rsid w:val="007A7FBD"/>
    <w:rsid w:val="007B00A4"/>
    <w:rsid w:val="007B3F40"/>
    <w:rsid w:val="007B5C0D"/>
    <w:rsid w:val="007C14B2"/>
    <w:rsid w:val="007C515F"/>
    <w:rsid w:val="007C5968"/>
    <w:rsid w:val="007D1EB7"/>
    <w:rsid w:val="007D4656"/>
    <w:rsid w:val="007D4E4C"/>
    <w:rsid w:val="007D4ED3"/>
    <w:rsid w:val="007D6AC7"/>
    <w:rsid w:val="007F001F"/>
    <w:rsid w:val="007F0EF3"/>
    <w:rsid w:val="007F1F87"/>
    <w:rsid w:val="007F3EF4"/>
    <w:rsid w:val="007F6E85"/>
    <w:rsid w:val="0080277F"/>
    <w:rsid w:val="00802BD3"/>
    <w:rsid w:val="00802DE7"/>
    <w:rsid w:val="0080314C"/>
    <w:rsid w:val="00810A04"/>
    <w:rsid w:val="00816B2B"/>
    <w:rsid w:val="00822AC0"/>
    <w:rsid w:val="00830BE4"/>
    <w:rsid w:val="008379C6"/>
    <w:rsid w:val="00843A31"/>
    <w:rsid w:val="008447F4"/>
    <w:rsid w:val="00850B43"/>
    <w:rsid w:val="0085628F"/>
    <w:rsid w:val="00860A5A"/>
    <w:rsid w:val="008665FF"/>
    <w:rsid w:val="00870E78"/>
    <w:rsid w:val="00870EFB"/>
    <w:rsid w:val="00873176"/>
    <w:rsid w:val="0088374D"/>
    <w:rsid w:val="00886795"/>
    <w:rsid w:val="00887F11"/>
    <w:rsid w:val="00891381"/>
    <w:rsid w:val="00891645"/>
    <w:rsid w:val="00893ECC"/>
    <w:rsid w:val="00894EBE"/>
    <w:rsid w:val="00897E6B"/>
    <w:rsid w:val="008A42F7"/>
    <w:rsid w:val="008B0607"/>
    <w:rsid w:val="008B52CF"/>
    <w:rsid w:val="008C0184"/>
    <w:rsid w:val="008C12BF"/>
    <w:rsid w:val="008C159D"/>
    <w:rsid w:val="008C5815"/>
    <w:rsid w:val="008C6BB7"/>
    <w:rsid w:val="008D5F87"/>
    <w:rsid w:val="008E0870"/>
    <w:rsid w:val="008E109E"/>
    <w:rsid w:val="008E2673"/>
    <w:rsid w:val="008E5457"/>
    <w:rsid w:val="008F4711"/>
    <w:rsid w:val="008F492B"/>
    <w:rsid w:val="008F70BE"/>
    <w:rsid w:val="008F77B3"/>
    <w:rsid w:val="008F7888"/>
    <w:rsid w:val="009023C5"/>
    <w:rsid w:val="009136C5"/>
    <w:rsid w:val="0092004C"/>
    <w:rsid w:val="00920866"/>
    <w:rsid w:val="009212D9"/>
    <w:rsid w:val="00924B6F"/>
    <w:rsid w:val="00927CE5"/>
    <w:rsid w:val="00932446"/>
    <w:rsid w:val="009344B0"/>
    <w:rsid w:val="009360C3"/>
    <w:rsid w:val="00940D28"/>
    <w:rsid w:val="009419B4"/>
    <w:rsid w:val="00941C95"/>
    <w:rsid w:val="00943A91"/>
    <w:rsid w:val="009450C3"/>
    <w:rsid w:val="00945FBC"/>
    <w:rsid w:val="009472DD"/>
    <w:rsid w:val="00954870"/>
    <w:rsid w:val="00954EAA"/>
    <w:rsid w:val="00956DC6"/>
    <w:rsid w:val="00956F4E"/>
    <w:rsid w:val="009630A7"/>
    <w:rsid w:val="00966AFA"/>
    <w:rsid w:val="00971D71"/>
    <w:rsid w:val="00985A37"/>
    <w:rsid w:val="00990E1E"/>
    <w:rsid w:val="0099160E"/>
    <w:rsid w:val="009925A5"/>
    <w:rsid w:val="009929FD"/>
    <w:rsid w:val="009975B2"/>
    <w:rsid w:val="009A51B5"/>
    <w:rsid w:val="009A5C83"/>
    <w:rsid w:val="009A6390"/>
    <w:rsid w:val="009C2D3A"/>
    <w:rsid w:val="009C3A5D"/>
    <w:rsid w:val="009C69C4"/>
    <w:rsid w:val="009C6F2D"/>
    <w:rsid w:val="009D06E1"/>
    <w:rsid w:val="009D2E99"/>
    <w:rsid w:val="009D5EA8"/>
    <w:rsid w:val="009D6D03"/>
    <w:rsid w:val="009E36EF"/>
    <w:rsid w:val="009E4FEB"/>
    <w:rsid w:val="009E51BA"/>
    <w:rsid w:val="009F1E3D"/>
    <w:rsid w:val="009F3ACC"/>
    <w:rsid w:val="00A04278"/>
    <w:rsid w:val="00A04CA3"/>
    <w:rsid w:val="00A05C36"/>
    <w:rsid w:val="00A063D5"/>
    <w:rsid w:val="00A10EA7"/>
    <w:rsid w:val="00A202DA"/>
    <w:rsid w:val="00A27E3D"/>
    <w:rsid w:val="00A3211E"/>
    <w:rsid w:val="00A3212F"/>
    <w:rsid w:val="00A3295D"/>
    <w:rsid w:val="00A343AA"/>
    <w:rsid w:val="00A36370"/>
    <w:rsid w:val="00A37383"/>
    <w:rsid w:val="00A4437D"/>
    <w:rsid w:val="00A575BB"/>
    <w:rsid w:val="00A5761A"/>
    <w:rsid w:val="00A57F76"/>
    <w:rsid w:val="00A64EA4"/>
    <w:rsid w:val="00A6505B"/>
    <w:rsid w:val="00A67964"/>
    <w:rsid w:val="00A71359"/>
    <w:rsid w:val="00A728BB"/>
    <w:rsid w:val="00A734B3"/>
    <w:rsid w:val="00A73922"/>
    <w:rsid w:val="00A77D1D"/>
    <w:rsid w:val="00A77D83"/>
    <w:rsid w:val="00A77FFB"/>
    <w:rsid w:val="00A81A27"/>
    <w:rsid w:val="00A82D9A"/>
    <w:rsid w:val="00A83746"/>
    <w:rsid w:val="00A845C7"/>
    <w:rsid w:val="00A86728"/>
    <w:rsid w:val="00A9018C"/>
    <w:rsid w:val="00A917B4"/>
    <w:rsid w:val="00A96DEF"/>
    <w:rsid w:val="00A9799D"/>
    <w:rsid w:val="00AB5DB7"/>
    <w:rsid w:val="00AB76D9"/>
    <w:rsid w:val="00AC488F"/>
    <w:rsid w:val="00AC63B7"/>
    <w:rsid w:val="00AC63CA"/>
    <w:rsid w:val="00AD3E18"/>
    <w:rsid w:val="00AE0D0C"/>
    <w:rsid w:val="00AE1143"/>
    <w:rsid w:val="00AE2295"/>
    <w:rsid w:val="00AE2972"/>
    <w:rsid w:val="00AE4392"/>
    <w:rsid w:val="00AE5DEA"/>
    <w:rsid w:val="00AE64B5"/>
    <w:rsid w:val="00AF0A32"/>
    <w:rsid w:val="00AF20A5"/>
    <w:rsid w:val="00AF23C7"/>
    <w:rsid w:val="00AF4AC0"/>
    <w:rsid w:val="00AF7234"/>
    <w:rsid w:val="00AF758A"/>
    <w:rsid w:val="00B04937"/>
    <w:rsid w:val="00B05E72"/>
    <w:rsid w:val="00B11C8F"/>
    <w:rsid w:val="00B20418"/>
    <w:rsid w:val="00B2583D"/>
    <w:rsid w:val="00B25FED"/>
    <w:rsid w:val="00B349FA"/>
    <w:rsid w:val="00B37163"/>
    <w:rsid w:val="00B407DB"/>
    <w:rsid w:val="00B40E0E"/>
    <w:rsid w:val="00B41644"/>
    <w:rsid w:val="00B434CC"/>
    <w:rsid w:val="00B44A8B"/>
    <w:rsid w:val="00B51664"/>
    <w:rsid w:val="00B53460"/>
    <w:rsid w:val="00B539FD"/>
    <w:rsid w:val="00B53B02"/>
    <w:rsid w:val="00B63751"/>
    <w:rsid w:val="00B63F45"/>
    <w:rsid w:val="00B6658F"/>
    <w:rsid w:val="00B70D7F"/>
    <w:rsid w:val="00B767A3"/>
    <w:rsid w:val="00B77414"/>
    <w:rsid w:val="00B813E1"/>
    <w:rsid w:val="00B848D9"/>
    <w:rsid w:val="00B852D1"/>
    <w:rsid w:val="00B8786B"/>
    <w:rsid w:val="00BB458F"/>
    <w:rsid w:val="00BB6B6C"/>
    <w:rsid w:val="00BC302F"/>
    <w:rsid w:val="00BC38C6"/>
    <w:rsid w:val="00BD0A51"/>
    <w:rsid w:val="00BD3506"/>
    <w:rsid w:val="00BD78E2"/>
    <w:rsid w:val="00BE2A24"/>
    <w:rsid w:val="00BE5047"/>
    <w:rsid w:val="00BF286E"/>
    <w:rsid w:val="00BF3BC3"/>
    <w:rsid w:val="00BF3D24"/>
    <w:rsid w:val="00C04BA5"/>
    <w:rsid w:val="00C04CA6"/>
    <w:rsid w:val="00C05495"/>
    <w:rsid w:val="00C05A3A"/>
    <w:rsid w:val="00C11C97"/>
    <w:rsid w:val="00C1571E"/>
    <w:rsid w:val="00C17E2A"/>
    <w:rsid w:val="00C2334C"/>
    <w:rsid w:val="00C235A7"/>
    <w:rsid w:val="00C26EED"/>
    <w:rsid w:val="00C26F6D"/>
    <w:rsid w:val="00C36F83"/>
    <w:rsid w:val="00C50180"/>
    <w:rsid w:val="00C50367"/>
    <w:rsid w:val="00C51B12"/>
    <w:rsid w:val="00C52409"/>
    <w:rsid w:val="00C63E5D"/>
    <w:rsid w:val="00C663A7"/>
    <w:rsid w:val="00C71A83"/>
    <w:rsid w:val="00C83B7A"/>
    <w:rsid w:val="00C84018"/>
    <w:rsid w:val="00C90ACB"/>
    <w:rsid w:val="00C96A09"/>
    <w:rsid w:val="00C97235"/>
    <w:rsid w:val="00CA3357"/>
    <w:rsid w:val="00CA343C"/>
    <w:rsid w:val="00CB2025"/>
    <w:rsid w:val="00CB48A9"/>
    <w:rsid w:val="00CB57E5"/>
    <w:rsid w:val="00CB7CC3"/>
    <w:rsid w:val="00CC3467"/>
    <w:rsid w:val="00CC5B57"/>
    <w:rsid w:val="00CC6299"/>
    <w:rsid w:val="00CD0D30"/>
    <w:rsid w:val="00CD4840"/>
    <w:rsid w:val="00CE54D6"/>
    <w:rsid w:val="00CE558A"/>
    <w:rsid w:val="00CF0CB2"/>
    <w:rsid w:val="00CF2AAC"/>
    <w:rsid w:val="00CF2CC0"/>
    <w:rsid w:val="00CF3165"/>
    <w:rsid w:val="00CF5F05"/>
    <w:rsid w:val="00CF672C"/>
    <w:rsid w:val="00D126D6"/>
    <w:rsid w:val="00D12A1C"/>
    <w:rsid w:val="00D12AF2"/>
    <w:rsid w:val="00D14D07"/>
    <w:rsid w:val="00D16189"/>
    <w:rsid w:val="00D169DD"/>
    <w:rsid w:val="00D2213F"/>
    <w:rsid w:val="00D26960"/>
    <w:rsid w:val="00D33217"/>
    <w:rsid w:val="00D338EC"/>
    <w:rsid w:val="00D33ECA"/>
    <w:rsid w:val="00D33F8A"/>
    <w:rsid w:val="00D36815"/>
    <w:rsid w:val="00D37B1F"/>
    <w:rsid w:val="00D40E75"/>
    <w:rsid w:val="00D421F8"/>
    <w:rsid w:val="00D444DB"/>
    <w:rsid w:val="00D470F9"/>
    <w:rsid w:val="00D51678"/>
    <w:rsid w:val="00D5347B"/>
    <w:rsid w:val="00D54B47"/>
    <w:rsid w:val="00D56813"/>
    <w:rsid w:val="00D60744"/>
    <w:rsid w:val="00D61300"/>
    <w:rsid w:val="00D6155B"/>
    <w:rsid w:val="00D64C66"/>
    <w:rsid w:val="00D67C0A"/>
    <w:rsid w:val="00D71B48"/>
    <w:rsid w:val="00D754C5"/>
    <w:rsid w:val="00D8422F"/>
    <w:rsid w:val="00D853FB"/>
    <w:rsid w:val="00D85DC0"/>
    <w:rsid w:val="00D868A1"/>
    <w:rsid w:val="00D90675"/>
    <w:rsid w:val="00D93757"/>
    <w:rsid w:val="00DA05DA"/>
    <w:rsid w:val="00DA3E52"/>
    <w:rsid w:val="00DA4B4C"/>
    <w:rsid w:val="00DB497F"/>
    <w:rsid w:val="00DB4E80"/>
    <w:rsid w:val="00DB6F45"/>
    <w:rsid w:val="00DB7751"/>
    <w:rsid w:val="00DC2E10"/>
    <w:rsid w:val="00DC4CA8"/>
    <w:rsid w:val="00DD2BA7"/>
    <w:rsid w:val="00DD37D3"/>
    <w:rsid w:val="00DE4E7D"/>
    <w:rsid w:val="00DE5BE3"/>
    <w:rsid w:val="00DF11AB"/>
    <w:rsid w:val="00DF1ED8"/>
    <w:rsid w:val="00E04828"/>
    <w:rsid w:val="00E06193"/>
    <w:rsid w:val="00E11E6C"/>
    <w:rsid w:val="00E167C2"/>
    <w:rsid w:val="00E20B94"/>
    <w:rsid w:val="00E262C7"/>
    <w:rsid w:val="00E279F6"/>
    <w:rsid w:val="00E31191"/>
    <w:rsid w:val="00E315FB"/>
    <w:rsid w:val="00E363CA"/>
    <w:rsid w:val="00E36EF2"/>
    <w:rsid w:val="00E42526"/>
    <w:rsid w:val="00E46CE4"/>
    <w:rsid w:val="00E51D65"/>
    <w:rsid w:val="00E56C4E"/>
    <w:rsid w:val="00E6013A"/>
    <w:rsid w:val="00E6081B"/>
    <w:rsid w:val="00E613FE"/>
    <w:rsid w:val="00E705D6"/>
    <w:rsid w:val="00E71FD2"/>
    <w:rsid w:val="00E74DAE"/>
    <w:rsid w:val="00E773CB"/>
    <w:rsid w:val="00E833F9"/>
    <w:rsid w:val="00E92CAA"/>
    <w:rsid w:val="00EB1A6A"/>
    <w:rsid w:val="00EB1D04"/>
    <w:rsid w:val="00EB2955"/>
    <w:rsid w:val="00ED33B0"/>
    <w:rsid w:val="00EE0242"/>
    <w:rsid w:val="00EE3F57"/>
    <w:rsid w:val="00EE67B2"/>
    <w:rsid w:val="00EF73EC"/>
    <w:rsid w:val="00F026C3"/>
    <w:rsid w:val="00F05F02"/>
    <w:rsid w:val="00F10D7F"/>
    <w:rsid w:val="00F155F7"/>
    <w:rsid w:val="00F17743"/>
    <w:rsid w:val="00F20942"/>
    <w:rsid w:val="00F2183D"/>
    <w:rsid w:val="00F22F10"/>
    <w:rsid w:val="00F23507"/>
    <w:rsid w:val="00F25B0A"/>
    <w:rsid w:val="00F26234"/>
    <w:rsid w:val="00F27CCA"/>
    <w:rsid w:val="00F31795"/>
    <w:rsid w:val="00F31E24"/>
    <w:rsid w:val="00F32121"/>
    <w:rsid w:val="00F35D64"/>
    <w:rsid w:val="00F422EB"/>
    <w:rsid w:val="00F42709"/>
    <w:rsid w:val="00F543AF"/>
    <w:rsid w:val="00F5619A"/>
    <w:rsid w:val="00F57262"/>
    <w:rsid w:val="00F6022B"/>
    <w:rsid w:val="00F61085"/>
    <w:rsid w:val="00F67AEB"/>
    <w:rsid w:val="00F70352"/>
    <w:rsid w:val="00F716E3"/>
    <w:rsid w:val="00F72B2B"/>
    <w:rsid w:val="00F80517"/>
    <w:rsid w:val="00F818CB"/>
    <w:rsid w:val="00F84534"/>
    <w:rsid w:val="00F87FE3"/>
    <w:rsid w:val="00F945F7"/>
    <w:rsid w:val="00F9785F"/>
    <w:rsid w:val="00FA285B"/>
    <w:rsid w:val="00FB0C20"/>
    <w:rsid w:val="00FB231F"/>
    <w:rsid w:val="00FB3713"/>
    <w:rsid w:val="00FB5220"/>
    <w:rsid w:val="00FC175F"/>
    <w:rsid w:val="00FD0844"/>
    <w:rsid w:val="00FD2290"/>
    <w:rsid w:val="00FD2A2B"/>
    <w:rsid w:val="00FD60C3"/>
    <w:rsid w:val="00FD6223"/>
    <w:rsid w:val="00FE13CD"/>
    <w:rsid w:val="00FE2882"/>
    <w:rsid w:val="00FE4FC2"/>
    <w:rsid w:val="00FE621D"/>
    <w:rsid w:val="00FF6569"/>
    <w:rsid w:val="010C3ADF"/>
    <w:rsid w:val="014F55A3"/>
    <w:rsid w:val="01FB0DD5"/>
    <w:rsid w:val="021F6013"/>
    <w:rsid w:val="02282CE6"/>
    <w:rsid w:val="023B4C08"/>
    <w:rsid w:val="02564BEC"/>
    <w:rsid w:val="02703797"/>
    <w:rsid w:val="027F3AE7"/>
    <w:rsid w:val="02A03C7D"/>
    <w:rsid w:val="02B67E74"/>
    <w:rsid w:val="02C95F7F"/>
    <w:rsid w:val="02E061F3"/>
    <w:rsid w:val="032A58D5"/>
    <w:rsid w:val="03493DE0"/>
    <w:rsid w:val="03617DDF"/>
    <w:rsid w:val="036926C8"/>
    <w:rsid w:val="039B175F"/>
    <w:rsid w:val="03D72FE6"/>
    <w:rsid w:val="04393D87"/>
    <w:rsid w:val="0462054B"/>
    <w:rsid w:val="0494207F"/>
    <w:rsid w:val="04966335"/>
    <w:rsid w:val="04A647CA"/>
    <w:rsid w:val="04A86794"/>
    <w:rsid w:val="04BC5D9C"/>
    <w:rsid w:val="04C3708C"/>
    <w:rsid w:val="050C655C"/>
    <w:rsid w:val="05205078"/>
    <w:rsid w:val="052459A1"/>
    <w:rsid w:val="054C21D8"/>
    <w:rsid w:val="05B52402"/>
    <w:rsid w:val="05CE3BAC"/>
    <w:rsid w:val="05DF288E"/>
    <w:rsid w:val="05F87117"/>
    <w:rsid w:val="06006DDC"/>
    <w:rsid w:val="060F639F"/>
    <w:rsid w:val="06502632"/>
    <w:rsid w:val="06526345"/>
    <w:rsid w:val="06AC6C07"/>
    <w:rsid w:val="06B3451D"/>
    <w:rsid w:val="06D111D0"/>
    <w:rsid w:val="06F832BD"/>
    <w:rsid w:val="07111AEE"/>
    <w:rsid w:val="073E6F3C"/>
    <w:rsid w:val="07643E06"/>
    <w:rsid w:val="07683EC8"/>
    <w:rsid w:val="078B1060"/>
    <w:rsid w:val="07A331FF"/>
    <w:rsid w:val="07AD64AD"/>
    <w:rsid w:val="07B93E4E"/>
    <w:rsid w:val="0802440D"/>
    <w:rsid w:val="082962EA"/>
    <w:rsid w:val="082C364E"/>
    <w:rsid w:val="085B3309"/>
    <w:rsid w:val="085B3FFB"/>
    <w:rsid w:val="085F5265"/>
    <w:rsid w:val="08B32D9E"/>
    <w:rsid w:val="08E11C9C"/>
    <w:rsid w:val="08E42B03"/>
    <w:rsid w:val="090B72F2"/>
    <w:rsid w:val="09112B8D"/>
    <w:rsid w:val="095011A8"/>
    <w:rsid w:val="095464A9"/>
    <w:rsid w:val="095B7F1A"/>
    <w:rsid w:val="0965721F"/>
    <w:rsid w:val="09970B85"/>
    <w:rsid w:val="09B914A5"/>
    <w:rsid w:val="09B9268A"/>
    <w:rsid w:val="09D13928"/>
    <w:rsid w:val="09D245B4"/>
    <w:rsid w:val="09E22951"/>
    <w:rsid w:val="0A0056E6"/>
    <w:rsid w:val="0A3B559E"/>
    <w:rsid w:val="0A5C5E00"/>
    <w:rsid w:val="0A635CB2"/>
    <w:rsid w:val="0A932DC6"/>
    <w:rsid w:val="0AA3685F"/>
    <w:rsid w:val="0B3C130A"/>
    <w:rsid w:val="0B6B4077"/>
    <w:rsid w:val="0B84338B"/>
    <w:rsid w:val="0C4A78A7"/>
    <w:rsid w:val="0C52407A"/>
    <w:rsid w:val="0C6E18D7"/>
    <w:rsid w:val="0C765B67"/>
    <w:rsid w:val="0C9E4B19"/>
    <w:rsid w:val="0CA03B4B"/>
    <w:rsid w:val="0CB31146"/>
    <w:rsid w:val="0CDB522D"/>
    <w:rsid w:val="0CE055FF"/>
    <w:rsid w:val="0D1349C7"/>
    <w:rsid w:val="0D31309F"/>
    <w:rsid w:val="0D62298B"/>
    <w:rsid w:val="0DC13B67"/>
    <w:rsid w:val="0E582E5A"/>
    <w:rsid w:val="0EAC5412"/>
    <w:rsid w:val="0EE66C7A"/>
    <w:rsid w:val="0EF55C28"/>
    <w:rsid w:val="0EFE3455"/>
    <w:rsid w:val="0F1E5075"/>
    <w:rsid w:val="0F2446CE"/>
    <w:rsid w:val="0F3A0931"/>
    <w:rsid w:val="0F511F91"/>
    <w:rsid w:val="0F5237D2"/>
    <w:rsid w:val="0F6C6610"/>
    <w:rsid w:val="0F7C4373"/>
    <w:rsid w:val="0FBF686B"/>
    <w:rsid w:val="10264509"/>
    <w:rsid w:val="10400510"/>
    <w:rsid w:val="104F5976"/>
    <w:rsid w:val="105F0EF9"/>
    <w:rsid w:val="10724C90"/>
    <w:rsid w:val="1092242D"/>
    <w:rsid w:val="10D17073"/>
    <w:rsid w:val="110C02FF"/>
    <w:rsid w:val="113A623D"/>
    <w:rsid w:val="11864F05"/>
    <w:rsid w:val="122E0C6A"/>
    <w:rsid w:val="123E18C8"/>
    <w:rsid w:val="1248486F"/>
    <w:rsid w:val="124B1FD6"/>
    <w:rsid w:val="1273627D"/>
    <w:rsid w:val="1286349C"/>
    <w:rsid w:val="128D714B"/>
    <w:rsid w:val="129B16E6"/>
    <w:rsid w:val="130059ED"/>
    <w:rsid w:val="13302BCC"/>
    <w:rsid w:val="13D12EE6"/>
    <w:rsid w:val="13E74C4D"/>
    <w:rsid w:val="13EE1299"/>
    <w:rsid w:val="13EF65C4"/>
    <w:rsid w:val="13FF658D"/>
    <w:rsid w:val="14003E80"/>
    <w:rsid w:val="14496087"/>
    <w:rsid w:val="147747B7"/>
    <w:rsid w:val="14863CD0"/>
    <w:rsid w:val="148B12E6"/>
    <w:rsid w:val="14917A77"/>
    <w:rsid w:val="149208C7"/>
    <w:rsid w:val="14CD31AF"/>
    <w:rsid w:val="151E65FF"/>
    <w:rsid w:val="152311DD"/>
    <w:rsid w:val="152612A3"/>
    <w:rsid w:val="155A201D"/>
    <w:rsid w:val="15BE20C4"/>
    <w:rsid w:val="163A61A6"/>
    <w:rsid w:val="163B1DB4"/>
    <w:rsid w:val="163E2DAF"/>
    <w:rsid w:val="16461969"/>
    <w:rsid w:val="167164C0"/>
    <w:rsid w:val="167307FD"/>
    <w:rsid w:val="16791F5F"/>
    <w:rsid w:val="16A602E7"/>
    <w:rsid w:val="16BA119C"/>
    <w:rsid w:val="16C44303"/>
    <w:rsid w:val="16EA6D34"/>
    <w:rsid w:val="17086D0D"/>
    <w:rsid w:val="171506C3"/>
    <w:rsid w:val="17557484"/>
    <w:rsid w:val="17A87FC9"/>
    <w:rsid w:val="17AA0873"/>
    <w:rsid w:val="18016BC3"/>
    <w:rsid w:val="1810590F"/>
    <w:rsid w:val="1844637C"/>
    <w:rsid w:val="18711180"/>
    <w:rsid w:val="18E62796"/>
    <w:rsid w:val="19063631"/>
    <w:rsid w:val="19107A40"/>
    <w:rsid w:val="19306900"/>
    <w:rsid w:val="19974931"/>
    <w:rsid w:val="199F4AD3"/>
    <w:rsid w:val="19B67042"/>
    <w:rsid w:val="19D11E91"/>
    <w:rsid w:val="19DF5752"/>
    <w:rsid w:val="19F56590"/>
    <w:rsid w:val="19F66F6A"/>
    <w:rsid w:val="1A281568"/>
    <w:rsid w:val="1A3A17E5"/>
    <w:rsid w:val="1A6E109A"/>
    <w:rsid w:val="1A941474"/>
    <w:rsid w:val="1AB1749E"/>
    <w:rsid w:val="1AFF2A2E"/>
    <w:rsid w:val="1B4E6DA7"/>
    <w:rsid w:val="1B8A054A"/>
    <w:rsid w:val="1B8F5B60"/>
    <w:rsid w:val="1BBF7512"/>
    <w:rsid w:val="1BDF2B0A"/>
    <w:rsid w:val="1C4778F4"/>
    <w:rsid w:val="1C517A75"/>
    <w:rsid w:val="1C6274DD"/>
    <w:rsid w:val="1C6E3585"/>
    <w:rsid w:val="1C926DE6"/>
    <w:rsid w:val="1D2E0794"/>
    <w:rsid w:val="1D390D09"/>
    <w:rsid w:val="1D3D6779"/>
    <w:rsid w:val="1D4B1EE7"/>
    <w:rsid w:val="1D63191C"/>
    <w:rsid w:val="1D8D032D"/>
    <w:rsid w:val="1DFE521F"/>
    <w:rsid w:val="1E576E25"/>
    <w:rsid w:val="1E92135B"/>
    <w:rsid w:val="1EDA5690"/>
    <w:rsid w:val="1EF66B15"/>
    <w:rsid w:val="1EFA3C38"/>
    <w:rsid w:val="1F1741B3"/>
    <w:rsid w:val="1F3031B6"/>
    <w:rsid w:val="1FA336D9"/>
    <w:rsid w:val="20476862"/>
    <w:rsid w:val="20481A74"/>
    <w:rsid w:val="20AB0E9C"/>
    <w:rsid w:val="20B3346C"/>
    <w:rsid w:val="20C74C78"/>
    <w:rsid w:val="213A3D85"/>
    <w:rsid w:val="219103C8"/>
    <w:rsid w:val="21B06830"/>
    <w:rsid w:val="21B13C67"/>
    <w:rsid w:val="21D70261"/>
    <w:rsid w:val="21E55A71"/>
    <w:rsid w:val="21E80F4C"/>
    <w:rsid w:val="21EA40DB"/>
    <w:rsid w:val="21F91F85"/>
    <w:rsid w:val="22271295"/>
    <w:rsid w:val="222F3821"/>
    <w:rsid w:val="22724B50"/>
    <w:rsid w:val="227E1DEE"/>
    <w:rsid w:val="22844831"/>
    <w:rsid w:val="22C75E3A"/>
    <w:rsid w:val="22EE5E49"/>
    <w:rsid w:val="23147CBF"/>
    <w:rsid w:val="23190AF3"/>
    <w:rsid w:val="238D016A"/>
    <w:rsid w:val="23D6735F"/>
    <w:rsid w:val="23DC1DD9"/>
    <w:rsid w:val="23DC440E"/>
    <w:rsid w:val="246E7F5E"/>
    <w:rsid w:val="249E3BA8"/>
    <w:rsid w:val="24CF521F"/>
    <w:rsid w:val="24D74EF0"/>
    <w:rsid w:val="24D95B89"/>
    <w:rsid w:val="24F829DA"/>
    <w:rsid w:val="25152071"/>
    <w:rsid w:val="251D242F"/>
    <w:rsid w:val="252D0C9C"/>
    <w:rsid w:val="255056CF"/>
    <w:rsid w:val="255D6CEA"/>
    <w:rsid w:val="259F4BF2"/>
    <w:rsid w:val="25BC3124"/>
    <w:rsid w:val="25BE7872"/>
    <w:rsid w:val="25C958A0"/>
    <w:rsid w:val="25E2620E"/>
    <w:rsid w:val="25F0369F"/>
    <w:rsid w:val="26170C2C"/>
    <w:rsid w:val="261E37AC"/>
    <w:rsid w:val="2620621C"/>
    <w:rsid w:val="26277A4F"/>
    <w:rsid w:val="2639031B"/>
    <w:rsid w:val="26402C29"/>
    <w:rsid w:val="27220C40"/>
    <w:rsid w:val="27975B88"/>
    <w:rsid w:val="27B366A6"/>
    <w:rsid w:val="27EE4C23"/>
    <w:rsid w:val="27F52125"/>
    <w:rsid w:val="280B656E"/>
    <w:rsid w:val="282B09BF"/>
    <w:rsid w:val="28C37D2E"/>
    <w:rsid w:val="28C613C0"/>
    <w:rsid w:val="290C3D03"/>
    <w:rsid w:val="29492936"/>
    <w:rsid w:val="2973703F"/>
    <w:rsid w:val="298F31CF"/>
    <w:rsid w:val="29AB1228"/>
    <w:rsid w:val="29AB625B"/>
    <w:rsid w:val="29BA0DC5"/>
    <w:rsid w:val="29D150A0"/>
    <w:rsid w:val="2A253F15"/>
    <w:rsid w:val="2A587A65"/>
    <w:rsid w:val="2A5C1E55"/>
    <w:rsid w:val="2A7A79DB"/>
    <w:rsid w:val="2A834AE2"/>
    <w:rsid w:val="2AD5734E"/>
    <w:rsid w:val="2B0C5B64"/>
    <w:rsid w:val="2B0D6B5F"/>
    <w:rsid w:val="2B625767"/>
    <w:rsid w:val="2B6918A1"/>
    <w:rsid w:val="2BB02CAE"/>
    <w:rsid w:val="2C053A46"/>
    <w:rsid w:val="2C4C53A8"/>
    <w:rsid w:val="2C914EB5"/>
    <w:rsid w:val="2CA072D7"/>
    <w:rsid w:val="2CF907BF"/>
    <w:rsid w:val="2D050511"/>
    <w:rsid w:val="2D2A56E9"/>
    <w:rsid w:val="2D411497"/>
    <w:rsid w:val="2D6055AE"/>
    <w:rsid w:val="2D72226F"/>
    <w:rsid w:val="2DAF3D5E"/>
    <w:rsid w:val="2DAF6D80"/>
    <w:rsid w:val="2DB15E8A"/>
    <w:rsid w:val="2DB462FD"/>
    <w:rsid w:val="2DCD5431"/>
    <w:rsid w:val="2DCD788B"/>
    <w:rsid w:val="2DD52E33"/>
    <w:rsid w:val="2DDE5E10"/>
    <w:rsid w:val="2DDF34F3"/>
    <w:rsid w:val="2DF14458"/>
    <w:rsid w:val="2DF40AAC"/>
    <w:rsid w:val="2DFC2F3E"/>
    <w:rsid w:val="2E505623"/>
    <w:rsid w:val="2E7B3D22"/>
    <w:rsid w:val="2E834698"/>
    <w:rsid w:val="2E8A4F74"/>
    <w:rsid w:val="2E8C4FC8"/>
    <w:rsid w:val="2EEA48BE"/>
    <w:rsid w:val="2F056E61"/>
    <w:rsid w:val="2F085DBB"/>
    <w:rsid w:val="2F1A178D"/>
    <w:rsid w:val="2F2073D3"/>
    <w:rsid w:val="2F550EB5"/>
    <w:rsid w:val="300A35B0"/>
    <w:rsid w:val="301377D6"/>
    <w:rsid w:val="301937F3"/>
    <w:rsid w:val="309B7EE8"/>
    <w:rsid w:val="30C22C52"/>
    <w:rsid w:val="311D5D13"/>
    <w:rsid w:val="317E4255"/>
    <w:rsid w:val="321B7CF6"/>
    <w:rsid w:val="324B7CDD"/>
    <w:rsid w:val="327743DF"/>
    <w:rsid w:val="327B7546"/>
    <w:rsid w:val="32987598"/>
    <w:rsid w:val="32A0619D"/>
    <w:rsid w:val="32D56AA1"/>
    <w:rsid w:val="32DF6F75"/>
    <w:rsid w:val="330421E0"/>
    <w:rsid w:val="33271912"/>
    <w:rsid w:val="335A6E33"/>
    <w:rsid w:val="336C31BB"/>
    <w:rsid w:val="336E2E0C"/>
    <w:rsid w:val="3385079D"/>
    <w:rsid w:val="33957634"/>
    <w:rsid w:val="33C84B69"/>
    <w:rsid w:val="346148A8"/>
    <w:rsid w:val="347A3741"/>
    <w:rsid w:val="34C74165"/>
    <w:rsid w:val="350727B3"/>
    <w:rsid w:val="35260E8C"/>
    <w:rsid w:val="35492D39"/>
    <w:rsid w:val="35550D1D"/>
    <w:rsid w:val="355E10C2"/>
    <w:rsid w:val="356D5A32"/>
    <w:rsid w:val="356E62BA"/>
    <w:rsid w:val="357A2F85"/>
    <w:rsid w:val="35855E4E"/>
    <w:rsid w:val="35946D26"/>
    <w:rsid w:val="35A86F9C"/>
    <w:rsid w:val="35B93AAE"/>
    <w:rsid w:val="35F97693"/>
    <w:rsid w:val="362A7311"/>
    <w:rsid w:val="36825ED6"/>
    <w:rsid w:val="370A13D5"/>
    <w:rsid w:val="37144E36"/>
    <w:rsid w:val="371766B4"/>
    <w:rsid w:val="37211C1D"/>
    <w:rsid w:val="37313B18"/>
    <w:rsid w:val="377350FF"/>
    <w:rsid w:val="377F0D27"/>
    <w:rsid w:val="37945C75"/>
    <w:rsid w:val="379B7E94"/>
    <w:rsid w:val="37B31E77"/>
    <w:rsid w:val="37E172EC"/>
    <w:rsid w:val="38151BEF"/>
    <w:rsid w:val="384420D2"/>
    <w:rsid w:val="38543F62"/>
    <w:rsid w:val="38710778"/>
    <w:rsid w:val="389655B6"/>
    <w:rsid w:val="38BB1D13"/>
    <w:rsid w:val="38F70F1D"/>
    <w:rsid w:val="38FB262F"/>
    <w:rsid w:val="38FB7762"/>
    <w:rsid w:val="3967731D"/>
    <w:rsid w:val="399A5EB0"/>
    <w:rsid w:val="39DD4E41"/>
    <w:rsid w:val="39E11628"/>
    <w:rsid w:val="3A176FF5"/>
    <w:rsid w:val="3A271638"/>
    <w:rsid w:val="3A331955"/>
    <w:rsid w:val="3A51534C"/>
    <w:rsid w:val="3A613948"/>
    <w:rsid w:val="3A7379ED"/>
    <w:rsid w:val="3A7B5C66"/>
    <w:rsid w:val="3A9E5801"/>
    <w:rsid w:val="3AAD635D"/>
    <w:rsid w:val="3AC9622E"/>
    <w:rsid w:val="3ADF2D10"/>
    <w:rsid w:val="3AFB06C4"/>
    <w:rsid w:val="3AFC6DF8"/>
    <w:rsid w:val="3B156B23"/>
    <w:rsid w:val="3B1E4879"/>
    <w:rsid w:val="3B621599"/>
    <w:rsid w:val="3BC431AC"/>
    <w:rsid w:val="3BCE7B87"/>
    <w:rsid w:val="3BEB3453"/>
    <w:rsid w:val="3C277297"/>
    <w:rsid w:val="3C4B11D8"/>
    <w:rsid w:val="3C4E2A76"/>
    <w:rsid w:val="3C544530"/>
    <w:rsid w:val="3C640DC7"/>
    <w:rsid w:val="3C6A3D54"/>
    <w:rsid w:val="3CE8108E"/>
    <w:rsid w:val="3D0D46DF"/>
    <w:rsid w:val="3D9E3283"/>
    <w:rsid w:val="3DBC6E1A"/>
    <w:rsid w:val="3E1A70B4"/>
    <w:rsid w:val="3E5067BD"/>
    <w:rsid w:val="3E542365"/>
    <w:rsid w:val="3E546E84"/>
    <w:rsid w:val="3E6D438D"/>
    <w:rsid w:val="3E966F55"/>
    <w:rsid w:val="3EA67461"/>
    <w:rsid w:val="3EB304A3"/>
    <w:rsid w:val="3EC326CA"/>
    <w:rsid w:val="3ED01E68"/>
    <w:rsid w:val="3F0F724D"/>
    <w:rsid w:val="3F510A93"/>
    <w:rsid w:val="3FE756BB"/>
    <w:rsid w:val="3FEB0038"/>
    <w:rsid w:val="400149A7"/>
    <w:rsid w:val="4006137C"/>
    <w:rsid w:val="405523F1"/>
    <w:rsid w:val="405A0876"/>
    <w:rsid w:val="40621EDC"/>
    <w:rsid w:val="410B64CB"/>
    <w:rsid w:val="41365509"/>
    <w:rsid w:val="413A7D85"/>
    <w:rsid w:val="415428DD"/>
    <w:rsid w:val="415566A5"/>
    <w:rsid w:val="415B3C6B"/>
    <w:rsid w:val="41732414"/>
    <w:rsid w:val="417E1F0E"/>
    <w:rsid w:val="41833061"/>
    <w:rsid w:val="41EF2605"/>
    <w:rsid w:val="41F540C0"/>
    <w:rsid w:val="420170AD"/>
    <w:rsid w:val="42887DE7"/>
    <w:rsid w:val="428C42F8"/>
    <w:rsid w:val="42902453"/>
    <w:rsid w:val="434925C1"/>
    <w:rsid w:val="434C61CF"/>
    <w:rsid w:val="43710C17"/>
    <w:rsid w:val="43805C0B"/>
    <w:rsid w:val="438D102F"/>
    <w:rsid w:val="43900E97"/>
    <w:rsid w:val="43A643FA"/>
    <w:rsid w:val="43AC4C52"/>
    <w:rsid w:val="43B37EEE"/>
    <w:rsid w:val="43BE3BE7"/>
    <w:rsid w:val="43E07E59"/>
    <w:rsid w:val="44174B0E"/>
    <w:rsid w:val="44583935"/>
    <w:rsid w:val="447B4624"/>
    <w:rsid w:val="44906321"/>
    <w:rsid w:val="44B41D30"/>
    <w:rsid w:val="44C46F12"/>
    <w:rsid w:val="44CB55AC"/>
    <w:rsid w:val="44DA759D"/>
    <w:rsid w:val="44F248E6"/>
    <w:rsid w:val="451172DF"/>
    <w:rsid w:val="4535030E"/>
    <w:rsid w:val="45433331"/>
    <w:rsid w:val="45476CD1"/>
    <w:rsid w:val="454F21B6"/>
    <w:rsid w:val="45A111C6"/>
    <w:rsid w:val="4620012A"/>
    <w:rsid w:val="462C4036"/>
    <w:rsid w:val="46483D50"/>
    <w:rsid w:val="464C0E93"/>
    <w:rsid w:val="466D0097"/>
    <w:rsid w:val="467F286F"/>
    <w:rsid w:val="468D7D23"/>
    <w:rsid w:val="46A752BF"/>
    <w:rsid w:val="4720595F"/>
    <w:rsid w:val="479A512E"/>
    <w:rsid w:val="47AD6914"/>
    <w:rsid w:val="47BD0E4D"/>
    <w:rsid w:val="47D76015"/>
    <w:rsid w:val="47DB4288"/>
    <w:rsid w:val="47E81FD1"/>
    <w:rsid w:val="47FC5040"/>
    <w:rsid w:val="48140A12"/>
    <w:rsid w:val="483551B7"/>
    <w:rsid w:val="483E2D17"/>
    <w:rsid w:val="4842468B"/>
    <w:rsid w:val="48961A2D"/>
    <w:rsid w:val="48ED0B47"/>
    <w:rsid w:val="49127896"/>
    <w:rsid w:val="49543DC1"/>
    <w:rsid w:val="4979137F"/>
    <w:rsid w:val="498917F0"/>
    <w:rsid w:val="49B52386"/>
    <w:rsid w:val="4A002B66"/>
    <w:rsid w:val="4A2D4613"/>
    <w:rsid w:val="4A742BB6"/>
    <w:rsid w:val="4A8B2122"/>
    <w:rsid w:val="4A8D175A"/>
    <w:rsid w:val="4AA8171D"/>
    <w:rsid w:val="4AFC7BF7"/>
    <w:rsid w:val="4B1A09C6"/>
    <w:rsid w:val="4B2067FC"/>
    <w:rsid w:val="4B2C5DD1"/>
    <w:rsid w:val="4B2E32EE"/>
    <w:rsid w:val="4B42143F"/>
    <w:rsid w:val="4B5C4563"/>
    <w:rsid w:val="4B6776B0"/>
    <w:rsid w:val="4BAC736E"/>
    <w:rsid w:val="4C1B3C0B"/>
    <w:rsid w:val="4C4230F0"/>
    <w:rsid w:val="4C46376A"/>
    <w:rsid w:val="4C6E2D5E"/>
    <w:rsid w:val="4C8C73CE"/>
    <w:rsid w:val="4CA22A13"/>
    <w:rsid w:val="4CBF7108"/>
    <w:rsid w:val="4D094A71"/>
    <w:rsid w:val="4D2414CA"/>
    <w:rsid w:val="4D431E76"/>
    <w:rsid w:val="4D5738E2"/>
    <w:rsid w:val="4D6C52C8"/>
    <w:rsid w:val="4D892A2E"/>
    <w:rsid w:val="4D892F52"/>
    <w:rsid w:val="4DB2405A"/>
    <w:rsid w:val="4DF4307F"/>
    <w:rsid w:val="4DF6171C"/>
    <w:rsid w:val="4E20657C"/>
    <w:rsid w:val="4E6A054F"/>
    <w:rsid w:val="4E762A91"/>
    <w:rsid w:val="4EA20B7D"/>
    <w:rsid w:val="4EE40EC6"/>
    <w:rsid w:val="4F3D6E55"/>
    <w:rsid w:val="4F4628B7"/>
    <w:rsid w:val="4FC275AB"/>
    <w:rsid w:val="4FD76C05"/>
    <w:rsid w:val="504B29FB"/>
    <w:rsid w:val="50615016"/>
    <w:rsid w:val="50753B17"/>
    <w:rsid w:val="50961384"/>
    <w:rsid w:val="50B466BD"/>
    <w:rsid w:val="50BA2E82"/>
    <w:rsid w:val="50C31C21"/>
    <w:rsid w:val="50E54BD9"/>
    <w:rsid w:val="51430CD5"/>
    <w:rsid w:val="515726F9"/>
    <w:rsid w:val="515818C2"/>
    <w:rsid w:val="518634B0"/>
    <w:rsid w:val="51890A3E"/>
    <w:rsid w:val="519D2CDA"/>
    <w:rsid w:val="51AB3BDE"/>
    <w:rsid w:val="51C50152"/>
    <w:rsid w:val="51C969CF"/>
    <w:rsid w:val="51EF7344"/>
    <w:rsid w:val="52112EDA"/>
    <w:rsid w:val="52190A27"/>
    <w:rsid w:val="524629AE"/>
    <w:rsid w:val="529F025D"/>
    <w:rsid w:val="52C56960"/>
    <w:rsid w:val="531351CF"/>
    <w:rsid w:val="5324391A"/>
    <w:rsid w:val="53283BC9"/>
    <w:rsid w:val="53302189"/>
    <w:rsid w:val="534E5067"/>
    <w:rsid w:val="536015B5"/>
    <w:rsid w:val="537D5CC3"/>
    <w:rsid w:val="539711CB"/>
    <w:rsid w:val="53972D47"/>
    <w:rsid w:val="53D72692"/>
    <w:rsid w:val="53F208AA"/>
    <w:rsid w:val="54061D8D"/>
    <w:rsid w:val="542524C0"/>
    <w:rsid w:val="54556C4A"/>
    <w:rsid w:val="54694499"/>
    <w:rsid w:val="54790B80"/>
    <w:rsid w:val="54BE0347"/>
    <w:rsid w:val="54D3693E"/>
    <w:rsid w:val="54DC7C3B"/>
    <w:rsid w:val="55201322"/>
    <w:rsid w:val="55570917"/>
    <w:rsid w:val="559B3EA3"/>
    <w:rsid w:val="55C75E28"/>
    <w:rsid w:val="55DB3175"/>
    <w:rsid w:val="55DC76FF"/>
    <w:rsid w:val="55F22771"/>
    <w:rsid w:val="5621327D"/>
    <w:rsid w:val="56260894"/>
    <w:rsid w:val="56332FB1"/>
    <w:rsid w:val="565E641C"/>
    <w:rsid w:val="56616D9D"/>
    <w:rsid w:val="569A68FB"/>
    <w:rsid w:val="56B75990"/>
    <w:rsid w:val="56EC4864"/>
    <w:rsid w:val="570F1328"/>
    <w:rsid w:val="570F53EE"/>
    <w:rsid w:val="5712637B"/>
    <w:rsid w:val="57553392"/>
    <w:rsid w:val="578F2469"/>
    <w:rsid w:val="57D01A02"/>
    <w:rsid w:val="5822790B"/>
    <w:rsid w:val="58BD0FFE"/>
    <w:rsid w:val="58CA7BFC"/>
    <w:rsid w:val="59012EF2"/>
    <w:rsid w:val="59272216"/>
    <w:rsid w:val="5982418A"/>
    <w:rsid w:val="59CA6C17"/>
    <w:rsid w:val="5A183ED7"/>
    <w:rsid w:val="5A255E9B"/>
    <w:rsid w:val="5A2808B7"/>
    <w:rsid w:val="5A427299"/>
    <w:rsid w:val="5A513D0E"/>
    <w:rsid w:val="5A817D0E"/>
    <w:rsid w:val="5A9903C0"/>
    <w:rsid w:val="5AE321F9"/>
    <w:rsid w:val="5AF251E8"/>
    <w:rsid w:val="5B101B12"/>
    <w:rsid w:val="5B120263"/>
    <w:rsid w:val="5B1D38B4"/>
    <w:rsid w:val="5B3751EB"/>
    <w:rsid w:val="5B405728"/>
    <w:rsid w:val="5B6E6C1C"/>
    <w:rsid w:val="5B8A57DD"/>
    <w:rsid w:val="5BA41B1A"/>
    <w:rsid w:val="5BDB2455"/>
    <w:rsid w:val="5BF11881"/>
    <w:rsid w:val="5C2A121E"/>
    <w:rsid w:val="5C904CB9"/>
    <w:rsid w:val="5CA70254"/>
    <w:rsid w:val="5CAA6568"/>
    <w:rsid w:val="5D2716B0"/>
    <w:rsid w:val="5D4B7D92"/>
    <w:rsid w:val="5D621292"/>
    <w:rsid w:val="5D964551"/>
    <w:rsid w:val="5E191339"/>
    <w:rsid w:val="5E55127A"/>
    <w:rsid w:val="5EBB3B43"/>
    <w:rsid w:val="5EEB6C7A"/>
    <w:rsid w:val="5F08155B"/>
    <w:rsid w:val="5F17346F"/>
    <w:rsid w:val="5F6773EA"/>
    <w:rsid w:val="5F813511"/>
    <w:rsid w:val="5FE61B61"/>
    <w:rsid w:val="601654D5"/>
    <w:rsid w:val="60366790"/>
    <w:rsid w:val="60694CC4"/>
    <w:rsid w:val="60993E4E"/>
    <w:rsid w:val="609958CD"/>
    <w:rsid w:val="60D9225C"/>
    <w:rsid w:val="60EC1D0B"/>
    <w:rsid w:val="61401C51"/>
    <w:rsid w:val="615553C3"/>
    <w:rsid w:val="61666460"/>
    <w:rsid w:val="6180606F"/>
    <w:rsid w:val="618162DA"/>
    <w:rsid w:val="619012B7"/>
    <w:rsid w:val="61A104A0"/>
    <w:rsid w:val="61A71B57"/>
    <w:rsid w:val="61B06C81"/>
    <w:rsid w:val="62181B9D"/>
    <w:rsid w:val="622F041C"/>
    <w:rsid w:val="623247BC"/>
    <w:rsid w:val="62436F7C"/>
    <w:rsid w:val="62685D90"/>
    <w:rsid w:val="62D01214"/>
    <w:rsid w:val="62D67621"/>
    <w:rsid w:val="62E96ED1"/>
    <w:rsid w:val="63241CFF"/>
    <w:rsid w:val="636433C7"/>
    <w:rsid w:val="637034DA"/>
    <w:rsid w:val="63F36710"/>
    <w:rsid w:val="64427E47"/>
    <w:rsid w:val="644651B8"/>
    <w:rsid w:val="646918AC"/>
    <w:rsid w:val="648C6709"/>
    <w:rsid w:val="64A401C8"/>
    <w:rsid w:val="64AC4B31"/>
    <w:rsid w:val="64BE639C"/>
    <w:rsid w:val="64BF6946"/>
    <w:rsid w:val="64DB0A9B"/>
    <w:rsid w:val="64E552B8"/>
    <w:rsid w:val="64FA50D3"/>
    <w:rsid w:val="650F6510"/>
    <w:rsid w:val="655E27C5"/>
    <w:rsid w:val="65670B22"/>
    <w:rsid w:val="658779D5"/>
    <w:rsid w:val="65965025"/>
    <w:rsid w:val="65B37C6A"/>
    <w:rsid w:val="65DB2F68"/>
    <w:rsid w:val="660D1128"/>
    <w:rsid w:val="660D1D05"/>
    <w:rsid w:val="66AD290B"/>
    <w:rsid w:val="66B84E53"/>
    <w:rsid w:val="66DB2FD4"/>
    <w:rsid w:val="66FD0495"/>
    <w:rsid w:val="67DE6EB3"/>
    <w:rsid w:val="67EC7EBC"/>
    <w:rsid w:val="67ED56BC"/>
    <w:rsid w:val="68006424"/>
    <w:rsid w:val="68182F7E"/>
    <w:rsid w:val="68282249"/>
    <w:rsid w:val="684C70C6"/>
    <w:rsid w:val="68650E59"/>
    <w:rsid w:val="68AB4C28"/>
    <w:rsid w:val="68BB33E6"/>
    <w:rsid w:val="68BC0BE4"/>
    <w:rsid w:val="68CC62F2"/>
    <w:rsid w:val="68EE258D"/>
    <w:rsid w:val="68F03C2D"/>
    <w:rsid w:val="68F34C14"/>
    <w:rsid w:val="69126A56"/>
    <w:rsid w:val="69207E48"/>
    <w:rsid w:val="692A79C5"/>
    <w:rsid w:val="693E0862"/>
    <w:rsid w:val="6957478A"/>
    <w:rsid w:val="69671655"/>
    <w:rsid w:val="69950128"/>
    <w:rsid w:val="699E78A0"/>
    <w:rsid w:val="6A1A6314"/>
    <w:rsid w:val="6A484E25"/>
    <w:rsid w:val="6AA30955"/>
    <w:rsid w:val="6AAB157B"/>
    <w:rsid w:val="6AAB6D5D"/>
    <w:rsid w:val="6AB40B49"/>
    <w:rsid w:val="6AF847AA"/>
    <w:rsid w:val="6AFA47A5"/>
    <w:rsid w:val="6B032AFA"/>
    <w:rsid w:val="6B560C49"/>
    <w:rsid w:val="6B5949F9"/>
    <w:rsid w:val="6B5B0556"/>
    <w:rsid w:val="6B9151DB"/>
    <w:rsid w:val="6BAA49C2"/>
    <w:rsid w:val="6BBE2717"/>
    <w:rsid w:val="6BD44496"/>
    <w:rsid w:val="6C29322C"/>
    <w:rsid w:val="6C40749D"/>
    <w:rsid w:val="6C6F53DC"/>
    <w:rsid w:val="6CA9548B"/>
    <w:rsid w:val="6CBB43C6"/>
    <w:rsid w:val="6D1452B8"/>
    <w:rsid w:val="6D513488"/>
    <w:rsid w:val="6DC006C8"/>
    <w:rsid w:val="6DEA2065"/>
    <w:rsid w:val="6E053A4D"/>
    <w:rsid w:val="6E5F098F"/>
    <w:rsid w:val="6E712470"/>
    <w:rsid w:val="6F7E6BF3"/>
    <w:rsid w:val="6FC76802"/>
    <w:rsid w:val="6FCA73A4"/>
    <w:rsid w:val="702568F1"/>
    <w:rsid w:val="7036265C"/>
    <w:rsid w:val="70645DE9"/>
    <w:rsid w:val="70853FB1"/>
    <w:rsid w:val="70A921F5"/>
    <w:rsid w:val="70B556D8"/>
    <w:rsid w:val="70E46F2A"/>
    <w:rsid w:val="70FF70A3"/>
    <w:rsid w:val="71326AA5"/>
    <w:rsid w:val="71AE40C6"/>
    <w:rsid w:val="71DE70D6"/>
    <w:rsid w:val="723564EF"/>
    <w:rsid w:val="72921FE8"/>
    <w:rsid w:val="72E821E1"/>
    <w:rsid w:val="731F06ED"/>
    <w:rsid w:val="7350525A"/>
    <w:rsid w:val="73C17E17"/>
    <w:rsid w:val="73C35D2F"/>
    <w:rsid w:val="73F3039A"/>
    <w:rsid w:val="73FE47A6"/>
    <w:rsid w:val="740F6B94"/>
    <w:rsid w:val="7413262F"/>
    <w:rsid w:val="74276DFA"/>
    <w:rsid w:val="74381A66"/>
    <w:rsid w:val="7440091B"/>
    <w:rsid w:val="745B3BF3"/>
    <w:rsid w:val="74A076A5"/>
    <w:rsid w:val="74BD1075"/>
    <w:rsid w:val="74D759D5"/>
    <w:rsid w:val="75447B06"/>
    <w:rsid w:val="75522FF2"/>
    <w:rsid w:val="75562657"/>
    <w:rsid w:val="7564688B"/>
    <w:rsid w:val="75AA0C39"/>
    <w:rsid w:val="75D70D17"/>
    <w:rsid w:val="75E84028"/>
    <w:rsid w:val="760A7538"/>
    <w:rsid w:val="761A0C80"/>
    <w:rsid w:val="7631692B"/>
    <w:rsid w:val="76401EAE"/>
    <w:rsid w:val="76726D86"/>
    <w:rsid w:val="76790114"/>
    <w:rsid w:val="767A4721"/>
    <w:rsid w:val="76AC2297"/>
    <w:rsid w:val="76AF7066"/>
    <w:rsid w:val="76C72CE3"/>
    <w:rsid w:val="76C77567"/>
    <w:rsid w:val="76D31F1A"/>
    <w:rsid w:val="76D33CC8"/>
    <w:rsid w:val="76E771E7"/>
    <w:rsid w:val="7725049C"/>
    <w:rsid w:val="77260CAD"/>
    <w:rsid w:val="773109EF"/>
    <w:rsid w:val="7733279C"/>
    <w:rsid w:val="77361074"/>
    <w:rsid w:val="7744462F"/>
    <w:rsid w:val="77636FA0"/>
    <w:rsid w:val="777F312E"/>
    <w:rsid w:val="77A20F00"/>
    <w:rsid w:val="77CB0E43"/>
    <w:rsid w:val="77F83EC3"/>
    <w:rsid w:val="78112CFA"/>
    <w:rsid w:val="783056A6"/>
    <w:rsid w:val="78415EDD"/>
    <w:rsid w:val="78672D03"/>
    <w:rsid w:val="788A03B6"/>
    <w:rsid w:val="788D71B5"/>
    <w:rsid w:val="7906268A"/>
    <w:rsid w:val="7957398F"/>
    <w:rsid w:val="796660D9"/>
    <w:rsid w:val="79BC0371"/>
    <w:rsid w:val="79D03B34"/>
    <w:rsid w:val="79D72945"/>
    <w:rsid w:val="79DC08AE"/>
    <w:rsid w:val="79E2571A"/>
    <w:rsid w:val="7A06284C"/>
    <w:rsid w:val="7A597B8B"/>
    <w:rsid w:val="7AFD287B"/>
    <w:rsid w:val="7B2167DE"/>
    <w:rsid w:val="7B4C10B7"/>
    <w:rsid w:val="7B6D115D"/>
    <w:rsid w:val="7B747134"/>
    <w:rsid w:val="7BEE6843"/>
    <w:rsid w:val="7C0D37D8"/>
    <w:rsid w:val="7C1E6D05"/>
    <w:rsid w:val="7C3F3BAE"/>
    <w:rsid w:val="7C831C9D"/>
    <w:rsid w:val="7CAA2FFF"/>
    <w:rsid w:val="7CC75D21"/>
    <w:rsid w:val="7CFB1883"/>
    <w:rsid w:val="7D0A293A"/>
    <w:rsid w:val="7D3E0858"/>
    <w:rsid w:val="7D45285A"/>
    <w:rsid w:val="7D524443"/>
    <w:rsid w:val="7D5A04D4"/>
    <w:rsid w:val="7D9B5F7A"/>
    <w:rsid w:val="7DA31F42"/>
    <w:rsid w:val="7DA41F1A"/>
    <w:rsid w:val="7E334D49"/>
    <w:rsid w:val="7E3A5C24"/>
    <w:rsid w:val="7EC365D0"/>
    <w:rsid w:val="7ECD724F"/>
    <w:rsid w:val="7ED700CE"/>
    <w:rsid w:val="7EE06F82"/>
    <w:rsid w:val="7F1E0CF8"/>
    <w:rsid w:val="7F4339B5"/>
    <w:rsid w:val="7F7E679B"/>
    <w:rsid w:val="7F887D4D"/>
    <w:rsid w:val="7FAC155A"/>
    <w:rsid w:val="7FAF2DF8"/>
    <w:rsid w:val="7FB3085A"/>
    <w:rsid w:val="7FE77A39"/>
    <w:rsid w:val="7FF063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1" w:name="index 2"/>
    <w:lsdException w:uiPriority="1" w:name="index 3"/>
    <w:lsdException w:uiPriority="1" w:name="index 4"/>
    <w:lsdException w:uiPriority="1" w:name="index 5"/>
    <w:lsdException w:uiPriority="1" w:name="index 6"/>
    <w:lsdException w:uiPriority="1" w:name="index 7"/>
    <w:lsdException w:qFormat="1" w:unhideWhenUsed="0" w:uiPriority="0" w:semiHidden="0" w:name="index 8"/>
    <w:lsdException w:uiPriority="1"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1" w:name="index heading"/>
    <w:lsdException w:qFormat="1" w:unhideWhenUsed="0" w:uiPriority="0" w:semiHidden="0" w:name="caption"/>
    <w:lsdException w:qFormat="1" w:unhideWhenUsed="0" w:uiPriority="99" w:semiHidden="0" w:name="table of figures"/>
    <w:lsdException w:uiPriority="1" w:name="envelope address"/>
    <w:lsdException w:qFormat="1" w:unhideWhenUsed="0" w:uiPriority="0" w:semiHidden="0" w:name="envelope return"/>
    <w:lsdException w:qFormat="1" w:uiPriority="99" w:semiHidden="0" w:name="footnote reference"/>
    <w:lsdException w:qFormat="1" w:uiPriority="0" w:semiHidden="0" w:name="annotation reference"/>
    <w:lsdException w:uiPriority="1" w:name="line number"/>
    <w:lsdException w:qFormat="1" w:unhideWhenUsed="0" w:uiPriority="0" w:semiHidden="0" w:name="page number"/>
    <w:lsdException w:qFormat="1" w:uiPriority="99" w:semiHidden="0" w:name="endnote reference"/>
    <w:lsdException w:qFormat="1" w:uiPriority="99" w:semiHidden="0" w:name="endnote text"/>
    <w:lsdException w:uiPriority="1" w:name="table of authorities"/>
    <w:lsdException w:uiPriority="1" w:name="macro"/>
    <w:lsdException w:uiPriority="1" w:name="toa heading"/>
    <w:lsdException w:qFormat="1" w:unhideWhenUsed="0" w:uiPriority="0" w:semiHidden="0" w:name="List"/>
    <w:lsdException w:uiPriority="1" w:name="List Bullet"/>
    <w:lsdException w:qFormat="1" w:unhideWhenUsed="0" w:uiPriority="0" w:semiHidden="0" w:name="List Number"/>
    <w:lsdException w:qFormat="1" w:unhideWhenUsed="0" w:uiPriority="0" w:semiHidden="0" w:name="List 2"/>
    <w:lsdException w:uiPriority="1" w:name="List 3"/>
    <w:lsdException w:uiPriority="1" w:name="List 4"/>
    <w:lsdException w:uiPriority="1" w:name="List 5"/>
    <w:lsdException w:uiPriority="1" w:name="List Bullet 2"/>
    <w:lsdException w:uiPriority="1" w:name="List Bullet 3"/>
    <w:lsdException w:uiPriority="1" w:name="List Bullet 4"/>
    <w:lsdException w:uiPriority="1" w:name="List Bullet 5"/>
    <w:lsdException w:uiPriority="1" w:name="List Number 2"/>
    <w:lsdException w:qFormat="1" w:unhideWhenUsed="0" w:uiPriority="0" w:semiHidden="0" w:name="List Number 3"/>
    <w:lsdException w:uiPriority="1" w:name="List Number 4"/>
    <w:lsdException w:uiPriority="1" w:name="List Number 5"/>
    <w:lsdException w:qFormat="1" w:unhideWhenUsed="0" w:uiPriority="10" w:semiHidden="0" w:name="Title"/>
    <w:lsdException w:uiPriority="1" w:name="Closing"/>
    <w:lsdException w:uiPriority="1" w:name="Signature"/>
    <w:lsdException w:qFormat="1" w:uiPriority="1" w:name="Default Paragraph Font"/>
    <w:lsdException w:qFormat="1" w:unhideWhenUsed="0" w:uiPriority="99" w:semiHidden="0" w:name="Body Text"/>
    <w:lsdException w:qFormat="1" w:unhideWhenUsed="0" w:uiPriority="0" w:semiHidden="0" w:name="Body Text Indent"/>
    <w:lsdException w:uiPriority="1" w:name="List Continue"/>
    <w:lsdException w:uiPriority="1" w:name="List Continue 2"/>
    <w:lsdException w:uiPriority="1" w:name="List Continue 3"/>
    <w:lsdException w:uiPriority="1" w:name="List Continue 4"/>
    <w:lsdException w:uiPriority="1" w:name="List Continue 5"/>
    <w:lsdException w:uiPriority="1" w:name="Message Header"/>
    <w:lsdException w:qFormat="1" w:unhideWhenUsed="0" w:uiPriority="1" w:semiHidden="0" w:name="Subtitle"/>
    <w:lsdException w:uiPriority="1"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1"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1" w:semiHidden="0" w:name="Emphasis"/>
    <w:lsdException w:qFormat="1" w:uiPriority="0" w:semiHidden="0" w:name="Document Map"/>
    <w:lsdException w:qFormat="1" w:unhideWhenUsed="0" w:uiPriority="0" w:semiHidden="0" w:name="Plain Text"/>
    <w:lsdException w:uiPriority="1" w:name="E-mail Signature"/>
    <w:lsdException w:qFormat="1" w:unhideWhenUsed="0" w:uiPriority="0" w:semiHidden="0" w:name="Normal (Web)"/>
    <w:lsdException w:uiPriority="1" w:name="HTML Acronym"/>
    <w:lsdException w:uiPriority="1" w:name="HTML Address"/>
    <w:lsdException w:uiPriority="1" w:name="HTML Cite"/>
    <w:lsdException w:uiPriority="1" w:name="HTML Code"/>
    <w:lsdException w:uiPriority="1" w:name="HTML Definition"/>
    <w:lsdException w:uiPriority="1" w:name="HTML Keyboard"/>
    <w:lsdException w:uiPriority="1" w:name="HTML Preformatted"/>
    <w:lsdException w:uiPriority="1" w:name="HTML Sample"/>
    <w:lsdException w:uiPriority="1" w:name="HTML Typewriter"/>
    <w:lsdException w:uiPriority="1" w:name="HTML Variable"/>
    <w:lsdException w:qFormat="1" w:uiPriority="99" w:name="Normal Table"/>
    <w:lsdException w:qFormat="1" w:uiPriority="99" w:semiHidden="0" w:name="annotation subject"/>
    <w:lsdException w:uiPriority="1" w:name="Table Simple 1"/>
    <w:lsdException w:uiPriority="1" w:name="Table Simple 2"/>
    <w:lsdException w:uiPriority="1" w:name="Table Simple 3"/>
    <w:lsdException w:uiPriority="1" w:name="Table Classic 1"/>
    <w:lsdException w:uiPriority="1" w:name="Table Classic 2"/>
    <w:lsdException w:uiPriority="1" w:name="Table Classic 3"/>
    <w:lsdException w:uiPriority="1" w:name="Table Classic 4"/>
    <w:lsdException w:uiPriority="1" w:name="Table Colorful 1"/>
    <w:lsdException w:uiPriority="1" w:name="Table Colorful 2"/>
    <w:lsdException w:uiPriority="1" w:name="Table Colorful 3"/>
    <w:lsdException w:uiPriority="1" w:name="Table Columns 1"/>
    <w:lsdException w:uiPriority="1" w:name="Table Columns 2"/>
    <w:lsdException w:uiPriority="1" w:name="Table Columns 3"/>
    <w:lsdException w:uiPriority="1" w:name="Table Columns 4"/>
    <w:lsdException w:uiPriority="1" w:name="Table Columns 5"/>
    <w:lsdException w:uiPriority="1" w:name="Table Grid 1"/>
    <w:lsdException w:uiPriority="1" w:name="Table Grid 2"/>
    <w:lsdException w:uiPriority="1" w:name="Table Grid 3"/>
    <w:lsdException w:uiPriority="1" w:name="Table Grid 4"/>
    <w:lsdException w:uiPriority="1" w:name="Table Grid 5"/>
    <w:lsdException w:uiPriority="1" w:name="Table Grid 6"/>
    <w:lsdException w:uiPriority="1" w:name="Table Grid 7"/>
    <w:lsdException w:uiPriority="1" w:name="Table Grid 8"/>
    <w:lsdException w:uiPriority="1" w:name="Table List 1"/>
    <w:lsdException w:uiPriority="1" w:name="Table List 2"/>
    <w:lsdException w:uiPriority="1" w:name="Table List 3"/>
    <w:lsdException w:uiPriority="1" w:name="Table List 4"/>
    <w:lsdException w:uiPriority="1" w:name="Table List 5"/>
    <w:lsdException w:uiPriority="1" w:name="Table List 6"/>
    <w:lsdException w:uiPriority="1" w:name="Table List 7"/>
    <w:lsdException w:uiPriority="1" w:name="Table List 8"/>
    <w:lsdException w:uiPriority="1" w:name="Table 3D effects 1"/>
    <w:lsdException w:uiPriority="1" w:name="Table 3D effects 2"/>
    <w:lsdException w:uiPriority="1" w:name="Table 3D effects 3"/>
    <w:lsdException w:uiPriority="1" w:name="Table Contemporary"/>
    <w:lsdException w:uiPriority="1" w:name="Table Elegant"/>
    <w:lsdException w:uiPriority="1" w:name="Table Professional"/>
    <w:lsdException w:uiPriority="1" w:name="Table Subtle 1"/>
    <w:lsdException w:uiPriority="1" w:name="Table Subtle 2"/>
    <w:lsdException w:uiPriority="1" w:name="Table Web 1"/>
    <w:lsdException w:uiPriority="1" w:name="Table Web 2"/>
    <w:lsdException w:uiPriority="1" w:name="Table Web 3"/>
    <w:lsdException w:qFormat="1" w:unhideWhenUsed="0" w:uiPriority="0" w:name="Balloon Text"/>
    <w:lsdException w:qFormat="1" w:unhideWhenUsed="0" w:uiPriority="0" w:semiHidden="0" w:name="Table Grid"/>
    <w:lsdException w:uiPriority="1"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6"/>
    <w:autoRedefine/>
    <w:qFormat/>
    <w:uiPriority w:val="0"/>
    <w:pPr>
      <w:keepNext/>
      <w:keepLines/>
      <w:spacing w:before="340" w:after="330" w:line="578" w:lineRule="auto"/>
      <w:outlineLvl w:val="0"/>
    </w:pPr>
    <w:rPr>
      <w:b/>
      <w:bCs/>
      <w:kern w:val="44"/>
      <w:sz w:val="44"/>
      <w:szCs w:val="44"/>
      <w:lang w:val="zh-CN"/>
    </w:rPr>
  </w:style>
  <w:style w:type="paragraph" w:styleId="3">
    <w:name w:val="heading 2"/>
    <w:basedOn w:val="1"/>
    <w:next w:val="1"/>
    <w:link w:val="67"/>
    <w:autoRedefine/>
    <w:qFormat/>
    <w:uiPriority w:val="0"/>
    <w:pPr>
      <w:keepNext/>
      <w:keepLines/>
      <w:spacing w:before="260" w:after="260" w:line="416" w:lineRule="auto"/>
      <w:outlineLvl w:val="1"/>
    </w:pPr>
    <w:rPr>
      <w:rFonts w:ascii="Arial" w:hAnsi="Arial" w:eastAsia="黑体"/>
      <w:b/>
      <w:bCs/>
      <w:kern w:val="0"/>
      <w:sz w:val="32"/>
      <w:szCs w:val="32"/>
      <w:lang w:val="zh-CN"/>
    </w:rPr>
  </w:style>
  <w:style w:type="paragraph" w:styleId="4">
    <w:name w:val="heading 3"/>
    <w:basedOn w:val="1"/>
    <w:next w:val="1"/>
    <w:link w:val="65"/>
    <w:autoRedefine/>
    <w:qFormat/>
    <w:uiPriority w:val="0"/>
    <w:pPr>
      <w:keepNext/>
      <w:keepLines/>
      <w:spacing w:before="260" w:after="260" w:line="416" w:lineRule="auto"/>
      <w:outlineLvl w:val="2"/>
    </w:pPr>
    <w:rPr>
      <w:b/>
      <w:bCs/>
      <w:kern w:val="0"/>
      <w:sz w:val="32"/>
      <w:szCs w:val="32"/>
      <w:lang w:val="zh-CN"/>
    </w:rPr>
  </w:style>
  <w:style w:type="paragraph" w:styleId="5">
    <w:name w:val="heading 4"/>
    <w:basedOn w:val="1"/>
    <w:next w:val="1"/>
    <w:autoRedefine/>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7"/>
    <w:link w:val="68"/>
    <w:autoRedefine/>
    <w:qFormat/>
    <w:uiPriority w:val="0"/>
    <w:pPr>
      <w:keepNext/>
      <w:keepLines/>
      <w:numPr>
        <w:ilvl w:val="4"/>
        <w:numId w:val="1"/>
      </w:numPr>
      <w:spacing w:before="280" w:after="290" w:line="376" w:lineRule="auto"/>
      <w:outlineLvl w:val="4"/>
    </w:pPr>
    <w:rPr>
      <w:b/>
      <w:sz w:val="28"/>
      <w:lang w:val="zh-CN"/>
    </w:rPr>
  </w:style>
  <w:style w:type="paragraph" w:styleId="8">
    <w:name w:val="heading 6"/>
    <w:basedOn w:val="1"/>
    <w:next w:val="7"/>
    <w:link w:val="69"/>
    <w:autoRedefine/>
    <w:qFormat/>
    <w:uiPriority w:val="0"/>
    <w:pPr>
      <w:keepNext/>
      <w:keepLines/>
      <w:numPr>
        <w:ilvl w:val="5"/>
        <w:numId w:val="1"/>
      </w:numPr>
      <w:spacing w:before="240" w:after="64" w:line="320" w:lineRule="auto"/>
      <w:outlineLvl w:val="5"/>
    </w:pPr>
    <w:rPr>
      <w:rFonts w:ascii="Arial" w:hAnsi="Arial" w:eastAsia="黑体"/>
      <w:b/>
      <w:sz w:val="24"/>
      <w:lang w:val="zh-CN"/>
    </w:rPr>
  </w:style>
  <w:style w:type="paragraph" w:styleId="9">
    <w:name w:val="heading 7"/>
    <w:basedOn w:val="1"/>
    <w:next w:val="7"/>
    <w:link w:val="70"/>
    <w:autoRedefine/>
    <w:qFormat/>
    <w:uiPriority w:val="0"/>
    <w:pPr>
      <w:keepNext/>
      <w:keepLines/>
      <w:numPr>
        <w:ilvl w:val="6"/>
        <w:numId w:val="1"/>
      </w:numPr>
      <w:spacing w:before="240" w:after="64" w:line="320" w:lineRule="auto"/>
      <w:outlineLvl w:val="6"/>
    </w:pPr>
    <w:rPr>
      <w:b/>
      <w:sz w:val="24"/>
      <w:lang w:val="zh-CN"/>
    </w:rPr>
  </w:style>
  <w:style w:type="paragraph" w:styleId="10">
    <w:name w:val="heading 8"/>
    <w:basedOn w:val="1"/>
    <w:next w:val="7"/>
    <w:link w:val="71"/>
    <w:autoRedefine/>
    <w:qFormat/>
    <w:uiPriority w:val="0"/>
    <w:pPr>
      <w:keepNext/>
      <w:keepLines/>
      <w:numPr>
        <w:ilvl w:val="7"/>
        <w:numId w:val="1"/>
      </w:numPr>
      <w:spacing w:before="240" w:after="64" w:line="320" w:lineRule="auto"/>
      <w:outlineLvl w:val="7"/>
    </w:pPr>
    <w:rPr>
      <w:rFonts w:ascii="Arial" w:hAnsi="Arial" w:eastAsia="黑体"/>
      <w:sz w:val="24"/>
      <w:lang w:val="zh-CN"/>
    </w:rPr>
  </w:style>
  <w:style w:type="paragraph" w:styleId="11">
    <w:name w:val="heading 9"/>
    <w:basedOn w:val="1"/>
    <w:next w:val="7"/>
    <w:link w:val="72"/>
    <w:autoRedefine/>
    <w:qFormat/>
    <w:uiPriority w:val="0"/>
    <w:pPr>
      <w:keepNext/>
      <w:keepLines/>
      <w:numPr>
        <w:ilvl w:val="8"/>
        <w:numId w:val="1"/>
      </w:numPr>
      <w:spacing w:before="240" w:after="64" w:line="320" w:lineRule="auto"/>
      <w:outlineLvl w:val="8"/>
    </w:pPr>
    <w:rPr>
      <w:rFonts w:ascii="Arial" w:hAnsi="Arial" w:eastAsia="黑体"/>
      <w:lang w:val="zh-CN"/>
    </w:rPr>
  </w:style>
  <w:style w:type="character" w:default="1" w:styleId="53">
    <w:name w:val="Default Paragraph Font"/>
    <w:autoRedefine/>
    <w:semiHidden/>
    <w:unhideWhenUsed/>
    <w:qFormat/>
    <w:uiPriority w:val="1"/>
  </w:style>
  <w:style w:type="table" w:default="1" w:styleId="51">
    <w:name w:val="Normal Table"/>
    <w:autoRedefine/>
    <w:semiHidden/>
    <w:unhideWhenUsed/>
    <w:qFormat/>
    <w:uiPriority w:val="99"/>
    <w:tblPr>
      <w:tblCellMar>
        <w:top w:w="0" w:type="dxa"/>
        <w:left w:w="108" w:type="dxa"/>
        <w:bottom w:w="0" w:type="dxa"/>
        <w:right w:w="108" w:type="dxa"/>
      </w:tblCellMar>
    </w:tblPr>
  </w:style>
  <w:style w:type="paragraph" w:styleId="7">
    <w:name w:val="Normal Indent"/>
    <w:basedOn w:val="1"/>
    <w:autoRedefine/>
    <w:qFormat/>
    <w:uiPriority w:val="0"/>
    <w:pPr>
      <w:ind w:firstLine="420"/>
    </w:pPr>
    <w:rPr>
      <w:szCs w:val="20"/>
    </w:rPr>
  </w:style>
  <w:style w:type="paragraph" w:styleId="12">
    <w:name w:val="toc 7"/>
    <w:basedOn w:val="1"/>
    <w:next w:val="1"/>
    <w:autoRedefine/>
    <w:unhideWhenUsed/>
    <w:qFormat/>
    <w:uiPriority w:val="39"/>
    <w:pPr>
      <w:ind w:left="2520" w:leftChars="1200"/>
    </w:pPr>
    <w:rPr>
      <w:rFonts w:ascii="Calibri" w:hAnsi="Calibri"/>
      <w:szCs w:val="22"/>
    </w:rPr>
  </w:style>
  <w:style w:type="paragraph" w:styleId="13">
    <w:name w:val="index 8"/>
    <w:basedOn w:val="1"/>
    <w:next w:val="1"/>
    <w:autoRedefine/>
    <w:qFormat/>
    <w:uiPriority w:val="0"/>
    <w:pPr>
      <w:ind w:left="2940"/>
    </w:pPr>
  </w:style>
  <w:style w:type="paragraph" w:styleId="14">
    <w:name w:val="List Number"/>
    <w:basedOn w:val="1"/>
    <w:autoRedefine/>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autoRedefine/>
    <w:qFormat/>
    <w:uiPriority w:val="0"/>
    <w:pPr>
      <w:spacing w:before="152" w:after="160"/>
    </w:pPr>
    <w:rPr>
      <w:rFonts w:ascii="Arial" w:hAnsi="Arial" w:eastAsia="黑体" w:cs="Arial"/>
      <w:sz w:val="20"/>
      <w:szCs w:val="20"/>
    </w:rPr>
  </w:style>
  <w:style w:type="paragraph" w:styleId="16">
    <w:name w:val="Document Map"/>
    <w:basedOn w:val="1"/>
    <w:link w:val="73"/>
    <w:autoRedefine/>
    <w:unhideWhenUsed/>
    <w:qFormat/>
    <w:uiPriority w:val="0"/>
    <w:pPr>
      <w:shd w:val="clear" w:color="auto" w:fill="000080"/>
    </w:pPr>
    <w:rPr>
      <w:rFonts w:hint="eastAsia" w:ascii="宋体" w:hAnsi="宋体"/>
      <w:kern w:val="0"/>
      <w:sz w:val="20"/>
      <w:szCs w:val="20"/>
      <w:lang w:val="zh-CN"/>
    </w:rPr>
  </w:style>
  <w:style w:type="paragraph" w:styleId="17">
    <w:name w:val="annotation text"/>
    <w:basedOn w:val="1"/>
    <w:link w:val="74"/>
    <w:autoRedefine/>
    <w:unhideWhenUsed/>
    <w:qFormat/>
    <w:uiPriority w:val="0"/>
    <w:pPr>
      <w:jc w:val="left"/>
    </w:pPr>
    <w:rPr>
      <w:lang w:val="zh-CN"/>
    </w:rPr>
  </w:style>
  <w:style w:type="paragraph" w:styleId="18">
    <w:name w:val="Body Text 3"/>
    <w:basedOn w:val="1"/>
    <w:link w:val="75"/>
    <w:autoRedefine/>
    <w:qFormat/>
    <w:uiPriority w:val="0"/>
    <w:pPr>
      <w:spacing w:line="500" w:lineRule="exact"/>
    </w:pPr>
    <w:rPr>
      <w:b/>
      <w:bCs/>
      <w:kern w:val="0"/>
      <w:sz w:val="24"/>
      <w:lang w:val="zh-CN"/>
    </w:rPr>
  </w:style>
  <w:style w:type="paragraph" w:styleId="19">
    <w:name w:val="Body Text"/>
    <w:basedOn w:val="1"/>
    <w:link w:val="76"/>
    <w:autoRedefine/>
    <w:qFormat/>
    <w:uiPriority w:val="99"/>
    <w:pPr>
      <w:spacing w:line="380" w:lineRule="exact"/>
    </w:pPr>
    <w:rPr>
      <w:kern w:val="0"/>
      <w:sz w:val="24"/>
      <w:lang w:val="zh-CN"/>
    </w:rPr>
  </w:style>
  <w:style w:type="paragraph" w:styleId="20">
    <w:name w:val="Body Text Indent"/>
    <w:basedOn w:val="1"/>
    <w:next w:val="21"/>
    <w:link w:val="77"/>
    <w:autoRedefine/>
    <w:qFormat/>
    <w:uiPriority w:val="0"/>
    <w:pPr>
      <w:ind w:firstLine="830" w:firstLineChars="352"/>
    </w:pPr>
    <w:rPr>
      <w:rFonts w:ascii="仿宋_GB2312" w:eastAsia="仿宋_GB2312"/>
      <w:kern w:val="0"/>
      <w:sz w:val="32"/>
      <w:szCs w:val="20"/>
      <w:lang w:val="zh-CN"/>
    </w:rPr>
  </w:style>
  <w:style w:type="paragraph" w:styleId="21">
    <w:name w:val="envelope return"/>
    <w:basedOn w:val="1"/>
    <w:qFormat/>
    <w:uiPriority w:val="0"/>
    <w:pPr>
      <w:snapToGrid w:val="0"/>
    </w:pPr>
    <w:rPr>
      <w:rFonts w:ascii="Arial" w:hAnsi="Arial"/>
    </w:rPr>
  </w:style>
  <w:style w:type="paragraph" w:styleId="22">
    <w:name w:val="List Number 3"/>
    <w:basedOn w:val="1"/>
    <w:autoRedefine/>
    <w:qFormat/>
    <w:uiPriority w:val="0"/>
    <w:pPr>
      <w:numPr>
        <w:ilvl w:val="0"/>
        <w:numId w:val="2"/>
      </w:numPr>
    </w:pPr>
  </w:style>
  <w:style w:type="paragraph" w:styleId="23">
    <w:name w:val="List 2"/>
    <w:basedOn w:val="1"/>
    <w:autoRedefine/>
    <w:qFormat/>
    <w:uiPriority w:val="0"/>
    <w:pPr>
      <w:ind w:left="100" w:leftChars="200" w:hanging="200" w:hangingChars="200"/>
    </w:pPr>
    <w:rPr>
      <w:sz w:val="28"/>
    </w:rPr>
  </w:style>
  <w:style w:type="paragraph" w:styleId="24">
    <w:name w:val="Block Text"/>
    <w:basedOn w:val="1"/>
    <w:autoRedefine/>
    <w:qFormat/>
    <w:uiPriority w:val="0"/>
    <w:pPr>
      <w:spacing w:after="120"/>
      <w:ind w:left="1440" w:leftChars="700" w:right="700" w:rightChars="700"/>
    </w:pPr>
  </w:style>
  <w:style w:type="paragraph" w:styleId="25">
    <w:name w:val="toc 5"/>
    <w:basedOn w:val="1"/>
    <w:next w:val="1"/>
    <w:autoRedefine/>
    <w:unhideWhenUsed/>
    <w:qFormat/>
    <w:uiPriority w:val="39"/>
    <w:pPr>
      <w:ind w:left="1680" w:leftChars="800"/>
    </w:pPr>
    <w:rPr>
      <w:rFonts w:ascii="Calibri" w:hAnsi="Calibri"/>
      <w:szCs w:val="22"/>
    </w:rPr>
  </w:style>
  <w:style w:type="paragraph" w:styleId="26">
    <w:name w:val="toc 3"/>
    <w:basedOn w:val="1"/>
    <w:next w:val="1"/>
    <w:autoRedefine/>
    <w:unhideWhenUsed/>
    <w:qFormat/>
    <w:uiPriority w:val="39"/>
    <w:pPr>
      <w:ind w:left="840" w:leftChars="400"/>
    </w:pPr>
    <w:rPr>
      <w:rFonts w:ascii="Calibri" w:hAnsi="Calibri"/>
      <w:szCs w:val="22"/>
    </w:rPr>
  </w:style>
  <w:style w:type="paragraph" w:styleId="27">
    <w:name w:val="Plain Text"/>
    <w:basedOn w:val="1"/>
    <w:link w:val="78"/>
    <w:autoRedefine/>
    <w:qFormat/>
    <w:uiPriority w:val="0"/>
    <w:rPr>
      <w:rFonts w:ascii="宋体" w:hAnsi="Courier New"/>
      <w:kern w:val="0"/>
      <w:sz w:val="20"/>
      <w:szCs w:val="21"/>
      <w:lang w:val="zh-CN"/>
    </w:rPr>
  </w:style>
  <w:style w:type="paragraph" w:styleId="28">
    <w:name w:val="toc 8"/>
    <w:basedOn w:val="1"/>
    <w:next w:val="1"/>
    <w:autoRedefine/>
    <w:unhideWhenUsed/>
    <w:qFormat/>
    <w:uiPriority w:val="39"/>
    <w:pPr>
      <w:ind w:left="2940" w:leftChars="1400"/>
    </w:pPr>
    <w:rPr>
      <w:rFonts w:ascii="Calibri" w:hAnsi="Calibri"/>
      <w:szCs w:val="22"/>
    </w:rPr>
  </w:style>
  <w:style w:type="paragraph" w:styleId="29">
    <w:name w:val="Date"/>
    <w:basedOn w:val="1"/>
    <w:next w:val="1"/>
    <w:link w:val="79"/>
    <w:autoRedefine/>
    <w:qFormat/>
    <w:uiPriority w:val="0"/>
    <w:pPr>
      <w:ind w:left="100" w:leftChars="2500"/>
    </w:pPr>
    <w:rPr>
      <w:rFonts w:ascii="宋体" w:hAnsi="Courier New"/>
      <w:kern w:val="0"/>
      <w:sz w:val="20"/>
      <w:szCs w:val="21"/>
      <w:lang w:val="zh-CN"/>
    </w:rPr>
  </w:style>
  <w:style w:type="paragraph" w:styleId="30">
    <w:name w:val="Body Text Indent 2"/>
    <w:basedOn w:val="1"/>
    <w:link w:val="80"/>
    <w:autoRedefine/>
    <w:qFormat/>
    <w:uiPriority w:val="0"/>
    <w:pPr>
      <w:ind w:firstLine="630"/>
    </w:pPr>
    <w:rPr>
      <w:kern w:val="0"/>
      <w:sz w:val="32"/>
      <w:szCs w:val="20"/>
      <w:lang w:val="zh-CN"/>
    </w:rPr>
  </w:style>
  <w:style w:type="paragraph" w:styleId="31">
    <w:name w:val="endnote text"/>
    <w:basedOn w:val="1"/>
    <w:link w:val="81"/>
    <w:autoRedefine/>
    <w:unhideWhenUsed/>
    <w:qFormat/>
    <w:uiPriority w:val="99"/>
    <w:pPr>
      <w:snapToGrid w:val="0"/>
      <w:jc w:val="left"/>
    </w:pPr>
    <w:rPr>
      <w:lang w:val="zh-CN"/>
    </w:rPr>
  </w:style>
  <w:style w:type="paragraph" w:styleId="32">
    <w:name w:val="Balloon Text"/>
    <w:basedOn w:val="1"/>
    <w:link w:val="82"/>
    <w:autoRedefine/>
    <w:semiHidden/>
    <w:qFormat/>
    <w:uiPriority w:val="0"/>
    <w:rPr>
      <w:kern w:val="0"/>
      <w:sz w:val="18"/>
      <w:szCs w:val="18"/>
      <w:lang w:val="zh-CN"/>
    </w:rPr>
  </w:style>
  <w:style w:type="paragraph" w:styleId="33">
    <w:name w:val="footer"/>
    <w:basedOn w:val="1"/>
    <w:next w:val="1"/>
    <w:link w:val="83"/>
    <w:autoRedefine/>
    <w:unhideWhenUsed/>
    <w:qFormat/>
    <w:uiPriority w:val="99"/>
    <w:pPr>
      <w:tabs>
        <w:tab w:val="center" w:pos="4153"/>
        <w:tab w:val="right" w:pos="8306"/>
      </w:tabs>
      <w:snapToGrid w:val="0"/>
      <w:jc w:val="left"/>
    </w:pPr>
    <w:rPr>
      <w:kern w:val="0"/>
      <w:sz w:val="18"/>
      <w:szCs w:val="18"/>
      <w:lang w:val="zh-CN"/>
    </w:rPr>
  </w:style>
  <w:style w:type="paragraph" w:styleId="34">
    <w:name w:val="header"/>
    <w:basedOn w:val="1"/>
    <w:link w:val="84"/>
    <w:autoRedefine/>
    <w:unhideWhenUsed/>
    <w:qFormat/>
    <w:uiPriority w:val="99"/>
    <w:pPr>
      <w:pBdr>
        <w:bottom w:val="single" w:color="auto" w:sz="6" w:space="1"/>
      </w:pBdr>
      <w:tabs>
        <w:tab w:val="center" w:pos="0"/>
        <w:tab w:val="left" w:pos="8306"/>
      </w:tabs>
      <w:snapToGrid w:val="0"/>
      <w:jc w:val="center"/>
    </w:pPr>
    <w:rPr>
      <w:sz w:val="18"/>
      <w:szCs w:val="18"/>
      <w:lang w:val="zh-CN"/>
    </w:rPr>
  </w:style>
  <w:style w:type="paragraph" w:styleId="35">
    <w:name w:val="toc 1"/>
    <w:basedOn w:val="1"/>
    <w:next w:val="1"/>
    <w:autoRedefine/>
    <w:qFormat/>
    <w:uiPriority w:val="39"/>
    <w:pPr>
      <w:tabs>
        <w:tab w:val="right" w:leader="dot" w:pos="8398"/>
      </w:tabs>
      <w:spacing w:before="120" w:after="120"/>
      <w:ind w:firstLine="240" w:firstLineChars="100"/>
      <w:jc w:val="left"/>
    </w:pPr>
    <w:rPr>
      <w:rFonts w:ascii="宋体" w:hAnsi="宋体"/>
      <w:b/>
      <w:bCs/>
      <w:caps/>
      <w:sz w:val="24"/>
    </w:rPr>
  </w:style>
  <w:style w:type="paragraph" w:styleId="36">
    <w:name w:val="toc 4"/>
    <w:basedOn w:val="1"/>
    <w:next w:val="1"/>
    <w:autoRedefine/>
    <w:unhideWhenUsed/>
    <w:qFormat/>
    <w:uiPriority w:val="39"/>
    <w:pPr>
      <w:ind w:left="1260" w:leftChars="600"/>
    </w:pPr>
    <w:rPr>
      <w:rFonts w:ascii="Calibri" w:hAnsi="Calibri"/>
      <w:szCs w:val="22"/>
    </w:rPr>
  </w:style>
  <w:style w:type="paragraph" w:styleId="37">
    <w:name w:val="List"/>
    <w:basedOn w:val="1"/>
    <w:autoRedefine/>
    <w:qFormat/>
    <w:uiPriority w:val="0"/>
    <w:pPr>
      <w:ind w:left="200" w:hanging="200" w:hangingChars="200"/>
    </w:pPr>
    <w:rPr>
      <w:sz w:val="28"/>
    </w:rPr>
  </w:style>
  <w:style w:type="paragraph" w:styleId="38">
    <w:name w:val="footnote text"/>
    <w:basedOn w:val="1"/>
    <w:link w:val="85"/>
    <w:autoRedefine/>
    <w:unhideWhenUsed/>
    <w:qFormat/>
    <w:uiPriority w:val="99"/>
    <w:pPr>
      <w:snapToGrid w:val="0"/>
      <w:jc w:val="left"/>
    </w:pPr>
    <w:rPr>
      <w:sz w:val="18"/>
      <w:szCs w:val="18"/>
      <w:lang w:val="zh-CN"/>
    </w:rPr>
  </w:style>
  <w:style w:type="paragraph" w:styleId="39">
    <w:name w:val="toc 6"/>
    <w:basedOn w:val="1"/>
    <w:next w:val="1"/>
    <w:autoRedefine/>
    <w:unhideWhenUsed/>
    <w:qFormat/>
    <w:uiPriority w:val="39"/>
    <w:pPr>
      <w:ind w:left="2100" w:leftChars="1000"/>
    </w:pPr>
    <w:rPr>
      <w:rFonts w:ascii="Calibri" w:hAnsi="Calibri"/>
      <w:szCs w:val="22"/>
    </w:rPr>
  </w:style>
  <w:style w:type="paragraph" w:styleId="40">
    <w:name w:val="Body Text Indent 3"/>
    <w:basedOn w:val="1"/>
    <w:link w:val="86"/>
    <w:autoRedefine/>
    <w:qFormat/>
    <w:uiPriority w:val="0"/>
    <w:pPr>
      <w:spacing w:after="120"/>
      <w:ind w:left="420" w:leftChars="200"/>
    </w:pPr>
    <w:rPr>
      <w:kern w:val="0"/>
      <w:sz w:val="16"/>
      <w:szCs w:val="16"/>
      <w:lang w:val="zh-CN"/>
    </w:rPr>
  </w:style>
  <w:style w:type="paragraph" w:styleId="41">
    <w:name w:val="table of figures"/>
    <w:basedOn w:val="1"/>
    <w:next w:val="1"/>
    <w:autoRedefine/>
    <w:qFormat/>
    <w:uiPriority w:val="99"/>
    <w:pPr>
      <w:ind w:left="200" w:leftChars="200" w:hanging="200" w:hangingChars="200"/>
    </w:pPr>
  </w:style>
  <w:style w:type="paragraph" w:styleId="42">
    <w:name w:val="toc 2"/>
    <w:basedOn w:val="1"/>
    <w:next w:val="1"/>
    <w:autoRedefine/>
    <w:unhideWhenUsed/>
    <w:qFormat/>
    <w:uiPriority w:val="39"/>
    <w:pPr>
      <w:ind w:left="420" w:leftChars="200"/>
    </w:pPr>
  </w:style>
  <w:style w:type="paragraph" w:styleId="43">
    <w:name w:val="toc 9"/>
    <w:basedOn w:val="1"/>
    <w:next w:val="1"/>
    <w:autoRedefine/>
    <w:unhideWhenUsed/>
    <w:qFormat/>
    <w:uiPriority w:val="39"/>
    <w:pPr>
      <w:ind w:left="3360" w:leftChars="1600"/>
    </w:pPr>
    <w:rPr>
      <w:rFonts w:ascii="Calibri" w:hAnsi="Calibri"/>
      <w:szCs w:val="22"/>
    </w:rPr>
  </w:style>
  <w:style w:type="paragraph" w:styleId="44">
    <w:name w:val="Body Text 2"/>
    <w:basedOn w:val="1"/>
    <w:link w:val="87"/>
    <w:autoRedefine/>
    <w:qFormat/>
    <w:uiPriority w:val="0"/>
    <w:pPr>
      <w:spacing w:after="120" w:line="480" w:lineRule="auto"/>
    </w:pPr>
    <w:rPr>
      <w:kern w:val="0"/>
      <w:sz w:val="20"/>
      <w:lang w:val="zh-CN"/>
    </w:rPr>
  </w:style>
  <w:style w:type="paragraph" w:styleId="45">
    <w:name w:val="Normal (Web)"/>
    <w:basedOn w:val="1"/>
    <w:autoRedefine/>
    <w:qFormat/>
    <w:uiPriority w:val="0"/>
    <w:pPr>
      <w:widowControl/>
      <w:spacing w:before="100" w:beforeAutospacing="1" w:after="100" w:afterAutospacing="1"/>
      <w:jc w:val="left"/>
    </w:pPr>
    <w:rPr>
      <w:rFonts w:ascii="宋体" w:hAnsi="宋体"/>
      <w:kern w:val="0"/>
      <w:sz w:val="24"/>
    </w:rPr>
  </w:style>
  <w:style w:type="paragraph" w:styleId="46">
    <w:name w:val="index 1"/>
    <w:basedOn w:val="1"/>
    <w:next w:val="1"/>
    <w:autoRedefine/>
    <w:semiHidden/>
    <w:qFormat/>
    <w:uiPriority w:val="0"/>
    <w:pPr>
      <w:spacing w:line="400" w:lineRule="exact"/>
      <w:ind w:firstLine="420" w:firstLineChars="200"/>
    </w:pPr>
    <w:rPr>
      <w:rFonts w:ascii="宋体" w:hAnsi="Courier New"/>
      <w:b/>
      <w:szCs w:val="20"/>
    </w:rPr>
  </w:style>
  <w:style w:type="paragraph" w:styleId="47">
    <w:name w:val="Title"/>
    <w:basedOn w:val="1"/>
    <w:next w:val="1"/>
    <w:link w:val="88"/>
    <w:autoRedefine/>
    <w:qFormat/>
    <w:uiPriority w:val="10"/>
    <w:pPr>
      <w:spacing w:before="240" w:after="60"/>
      <w:jc w:val="center"/>
      <w:outlineLvl w:val="0"/>
    </w:pPr>
    <w:rPr>
      <w:rFonts w:ascii="Cambria" w:hAnsi="Cambria"/>
      <w:b/>
      <w:bCs/>
      <w:sz w:val="32"/>
      <w:szCs w:val="32"/>
      <w:lang w:val="zh-CN"/>
    </w:rPr>
  </w:style>
  <w:style w:type="paragraph" w:styleId="48">
    <w:name w:val="annotation subject"/>
    <w:basedOn w:val="17"/>
    <w:next w:val="17"/>
    <w:link w:val="89"/>
    <w:autoRedefine/>
    <w:unhideWhenUsed/>
    <w:qFormat/>
    <w:uiPriority w:val="99"/>
    <w:rPr>
      <w:b/>
      <w:bCs/>
    </w:rPr>
  </w:style>
  <w:style w:type="paragraph" w:styleId="49">
    <w:name w:val="Body Text First Indent"/>
    <w:basedOn w:val="19"/>
    <w:next w:val="1"/>
    <w:autoRedefine/>
    <w:qFormat/>
    <w:uiPriority w:val="0"/>
    <w:pPr>
      <w:ind w:firstLine="420" w:firstLineChars="100"/>
    </w:pPr>
    <w:rPr>
      <w:rFonts w:ascii="宋体" w:hAnsi="宋体" w:cs="宋体"/>
    </w:rPr>
  </w:style>
  <w:style w:type="paragraph" w:styleId="50">
    <w:name w:val="Body Text First Indent 2"/>
    <w:basedOn w:val="1"/>
    <w:autoRedefine/>
    <w:unhideWhenUsed/>
    <w:qFormat/>
    <w:uiPriority w:val="99"/>
    <w:pPr>
      <w:spacing w:line="360" w:lineRule="auto"/>
      <w:ind w:firstLine="420" w:firstLineChars="200"/>
    </w:pPr>
    <w:rPr>
      <w:rFonts w:ascii="宋体" w:hAnsi="宋体"/>
      <w:bCs/>
      <w:color w:val="FF0000"/>
      <w:szCs w:val="21"/>
    </w:rPr>
  </w:style>
  <w:style w:type="table" w:styleId="52">
    <w:name w:val="Table Grid"/>
    <w:basedOn w:val="5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basedOn w:val="53"/>
    <w:autoRedefine/>
    <w:qFormat/>
    <w:uiPriority w:val="22"/>
    <w:rPr>
      <w:b/>
      <w:bCs/>
    </w:rPr>
  </w:style>
  <w:style w:type="character" w:styleId="55">
    <w:name w:val="endnote reference"/>
    <w:autoRedefine/>
    <w:unhideWhenUsed/>
    <w:qFormat/>
    <w:uiPriority w:val="99"/>
    <w:rPr>
      <w:vertAlign w:val="superscript"/>
    </w:rPr>
  </w:style>
  <w:style w:type="character" w:styleId="56">
    <w:name w:val="page number"/>
    <w:autoRedefine/>
    <w:qFormat/>
    <w:uiPriority w:val="0"/>
  </w:style>
  <w:style w:type="character" w:styleId="57">
    <w:name w:val="FollowedHyperlink"/>
    <w:autoRedefine/>
    <w:qFormat/>
    <w:uiPriority w:val="0"/>
    <w:rPr>
      <w:color w:val="800080"/>
      <w:u w:val="single"/>
    </w:rPr>
  </w:style>
  <w:style w:type="character" w:styleId="58">
    <w:name w:val="Emphasis"/>
    <w:basedOn w:val="53"/>
    <w:autoRedefine/>
    <w:qFormat/>
    <w:uiPriority w:val="1"/>
    <w:rPr>
      <w:i/>
    </w:rPr>
  </w:style>
  <w:style w:type="character" w:styleId="59">
    <w:name w:val="Hyperlink"/>
    <w:autoRedefine/>
    <w:qFormat/>
    <w:uiPriority w:val="99"/>
    <w:rPr>
      <w:color w:val="0000FF"/>
      <w:u w:val="single"/>
    </w:rPr>
  </w:style>
  <w:style w:type="character" w:styleId="60">
    <w:name w:val="annotation reference"/>
    <w:autoRedefine/>
    <w:unhideWhenUsed/>
    <w:qFormat/>
    <w:uiPriority w:val="0"/>
    <w:rPr>
      <w:sz w:val="21"/>
      <w:szCs w:val="21"/>
    </w:rPr>
  </w:style>
  <w:style w:type="character" w:styleId="61">
    <w:name w:val="footnote reference"/>
    <w:autoRedefine/>
    <w:unhideWhenUsed/>
    <w:qFormat/>
    <w:uiPriority w:val="99"/>
    <w:rPr>
      <w:vertAlign w:val="superscript"/>
    </w:rPr>
  </w:style>
  <w:style w:type="paragraph" w:customStyle="1" w:styleId="62">
    <w:name w:val="表格文字"/>
    <w:basedOn w:val="63"/>
    <w:autoRedefine/>
    <w:qFormat/>
    <w:uiPriority w:val="0"/>
    <w:pPr>
      <w:ind w:firstLine="0" w:firstLineChars="0"/>
    </w:pPr>
  </w:style>
  <w:style w:type="paragraph" w:customStyle="1" w:styleId="63">
    <w:name w:val="正文_0"/>
    <w:next w:val="1"/>
    <w:qFormat/>
    <w:uiPriority w:val="0"/>
    <w:pPr>
      <w:widowControl w:val="0"/>
      <w:jc w:val="both"/>
    </w:pPr>
    <w:rPr>
      <w:rFonts w:ascii="Calibri" w:hAnsi="Calibri" w:eastAsia="宋体" w:cs="Times New Roman"/>
      <w:kern w:val="2"/>
      <w:sz w:val="21"/>
      <w:szCs w:val="22"/>
      <w:lang w:val="en-US" w:eastAsia="zh-CN" w:bidi="ar-SA"/>
    </w:rPr>
  </w:style>
  <w:style w:type="character" w:customStyle="1" w:styleId="64">
    <w:name w:val="标题 5 Char"/>
    <w:autoRedefine/>
    <w:qFormat/>
    <w:uiPriority w:val="0"/>
    <w:rPr>
      <w:b/>
      <w:kern w:val="2"/>
      <w:sz w:val="28"/>
      <w:szCs w:val="24"/>
    </w:rPr>
  </w:style>
  <w:style w:type="character" w:customStyle="1" w:styleId="65">
    <w:name w:val="标题 3 字符"/>
    <w:link w:val="4"/>
    <w:autoRedefine/>
    <w:qFormat/>
    <w:uiPriority w:val="0"/>
    <w:rPr>
      <w:rFonts w:ascii="Times New Roman" w:hAnsi="Times New Roman" w:eastAsia="宋体" w:cs="Times New Roman"/>
      <w:b/>
      <w:bCs/>
      <w:sz w:val="32"/>
      <w:szCs w:val="32"/>
    </w:rPr>
  </w:style>
  <w:style w:type="character" w:customStyle="1" w:styleId="66">
    <w:name w:val="标题 1 字符1"/>
    <w:link w:val="2"/>
    <w:autoRedefine/>
    <w:qFormat/>
    <w:uiPriority w:val="0"/>
    <w:rPr>
      <w:rFonts w:ascii="Times New Roman" w:hAnsi="Times New Roman" w:eastAsia="宋体" w:cs="Times New Roman"/>
      <w:b/>
      <w:bCs/>
      <w:kern w:val="44"/>
      <w:sz w:val="44"/>
      <w:szCs w:val="44"/>
    </w:rPr>
  </w:style>
  <w:style w:type="character" w:customStyle="1" w:styleId="67">
    <w:name w:val="标题 2 字符"/>
    <w:link w:val="3"/>
    <w:autoRedefine/>
    <w:qFormat/>
    <w:uiPriority w:val="0"/>
    <w:rPr>
      <w:rFonts w:ascii="Arial" w:hAnsi="Arial" w:eastAsia="黑体" w:cs="Times New Roman"/>
      <w:b/>
      <w:bCs/>
      <w:sz w:val="32"/>
      <w:szCs w:val="32"/>
    </w:rPr>
  </w:style>
  <w:style w:type="character" w:customStyle="1" w:styleId="68">
    <w:name w:val="标题 5 字符"/>
    <w:link w:val="6"/>
    <w:autoRedefine/>
    <w:qFormat/>
    <w:uiPriority w:val="0"/>
    <w:rPr>
      <w:b/>
      <w:kern w:val="2"/>
      <w:sz w:val="28"/>
      <w:szCs w:val="24"/>
    </w:rPr>
  </w:style>
  <w:style w:type="character" w:customStyle="1" w:styleId="69">
    <w:name w:val="标题 6 字符"/>
    <w:link w:val="8"/>
    <w:autoRedefine/>
    <w:qFormat/>
    <w:uiPriority w:val="0"/>
    <w:rPr>
      <w:rFonts w:ascii="Arial" w:hAnsi="Arial" w:eastAsia="黑体"/>
      <w:b/>
      <w:kern w:val="2"/>
      <w:sz w:val="24"/>
      <w:szCs w:val="24"/>
    </w:rPr>
  </w:style>
  <w:style w:type="character" w:customStyle="1" w:styleId="70">
    <w:name w:val="标题 7 字符"/>
    <w:link w:val="9"/>
    <w:autoRedefine/>
    <w:qFormat/>
    <w:uiPriority w:val="0"/>
    <w:rPr>
      <w:rFonts w:ascii="Times New Roman" w:hAnsi="Times New Roman"/>
      <w:b/>
      <w:kern w:val="2"/>
      <w:sz w:val="24"/>
      <w:szCs w:val="24"/>
    </w:rPr>
  </w:style>
  <w:style w:type="character" w:customStyle="1" w:styleId="71">
    <w:name w:val="标题 8 字符"/>
    <w:link w:val="10"/>
    <w:autoRedefine/>
    <w:qFormat/>
    <w:uiPriority w:val="0"/>
    <w:rPr>
      <w:rFonts w:ascii="Arial" w:hAnsi="Arial" w:eastAsia="黑体"/>
      <w:kern w:val="2"/>
      <w:sz w:val="24"/>
      <w:szCs w:val="24"/>
    </w:rPr>
  </w:style>
  <w:style w:type="character" w:customStyle="1" w:styleId="72">
    <w:name w:val="标题 9 字符"/>
    <w:link w:val="11"/>
    <w:autoRedefine/>
    <w:qFormat/>
    <w:uiPriority w:val="0"/>
    <w:rPr>
      <w:rFonts w:ascii="Arial" w:hAnsi="Arial" w:eastAsia="黑体"/>
      <w:kern w:val="2"/>
      <w:sz w:val="21"/>
      <w:szCs w:val="24"/>
    </w:rPr>
  </w:style>
  <w:style w:type="character" w:customStyle="1" w:styleId="73">
    <w:name w:val="文档结构图 字符"/>
    <w:link w:val="16"/>
    <w:autoRedefine/>
    <w:qFormat/>
    <w:uiPriority w:val="0"/>
    <w:rPr>
      <w:rFonts w:hint="eastAsia" w:ascii="宋体" w:hAnsi="宋体" w:eastAsia="宋体" w:cs="宋体"/>
    </w:rPr>
  </w:style>
  <w:style w:type="character" w:customStyle="1" w:styleId="74">
    <w:name w:val="批注文字 字符2"/>
    <w:link w:val="17"/>
    <w:autoRedefine/>
    <w:qFormat/>
    <w:uiPriority w:val="0"/>
    <w:rPr>
      <w:rFonts w:ascii="Times New Roman" w:hAnsi="Times New Roman"/>
      <w:kern w:val="2"/>
      <w:sz w:val="21"/>
      <w:szCs w:val="24"/>
    </w:rPr>
  </w:style>
  <w:style w:type="character" w:customStyle="1" w:styleId="75">
    <w:name w:val="正文文本 3 字符"/>
    <w:link w:val="18"/>
    <w:autoRedefine/>
    <w:qFormat/>
    <w:uiPriority w:val="0"/>
    <w:rPr>
      <w:rFonts w:ascii="Times New Roman" w:hAnsi="Times New Roman" w:eastAsia="宋体" w:cs="Times New Roman"/>
      <w:b/>
      <w:bCs/>
      <w:sz w:val="24"/>
      <w:szCs w:val="24"/>
    </w:rPr>
  </w:style>
  <w:style w:type="character" w:customStyle="1" w:styleId="76">
    <w:name w:val="正文文本 字符"/>
    <w:link w:val="19"/>
    <w:autoRedefine/>
    <w:qFormat/>
    <w:uiPriority w:val="99"/>
    <w:rPr>
      <w:rFonts w:ascii="Times New Roman" w:hAnsi="Times New Roman" w:eastAsia="宋体" w:cs="Times New Roman"/>
      <w:sz w:val="24"/>
      <w:szCs w:val="24"/>
    </w:rPr>
  </w:style>
  <w:style w:type="character" w:customStyle="1" w:styleId="77">
    <w:name w:val="正文文本缩进 字符1"/>
    <w:link w:val="20"/>
    <w:autoRedefine/>
    <w:qFormat/>
    <w:uiPriority w:val="0"/>
    <w:rPr>
      <w:rFonts w:ascii="仿宋_GB2312" w:hAnsi="Times New Roman" w:eastAsia="仿宋_GB2312" w:cs="Times New Roman"/>
      <w:sz w:val="32"/>
      <w:szCs w:val="20"/>
    </w:rPr>
  </w:style>
  <w:style w:type="character" w:customStyle="1" w:styleId="78">
    <w:name w:val="纯文本 字符2"/>
    <w:link w:val="27"/>
    <w:autoRedefine/>
    <w:qFormat/>
    <w:uiPriority w:val="0"/>
    <w:rPr>
      <w:rFonts w:ascii="宋体" w:hAnsi="Courier New" w:eastAsia="宋体" w:cs="Courier New"/>
      <w:szCs w:val="21"/>
    </w:rPr>
  </w:style>
  <w:style w:type="character" w:customStyle="1" w:styleId="79">
    <w:name w:val="日期 字符"/>
    <w:link w:val="29"/>
    <w:autoRedefine/>
    <w:qFormat/>
    <w:uiPriority w:val="0"/>
    <w:rPr>
      <w:rFonts w:ascii="宋体" w:hAnsi="Courier New" w:eastAsia="宋体" w:cs="Courier New"/>
      <w:szCs w:val="21"/>
    </w:rPr>
  </w:style>
  <w:style w:type="character" w:customStyle="1" w:styleId="80">
    <w:name w:val="正文文本缩进 2 字符"/>
    <w:link w:val="30"/>
    <w:autoRedefine/>
    <w:qFormat/>
    <w:uiPriority w:val="0"/>
    <w:rPr>
      <w:rFonts w:ascii="Times New Roman" w:hAnsi="Times New Roman" w:eastAsia="宋体" w:cs="Times New Roman"/>
      <w:sz w:val="32"/>
      <w:szCs w:val="20"/>
    </w:rPr>
  </w:style>
  <w:style w:type="character" w:customStyle="1" w:styleId="81">
    <w:name w:val="尾注文本 字符"/>
    <w:link w:val="31"/>
    <w:autoRedefine/>
    <w:semiHidden/>
    <w:qFormat/>
    <w:uiPriority w:val="99"/>
    <w:rPr>
      <w:rFonts w:ascii="Times New Roman" w:hAnsi="Times New Roman"/>
      <w:kern w:val="2"/>
      <w:sz w:val="21"/>
      <w:szCs w:val="24"/>
    </w:rPr>
  </w:style>
  <w:style w:type="character" w:customStyle="1" w:styleId="82">
    <w:name w:val="批注框文本 字符"/>
    <w:link w:val="32"/>
    <w:autoRedefine/>
    <w:semiHidden/>
    <w:qFormat/>
    <w:uiPriority w:val="0"/>
    <w:rPr>
      <w:rFonts w:ascii="Times New Roman" w:hAnsi="Times New Roman" w:eastAsia="宋体" w:cs="Times New Roman"/>
      <w:sz w:val="18"/>
      <w:szCs w:val="18"/>
    </w:rPr>
  </w:style>
  <w:style w:type="character" w:customStyle="1" w:styleId="83">
    <w:name w:val="页脚 字符1"/>
    <w:link w:val="33"/>
    <w:autoRedefine/>
    <w:qFormat/>
    <w:uiPriority w:val="99"/>
    <w:rPr>
      <w:sz w:val="18"/>
      <w:szCs w:val="18"/>
    </w:rPr>
  </w:style>
  <w:style w:type="character" w:customStyle="1" w:styleId="84">
    <w:name w:val="页眉 字符"/>
    <w:link w:val="34"/>
    <w:autoRedefine/>
    <w:qFormat/>
    <w:uiPriority w:val="99"/>
    <w:rPr>
      <w:rFonts w:ascii="Times New Roman" w:hAnsi="Times New Roman"/>
      <w:kern w:val="2"/>
      <w:sz w:val="18"/>
      <w:szCs w:val="18"/>
    </w:rPr>
  </w:style>
  <w:style w:type="character" w:customStyle="1" w:styleId="85">
    <w:name w:val="脚注文本 字符"/>
    <w:link w:val="38"/>
    <w:autoRedefine/>
    <w:semiHidden/>
    <w:qFormat/>
    <w:uiPriority w:val="99"/>
    <w:rPr>
      <w:rFonts w:ascii="Times New Roman" w:hAnsi="Times New Roman"/>
      <w:kern w:val="2"/>
      <w:sz w:val="18"/>
      <w:szCs w:val="18"/>
    </w:rPr>
  </w:style>
  <w:style w:type="character" w:customStyle="1" w:styleId="86">
    <w:name w:val="正文文本缩进 3 字符"/>
    <w:link w:val="40"/>
    <w:autoRedefine/>
    <w:qFormat/>
    <w:uiPriority w:val="0"/>
    <w:rPr>
      <w:rFonts w:ascii="Times New Roman" w:hAnsi="Times New Roman" w:eastAsia="宋体" w:cs="Times New Roman"/>
      <w:sz w:val="16"/>
      <w:szCs w:val="16"/>
    </w:rPr>
  </w:style>
  <w:style w:type="character" w:customStyle="1" w:styleId="87">
    <w:name w:val="正文文本 2 字符"/>
    <w:link w:val="44"/>
    <w:autoRedefine/>
    <w:qFormat/>
    <w:uiPriority w:val="0"/>
    <w:rPr>
      <w:rFonts w:ascii="Times New Roman" w:hAnsi="Times New Roman" w:eastAsia="宋体" w:cs="Times New Roman"/>
      <w:szCs w:val="24"/>
    </w:rPr>
  </w:style>
  <w:style w:type="character" w:customStyle="1" w:styleId="88">
    <w:name w:val="标题 字符"/>
    <w:link w:val="47"/>
    <w:autoRedefine/>
    <w:qFormat/>
    <w:uiPriority w:val="10"/>
    <w:rPr>
      <w:rFonts w:ascii="Cambria" w:hAnsi="Cambria" w:cs="Times New Roman"/>
      <w:b/>
      <w:bCs/>
      <w:kern w:val="2"/>
      <w:sz w:val="32"/>
      <w:szCs w:val="32"/>
    </w:rPr>
  </w:style>
  <w:style w:type="character" w:customStyle="1" w:styleId="89">
    <w:name w:val="批注主题 字符"/>
    <w:link w:val="48"/>
    <w:autoRedefine/>
    <w:semiHidden/>
    <w:qFormat/>
    <w:uiPriority w:val="99"/>
    <w:rPr>
      <w:rFonts w:ascii="Times New Roman" w:hAnsi="Times New Roman"/>
      <w:b/>
      <w:bCs/>
      <w:kern w:val="2"/>
      <w:sz w:val="21"/>
      <w:szCs w:val="24"/>
    </w:rPr>
  </w:style>
  <w:style w:type="character" w:customStyle="1" w:styleId="90">
    <w:name w:val="apple-style-span"/>
    <w:autoRedefine/>
    <w:qFormat/>
    <w:uiPriority w:val="0"/>
  </w:style>
  <w:style w:type="character" w:customStyle="1" w:styleId="91">
    <w:name w:val="textcontents"/>
    <w:autoRedefine/>
    <w:qFormat/>
    <w:uiPriority w:val="0"/>
  </w:style>
  <w:style w:type="character" w:customStyle="1" w:styleId="92">
    <w:name w:val="纯文本 Char"/>
    <w:autoRedefine/>
    <w:qFormat/>
    <w:uiPriority w:val="0"/>
    <w:rPr>
      <w:rFonts w:ascii="宋体" w:hAnsi="Courier New" w:eastAsia="宋体"/>
      <w:kern w:val="2"/>
      <w:sz w:val="21"/>
      <w:lang w:val="en-US" w:eastAsia="zh-CN" w:bidi="ar-SA"/>
    </w:rPr>
  </w:style>
  <w:style w:type="character" w:customStyle="1" w:styleId="93">
    <w:name w:val="批注文字 Char"/>
    <w:autoRedefine/>
    <w:qFormat/>
    <w:uiPriority w:val="0"/>
    <w:rPr>
      <w:rFonts w:ascii="Times New Roman" w:hAnsi="Times New Roman"/>
      <w:kern w:val="2"/>
      <w:sz w:val="21"/>
      <w:szCs w:val="24"/>
    </w:rPr>
  </w:style>
  <w:style w:type="character" w:customStyle="1" w:styleId="94">
    <w:name w:val="正文文本缩进 字符"/>
    <w:autoRedefine/>
    <w:qFormat/>
    <w:uiPriority w:val="0"/>
    <w:rPr>
      <w:rFonts w:ascii="仿宋_GB2312" w:hAnsi="Times New Roman" w:eastAsia="仿宋_GB2312" w:cs="Times New Roman"/>
      <w:sz w:val="32"/>
      <w:szCs w:val="20"/>
    </w:rPr>
  </w:style>
  <w:style w:type="character" w:customStyle="1" w:styleId="95">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96">
    <w:name w:val="纯文本 Char3"/>
    <w:autoRedefine/>
    <w:qFormat/>
    <w:uiPriority w:val="0"/>
    <w:rPr>
      <w:rFonts w:ascii="宋体" w:hAnsi="Courier New" w:eastAsia="宋体" w:cs="Courier New"/>
      <w:szCs w:val="21"/>
    </w:rPr>
  </w:style>
  <w:style w:type="character" w:customStyle="1" w:styleId="97">
    <w:name w:val="批注文字 字符"/>
    <w:autoRedefine/>
    <w:qFormat/>
    <w:uiPriority w:val="0"/>
    <w:rPr>
      <w:rFonts w:ascii="Times New Roman" w:hAnsi="Times New Roman"/>
      <w:kern w:val="2"/>
      <w:sz w:val="21"/>
      <w:szCs w:val="24"/>
    </w:rPr>
  </w:style>
  <w:style w:type="character" w:customStyle="1" w:styleId="98">
    <w:name w:val="纯文本 字符1"/>
    <w:autoRedefine/>
    <w:qFormat/>
    <w:uiPriority w:val="0"/>
    <w:rPr>
      <w:rFonts w:ascii="宋体" w:hAnsi="Courier New"/>
    </w:rPr>
  </w:style>
  <w:style w:type="character" w:customStyle="1" w:styleId="99">
    <w:name w:val="正文2 Char Char"/>
    <w:link w:val="100"/>
    <w:autoRedefine/>
    <w:qFormat/>
    <w:uiPriority w:val="0"/>
    <w:rPr>
      <w:kern w:val="2"/>
      <w:sz w:val="24"/>
    </w:rPr>
  </w:style>
  <w:style w:type="paragraph" w:customStyle="1" w:styleId="100">
    <w:name w:val="正文2"/>
    <w:basedOn w:val="1"/>
    <w:link w:val="99"/>
    <w:autoRedefine/>
    <w:qFormat/>
    <w:uiPriority w:val="0"/>
    <w:pPr>
      <w:adjustRightInd w:val="0"/>
      <w:spacing w:before="156" w:line="360" w:lineRule="auto"/>
      <w:ind w:firstLine="510" w:firstLineChars="200"/>
    </w:pPr>
    <w:rPr>
      <w:sz w:val="24"/>
      <w:szCs w:val="20"/>
      <w:lang w:val="zh-CN"/>
    </w:rPr>
  </w:style>
  <w:style w:type="character" w:customStyle="1" w:styleId="101">
    <w:name w:val="页脚 字符"/>
    <w:autoRedefine/>
    <w:qFormat/>
    <w:uiPriority w:val="99"/>
  </w:style>
  <w:style w:type="character" w:customStyle="1" w:styleId="102">
    <w:name w:val="纯文本 字符"/>
    <w:autoRedefine/>
    <w:qFormat/>
    <w:uiPriority w:val="0"/>
    <w:rPr>
      <w:rFonts w:ascii="宋体" w:hAnsi="Courier New" w:eastAsia="宋体" w:cs="Courier New"/>
      <w:szCs w:val="21"/>
    </w:rPr>
  </w:style>
  <w:style w:type="character" w:customStyle="1" w:styleId="103">
    <w:name w:val="普通文字 Char Char2"/>
    <w:autoRedefine/>
    <w:qFormat/>
    <w:uiPriority w:val="0"/>
    <w:rPr>
      <w:rFonts w:ascii="宋体" w:hAnsi="Courier New" w:eastAsia="宋体"/>
      <w:kern w:val="2"/>
      <w:sz w:val="21"/>
      <w:lang w:val="en-US" w:eastAsia="zh-CN" w:bidi="ar-SA"/>
    </w:rPr>
  </w:style>
  <w:style w:type="character" w:customStyle="1" w:styleId="104">
    <w:name w:val="批注文字 字符1"/>
    <w:autoRedefine/>
    <w:qFormat/>
    <w:uiPriority w:val="0"/>
    <w:rPr>
      <w:rFonts w:ascii="Times New Roman" w:hAnsi="Times New Roman"/>
      <w:kern w:val="2"/>
      <w:sz w:val="21"/>
      <w:szCs w:val="24"/>
    </w:rPr>
  </w:style>
  <w:style w:type="character" w:customStyle="1" w:styleId="105">
    <w:name w:val="case31"/>
    <w:autoRedefine/>
    <w:qFormat/>
    <w:uiPriority w:val="0"/>
    <w:rPr>
      <w:rFonts w:hint="default"/>
      <w:sz w:val="21"/>
      <w:szCs w:val="21"/>
    </w:rPr>
  </w:style>
  <w:style w:type="character" w:customStyle="1" w:styleId="106">
    <w:name w:val="正文文本 Char1"/>
    <w:autoRedefine/>
    <w:semiHidden/>
    <w:qFormat/>
    <w:locked/>
    <w:uiPriority w:val="99"/>
    <w:rPr>
      <w:sz w:val="24"/>
      <w:szCs w:val="24"/>
    </w:rPr>
  </w:style>
  <w:style w:type="character" w:customStyle="1" w:styleId="107">
    <w:name w:val="批注文字 Char1"/>
    <w:autoRedefine/>
    <w:semiHidden/>
    <w:qFormat/>
    <w:locked/>
    <w:uiPriority w:val="0"/>
    <w:rPr>
      <w:rFonts w:ascii="Times New Roman" w:hAnsi="Times New Roman"/>
      <w:kern w:val="2"/>
      <w:sz w:val="21"/>
      <w:szCs w:val="24"/>
    </w:rPr>
  </w:style>
  <w:style w:type="character" w:customStyle="1" w:styleId="108">
    <w:name w:val="headline-content4"/>
    <w:autoRedefine/>
    <w:qFormat/>
    <w:uiPriority w:val="0"/>
  </w:style>
  <w:style w:type="character" w:customStyle="1" w:styleId="109">
    <w:name w:val="标题 1 字符"/>
    <w:autoRedefine/>
    <w:qFormat/>
    <w:uiPriority w:val="9"/>
    <w:rPr>
      <w:rFonts w:ascii="Times New Roman" w:hAnsi="Times New Roman" w:eastAsia="宋体" w:cs="Times New Roman"/>
      <w:b/>
      <w:bCs/>
      <w:kern w:val="44"/>
      <w:sz w:val="44"/>
      <w:szCs w:val="44"/>
    </w:rPr>
  </w:style>
  <w:style w:type="paragraph" w:customStyle="1" w:styleId="110">
    <w:name w:val="Char1"/>
    <w:basedOn w:val="1"/>
    <w:autoRedefine/>
    <w:qFormat/>
    <w:uiPriority w:val="0"/>
    <w:rPr>
      <w:szCs w:val="21"/>
    </w:rPr>
  </w:style>
  <w:style w:type="paragraph" w:customStyle="1" w:styleId="111">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 w:val="24"/>
      <w:szCs w:val="20"/>
    </w:rPr>
  </w:style>
  <w:style w:type="paragraph" w:customStyle="1" w:styleId="112">
    <w:name w:val="样式"/>
    <w:autoRedefine/>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13">
    <w:name w:val="样式 首行缩进:  2 字符"/>
    <w:basedOn w:val="1"/>
    <w:autoRedefine/>
    <w:qFormat/>
    <w:uiPriority w:val="0"/>
    <w:pPr>
      <w:spacing w:line="400" w:lineRule="exact"/>
      <w:ind w:firstLine="200" w:firstLineChars="200"/>
    </w:pPr>
    <w:rPr>
      <w:rFonts w:cs="宋体"/>
      <w:sz w:val="24"/>
    </w:rPr>
  </w:style>
  <w:style w:type="paragraph" w:customStyle="1" w:styleId="114">
    <w:name w:val="Table Paragraph"/>
    <w:basedOn w:val="1"/>
    <w:autoRedefine/>
    <w:qFormat/>
    <w:uiPriority w:val="1"/>
    <w:pPr>
      <w:jc w:val="left"/>
    </w:pPr>
    <w:rPr>
      <w:rFonts w:ascii="Calibri" w:hAnsi="Calibri"/>
      <w:kern w:val="0"/>
      <w:sz w:val="22"/>
      <w:szCs w:val="22"/>
      <w:lang w:eastAsia="en-US"/>
    </w:rPr>
  </w:style>
  <w:style w:type="paragraph" w:customStyle="1" w:styleId="115">
    <w:name w:val="正文首行缩进两字符"/>
    <w:basedOn w:val="1"/>
    <w:autoRedefine/>
    <w:qFormat/>
    <w:uiPriority w:val="0"/>
    <w:pPr>
      <w:spacing w:line="360" w:lineRule="auto"/>
      <w:ind w:firstLine="200" w:firstLineChars="200"/>
    </w:pPr>
  </w:style>
  <w:style w:type="paragraph" w:customStyle="1" w:styleId="116">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bCs w:val="0"/>
      <w:sz w:val="28"/>
      <w:szCs w:val="20"/>
    </w:rPr>
  </w:style>
  <w:style w:type="paragraph" w:customStyle="1" w:styleId="117">
    <w:name w:val="纯文本1"/>
    <w:basedOn w:val="1"/>
    <w:autoRedefine/>
    <w:qFormat/>
    <w:uiPriority w:val="0"/>
    <w:rPr>
      <w:rFonts w:ascii="宋体" w:hAnsi="Courier New" w:cs="Century"/>
      <w:szCs w:val="21"/>
    </w:rPr>
  </w:style>
  <w:style w:type="paragraph" w:customStyle="1" w:styleId="118">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paragraph" w:customStyle="1" w:styleId="119">
    <w:name w:val="xl22"/>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20">
    <w:name w:val="默认段落字体 Para Char Char Char Char Char Char Char Char Char1 Char Char Char Char"/>
    <w:basedOn w:val="1"/>
    <w:autoRedefine/>
    <w:qFormat/>
    <w:uiPriority w:val="0"/>
    <w:rPr>
      <w:rFonts w:ascii="Tahoma" w:hAnsi="Tahoma"/>
      <w:sz w:val="24"/>
      <w:szCs w:val="20"/>
    </w:rPr>
  </w:style>
  <w:style w:type="paragraph" w:customStyle="1" w:styleId="121">
    <w:name w:val="正文段"/>
    <w:basedOn w:val="1"/>
    <w:autoRedefine/>
    <w:qFormat/>
    <w:uiPriority w:val="99"/>
    <w:pPr>
      <w:widowControl/>
      <w:snapToGrid w:val="0"/>
      <w:spacing w:afterLines="50"/>
      <w:ind w:firstLine="200" w:firstLineChars="200"/>
    </w:pPr>
    <w:rPr>
      <w:kern w:val="0"/>
      <w:sz w:val="24"/>
      <w:szCs w:val="20"/>
    </w:rPr>
  </w:style>
  <w:style w:type="paragraph" w:customStyle="1" w:styleId="122">
    <w:name w:val="表格"/>
    <w:basedOn w:val="1"/>
    <w:autoRedefine/>
    <w:qFormat/>
    <w:uiPriority w:val="0"/>
    <w:pPr>
      <w:spacing w:line="400" w:lineRule="exact"/>
    </w:pPr>
    <w:rPr>
      <w:sz w:val="24"/>
    </w:rPr>
  </w:style>
  <w:style w:type="paragraph" w:customStyle="1" w:styleId="123">
    <w:name w:val="修订1"/>
    <w:autoRedefine/>
    <w:unhideWhenUsed/>
    <w:qFormat/>
    <w:uiPriority w:val="99"/>
    <w:rPr>
      <w:rFonts w:ascii="Times New Roman" w:hAnsi="Times New Roman" w:eastAsia="宋体" w:cs="Times New Roman"/>
      <w:kern w:val="2"/>
      <w:sz w:val="21"/>
      <w:szCs w:val="24"/>
      <w:lang w:val="en-US" w:eastAsia="zh-CN" w:bidi="ar-SA"/>
    </w:rPr>
  </w:style>
  <w:style w:type="paragraph" w:styleId="124">
    <w:name w:val="List Paragraph"/>
    <w:basedOn w:val="1"/>
    <w:autoRedefine/>
    <w:qFormat/>
    <w:uiPriority w:val="34"/>
    <w:pPr>
      <w:ind w:firstLine="420" w:firstLineChars="200"/>
    </w:pPr>
  </w:style>
  <w:style w:type="table" w:customStyle="1" w:styleId="125">
    <w:name w:val="Table Normal"/>
    <w:autoRedefine/>
    <w:semiHidden/>
    <w:qFormat/>
    <w:uiPriority w:val="2"/>
    <w:pPr>
      <w:widowControl w:val="0"/>
    </w:pPr>
    <w:rPr>
      <w:rFonts w:eastAsia="Times New Roman"/>
      <w:sz w:val="22"/>
      <w:szCs w:val="22"/>
      <w:lang w:eastAsia="en-US"/>
    </w:rPr>
    <w:tblPr>
      <w:tblCellMar>
        <w:top w:w="0" w:type="dxa"/>
        <w:left w:w="0" w:type="dxa"/>
        <w:bottom w:w="0" w:type="dxa"/>
        <w:right w:w="0" w:type="dxa"/>
      </w:tblCellMar>
    </w:tblPr>
  </w:style>
  <w:style w:type="character" w:customStyle="1" w:styleId="126">
    <w:name w:val="批注文字 Char2"/>
    <w:autoRedefine/>
    <w:qFormat/>
    <w:uiPriority w:val="0"/>
    <w:rPr>
      <w:rFonts w:ascii="Times New Roman" w:hAnsi="Times New Roman"/>
      <w:kern w:val="2"/>
      <w:sz w:val="21"/>
      <w:szCs w:val="24"/>
    </w:rPr>
  </w:style>
  <w:style w:type="character" w:customStyle="1" w:styleId="127">
    <w:name w:val="标题 5 Char1"/>
    <w:autoRedefine/>
    <w:qFormat/>
    <w:uiPriority w:val="0"/>
    <w:rPr>
      <w:b/>
      <w:kern w:val="2"/>
      <w:sz w:val="28"/>
      <w:szCs w:val="24"/>
    </w:rPr>
  </w:style>
  <w:style w:type="paragraph" w:customStyle="1" w:styleId="128">
    <w:name w:val="编号"/>
    <w:basedOn w:val="1"/>
    <w:next w:val="1"/>
    <w:autoRedefine/>
    <w:qFormat/>
    <w:uiPriority w:val="39"/>
    <w:pPr>
      <w:spacing w:after="160" w:line="259" w:lineRule="auto"/>
    </w:pPr>
    <w:rPr>
      <w:rFonts w:eastAsiaTheme="minorEastAsia" w:cstheme="minorBidi"/>
    </w:rPr>
  </w:style>
  <w:style w:type="character" w:customStyle="1" w:styleId="129">
    <w:name w:val="en534z08"/>
    <w:basedOn w:val="53"/>
    <w:autoRedefine/>
    <w:qFormat/>
    <w:uiPriority w:val="0"/>
  </w:style>
  <w:style w:type="character" w:customStyle="1" w:styleId="130">
    <w:name w:val="纯文本 Char2"/>
    <w:autoRedefine/>
    <w:qFormat/>
    <w:uiPriority w:val="0"/>
    <w:rPr>
      <w:rFonts w:ascii="宋体" w:hAnsi="Courier New" w:eastAsia="宋体" w:cs="Courier New"/>
      <w:szCs w:val="21"/>
    </w:rPr>
  </w:style>
  <w:style w:type="paragraph" w:customStyle="1" w:styleId="131">
    <w:name w:val="修订2"/>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132">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133">
    <w:name w:val="font01"/>
    <w:basedOn w:val="53"/>
    <w:autoRedefine/>
    <w:qFormat/>
    <w:uiPriority w:val="0"/>
    <w:rPr>
      <w:rFonts w:ascii="Calibri" w:hAnsi="Calibri" w:cs="Calibri"/>
      <w:color w:val="000000"/>
      <w:sz w:val="20"/>
      <w:szCs w:val="20"/>
      <w:u w:val="none"/>
    </w:rPr>
  </w:style>
  <w:style w:type="character" w:customStyle="1" w:styleId="134">
    <w:name w:val="font91"/>
    <w:basedOn w:val="53"/>
    <w:autoRedefine/>
    <w:qFormat/>
    <w:uiPriority w:val="0"/>
    <w:rPr>
      <w:rFonts w:hint="eastAsia" w:ascii="宋体" w:hAnsi="宋体" w:eastAsia="宋体" w:cs="宋体"/>
      <w:color w:val="000000"/>
      <w:sz w:val="20"/>
      <w:szCs w:val="20"/>
      <w:u w:val="none"/>
    </w:rPr>
  </w:style>
  <w:style w:type="character" w:customStyle="1" w:styleId="135">
    <w:name w:val="font131"/>
    <w:basedOn w:val="53"/>
    <w:autoRedefine/>
    <w:qFormat/>
    <w:uiPriority w:val="0"/>
    <w:rPr>
      <w:rFonts w:hint="eastAsia" w:ascii="宋体" w:hAnsi="宋体" w:eastAsia="宋体" w:cs="宋体"/>
      <w:color w:val="000000"/>
      <w:sz w:val="24"/>
      <w:szCs w:val="24"/>
      <w:u w:val="none"/>
    </w:rPr>
  </w:style>
  <w:style w:type="character" w:customStyle="1" w:styleId="136">
    <w:name w:val="font101"/>
    <w:basedOn w:val="53"/>
    <w:autoRedefine/>
    <w:qFormat/>
    <w:uiPriority w:val="0"/>
    <w:rPr>
      <w:rFonts w:hint="eastAsia" w:ascii="微软雅黑" w:hAnsi="微软雅黑" w:eastAsia="微软雅黑" w:cs="微软雅黑"/>
      <w:color w:val="000000"/>
      <w:sz w:val="24"/>
      <w:szCs w:val="24"/>
      <w:u w:val="none"/>
    </w:rPr>
  </w:style>
  <w:style w:type="character" w:customStyle="1" w:styleId="137">
    <w:name w:val="font121"/>
    <w:basedOn w:val="53"/>
    <w:autoRedefine/>
    <w:qFormat/>
    <w:uiPriority w:val="0"/>
    <w:rPr>
      <w:rFonts w:hint="eastAsia" w:ascii="宋体" w:hAnsi="宋体" w:eastAsia="宋体" w:cs="宋体"/>
      <w:color w:val="000000"/>
      <w:sz w:val="22"/>
      <w:szCs w:val="22"/>
      <w:u w:val="none"/>
    </w:rPr>
  </w:style>
  <w:style w:type="character" w:customStyle="1" w:styleId="138">
    <w:name w:val="font71"/>
    <w:basedOn w:val="53"/>
    <w:autoRedefine/>
    <w:qFormat/>
    <w:uiPriority w:val="0"/>
    <w:rPr>
      <w:rFonts w:hint="eastAsia" w:ascii="宋体" w:hAnsi="宋体" w:eastAsia="宋体" w:cs="宋体"/>
      <w:color w:val="000000"/>
      <w:sz w:val="18"/>
      <w:szCs w:val="18"/>
      <w:u w:val="none"/>
    </w:rPr>
  </w:style>
  <w:style w:type="character" w:customStyle="1" w:styleId="139">
    <w:name w:val="font11"/>
    <w:basedOn w:val="53"/>
    <w:autoRedefine/>
    <w:qFormat/>
    <w:uiPriority w:val="0"/>
    <w:rPr>
      <w:rFonts w:hint="default" w:ascii="Arial" w:hAnsi="Arial" w:cs="Arial"/>
      <w:i/>
      <w:iCs/>
      <w:color w:val="000000"/>
      <w:sz w:val="18"/>
      <w:szCs w:val="18"/>
      <w:u w:val="none"/>
    </w:rPr>
  </w:style>
  <w:style w:type="character" w:customStyle="1" w:styleId="140">
    <w:name w:val="font81"/>
    <w:basedOn w:val="53"/>
    <w:autoRedefine/>
    <w:qFormat/>
    <w:uiPriority w:val="0"/>
    <w:rPr>
      <w:rFonts w:hint="default" w:ascii="Arial" w:hAnsi="Arial" w:cs="Arial"/>
      <w:color w:val="000000"/>
      <w:sz w:val="18"/>
      <w:szCs w:val="18"/>
      <w:u w:val="none"/>
    </w:rPr>
  </w:style>
  <w:style w:type="character" w:customStyle="1" w:styleId="141">
    <w:name w:val="font111"/>
    <w:basedOn w:val="53"/>
    <w:autoRedefine/>
    <w:qFormat/>
    <w:uiPriority w:val="0"/>
    <w:rPr>
      <w:rFonts w:hint="default" w:ascii="Times New Roman" w:hAnsi="Times New Roman" w:cs="Times New Roman"/>
      <w:color w:val="FF0000"/>
      <w:sz w:val="20"/>
      <w:szCs w:val="20"/>
      <w:u w:val="none"/>
    </w:rPr>
  </w:style>
  <w:style w:type="character" w:customStyle="1" w:styleId="142">
    <w:name w:val="font21"/>
    <w:basedOn w:val="53"/>
    <w:autoRedefine/>
    <w:qFormat/>
    <w:uiPriority w:val="0"/>
    <w:rPr>
      <w:rFonts w:hint="eastAsia" w:ascii="宋体" w:hAnsi="宋体" w:eastAsia="宋体" w:cs="宋体"/>
      <w:color w:val="000000"/>
      <w:sz w:val="20"/>
      <w:szCs w:val="20"/>
      <w:u w:val="none"/>
    </w:rPr>
  </w:style>
  <w:style w:type="character" w:customStyle="1" w:styleId="143">
    <w:name w:val="font61"/>
    <w:basedOn w:val="53"/>
    <w:autoRedefine/>
    <w:qFormat/>
    <w:uiPriority w:val="0"/>
    <w:rPr>
      <w:rFonts w:hint="eastAsia" w:ascii="宋体" w:hAnsi="宋体" w:eastAsia="宋体" w:cs="宋体"/>
      <w:color w:val="000000"/>
      <w:sz w:val="20"/>
      <w:szCs w:val="20"/>
      <w:u w:val="none"/>
    </w:rPr>
  </w:style>
  <w:style w:type="paragraph" w:customStyle="1" w:styleId="144">
    <w:name w:val="Table Text"/>
    <w:basedOn w:val="1"/>
    <w:autoRedefine/>
    <w:semiHidden/>
    <w:qFormat/>
    <w:uiPriority w:val="0"/>
    <w:rPr>
      <w:rFonts w:ascii="宋体" w:hAnsi="宋体" w:cs="宋体"/>
      <w:sz w:val="20"/>
      <w:szCs w:val="20"/>
      <w:lang w:eastAsia="en-US"/>
    </w:rPr>
  </w:style>
  <w:style w:type="paragraph" w:customStyle="1" w:styleId="145">
    <w:name w:val="公文标题"/>
    <w:basedOn w:val="1"/>
    <w:next w:val="146"/>
    <w:qFormat/>
    <w:uiPriority w:val="0"/>
    <w:pPr>
      <w:spacing w:line="560" w:lineRule="exact"/>
      <w:jc w:val="center"/>
    </w:pPr>
    <w:rPr>
      <w:rFonts w:hint="eastAsia" w:ascii="方正小标宋简体" w:hAnsi="方正小标宋简体" w:eastAsia="方正小标宋简体" w:cs="黑体"/>
      <w:sz w:val="44"/>
      <w:szCs w:val="40"/>
    </w:rPr>
  </w:style>
  <w:style w:type="paragraph" w:customStyle="1" w:styleId="146">
    <w:name w:val="公文正文"/>
    <w:basedOn w:val="1"/>
    <w:qFormat/>
    <w:uiPriority w:val="0"/>
    <w:pPr>
      <w:spacing w:line="560" w:lineRule="exact"/>
      <w:ind w:firstLine="880" w:firstLineChars="200"/>
    </w:pPr>
    <w:rPr>
      <w:rFonts w:hint="eastAsia" w:ascii="仿宋" w:hAnsi="仿宋" w:eastAsia="仿宋" w:cs="仿宋"/>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2.jpe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header" Target="header6.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231</Pages>
  <Words>17965</Words>
  <Characters>21149</Characters>
  <Lines>489</Lines>
  <Paragraphs>137</Paragraphs>
  <TotalTime>0</TotalTime>
  <ScaleCrop>false</ScaleCrop>
  <LinksUpToDate>false</LinksUpToDate>
  <CharactersWithSpaces>21559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2024-04-18T01:11:00Z</dcterms:created>
  <dc:creator>番茄花园</dc:creator>
  <cp:lastModifiedBy>NTKO</cp:lastModifiedBy>
  <cp:lastPrinted>2024-04-17T03:04:00Z</cp:lastPrinted>
  <dcterms:modified xsi:type="dcterms:W3CDTF">2026-07-08T03:21:45Z</dcterms:modified>
  <dc:title>公开招标采购文件范本</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2C35B228C004474A939F445406842DB4_13</vt:lpwstr>
  </property>
  <property fmtid="{D5CDD505-2E9C-101B-9397-08002B2CF9AE}" pid="4" name="MSIP_Label_23f93e5f-d3c2-49a7-ba94-15405423c204_Enabled">
    <vt:lpwstr>true</vt:lpwstr>
  </property>
  <property fmtid="{D5CDD505-2E9C-101B-9397-08002B2CF9AE}" pid="5" name="MSIP_Label_23f93e5f-d3c2-49a7-ba94-15405423c204_SetDate">
    <vt:lpwstr>2023-04-28T07:59:46Z</vt:lpwstr>
  </property>
  <property fmtid="{D5CDD505-2E9C-101B-9397-08002B2CF9AE}" pid="6" name="MSIP_Label_23f93e5f-d3c2-49a7-ba94-15405423c204_Method">
    <vt:lpwstr>Standard</vt:lpwstr>
  </property>
  <property fmtid="{D5CDD505-2E9C-101B-9397-08002B2CF9AE}" pid="7" name="MSIP_Label_23f93e5f-d3c2-49a7-ba94-15405423c204_Name">
    <vt:lpwstr>SE Internal</vt:lpwstr>
  </property>
  <property fmtid="{D5CDD505-2E9C-101B-9397-08002B2CF9AE}" pid="8" name="MSIP_Label_23f93e5f-d3c2-49a7-ba94-15405423c204_SiteId">
    <vt:lpwstr>6e51e1ad-c54b-4b39-b598-0ffe9ae68fef</vt:lpwstr>
  </property>
  <property fmtid="{D5CDD505-2E9C-101B-9397-08002B2CF9AE}" pid="9" name="MSIP_Label_23f93e5f-d3c2-49a7-ba94-15405423c204_ActionId">
    <vt:lpwstr>3bc8d326-aade-4ea1-a6f2-984575fe5931</vt:lpwstr>
  </property>
  <property fmtid="{D5CDD505-2E9C-101B-9397-08002B2CF9AE}" pid="10" name="MSIP_Label_23f93e5f-d3c2-49a7-ba94-15405423c204_ContentBits">
    <vt:lpwstr>2</vt:lpwstr>
  </property>
  <property fmtid="{D5CDD505-2E9C-101B-9397-08002B2CF9AE}" pid="11" name="KSOTemplateDocerSaveRecord">
    <vt:lpwstr>eyJoZGlkIjoiMjQwNzBmZDBkZDMwMDgwMjdjYzY1NDMzN2JjMTNhOGQiLCJ1c2VySWQiOiI4MjU1MDk1NzYifQ==</vt:lpwstr>
  </property>
</Properties>
</file>