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50A24E">
      <w:pPr>
        <w:jc w:val="both"/>
        <w:rPr>
          <w:rFonts w:hint="eastAsia" w:ascii="宋体" w:hAnsi="宋体"/>
          <w:b/>
          <w:color w:val="auto"/>
          <w:sz w:val="36"/>
          <w:szCs w:val="36"/>
          <w:highlight w:val="none"/>
          <w:lang w:eastAsia="zh-CN"/>
        </w:rPr>
      </w:pPr>
    </w:p>
    <w:p w14:paraId="7C7031D1">
      <w:pPr>
        <w:jc w:val="center"/>
        <w:rPr>
          <w:rFonts w:hint="default" w:eastAsia="宋体"/>
          <w:b/>
          <w:color w:val="auto"/>
          <w:sz w:val="36"/>
          <w:szCs w:val="36"/>
          <w:highlight w:val="none"/>
          <w:lang w:val="en-US" w:eastAsia="zh-CN"/>
        </w:rPr>
      </w:pPr>
      <w:r>
        <w:rPr>
          <w:rFonts w:hint="eastAsia"/>
          <w:b/>
          <w:color w:val="auto"/>
          <w:sz w:val="36"/>
          <w:szCs w:val="36"/>
          <w:highlight w:val="none"/>
          <w:lang w:val="en-US" w:eastAsia="zh-CN"/>
        </w:rPr>
        <w:t>钦北区小董镇西陵村委西陵村道路硬化项目</w:t>
      </w:r>
    </w:p>
    <w:p w14:paraId="418451D9">
      <w:pPr>
        <w:jc w:val="center"/>
        <w:rPr>
          <w:rFonts w:hint="eastAsia"/>
          <w:b/>
          <w:color w:val="auto"/>
          <w:sz w:val="84"/>
          <w:szCs w:val="84"/>
          <w:highlight w:val="none"/>
        </w:rPr>
      </w:pPr>
    </w:p>
    <w:p w14:paraId="024472B3">
      <w:pPr>
        <w:pStyle w:val="15"/>
        <w:rPr>
          <w:rFonts w:hint="eastAsia"/>
          <w:b/>
          <w:color w:val="auto"/>
          <w:sz w:val="84"/>
          <w:szCs w:val="84"/>
          <w:highlight w:val="none"/>
        </w:rPr>
      </w:pPr>
    </w:p>
    <w:p w14:paraId="0EDE3B99">
      <w:pPr>
        <w:pStyle w:val="15"/>
        <w:rPr>
          <w:rFonts w:hint="eastAsia"/>
          <w:b/>
          <w:color w:val="auto"/>
          <w:sz w:val="84"/>
          <w:szCs w:val="84"/>
          <w:highlight w:val="none"/>
        </w:rPr>
      </w:pPr>
    </w:p>
    <w:p w14:paraId="2A3396D0">
      <w:pPr>
        <w:pStyle w:val="29"/>
        <w:rPr>
          <w:rFonts w:hint="eastAsia"/>
          <w:color w:val="auto"/>
        </w:rPr>
      </w:pPr>
    </w:p>
    <w:p w14:paraId="39ADE62A">
      <w:pPr>
        <w:pStyle w:val="14"/>
        <w:ind w:firstLine="413" w:firstLineChars="49"/>
        <w:jc w:val="center"/>
        <w:rPr>
          <w:rFonts w:hint="eastAsia" w:ascii="方正魏碑简体" w:eastAsia="方正魏碑简体"/>
          <w:b/>
          <w:bCs/>
          <w:color w:val="auto"/>
          <w:sz w:val="84"/>
          <w:szCs w:val="84"/>
          <w:highlight w:val="none"/>
        </w:rPr>
      </w:pPr>
      <w:r>
        <w:rPr>
          <w:rFonts w:hint="eastAsia" w:ascii="方正魏碑简体" w:eastAsia="方正魏碑简体"/>
          <w:b/>
          <w:bCs/>
          <w:color w:val="auto"/>
          <w:sz w:val="84"/>
          <w:szCs w:val="84"/>
          <w:highlight w:val="none"/>
        </w:rPr>
        <w:t>竞争性磋商文件</w:t>
      </w:r>
    </w:p>
    <w:p w14:paraId="416DB1B9">
      <w:pPr>
        <w:spacing w:line="560" w:lineRule="exact"/>
        <w:rPr>
          <w:rFonts w:hint="eastAsia" w:hAnsi="宋体"/>
          <w:b/>
          <w:color w:val="auto"/>
          <w:sz w:val="52"/>
          <w:szCs w:val="52"/>
          <w:highlight w:val="none"/>
        </w:rPr>
      </w:pPr>
    </w:p>
    <w:p w14:paraId="1488D59B">
      <w:pPr>
        <w:pStyle w:val="15"/>
        <w:rPr>
          <w:rFonts w:hint="eastAsia"/>
          <w:color w:val="auto"/>
        </w:rPr>
      </w:pPr>
    </w:p>
    <w:p w14:paraId="4FBF588F">
      <w:pPr>
        <w:spacing w:line="560" w:lineRule="exact"/>
        <w:rPr>
          <w:rFonts w:hint="eastAsia" w:hAnsi="宋体"/>
          <w:b/>
          <w:color w:val="auto"/>
          <w:sz w:val="52"/>
          <w:szCs w:val="52"/>
          <w:highlight w:val="none"/>
        </w:rPr>
      </w:pPr>
    </w:p>
    <w:p w14:paraId="09CA3CA1">
      <w:pPr>
        <w:tabs>
          <w:tab w:val="left" w:pos="2205"/>
        </w:tabs>
        <w:spacing w:line="560" w:lineRule="exact"/>
        <w:jc w:val="center"/>
        <w:rPr>
          <w:rFonts w:hint="eastAsia" w:eastAsia="宋体"/>
          <w:color w:val="auto"/>
          <w:sz w:val="32"/>
          <w:szCs w:val="32"/>
          <w:highlight w:val="none"/>
          <w:lang w:val="en-US" w:eastAsia="zh-CN"/>
        </w:rPr>
      </w:pPr>
      <w:r>
        <w:rPr>
          <w:rFonts w:hint="eastAsia" w:ascii="宋体" w:hAnsi="宋体" w:cs="宋体"/>
          <w:b/>
          <w:bCs/>
          <w:color w:val="auto"/>
          <w:sz w:val="32"/>
          <w:szCs w:val="32"/>
          <w:highlight w:val="none"/>
        </w:rPr>
        <w:t>项目编号：QZZC2026-C2-030016-GXHY</w:t>
      </w:r>
      <w:r>
        <w:rPr>
          <w:rFonts w:hint="eastAsia" w:ascii="宋体" w:hAnsi="宋体" w:cs="宋体"/>
          <w:b/>
          <w:bCs/>
          <w:color w:val="auto"/>
          <w:sz w:val="32"/>
          <w:szCs w:val="32"/>
          <w:highlight w:val="none"/>
          <w:lang w:eastAsia="zh-CN"/>
        </w:rPr>
        <w:t xml:space="preserve"> </w:t>
      </w:r>
      <w:r>
        <w:rPr>
          <w:rFonts w:hint="eastAsia" w:ascii="宋体" w:hAnsi="宋体" w:cs="宋体"/>
          <w:b/>
          <w:bCs/>
          <w:color w:val="auto"/>
          <w:sz w:val="32"/>
          <w:szCs w:val="32"/>
          <w:highlight w:val="none"/>
          <w:lang w:val="en-US" w:eastAsia="zh-CN"/>
        </w:rPr>
        <w:t xml:space="preserve"> </w:t>
      </w:r>
    </w:p>
    <w:p w14:paraId="20965231">
      <w:pPr>
        <w:spacing w:line="560" w:lineRule="exact"/>
        <w:rPr>
          <w:rFonts w:hint="eastAsia" w:ascii="宋体" w:hAnsi="宋体" w:cs="宋体"/>
          <w:b/>
          <w:bCs/>
          <w:color w:val="auto"/>
          <w:sz w:val="32"/>
          <w:szCs w:val="32"/>
          <w:highlight w:val="none"/>
        </w:rPr>
      </w:pPr>
      <w:r>
        <w:rPr>
          <w:rFonts w:hint="eastAsia"/>
          <w:color w:val="auto"/>
          <w:sz w:val="32"/>
          <w:szCs w:val="32"/>
          <w:highlight w:val="none"/>
        </w:rPr>
        <w:t xml:space="preserve">  </w:t>
      </w:r>
      <w:r>
        <w:rPr>
          <w:rFonts w:hint="eastAsia" w:ascii="宋体" w:hAnsi="宋体" w:cs="宋体"/>
          <w:b/>
          <w:bCs/>
          <w:color w:val="auto"/>
          <w:sz w:val="32"/>
          <w:szCs w:val="32"/>
          <w:highlight w:val="none"/>
        </w:rPr>
        <w:t xml:space="preserve">  </w:t>
      </w:r>
    </w:p>
    <w:p w14:paraId="7249A1AA">
      <w:pPr>
        <w:spacing w:line="560" w:lineRule="exact"/>
        <w:rPr>
          <w:rFonts w:hint="eastAsia" w:ascii="宋体" w:hAnsi="宋体" w:cs="宋体"/>
          <w:b/>
          <w:bCs/>
          <w:color w:val="auto"/>
          <w:sz w:val="32"/>
          <w:szCs w:val="32"/>
          <w:highlight w:val="none"/>
        </w:rPr>
      </w:pPr>
    </w:p>
    <w:p w14:paraId="5A5A8223">
      <w:pPr>
        <w:spacing w:line="560" w:lineRule="exact"/>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 xml:space="preserve">    </w:t>
      </w:r>
    </w:p>
    <w:p w14:paraId="05808B84">
      <w:pPr>
        <w:spacing w:line="660" w:lineRule="exact"/>
        <w:rPr>
          <w:rFonts w:hint="eastAsia" w:ascii="宋体" w:hAnsi="宋体" w:cs="宋体"/>
          <w:b/>
          <w:bCs/>
          <w:color w:val="auto"/>
          <w:sz w:val="32"/>
          <w:szCs w:val="32"/>
          <w:highlight w:val="none"/>
        </w:rPr>
      </w:pPr>
      <w:r>
        <w:rPr>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308610</wp:posOffset>
                </wp:positionH>
                <wp:positionV relativeFrom="paragraph">
                  <wp:posOffset>123190</wp:posOffset>
                </wp:positionV>
                <wp:extent cx="5619115" cy="19050"/>
                <wp:effectExtent l="0" t="28575" r="635" b="28575"/>
                <wp:wrapNone/>
                <wp:docPr id="2" name="直接连接符 2"/>
                <wp:cNvGraphicFramePr/>
                <a:graphic xmlns:a="http://schemas.openxmlformats.org/drawingml/2006/main">
                  <a:graphicData uri="http://schemas.microsoft.com/office/word/2010/wordprocessingShape">
                    <wps:wsp>
                      <wps:cNvCnPr/>
                      <wps:spPr>
                        <a:xfrm flipV="1">
                          <a:off x="0" y="0"/>
                          <a:ext cx="5619115" cy="19050"/>
                        </a:xfrm>
                        <a:prstGeom prst="line">
                          <a:avLst/>
                        </a:prstGeom>
                        <a:ln w="57150" cap="flat" cmpd="thinThick">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24.3pt;margin-top:9.7pt;height:1.5pt;width:442.45pt;z-index:251659264;mso-width-relative:page;mso-height-relative:page;" filled="f" stroked="t" coordsize="21600,21600" o:gfxdata="UEsDBAoAAAAAAIdO4kAAAAAAAAAAAAAAAAAEAAAAZHJzL1BLAwQUAAAACACHTuJAHAn+cNYAAAAI&#10;AQAADwAAAGRycy9kb3ducmV2LnhtbE2PzW6DMBCE75X6DtZG6q0xARoRiomqSL03P5fcHLwFEntt&#10;YQPJ29c9tcfZGc18W23vRrMJB99bErBaJsCQGqt6agWcjp+vBTAfJCmpLaGAB3rY1s9PlSyVnWmP&#10;0yG0LJaQL6WALgRXcu6bDo30S+uQovdtByNDlEPL1SDnWG40T5NkzY3sKS500uGuw+Z2GI0Ad8yL&#10;cJ0et5Mb53P2Yfe7L90J8bJYJe/AAt7DXxh+8SM61JHpYkdSnmkBebGOyXjf5MCiv8myN2AXAWma&#10;A68r/v+B+gdQSwMEFAAAAAgAh07iQMs2QacFAgAA+QMAAA4AAABkcnMvZTJvRG9jLnhtbK1TvY4T&#10;MRDukXgHyz3Z3Ug5uFU2V1w4GgSROOgn/sla+E+2k01eghdAooOKkv7ehuMxGHtDgKNJwRbW2DP7&#10;zXyfP8+v9kaTnQhROdvRZlJTIixzXNlNR9/e3jx5RklMYDloZ0VHDyLSq8XjR/PBt2Lqeqe5CARB&#10;bGwH39E+Jd9WVWS9MBAnzguLSemCgYTbsKl4gAHRja6mdX1RDS5wHxwTMeLpckzSI2I4B9BJqZhY&#10;OrY1wqYRNQgNCSnFXvlIF2VaKQVLr6WMIhHdUWSayopNMF7ntVrMod0E8L1ixxHgnBEecDKgLDY9&#10;QS0hAdkG9Q+UUSy46GSaMGeqkUhRBFk09QNt3vTgReGCUkd/Ej3+P1j2arcKRPGOTimxYPDC7z9+&#10;+/7h84+7T7jef/1CplmkwccWa6/tKhx30a9CZryXwRCplX+HbioaICuyLxIfThKLfSIMD2cXzWXT&#10;zChhmGsu61m5gmqEyXA+xPRCOENy0FGtbFYAWti9jAlbY+mvknysLRkQ9WmDQIQB+lGiDzA0Hjml&#10;XtlbvNn3BSI6rfiN0jr/GMNmfa0D2UF2RvkyT4T/qyz3WkLsx7qSGj3TC+DPLSfp4FEzi0+F5kmM&#10;4JRogS8rRwgIbQKlz6nE1triBFnqUdwcrR0/4A1tfVCbHgVpypQ5g44o8x7dmy33574g/X6xi5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cCf5w1gAAAAgBAAAPAAAAAAAAAAEAIAAAACIAAABkcnMv&#10;ZG93bnJldi54bWxQSwECFAAUAAAACACHTuJAyzZBpwUCAAD5AwAADgAAAAAAAAABACAAAAAlAQAA&#10;ZHJzL2Uyb0RvYy54bWxQSwUGAAAAAAYABgBZAQAAnAUAAAAA&#10;">
                <v:fill on="f" focussize="0,0"/>
                <v:stroke weight="4.5pt" color="#000000" linestyle="thinThick" joinstyle="round"/>
                <v:imagedata o:title=""/>
                <o:lock v:ext="edit" aspectratio="f"/>
              </v:line>
            </w:pict>
          </mc:Fallback>
        </mc:AlternateContent>
      </w:r>
    </w:p>
    <w:p w14:paraId="4ABD4D78">
      <w:pPr>
        <w:spacing w:line="560" w:lineRule="exact"/>
        <w:rPr>
          <w:rFonts w:hint="eastAsia" w:ascii="新宋体" w:hAnsi="新宋体" w:eastAsia="新宋体" w:cs="新宋体"/>
          <w:b/>
          <w:bCs/>
          <w:color w:val="auto"/>
          <w:sz w:val="32"/>
          <w:szCs w:val="32"/>
          <w:highlight w:val="none"/>
          <w:lang w:val="en-US" w:eastAsia="zh-CN"/>
        </w:rPr>
      </w:pPr>
      <w:r>
        <w:rPr>
          <w:rFonts w:hint="eastAsia" w:ascii="新宋体" w:hAnsi="新宋体" w:eastAsia="新宋体" w:cs="新宋体"/>
          <w:b/>
          <w:bCs/>
          <w:color w:val="auto"/>
          <w:sz w:val="32"/>
          <w:szCs w:val="32"/>
          <w:highlight w:val="none"/>
        </w:rPr>
        <w:t xml:space="preserve">   采 购 单 位：</w:t>
      </w:r>
      <w:r>
        <w:rPr>
          <w:rFonts w:hint="eastAsia" w:ascii="新宋体" w:hAnsi="新宋体" w:eastAsia="新宋体" w:cs="新宋体"/>
          <w:b/>
          <w:bCs/>
          <w:color w:val="auto"/>
          <w:sz w:val="32"/>
          <w:szCs w:val="32"/>
          <w:highlight w:val="none"/>
          <w:lang w:eastAsia="zh-CN"/>
        </w:rPr>
        <w:t>钦州市钦北区生态移民发展中心</w:t>
      </w:r>
    </w:p>
    <w:p w14:paraId="3AFE93EA">
      <w:pPr>
        <w:spacing w:line="560" w:lineRule="exact"/>
        <w:rPr>
          <w:rFonts w:hint="eastAsia" w:ascii="新宋体" w:hAnsi="新宋体" w:eastAsia="新宋体" w:cs="新宋体"/>
          <w:b/>
          <w:bCs/>
          <w:color w:val="auto"/>
          <w:sz w:val="32"/>
          <w:szCs w:val="32"/>
          <w:highlight w:val="none"/>
          <w:lang w:eastAsia="zh-CN"/>
        </w:rPr>
      </w:pPr>
      <w:r>
        <w:rPr>
          <w:rFonts w:hint="eastAsia" w:ascii="新宋体" w:hAnsi="新宋体" w:eastAsia="新宋体" w:cs="新宋体"/>
          <w:b/>
          <w:bCs/>
          <w:color w:val="auto"/>
          <w:sz w:val="32"/>
          <w:szCs w:val="32"/>
          <w:highlight w:val="none"/>
        </w:rPr>
        <w:t xml:space="preserve">   </w:t>
      </w:r>
      <w:r>
        <w:rPr>
          <w:rFonts w:hint="eastAsia" w:ascii="新宋体" w:hAnsi="新宋体" w:eastAsia="新宋体" w:cs="新宋体"/>
          <w:b/>
          <w:bCs/>
          <w:color w:val="auto"/>
          <w:sz w:val="32"/>
          <w:szCs w:val="32"/>
          <w:highlight w:val="none"/>
          <w:lang w:eastAsia="zh-CN"/>
        </w:rPr>
        <w:t>采</w:t>
      </w:r>
      <w:r>
        <w:rPr>
          <w:rFonts w:hint="eastAsia" w:ascii="新宋体" w:hAnsi="新宋体" w:eastAsia="新宋体" w:cs="新宋体"/>
          <w:b/>
          <w:bCs/>
          <w:color w:val="auto"/>
          <w:sz w:val="32"/>
          <w:szCs w:val="32"/>
          <w:highlight w:val="none"/>
        </w:rPr>
        <w:t>购代理机构：</w:t>
      </w:r>
      <w:r>
        <w:rPr>
          <w:rFonts w:hint="eastAsia" w:ascii="新宋体" w:hAnsi="新宋体" w:eastAsia="新宋体" w:cs="新宋体"/>
          <w:b/>
          <w:bCs/>
          <w:color w:val="auto"/>
          <w:sz w:val="32"/>
          <w:szCs w:val="32"/>
          <w:highlight w:val="none"/>
          <w:lang w:eastAsia="zh-CN"/>
        </w:rPr>
        <w:t>广西恒业项目管理有限公司</w:t>
      </w:r>
    </w:p>
    <w:p w14:paraId="04FFCFE2">
      <w:pPr>
        <w:spacing w:line="560" w:lineRule="exact"/>
        <w:jc w:val="center"/>
        <w:rPr>
          <w:rFonts w:hint="eastAsia" w:ascii="新宋体" w:hAnsi="新宋体" w:eastAsia="新宋体" w:cs="新宋体"/>
          <w:b/>
          <w:bCs/>
          <w:color w:val="auto"/>
          <w:sz w:val="30"/>
          <w:szCs w:val="30"/>
          <w:highlight w:val="none"/>
        </w:rPr>
      </w:pPr>
      <w:r>
        <w:rPr>
          <w:rFonts w:hint="eastAsia" w:ascii="新宋体" w:hAnsi="新宋体" w:eastAsia="新宋体" w:cs="新宋体"/>
          <w:b/>
          <w:bCs/>
          <w:color w:val="auto"/>
          <w:sz w:val="32"/>
          <w:szCs w:val="32"/>
          <w:highlight w:val="none"/>
          <w:lang w:val="en-US" w:eastAsia="zh-CN"/>
        </w:rPr>
        <w:t>2026</w:t>
      </w:r>
      <w:r>
        <w:rPr>
          <w:rFonts w:hint="eastAsia" w:ascii="新宋体" w:hAnsi="新宋体" w:eastAsia="新宋体" w:cs="新宋体"/>
          <w:b/>
          <w:bCs/>
          <w:color w:val="auto"/>
          <w:sz w:val="32"/>
          <w:szCs w:val="32"/>
          <w:highlight w:val="none"/>
        </w:rPr>
        <w:t>年</w:t>
      </w:r>
      <w:r>
        <w:rPr>
          <w:rFonts w:hint="eastAsia" w:ascii="新宋体" w:hAnsi="新宋体" w:eastAsia="新宋体" w:cs="新宋体"/>
          <w:b/>
          <w:bCs/>
          <w:color w:val="auto"/>
          <w:sz w:val="32"/>
          <w:szCs w:val="32"/>
          <w:highlight w:val="none"/>
          <w:lang w:val="en-US" w:eastAsia="zh-CN"/>
        </w:rPr>
        <w:t>6</w:t>
      </w:r>
      <w:r>
        <w:rPr>
          <w:rFonts w:hint="eastAsia" w:ascii="新宋体" w:hAnsi="新宋体" w:eastAsia="新宋体" w:cs="新宋体"/>
          <w:b/>
          <w:bCs/>
          <w:color w:val="auto"/>
          <w:sz w:val="32"/>
          <w:szCs w:val="32"/>
          <w:highlight w:val="none"/>
        </w:rPr>
        <w:t>月</w:t>
      </w:r>
    </w:p>
    <w:p w14:paraId="33A5857E">
      <w:pPr>
        <w:jc w:val="center"/>
        <w:rPr>
          <w:rFonts w:hint="eastAsia" w:ascii="宋体" w:hAnsi="宋体" w:cs="宋体"/>
          <w:b/>
          <w:color w:val="auto"/>
          <w:sz w:val="36"/>
          <w:highlight w:val="none"/>
        </w:rPr>
        <w:sectPr>
          <w:pgSz w:w="11906" w:h="16838"/>
          <w:pgMar w:top="1440" w:right="1800" w:bottom="1440" w:left="1800" w:header="851" w:footer="992" w:gutter="0"/>
          <w:cols w:space="425" w:num="1"/>
          <w:docGrid w:type="lines" w:linePitch="312" w:charSpace="0"/>
        </w:sectPr>
      </w:pPr>
      <w:r>
        <w:rPr>
          <w:rFonts w:hint="eastAsia" w:ascii="宋体" w:hAnsi="宋体" w:cs="宋体"/>
          <w:b/>
          <w:color w:val="auto"/>
          <w:sz w:val="36"/>
          <w:highlight w:val="none"/>
        </w:rPr>
        <w:br w:type="page"/>
      </w:r>
    </w:p>
    <w:p w14:paraId="1B7F804E">
      <w:pPr>
        <w:pStyle w:val="16"/>
        <w:rPr>
          <w:rFonts w:hint="eastAsia"/>
          <w:color w:val="auto"/>
          <w:highlight w:val="none"/>
        </w:rPr>
      </w:pPr>
    </w:p>
    <w:p w14:paraId="781AB6A2">
      <w:pPr>
        <w:keepNext w:val="0"/>
        <w:keepLines w:val="0"/>
        <w:pageBreakBefore w:val="0"/>
        <w:widowControl w:val="0"/>
        <w:kinsoku/>
        <w:wordWrap/>
        <w:overflowPunct/>
        <w:topLinePunct w:val="0"/>
        <w:autoSpaceDE/>
        <w:autoSpaceDN/>
        <w:bidi w:val="0"/>
        <w:adjustRightInd/>
        <w:snapToGrid/>
        <w:spacing w:line="360" w:lineRule="auto"/>
        <w:ind w:firstLine="723" w:firstLineChars="200"/>
        <w:jc w:val="center"/>
        <w:textAlignment w:val="auto"/>
        <w:outlineLvl w:val="9"/>
        <w:rPr>
          <w:rFonts w:hint="eastAsia" w:ascii="宋体" w:hAnsi="宋体" w:cs="宋体"/>
          <w:b/>
          <w:bCs/>
          <w:color w:val="auto"/>
          <w:sz w:val="36"/>
          <w:szCs w:val="36"/>
          <w:highlight w:val="none"/>
          <w:lang w:val="zh-CN" w:eastAsia="zh-CN"/>
        </w:rPr>
      </w:pPr>
      <w:bookmarkStart w:id="0" w:name="bookmark3"/>
      <w:bookmarkStart w:id="1" w:name="bookmark2"/>
      <w:r>
        <w:rPr>
          <w:rFonts w:hint="eastAsia" w:ascii="宋体" w:hAnsi="宋体" w:cs="宋体"/>
          <w:b/>
          <w:bCs/>
          <w:color w:val="auto"/>
          <w:sz w:val="36"/>
          <w:szCs w:val="36"/>
          <w:highlight w:val="none"/>
          <w:lang w:val="zh-CN" w:eastAsia="zh-CN"/>
        </w:rPr>
        <w:t>目</w:t>
      </w:r>
      <w:r>
        <w:rPr>
          <w:rFonts w:hint="eastAsia" w:ascii="宋体" w:hAnsi="宋体" w:cs="宋体"/>
          <w:b/>
          <w:bCs/>
          <w:color w:val="auto"/>
          <w:sz w:val="36"/>
          <w:szCs w:val="36"/>
          <w:highlight w:val="none"/>
          <w:lang w:val="en-US" w:eastAsia="zh-CN"/>
        </w:rPr>
        <w:t xml:space="preserve"> </w:t>
      </w:r>
      <w:r>
        <w:rPr>
          <w:rFonts w:hint="eastAsia" w:ascii="宋体" w:hAnsi="宋体" w:cs="宋体"/>
          <w:b/>
          <w:bCs/>
          <w:color w:val="auto"/>
          <w:sz w:val="36"/>
          <w:szCs w:val="36"/>
          <w:highlight w:val="none"/>
          <w:lang w:val="zh-CN" w:eastAsia="zh-CN"/>
        </w:rPr>
        <w:t>录</w:t>
      </w:r>
    </w:p>
    <w:p w14:paraId="5812C2AE">
      <w:pPr>
        <w:pStyle w:val="18"/>
        <w:tabs>
          <w:tab w:val="right" w:leader="dot" w:pos="9298"/>
        </w:tabs>
        <w:rPr>
          <w:rFonts w:hint="eastAsia" w:ascii="新宋体" w:hAnsi="新宋体" w:eastAsia="新宋体" w:cs="新宋体"/>
          <w:b/>
          <w:bCs/>
          <w:color w:val="auto"/>
          <w:sz w:val="28"/>
          <w:szCs w:val="28"/>
          <w:highlight w:val="none"/>
          <w:lang w:val="zh-CN" w:eastAsia="zh-CN"/>
        </w:rPr>
      </w:pPr>
    </w:p>
    <w:p w14:paraId="1612396A">
      <w:pPr>
        <w:pStyle w:val="18"/>
        <w:tabs>
          <w:tab w:val="right" w:leader="dot" w:pos="9298"/>
        </w:tabs>
        <w:rPr>
          <w:rFonts w:hint="eastAsia" w:ascii="新宋体" w:hAnsi="新宋体" w:eastAsia="新宋体" w:cs="新宋体"/>
          <w:sz w:val="28"/>
          <w:szCs w:val="28"/>
        </w:rPr>
      </w:pPr>
      <w:r>
        <w:rPr>
          <w:rFonts w:hint="eastAsia" w:ascii="新宋体" w:hAnsi="新宋体" w:eastAsia="新宋体" w:cs="新宋体"/>
          <w:b/>
          <w:bCs/>
          <w:color w:val="auto"/>
          <w:sz w:val="28"/>
          <w:szCs w:val="28"/>
          <w:highlight w:val="none"/>
          <w:lang w:val="zh-CN" w:eastAsia="zh-CN"/>
        </w:rPr>
        <w:fldChar w:fldCharType="begin"/>
      </w:r>
      <w:r>
        <w:rPr>
          <w:rFonts w:hint="eastAsia" w:ascii="新宋体" w:hAnsi="新宋体" w:eastAsia="新宋体" w:cs="新宋体"/>
          <w:b/>
          <w:bCs/>
          <w:color w:val="auto"/>
          <w:sz w:val="28"/>
          <w:szCs w:val="28"/>
          <w:highlight w:val="none"/>
          <w:lang w:val="zh-CN" w:eastAsia="zh-CN"/>
        </w:rPr>
        <w:instrText xml:space="preserve">TOC \o "1-1" \h \u </w:instrText>
      </w:r>
      <w:r>
        <w:rPr>
          <w:rFonts w:hint="eastAsia" w:ascii="新宋体" w:hAnsi="新宋体" w:eastAsia="新宋体" w:cs="新宋体"/>
          <w:b/>
          <w:bCs/>
          <w:color w:val="auto"/>
          <w:sz w:val="28"/>
          <w:szCs w:val="28"/>
          <w:highlight w:val="none"/>
          <w:lang w:val="zh-CN" w:eastAsia="zh-CN"/>
        </w:rPr>
        <w:fldChar w:fldCharType="separate"/>
      </w:r>
      <w:r>
        <w:rPr>
          <w:rFonts w:hint="eastAsia" w:ascii="新宋体" w:hAnsi="新宋体" w:eastAsia="新宋体" w:cs="新宋体"/>
          <w:bCs/>
          <w:color w:val="auto"/>
          <w:sz w:val="28"/>
          <w:szCs w:val="28"/>
          <w:highlight w:val="none"/>
          <w:lang w:val="zh-CN" w:eastAsia="zh-CN"/>
        </w:rPr>
        <w:fldChar w:fldCharType="begin"/>
      </w:r>
      <w:r>
        <w:rPr>
          <w:rFonts w:hint="eastAsia" w:ascii="新宋体" w:hAnsi="新宋体" w:eastAsia="新宋体" w:cs="新宋体"/>
          <w:bCs/>
          <w:sz w:val="28"/>
          <w:szCs w:val="28"/>
          <w:highlight w:val="none"/>
          <w:lang w:val="zh-CN" w:eastAsia="zh-CN"/>
        </w:rPr>
        <w:instrText xml:space="preserve"> HYPERLINK \l _Toc16655 </w:instrText>
      </w:r>
      <w:r>
        <w:rPr>
          <w:rFonts w:hint="eastAsia" w:ascii="新宋体" w:hAnsi="新宋体" w:eastAsia="新宋体" w:cs="新宋体"/>
          <w:bCs/>
          <w:sz w:val="28"/>
          <w:szCs w:val="28"/>
          <w:highlight w:val="none"/>
          <w:lang w:val="zh-CN" w:eastAsia="zh-CN"/>
        </w:rPr>
        <w:fldChar w:fldCharType="separate"/>
      </w:r>
      <w:r>
        <w:rPr>
          <w:rFonts w:hint="eastAsia" w:ascii="新宋体" w:hAnsi="新宋体" w:eastAsia="新宋体" w:cs="新宋体"/>
          <w:bCs/>
          <w:sz w:val="28"/>
          <w:szCs w:val="28"/>
          <w:highlight w:val="none"/>
          <w:lang w:val="zh-CN" w:eastAsia="zh-CN"/>
        </w:rPr>
        <w:t>第一章</w:t>
      </w:r>
      <w:r>
        <w:rPr>
          <w:rFonts w:hint="eastAsia" w:ascii="新宋体" w:hAnsi="新宋体" w:eastAsia="新宋体" w:cs="新宋体"/>
          <w:bCs/>
          <w:sz w:val="28"/>
          <w:szCs w:val="28"/>
          <w:highlight w:val="none"/>
          <w:lang w:val="en-US" w:eastAsia="zh-CN"/>
        </w:rPr>
        <w:t xml:space="preserve"> </w:t>
      </w:r>
      <w:r>
        <w:rPr>
          <w:rFonts w:hint="eastAsia" w:ascii="新宋体" w:hAnsi="新宋体" w:eastAsia="新宋体" w:cs="新宋体"/>
          <w:bCs/>
          <w:sz w:val="28"/>
          <w:szCs w:val="28"/>
          <w:highlight w:val="none"/>
          <w:lang w:val="zh-CN" w:eastAsia="zh-CN"/>
        </w:rPr>
        <w:t>竞争性磋商公告</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_Toc16655 \h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1</w:t>
      </w:r>
      <w:r>
        <w:rPr>
          <w:rFonts w:hint="eastAsia" w:ascii="新宋体" w:hAnsi="新宋体" w:eastAsia="新宋体" w:cs="新宋体"/>
          <w:sz w:val="28"/>
          <w:szCs w:val="28"/>
        </w:rPr>
        <w:fldChar w:fldCharType="end"/>
      </w:r>
      <w:r>
        <w:rPr>
          <w:rFonts w:hint="eastAsia" w:ascii="新宋体" w:hAnsi="新宋体" w:eastAsia="新宋体" w:cs="新宋体"/>
          <w:bCs/>
          <w:color w:val="auto"/>
          <w:sz w:val="28"/>
          <w:szCs w:val="28"/>
          <w:highlight w:val="none"/>
          <w:lang w:val="zh-CN" w:eastAsia="zh-CN"/>
        </w:rPr>
        <w:fldChar w:fldCharType="end"/>
      </w:r>
    </w:p>
    <w:p w14:paraId="4DDE0F02">
      <w:pPr>
        <w:pStyle w:val="18"/>
        <w:tabs>
          <w:tab w:val="right" w:leader="dot" w:pos="9298"/>
        </w:tabs>
        <w:rPr>
          <w:rFonts w:hint="eastAsia" w:ascii="新宋体" w:hAnsi="新宋体" w:eastAsia="新宋体" w:cs="新宋体"/>
          <w:sz w:val="28"/>
          <w:szCs w:val="28"/>
        </w:rPr>
      </w:pPr>
      <w:r>
        <w:rPr>
          <w:rFonts w:hint="eastAsia" w:ascii="新宋体" w:hAnsi="新宋体" w:eastAsia="新宋体" w:cs="新宋体"/>
          <w:bCs/>
          <w:color w:val="auto"/>
          <w:sz w:val="28"/>
          <w:szCs w:val="28"/>
          <w:highlight w:val="none"/>
          <w:lang w:val="zh-CN" w:eastAsia="zh-CN"/>
        </w:rPr>
        <w:fldChar w:fldCharType="begin"/>
      </w:r>
      <w:r>
        <w:rPr>
          <w:rFonts w:hint="eastAsia" w:ascii="新宋体" w:hAnsi="新宋体" w:eastAsia="新宋体" w:cs="新宋体"/>
          <w:bCs/>
          <w:sz w:val="28"/>
          <w:szCs w:val="28"/>
          <w:highlight w:val="none"/>
          <w:lang w:val="zh-CN" w:eastAsia="zh-CN"/>
        </w:rPr>
        <w:instrText xml:space="preserve"> HYPERLINK \l _Toc6941 </w:instrText>
      </w:r>
      <w:r>
        <w:rPr>
          <w:rFonts w:hint="eastAsia" w:ascii="新宋体" w:hAnsi="新宋体" w:eastAsia="新宋体" w:cs="新宋体"/>
          <w:bCs/>
          <w:sz w:val="28"/>
          <w:szCs w:val="28"/>
          <w:highlight w:val="none"/>
          <w:lang w:val="zh-CN" w:eastAsia="zh-CN"/>
        </w:rPr>
        <w:fldChar w:fldCharType="separate"/>
      </w:r>
      <w:r>
        <w:rPr>
          <w:rFonts w:hint="eastAsia" w:ascii="新宋体" w:hAnsi="新宋体" w:eastAsia="新宋体" w:cs="新宋体"/>
          <w:bCs/>
          <w:sz w:val="28"/>
          <w:szCs w:val="28"/>
          <w:highlight w:val="none"/>
          <w:lang w:val="zh-CN" w:eastAsia="zh-CN"/>
        </w:rPr>
        <w:t>第二章 供应商须知</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_Toc6941 \h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3</w:t>
      </w:r>
      <w:r>
        <w:rPr>
          <w:rFonts w:hint="eastAsia" w:ascii="新宋体" w:hAnsi="新宋体" w:eastAsia="新宋体" w:cs="新宋体"/>
          <w:sz w:val="28"/>
          <w:szCs w:val="28"/>
        </w:rPr>
        <w:fldChar w:fldCharType="end"/>
      </w:r>
      <w:r>
        <w:rPr>
          <w:rFonts w:hint="eastAsia" w:ascii="新宋体" w:hAnsi="新宋体" w:eastAsia="新宋体" w:cs="新宋体"/>
          <w:bCs/>
          <w:color w:val="auto"/>
          <w:sz w:val="28"/>
          <w:szCs w:val="28"/>
          <w:highlight w:val="none"/>
          <w:lang w:val="zh-CN" w:eastAsia="zh-CN"/>
        </w:rPr>
        <w:fldChar w:fldCharType="end"/>
      </w:r>
    </w:p>
    <w:p w14:paraId="5CCC5D8E">
      <w:pPr>
        <w:pStyle w:val="18"/>
        <w:tabs>
          <w:tab w:val="right" w:leader="dot" w:pos="9298"/>
        </w:tabs>
        <w:rPr>
          <w:rFonts w:hint="eastAsia" w:ascii="新宋体" w:hAnsi="新宋体" w:eastAsia="新宋体" w:cs="新宋体"/>
          <w:sz w:val="28"/>
          <w:szCs w:val="28"/>
        </w:rPr>
      </w:pPr>
      <w:r>
        <w:rPr>
          <w:rFonts w:hint="eastAsia" w:ascii="新宋体" w:hAnsi="新宋体" w:eastAsia="新宋体" w:cs="新宋体"/>
          <w:bCs/>
          <w:color w:val="auto"/>
          <w:sz w:val="28"/>
          <w:szCs w:val="28"/>
          <w:highlight w:val="none"/>
          <w:lang w:val="zh-CN" w:eastAsia="zh-CN"/>
        </w:rPr>
        <w:fldChar w:fldCharType="begin"/>
      </w:r>
      <w:r>
        <w:rPr>
          <w:rFonts w:hint="eastAsia" w:ascii="新宋体" w:hAnsi="新宋体" w:eastAsia="新宋体" w:cs="新宋体"/>
          <w:bCs/>
          <w:sz w:val="28"/>
          <w:szCs w:val="28"/>
          <w:highlight w:val="none"/>
          <w:lang w:val="zh-CN" w:eastAsia="zh-CN"/>
        </w:rPr>
        <w:instrText xml:space="preserve"> HYPERLINK \l _Toc1746 </w:instrText>
      </w:r>
      <w:r>
        <w:rPr>
          <w:rFonts w:hint="eastAsia" w:ascii="新宋体" w:hAnsi="新宋体" w:eastAsia="新宋体" w:cs="新宋体"/>
          <w:bCs/>
          <w:sz w:val="28"/>
          <w:szCs w:val="28"/>
          <w:highlight w:val="none"/>
          <w:lang w:val="zh-CN" w:eastAsia="zh-CN"/>
        </w:rPr>
        <w:fldChar w:fldCharType="separate"/>
      </w:r>
      <w:r>
        <w:rPr>
          <w:rFonts w:hint="eastAsia" w:ascii="新宋体" w:hAnsi="新宋体" w:eastAsia="新宋体" w:cs="新宋体"/>
          <w:sz w:val="28"/>
          <w:szCs w:val="28"/>
        </w:rPr>
        <w:t>第</w:t>
      </w:r>
      <w:r>
        <w:rPr>
          <w:rFonts w:hint="eastAsia" w:ascii="新宋体" w:hAnsi="新宋体" w:eastAsia="新宋体" w:cs="新宋体"/>
          <w:sz w:val="28"/>
          <w:szCs w:val="28"/>
          <w:lang w:eastAsia="zh-CN"/>
        </w:rPr>
        <w:t>三</w:t>
      </w:r>
      <w:r>
        <w:rPr>
          <w:rFonts w:hint="eastAsia" w:ascii="新宋体" w:hAnsi="新宋体" w:eastAsia="新宋体" w:cs="新宋体"/>
          <w:sz w:val="28"/>
          <w:szCs w:val="28"/>
        </w:rPr>
        <w:t>章 合同格式</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_Toc1746 \h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19</w:t>
      </w:r>
      <w:r>
        <w:rPr>
          <w:rFonts w:hint="eastAsia" w:ascii="新宋体" w:hAnsi="新宋体" w:eastAsia="新宋体" w:cs="新宋体"/>
          <w:sz w:val="28"/>
          <w:szCs w:val="28"/>
        </w:rPr>
        <w:fldChar w:fldCharType="end"/>
      </w:r>
      <w:r>
        <w:rPr>
          <w:rFonts w:hint="eastAsia" w:ascii="新宋体" w:hAnsi="新宋体" w:eastAsia="新宋体" w:cs="新宋体"/>
          <w:bCs/>
          <w:color w:val="auto"/>
          <w:sz w:val="28"/>
          <w:szCs w:val="28"/>
          <w:highlight w:val="none"/>
          <w:lang w:val="zh-CN" w:eastAsia="zh-CN"/>
        </w:rPr>
        <w:fldChar w:fldCharType="end"/>
      </w:r>
    </w:p>
    <w:p w14:paraId="0AAC0BB2">
      <w:pPr>
        <w:pStyle w:val="18"/>
        <w:tabs>
          <w:tab w:val="right" w:leader="dot" w:pos="9298"/>
        </w:tabs>
        <w:rPr>
          <w:rFonts w:hint="eastAsia" w:ascii="新宋体" w:hAnsi="新宋体" w:eastAsia="新宋体" w:cs="新宋体"/>
          <w:sz w:val="28"/>
          <w:szCs w:val="28"/>
        </w:rPr>
      </w:pPr>
      <w:r>
        <w:rPr>
          <w:rFonts w:hint="eastAsia" w:ascii="新宋体" w:hAnsi="新宋体" w:eastAsia="新宋体" w:cs="新宋体"/>
          <w:bCs/>
          <w:color w:val="auto"/>
          <w:sz w:val="28"/>
          <w:szCs w:val="28"/>
          <w:highlight w:val="none"/>
          <w:lang w:val="zh-CN" w:eastAsia="zh-CN"/>
        </w:rPr>
        <w:fldChar w:fldCharType="begin"/>
      </w:r>
      <w:r>
        <w:rPr>
          <w:rFonts w:hint="eastAsia" w:ascii="新宋体" w:hAnsi="新宋体" w:eastAsia="新宋体" w:cs="新宋体"/>
          <w:bCs/>
          <w:sz w:val="28"/>
          <w:szCs w:val="28"/>
          <w:highlight w:val="none"/>
          <w:lang w:val="zh-CN" w:eastAsia="zh-CN"/>
        </w:rPr>
        <w:instrText xml:space="preserve"> HYPERLINK \l _Toc28737 </w:instrText>
      </w:r>
      <w:r>
        <w:rPr>
          <w:rFonts w:hint="eastAsia" w:ascii="新宋体" w:hAnsi="新宋体" w:eastAsia="新宋体" w:cs="新宋体"/>
          <w:bCs/>
          <w:sz w:val="28"/>
          <w:szCs w:val="28"/>
          <w:highlight w:val="none"/>
          <w:lang w:val="zh-CN" w:eastAsia="zh-CN"/>
        </w:rPr>
        <w:fldChar w:fldCharType="separate"/>
      </w:r>
      <w:r>
        <w:rPr>
          <w:rFonts w:hint="eastAsia" w:ascii="新宋体" w:hAnsi="新宋体" w:eastAsia="新宋体" w:cs="新宋体"/>
          <w:sz w:val="28"/>
          <w:szCs w:val="28"/>
          <w:lang w:val="en-US" w:eastAsia="zh-CN"/>
        </w:rPr>
        <w:t>第四章 图 纸</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_Toc28737 \h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45</w:t>
      </w:r>
      <w:r>
        <w:rPr>
          <w:rFonts w:hint="eastAsia" w:ascii="新宋体" w:hAnsi="新宋体" w:eastAsia="新宋体" w:cs="新宋体"/>
          <w:sz w:val="28"/>
          <w:szCs w:val="28"/>
        </w:rPr>
        <w:fldChar w:fldCharType="end"/>
      </w:r>
      <w:r>
        <w:rPr>
          <w:rFonts w:hint="eastAsia" w:ascii="新宋体" w:hAnsi="新宋体" w:eastAsia="新宋体" w:cs="新宋体"/>
          <w:bCs/>
          <w:color w:val="auto"/>
          <w:sz w:val="28"/>
          <w:szCs w:val="28"/>
          <w:highlight w:val="none"/>
          <w:lang w:val="zh-CN" w:eastAsia="zh-CN"/>
        </w:rPr>
        <w:fldChar w:fldCharType="end"/>
      </w:r>
    </w:p>
    <w:p w14:paraId="72098DA2">
      <w:pPr>
        <w:pStyle w:val="18"/>
        <w:tabs>
          <w:tab w:val="right" w:leader="dot" w:pos="9298"/>
        </w:tabs>
        <w:rPr>
          <w:rFonts w:hint="eastAsia" w:ascii="新宋体" w:hAnsi="新宋体" w:eastAsia="新宋体" w:cs="新宋体"/>
          <w:sz w:val="28"/>
          <w:szCs w:val="28"/>
        </w:rPr>
      </w:pPr>
      <w:r>
        <w:rPr>
          <w:rFonts w:hint="eastAsia" w:ascii="新宋体" w:hAnsi="新宋体" w:eastAsia="新宋体" w:cs="新宋体"/>
          <w:bCs/>
          <w:color w:val="auto"/>
          <w:sz w:val="28"/>
          <w:szCs w:val="28"/>
          <w:highlight w:val="none"/>
          <w:lang w:val="zh-CN" w:eastAsia="zh-CN"/>
        </w:rPr>
        <w:fldChar w:fldCharType="begin"/>
      </w:r>
      <w:r>
        <w:rPr>
          <w:rFonts w:hint="eastAsia" w:ascii="新宋体" w:hAnsi="新宋体" w:eastAsia="新宋体" w:cs="新宋体"/>
          <w:bCs/>
          <w:sz w:val="28"/>
          <w:szCs w:val="28"/>
          <w:highlight w:val="none"/>
          <w:lang w:val="zh-CN" w:eastAsia="zh-CN"/>
        </w:rPr>
        <w:instrText xml:space="preserve"> HYPERLINK \l _Toc8126 </w:instrText>
      </w:r>
      <w:r>
        <w:rPr>
          <w:rFonts w:hint="eastAsia" w:ascii="新宋体" w:hAnsi="新宋体" w:eastAsia="新宋体" w:cs="新宋体"/>
          <w:bCs/>
          <w:sz w:val="28"/>
          <w:szCs w:val="28"/>
          <w:highlight w:val="none"/>
          <w:lang w:val="zh-CN" w:eastAsia="zh-CN"/>
        </w:rPr>
        <w:fldChar w:fldCharType="separate"/>
      </w:r>
      <w:r>
        <w:rPr>
          <w:rFonts w:hint="eastAsia" w:ascii="新宋体" w:hAnsi="新宋体" w:eastAsia="新宋体" w:cs="新宋体"/>
          <w:sz w:val="28"/>
          <w:szCs w:val="28"/>
          <w:lang w:val="en-US" w:eastAsia="zh-CN"/>
        </w:rPr>
        <w:t>第五章 技术规范</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_Toc8126 \h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46</w:t>
      </w:r>
      <w:r>
        <w:rPr>
          <w:rFonts w:hint="eastAsia" w:ascii="新宋体" w:hAnsi="新宋体" w:eastAsia="新宋体" w:cs="新宋体"/>
          <w:sz w:val="28"/>
          <w:szCs w:val="28"/>
        </w:rPr>
        <w:fldChar w:fldCharType="end"/>
      </w:r>
      <w:r>
        <w:rPr>
          <w:rFonts w:hint="eastAsia" w:ascii="新宋体" w:hAnsi="新宋体" w:eastAsia="新宋体" w:cs="新宋体"/>
          <w:bCs/>
          <w:color w:val="auto"/>
          <w:sz w:val="28"/>
          <w:szCs w:val="28"/>
          <w:highlight w:val="none"/>
          <w:lang w:val="zh-CN" w:eastAsia="zh-CN"/>
        </w:rPr>
        <w:fldChar w:fldCharType="end"/>
      </w:r>
    </w:p>
    <w:p w14:paraId="07373CFF">
      <w:pPr>
        <w:pStyle w:val="18"/>
        <w:tabs>
          <w:tab w:val="right" w:leader="dot" w:pos="9298"/>
        </w:tabs>
        <w:rPr>
          <w:rFonts w:hint="eastAsia" w:ascii="新宋体" w:hAnsi="新宋体" w:eastAsia="新宋体" w:cs="新宋体"/>
          <w:sz w:val="28"/>
          <w:szCs w:val="28"/>
        </w:rPr>
      </w:pPr>
      <w:r>
        <w:rPr>
          <w:rFonts w:hint="eastAsia" w:ascii="新宋体" w:hAnsi="新宋体" w:eastAsia="新宋体" w:cs="新宋体"/>
          <w:bCs/>
          <w:color w:val="auto"/>
          <w:sz w:val="28"/>
          <w:szCs w:val="28"/>
          <w:highlight w:val="none"/>
          <w:lang w:val="zh-CN" w:eastAsia="zh-CN"/>
        </w:rPr>
        <w:fldChar w:fldCharType="begin"/>
      </w:r>
      <w:r>
        <w:rPr>
          <w:rFonts w:hint="eastAsia" w:ascii="新宋体" w:hAnsi="新宋体" w:eastAsia="新宋体" w:cs="新宋体"/>
          <w:bCs/>
          <w:sz w:val="28"/>
          <w:szCs w:val="28"/>
          <w:highlight w:val="none"/>
          <w:lang w:val="zh-CN" w:eastAsia="zh-CN"/>
        </w:rPr>
        <w:instrText xml:space="preserve"> HYPERLINK \l _Toc14753 </w:instrText>
      </w:r>
      <w:r>
        <w:rPr>
          <w:rFonts w:hint="eastAsia" w:ascii="新宋体" w:hAnsi="新宋体" w:eastAsia="新宋体" w:cs="新宋体"/>
          <w:bCs/>
          <w:sz w:val="28"/>
          <w:szCs w:val="28"/>
          <w:highlight w:val="none"/>
          <w:lang w:val="zh-CN" w:eastAsia="zh-CN"/>
        </w:rPr>
        <w:fldChar w:fldCharType="separate"/>
      </w:r>
      <w:r>
        <w:rPr>
          <w:rFonts w:hint="eastAsia" w:ascii="新宋体" w:hAnsi="新宋体" w:eastAsia="新宋体" w:cs="新宋体"/>
          <w:sz w:val="28"/>
          <w:szCs w:val="28"/>
          <w:lang w:val="en-US" w:eastAsia="zh-CN"/>
        </w:rPr>
        <w:t>第六章 工程量清单报价说明</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_Toc14753 \h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47</w:t>
      </w:r>
      <w:r>
        <w:rPr>
          <w:rFonts w:hint="eastAsia" w:ascii="新宋体" w:hAnsi="新宋体" w:eastAsia="新宋体" w:cs="新宋体"/>
          <w:sz w:val="28"/>
          <w:szCs w:val="28"/>
        </w:rPr>
        <w:fldChar w:fldCharType="end"/>
      </w:r>
      <w:r>
        <w:rPr>
          <w:rFonts w:hint="eastAsia" w:ascii="新宋体" w:hAnsi="新宋体" w:eastAsia="新宋体" w:cs="新宋体"/>
          <w:bCs/>
          <w:color w:val="auto"/>
          <w:sz w:val="28"/>
          <w:szCs w:val="28"/>
          <w:highlight w:val="none"/>
          <w:lang w:val="zh-CN" w:eastAsia="zh-CN"/>
        </w:rPr>
        <w:fldChar w:fldCharType="end"/>
      </w:r>
    </w:p>
    <w:p w14:paraId="75DB6629">
      <w:pPr>
        <w:pStyle w:val="18"/>
        <w:tabs>
          <w:tab w:val="right" w:leader="dot" w:pos="9298"/>
        </w:tabs>
        <w:rPr>
          <w:rFonts w:hint="eastAsia" w:ascii="新宋体" w:hAnsi="新宋体" w:eastAsia="新宋体" w:cs="新宋体"/>
          <w:sz w:val="28"/>
          <w:szCs w:val="28"/>
        </w:rPr>
      </w:pPr>
      <w:r>
        <w:rPr>
          <w:rFonts w:hint="eastAsia" w:ascii="新宋体" w:hAnsi="新宋体" w:eastAsia="新宋体" w:cs="新宋体"/>
          <w:bCs/>
          <w:color w:val="auto"/>
          <w:sz w:val="28"/>
          <w:szCs w:val="28"/>
          <w:highlight w:val="none"/>
          <w:lang w:val="zh-CN" w:eastAsia="zh-CN"/>
        </w:rPr>
        <w:fldChar w:fldCharType="begin"/>
      </w:r>
      <w:r>
        <w:rPr>
          <w:rFonts w:hint="eastAsia" w:ascii="新宋体" w:hAnsi="新宋体" w:eastAsia="新宋体" w:cs="新宋体"/>
          <w:bCs/>
          <w:sz w:val="28"/>
          <w:szCs w:val="28"/>
          <w:highlight w:val="none"/>
          <w:lang w:val="zh-CN" w:eastAsia="zh-CN"/>
        </w:rPr>
        <w:instrText xml:space="preserve"> HYPERLINK \l _Toc28631 </w:instrText>
      </w:r>
      <w:r>
        <w:rPr>
          <w:rFonts w:hint="eastAsia" w:ascii="新宋体" w:hAnsi="新宋体" w:eastAsia="新宋体" w:cs="新宋体"/>
          <w:bCs/>
          <w:sz w:val="28"/>
          <w:szCs w:val="28"/>
          <w:highlight w:val="none"/>
          <w:lang w:val="zh-CN" w:eastAsia="zh-CN"/>
        </w:rPr>
        <w:fldChar w:fldCharType="separate"/>
      </w:r>
      <w:r>
        <w:rPr>
          <w:rFonts w:hint="eastAsia" w:ascii="新宋体" w:hAnsi="新宋体" w:eastAsia="新宋体" w:cs="新宋体"/>
          <w:sz w:val="28"/>
          <w:szCs w:val="28"/>
          <w:lang w:val="en-US" w:eastAsia="zh-CN"/>
        </w:rPr>
        <w:t>第七章 磋商文件格式</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_Toc28631 \h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48</w:t>
      </w:r>
      <w:r>
        <w:rPr>
          <w:rFonts w:hint="eastAsia" w:ascii="新宋体" w:hAnsi="新宋体" w:eastAsia="新宋体" w:cs="新宋体"/>
          <w:sz w:val="28"/>
          <w:szCs w:val="28"/>
        </w:rPr>
        <w:fldChar w:fldCharType="end"/>
      </w:r>
      <w:r>
        <w:rPr>
          <w:rFonts w:hint="eastAsia" w:ascii="新宋体" w:hAnsi="新宋体" w:eastAsia="新宋体" w:cs="新宋体"/>
          <w:bCs/>
          <w:color w:val="auto"/>
          <w:sz w:val="28"/>
          <w:szCs w:val="28"/>
          <w:highlight w:val="none"/>
          <w:lang w:val="zh-CN" w:eastAsia="zh-CN"/>
        </w:rPr>
        <w:fldChar w:fldCharType="end"/>
      </w:r>
    </w:p>
    <w:p w14:paraId="08517C08">
      <w:pPr>
        <w:pStyle w:val="18"/>
        <w:tabs>
          <w:tab w:val="right" w:leader="dot" w:pos="9298"/>
        </w:tabs>
        <w:rPr>
          <w:rFonts w:hint="eastAsia" w:ascii="新宋体" w:hAnsi="新宋体" w:eastAsia="新宋体" w:cs="新宋体"/>
          <w:sz w:val="28"/>
          <w:szCs w:val="28"/>
        </w:rPr>
      </w:pPr>
      <w:r>
        <w:rPr>
          <w:rFonts w:hint="eastAsia" w:ascii="新宋体" w:hAnsi="新宋体" w:eastAsia="新宋体" w:cs="新宋体"/>
          <w:bCs/>
          <w:color w:val="auto"/>
          <w:sz w:val="28"/>
          <w:szCs w:val="28"/>
          <w:highlight w:val="none"/>
          <w:lang w:val="zh-CN" w:eastAsia="zh-CN"/>
        </w:rPr>
        <w:fldChar w:fldCharType="begin"/>
      </w:r>
      <w:r>
        <w:rPr>
          <w:rFonts w:hint="eastAsia" w:ascii="新宋体" w:hAnsi="新宋体" w:eastAsia="新宋体" w:cs="新宋体"/>
          <w:bCs/>
          <w:sz w:val="28"/>
          <w:szCs w:val="28"/>
          <w:highlight w:val="none"/>
          <w:lang w:val="zh-CN" w:eastAsia="zh-CN"/>
        </w:rPr>
        <w:instrText xml:space="preserve"> HYPERLINK \l _Toc2755 </w:instrText>
      </w:r>
      <w:r>
        <w:rPr>
          <w:rFonts w:hint="eastAsia" w:ascii="新宋体" w:hAnsi="新宋体" w:eastAsia="新宋体" w:cs="新宋体"/>
          <w:bCs/>
          <w:sz w:val="28"/>
          <w:szCs w:val="28"/>
          <w:highlight w:val="none"/>
          <w:lang w:val="zh-CN" w:eastAsia="zh-CN"/>
        </w:rPr>
        <w:fldChar w:fldCharType="separate"/>
      </w:r>
      <w:r>
        <w:rPr>
          <w:rFonts w:hint="eastAsia" w:ascii="新宋体" w:hAnsi="新宋体" w:eastAsia="新宋体" w:cs="新宋体"/>
          <w:bCs w:val="0"/>
          <w:sz w:val="28"/>
          <w:szCs w:val="28"/>
        </w:rPr>
        <w:t>第八章 评审程序、评审方法和评审标准</w:t>
      </w:r>
      <w:r>
        <w:rPr>
          <w:rFonts w:hint="eastAsia" w:ascii="新宋体" w:hAnsi="新宋体" w:eastAsia="新宋体" w:cs="新宋体"/>
          <w:sz w:val="28"/>
          <w:szCs w:val="28"/>
        </w:rPr>
        <w:tab/>
      </w:r>
      <w:r>
        <w:rPr>
          <w:rFonts w:hint="eastAsia" w:ascii="新宋体" w:hAnsi="新宋体" w:eastAsia="新宋体" w:cs="新宋体"/>
          <w:sz w:val="28"/>
          <w:szCs w:val="28"/>
        </w:rPr>
        <w:fldChar w:fldCharType="begin"/>
      </w:r>
      <w:r>
        <w:rPr>
          <w:rFonts w:hint="eastAsia" w:ascii="新宋体" w:hAnsi="新宋体" w:eastAsia="新宋体" w:cs="新宋体"/>
          <w:sz w:val="28"/>
          <w:szCs w:val="28"/>
        </w:rPr>
        <w:instrText xml:space="preserve"> PAGEREF _Toc2755 \h </w:instrText>
      </w:r>
      <w:r>
        <w:rPr>
          <w:rFonts w:hint="eastAsia" w:ascii="新宋体" w:hAnsi="新宋体" w:eastAsia="新宋体" w:cs="新宋体"/>
          <w:sz w:val="28"/>
          <w:szCs w:val="28"/>
        </w:rPr>
        <w:fldChar w:fldCharType="separate"/>
      </w:r>
      <w:r>
        <w:rPr>
          <w:rFonts w:hint="eastAsia" w:ascii="新宋体" w:hAnsi="新宋体" w:eastAsia="新宋体" w:cs="新宋体"/>
          <w:sz w:val="28"/>
          <w:szCs w:val="28"/>
        </w:rPr>
        <w:t>69</w:t>
      </w:r>
      <w:r>
        <w:rPr>
          <w:rFonts w:hint="eastAsia" w:ascii="新宋体" w:hAnsi="新宋体" w:eastAsia="新宋体" w:cs="新宋体"/>
          <w:sz w:val="28"/>
          <w:szCs w:val="28"/>
        </w:rPr>
        <w:fldChar w:fldCharType="end"/>
      </w:r>
      <w:r>
        <w:rPr>
          <w:rFonts w:hint="eastAsia" w:ascii="新宋体" w:hAnsi="新宋体" w:eastAsia="新宋体" w:cs="新宋体"/>
          <w:bCs/>
          <w:color w:val="auto"/>
          <w:sz w:val="28"/>
          <w:szCs w:val="28"/>
          <w:highlight w:val="none"/>
          <w:lang w:val="zh-CN" w:eastAsia="zh-CN"/>
        </w:rPr>
        <w:fldChar w:fldCharType="end"/>
      </w:r>
    </w:p>
    <w:p w14:paraId="7379544F">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outlineLvl w:val="9"/>
        <w:rPr>
          <w:rFonts w:hint="eastAsia" w:ascii="宋体" w:hAnsi="宋体" w:cs="宋体"/>
          <w:b/>
          <w:bCs/>
          <w:color w:val="auto"/>
          <w:sz w:val="28"/>
          <w:szCs w:val="28"/>
          <w:highlight w:val="none"/>
          <w:lang w:val="zh-CN" w:eastAsia="zh-CN"/>
        </w:rPr>
      </w:pPr>
      <w:r>
        <w:rPr>
          <w:rFonts w:hint="eastAsia" w:ascii="新宋体" w:hAnsi="新宋体" w:eastAsia="新宋体" w:cs="新宋体"/>
          <w:bCs/>
          <w:color w:val="auto"/>
          <w:sz w:val="28"/>
          <w:szCs w:val="28"/>
          <w:highlight w:val="none"/>
          <w:lang w:val="zh-CN" w:eastAsia="zh-CN"/>
        </w:rPr>
        <w:fldChar w:fldCharType="end"/>
      </w:r>
    </w:p>
    <w:bookmarkEnd w:id="0"/>
    <w:bookmarkEnd w:id="1"/>
    <w:p w14:paraId="70599969">
      <w:pPr>
        <w:pageBreakBefore w:val="0"/>
        <w:widowControl w:val="0"/>
        <w:kinsoku/>
        <w:wordWrap/>
        <w:overflowPunct/>
        <w:topLinePunct w:val="0"/>
        <w:autoSpaceDE/>
        <w:autoSpaceDN/>
        <w:bidi w:val="0"/>
        <w:adjustRightInd w:val="0"/>
        <w:snapToGrid w:val="0"/>
        <w:spacing w:line="420" w:lineRule="exact"/>
        <w:jc w:val="center"/>
        <w:textAlignment w:val="auto"/>
        <w:rPr>
          <w:rFonts w:hint="eastAsia" w:ascii="宋体" w:hAnsi="宋体" w:eastAsia="宋体" w:cs="宋体"/>
          <w:b/>
          <w:bCs/>
          <w:color w:val="auto"/>
          <w:sz w:val="36"/>
          <w:szCs w:val="36"/>
          <w:highlight w:val="none"/>
          <w:lang w:val="zh-CN" w:eastAsia="zh-CN"/>
        </w:rPr>
        <w:sectPr>
          <w:footerReference r:id="rId3" w:type="default"/>
          <w:pgSz w:w="11906" w:h="16838"/>
          <w:pgMar w:top="1304" w:right="1304" w:bottom="1304" w:left="1304" w:header="851" w:footer="907" w:gutter="0"/>
          <w:pgNumType w:fmt="decimal" w:start="1"/>
          <w:cols w:space="720" w:num="1"/>
          <w:docGrid w:type="lines" w:linePitch="312" w:charSpace="0"/>
        </w:sectPr>
      </w:pPr>
      <w:bookmarkStart w:id="2" w:name="_Toc5765"/>
      <w:bookmarkStart w:id="3" w:name="bookmark11"/>
      <w:bookmarkStart w:id="4" w:name="bookmark10"/>
      <w:bookmarkStart w:id="5" w:name="_Toc7795"/>
    </w:p>
    <w:p w14:paraId="08760867">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outlineLvl w:val="0"/>
        <w:rPr>
          <w:rFonts w:hint="eastAsia" w:ascii="宋体" w:hAnsi="宋体" w:eastAsia="宋体" w:cs="宋体"/>
          <w:b/>
          <w:bCs/>
          <w:color w:val="auto"/>
          <w:sz w:val="36"/>
          <w:szCs w:val="36"/>
          <w:highlight w:val="none"/>
          <w:lang w:val="zh-CN" w:eastAsia="zh-CN"/>
        </w:rPr>
      </w:pPr>
      <w:bookmarkStart w:id="6" w:name="_Toc16655"/>
      <w:bookmarkStart w:id="7" w:name="_Toc24185"/>
      <w:r>
        <w:rPr>
          <w:rFonts w:hint="eastAsia" w:ascii="宋体" w:hAnsi="宋体" w:eastAsia="宋体" w:cs="宋体"/>
          <w:b/>
          <w:bCs/>
          <w:color w:val="auto"/>
          <w:sz w:val="36"/>
          <w:szCs w:val="36"/>
          <w:highlight w:val="none"/>
          <w:lang w:val="zh-CN" w:eastAsia="zh-CN"/>
        </w:rPr>
        <w:t>第一章</w:t>
      </w:r>
      <w:bookmarkEnd w:id="2"/>
      <w:bookmarkStart w:id="8" w:name="_Toc452043856"/>
      <w:r>
        <w:rPr>
          <w:rFonts w:hint="eastAsia" w:ascii="宋体" w:hAnsi="宋体" w:cs="宋体"/>
          <w:b/>
          <w:bCs/>
          <w:color w:val="auto"/>
          <w:sz w:val="36"/>
          <w:szCs w:val="36"/>
          <w:highlight w:val="none"/>
          <w:lang w:val="en-US" w:eastAsia="zh-CN"/>
        </w:rPr>
        <w:t xml:space="preserve"> </w:t>
      </w:r>
      <w:r>
        <w:rPr>
          <w:rFonts w:hint="eastAsia" w:ascii="宋体" w:hAnsi="宋体" w:eastAsia="宋体" w:cs="宋体"/>
          <w:b/>
          <w:bCs/>
          <w:color w:val="auto"/>
          <w:sz w:val="36"/>
          <w:szCs w:val="36"/>
          <w:highlight w:val="none"/>
          <w:lang w:val="zh-CN" w:eastAsia="zh-CN"/>
        </w:rPr>
        <w:t>竞争性磋商公告</w:t>
      </w:r>
      <w:bookmarkEnd w:id="6"/>
      <w:bookmarkEnd w:id="7"/>
      <w:bookmarkEnd w:id="8"/>
    </w:p>
    <w:bookmarkEnd w:id="3"/>
    <w:bookmarkEnd w:id="4"/>
    <w:bookmarkEnd w:id="5"/>
    <w:p w14:paraId="65893515">
      <w:pPr>
        <w:spacing w:line="440" w:lineRule="exact"/>
        <w:rPr>
          <w:rFonts w:hint="eastAsia" w:ascii="宋体" w:hAnsi="宋体" w:eastAsia="宋体" w:cs="宋体"/>
          <w:color w:val="auto"/>
          <w:szCs w:val="21"/>
        </w:rPr>
      </w:pPr>
      <w:bookmarkStart w:id="9" w:name="_Toc12676"/>
      <w:bookmarkStart w:id="10" w:name="_Toc8587"/>
    </w:p>
    <w:tbl>
      <w:tblPr>
        <w:tblStyle w:val="24"/>
        <w:tblpPr w:leftFromText="180" w:rightFromText="180" w:vertAnchor="text" w:tblpX="38" w:tblpY="13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0"/>
      </w:tblGrid>
      <w:tr w14:paraId="547AD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0" w:hRule="atLeast"/>
        </w:trPr>
        <w:tc>
          <w:tcPr>
            <w:tcW w:w="9320" w:type="dxa"/>
          </w:tcPr>
          <w:p w14:paraId="1E09B917">
            <w:pPr>
              <w:spacing w:line="440" w:lineRule="exact"/>
              <w:rPr>
                <w:rFonts w:hint="eastAsia" w:ascii="宋体" w:hAnsi="宋体" w:eastAsia="宋体" w:cs="宋体"/>
                <w:color w:val="auto"/>
                <w:szCs w:val="21"/>
              </w:rPr>
            </w:pPr>
            <w:r>
              <w:rPr>
                <w:rFonts w:hint="eastAsia" w:ascii="宋体" w:hAnsi="宋体" w:eastAsia="宋体" w:cs="宋体"/>
                <w:color w:val="auto"/>
                <w:szCs w:val="21"/>
              </w:rPr>
              <w:t>项目概况</w:t>
            </w:r>
          </w:p>
          <w:p w14:paraId="534D98B6">
            <w:pPr>
              <w:spacing w:line="440" w:lineRule="exact"/>
              <w:ind w:firstLine="420" w:firstLineChars="200"/>
              <w:rPr>
                <w:rFonts w:hint="eastAsia" w:ascii="宋体" w:hAnsi="宋体" w:eastAsia="宋体" w:cs="宋体"/>
                <w:color w:val="auto"/>
                <w:szCs w:val="21"/>
              </w:rPr>
            </w:pPr>
            <w:r>
              <w:rPr>
                <w:rFonts w:hint="eastAsia" w:ascii="新宋体" w:hAnsi="新宋体" w:eastAsia="新宋体" w:cs="新宋体"/>
                <w:color w:val="auto"/>
                <w:szCs w:val="21"/>
                <w:highlight w:val="none"/>
                <w:lang w:eastAsia="zh-CN"/>
              </w:rPr>
              <w:t>钦北区小董镇西陵村委西陵村道路硬化项目</w:t>
            </w:r>
            <w:r>
              <w:rPr>
                <w:rFonts w:hint="eastAsia" w:ascii="新宋体" w:hAnsi="新宋体" w:eastAsia="新宋体" w:cs="新宋体"/>
                <w:color w:val="auto"/>
                <w:szCs w:val="21"/>
                <w:highlight w:val="none"/>
              </w:rPr>
              <w:t>的潜在供应商应登录</w:t>
            </w:r>
            <w:r>
              <w:rPr>
                <w:rFonts w:hint="eastAsia" w:ascii="新宋体" w:hAnsi="新宋体" w:eastAsia="新宋体" w:cs="新宋体"/>
                <w:color w:val="auto"/>
                <w:szCs w:val="21"/>
                <w:highlight w:val="none"/>
                <w:lang w:eastAsia="zh-CN"/>
              </w:rPr>
              <w:t>广西政府采购云平台https://www.gcy.zfcg.gxzf.gov.cn/</w:t>
            </w:r>
            <w:r>
              <w:rPr>
                <w:rFonts w:hint="eastAsia" w:ascii="新宋体" w:hAnsi="新宋体" w:eastAsia="新宋体" w:cs="新宋体"/>
                <w:color w:val="auto"/>
                <w:szCs w:val="21"/>
                <w:highlight w:val="none"/>
              </w:rPr>
              <w:t>在线申请获取采购文件，并于</w:t>
            </w:r>
            <w:r>
              <w:rPr>
                <w:rFonts w:hint="eastAsia" w:ascii="新宋体" w:hAnsi="新宋体" w:eastAsia="新宋体" w:cs="新宋体"/>
                <w:color w:val="auto"/>
                <w:szCs w:val="21"/>
                <w:highlight w:val="none"/>
                <w:lang w:val="en-US" w:eastAsia="zh-CN"/>
              </w:rPr>
              <w:t>2026年  6 月 22  日</w:t>
            </w:r>
            <w:r>
              <w:rPr>
                <w:rFonts w:hint="eastAsia" w:ascii="新宋体" w:hAnsi="新宋体" w:eastAsia="新宋体" w:cs="新宋体"/>
                <w:color w:val="auto"/>
                <w:szCs w:val="21"/>
                <w:highlight w:val="none"/>
              </w:rPr>
              <w:t xml:space="preserve"> </w:t>
            </w:r>
            <w:r>
              <w:rPr>
                <w:rFonts w:hint="eastAsia" w:ascii="新宋体" w:hAnsi="新宋体" w:eastAsia="新宋体" w:cs="新宋体"/>
                <w:color w:val="auto"/>
                <w:szCs w:val="21"/>
                <w:highlight w:val="none"/>
                <w:lang w:val="en-US" w:eastAsia="zh-CN"/>
              </w:rPr>
              <w:t>09</w:t>
            </w:r>
            <w:r>
              <w:rPr>
                <w:rFonts w:hint="eastAsia" w:ascii="新宋体" w:hAnsi="新宋体" w:eastAsia="新宋体" w:cs="新宋体"/>
                <w:color w:val="auto"/>
                <w:szCs w:val="21"/>
                <w:highlight w:val="none"/>
              </w:rPr>
              <w:t>:30（北京时间）前提交响应文件。</w:t>
            </w:r>
          </w:p>
        </w:tc>
      </w:tr>
    </w:tbl>
    <w:p w14:paraId="08D42752">
      <w:pPr>
        <w:spacing w:line="440" w:lineRule="exact"/>
        <w:rPr>
          <w:rFonts w:hint="eastAsia" w:ascii="宋体" w:hAnsi="宋体" w:eastAsia="宋体" w:cs="宋体"/>
          <w:color w:val="auto"/>
          <w:szCs w:val="21"/>
        </w:rPr>
      </w:pPr>
      <w:bookmarkStart w:id="11" w:name="_Toc35393629"/>
      <w:bookmarkStart w:id="12" w:name="_Toc28359012"/>
      <w:bookmarkStart w:id="13" w:name="_Toc28359089"/>
      <w:bookmarkStart w:id="14" w:name="_Toc35393798"/>
      <w:r>
        <w:rPr>
          <w:rFonts w:hint="eastAsia" w:ascii="宋体" w:hAnsi="宋体" w:eastAsia="宋体" w:cs="宋体"/>
          <w:b/>
          <w:bCs/>
          <w:color w:val="auto"/>
          <w:szCs w:val="21"/>
        </w:rPr>
        <w:t>一、项目基本情况</w:t>
      </w:r>
      <w:bookmarkEnd w:id="11"/>
      <w:bookmarkEnd w:id="12"/>
      <w:bookmarkEnd w:id="13"/>
      <w:bookmarkEnd w:id="14"/>
    </w:p>
    <w:p w14:paraId="02541AE5">
      <w:pPr>
        <w:pageBreakBefore w:val="0"/>
        <w:kinsoku/>
        <w:wordWrap/>
        <w:overflowPunct/>
        <w:topLinePunct w:val="0"/>
        <w:autoSpaceDE/>
        <w:autoSpaceDN/>
        <w:bidi w:val="0"/>
        <w:adjustRightInd/>
        <w:snapToGrid/>
        <w:spacing w:line="30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项目编号：QZZC2026-C2-030016-GXHY</w:t>
      </w:r>
      <w:r>
        <w:rPr>
          <w:rFonts w:hint="eastAsia" w:ascii="宋体" w:hAnsi="宋体" w:cs="宋体"/>
          <w:color w:val="auto"/>
          <w:sz w:val="21"/>
          <w:szCs w:val="21"/>
          <w:highlight w:val="none"/>
          <w:lang w:eastAsia="zh-CN"/>
        </w:rPr>
        <w:t xml:space="preserve">    </w:t>
      </w:r>
      <w:r>
        <w:rPr>
          <w:rFonts w:hint="eastAsia" w:ascii="宋体" w:hAnsi="宋体" w:eastAsia="宋体" w:cs="宋体"/>
          <w:color w:val="auto"/>
          <w:sz w:val="21"/>
          <w:szCs w:val="21"/>
          <w:highlight w:val="none"/>
        </w:rPr>
        <w:t xml:space="preserve"> </w:t>
      </w:r>
    </w:p>
    <w:p w14:paraId="0F72A461">
      <w:pPr>
        <w:pageBreakBefore w:val="0"/>
        <w:kinsoku/>
        <w:wordWrap/>
        <w:overflowPunct/>
        <w:topLinePunct w:val="0"/>
        <w:autoSpaceDE/>
        <w:autoSpaceDN/>
        <w:bidi w:val="0"/>
        <w:adjustRightInd/>
        <w:snapToGrid/>
        <w:spacing w:line="30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r>
        <w:rPr>
          <w:rFonts w:hint="eastAsia" w:ascii="宋体" w:hAnsi="宋体" w:cs="宋体"/>
          <w:color w:val="auto"/>
          <w:sz w:val="21"/>
          <w:szCs w:val="21"/>
          <w:highlight w:val="none"/>
          <w:lang w:eastAsia="zh-CN"/>
        </w:rPr>
        <w:t>钦北区小董镇西陵村委西陵村道路硬化项目</w:t>
      </w:r>
      <w:r>
        <w:rPr>
          <w:rFonts w:hint="eastAsia" w:ascii="宋体" w:hAnsi="宋体" w:eastAsia="宋体" w:cs="宋体"/>
          <w:color w:val="auto"/>
          <w:sz w:val="21"/>
          <w:szCs w:val="21"/>
          <w:highlight w:val="none"/>
        </w:rPr>
        <w:t xml:space="preserve"> </w:t>
      </w:r>
    </w:p>
    <w:p w14:paraId="1853083C">
      <w:pPr>
        <w:pageBreakBefore w:val="0"/>
        <w:kinsoku/>
        <w:wordWrap/>
        <w:overflowPunct/>
        <w:topLinePunct w:val="0"/>
        <w:autoSpaceDE/>
        <w:autoSpaceDN/>
        <w:bidi w:val="0"/>
        <w:adjustRightInd/>
        <w:snapToGrid/>
        <w:spacing w:line="30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采购方式：竞争性磋商 </w:t>
      </w:r>
    </w:p>
    <w:p w14:paraId="452EA15D">
      <w:pPr>
        <w:pageBreakBefore w:val="0"/>
        <w:kinsoku/>
        <w:wordWrap/>
        <w:overflowPunct/>
        <w:topLinePunct w:val="0"/>
        <w:autoSpaceDE/>
        <w:autoSpaceDN/>
        <w:bidi w:val="0"/>
        <w:adjustRightInd/>
        <w:snapToGrid/>
        <w:spacing w:line="300" w:lineRule="exact"/>
        <w:ind w:firstLine="420" w:firstLineChars="200"/>
        <w:textAlignment w:val="auto"/>
        <w:outlineLvl w:val="9"/>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预算总金额（元）：960564.72</w:t>
      </w:r>
      <w:r>
        <w:rPr>
          <w:rFonts w:hint="eastAsia" w:ascii="宋体" w:hAnsi="宋体" w:cs="宋体"/>
          <w:color w:val="auto"/>
          <w:sz w:val="21"/>
          <w:szCs w:val="21"/>
          <w:highlight w:val="none"/>
          <w:lang w:val="en-US" w:eastAsia="zh-CN"/>
        </w:rPr>
        <w:t xml:space="preserve"> </w:t>
      </w:r>
    </w:p>
    <w:p w14:paraId="6E9F8F8B">
      <w:pPr>
        <w:pageBreakBefore w:val="0"/>
        <w:kinsoku/>
        <w:wordWrap/>
        <w:overflowPunct/>
        <w:topLinePunct w:val="0"/>
        <w:autoSpaceDE/>
        <w:autoSpaceDN/>
        <w:bidi w:val="0"/>
        <w:adjustRightInd/>
        <w:snapToGrid/>
        <w:spacing w:line="300" w:lineRule="exact"/>
        <w:ind w:firstLine="420" w:firstLineChars="200"/>
        <w:textAlignment w:val="auto"/>
        <w:outlineLvl w:val="9"/>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采购需求：硬化道路</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详见工程量清单及图纸。</w:t>
      </w:r>
    </w:p>
    <w:p w14:paraId="4B6D78C6">
      <w:pPr>
        <w:pageBreakBefore w:val="0"/>
        <w:kinsoku/>
        <w:wordWrap/>
        <w:overflowPunct/>
        <w:topLinePunct w:val="0"/>
        <w:autoSpaceDE/>
        <w:autoSpaceDN/>
        <w:bidi w:val="0"/>
        <w:adjustRightInd/>
        <w:snapToGrid/>
        <w:spacing w:line="300" w:lineRule="exact"/>
        <w:ind w:firstLine="420" w:firstLineChars="200"/>
        <w:textAlignment w:val="auto"/>
        <w:outlineLvl w:val="9"/>
        <w:rPr>
          <w:rFonts w:hint="eastAsia" w:ascii="宋体" w:hAnsi="宋体" w:eastAsia="宋体" w:cs="宋体"/>
          <w:b/>
          <w:bCs/>
          <w:color w:val="auto"/>
          <w:szCs w:val="21"/>
        </w:rPr>
      </w:pPr>
      <w:r>
        <w:rPr>
          <w:rFonts w:hint="eastAsia" w:ascii="宋体" w:hAnsi="宋体" w:eastAsia="宋体" w:cs="宋体"/>
          <w:color w:val="auto"/>
          <w:sz w:val="21"/>
          <w:szCs w:val="21"/>
          <w:highlight w:val="none"/>
        </w:rPr>
        <w:t>备注： </w:t>
      </w:r>
    </w:p>
    <w:p w14:paraId="053C3C89">
      <w:pPr>
        <w:spacing w:line="440" w:lineRule="exact"/>
        <w:rPr>
          <w:rFonts w:hint="eastAsia" w:ascii="宋体" w:hAnsi="宋体" w:eastAsia="宋体" w:cs="宋体"/>
          <w:b/>
          <w:bCs/>
          <w:color w:val="auto"/>
          <w:szCs w:val="21"/>
        </w:rPr>
      </w:pPr>
      <w:bookmarkStart w:id="15" w:name="_Toc28359090"/>
      <w:bookmarkStart w:id="16" w:name="_Toc35393630"/>
      <w:bookmarkStart w:id="17" w:name="_Toc35393799"/>
      <w:bookmarkStart w:id="18" w:name="_Toc28359013"/>
      <w:r>
        <w:rPr>
          <w:rFonts w:hint="eastAsia" w:ascii="宋体" w:hAnsi="宋体" w:eastAsia="宋体" w:cs="宋体"/>
          <w:b/>
          <w:bCs/>
          <w:color w:val="auto"/>
          <w:szCs w:val="21"/>
        </w:rPr>
        <w:t>二、申请人的资格要求：</w:t>
      </w:r>
      <w:bookmarkEnd w:id="15"/>
      <w:bookmarkEnd w:id="16"/>
      <w:bookmarkEnd w:id="17"/>
      <w:bookmarkEnd w:id="18"/>
    </w:p>
    <w:p w14:paraId="5499327C">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新宋体" w:hAnsi="新宋体" w:eastAsia="新宋体" w:cs="新宋体"/>
          <w:color w:val="auto"/>
          <w:sz w:val="21"/>
          <w:szCs w:val="21"/>
        </w:rPr>
      </w:pPr>
      <w:bookmarkStart w:id="19" w:name="_Toc35393792"/>
      <w:bookmarkStart w:id="20" w:name="_Toc35393623"/>
      <w:bookmarkStart w:id="21" w:name="_Toc35393636"/>
      <w:bookmarkStart w:id="22" w:name="_Toc35393805"/>
      <w:bookmarkStart w:id="23" w:name="_Toc28359018"/>
      <w:bookmarkStart w:id="24" w:name="_Toc28359095"/>
      <w:r>
        <w:rPr>
          <w:rFonts w:hint="eastAsia" w:ascii="新宋体" w:hAnsi="新宋体" w:eastAsia="新宋体" w:cs="新宋体"/>
          <w:color w:val="auto"/>
          <w:sz w:val="21"/>
          <w:szCs w:val="21"/>
        </w:rPr>
        <w:t>1.满足《中华人民共和国政府采购法》第二十二条规定；</w:t>
      </w:r>
    </w:p>
    <w:p w14:paraId="6216E671">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新宋体" w:hAnsi="新宋体" w:eastAsia="新宋体" w:cs="新宋体"/>
          <w:color w:val="auto"/>
          <w:sz w:val="21"/>
          <w:szCs w:val="21"/>
        </w:rPr>
      </w:pPr>
      <w:r>
        <w:rPr>
          <w:rFonts w:hint="eastAsia" w:ascii="新宋体" w:hAnsi="新宋体" w:eastAsia="新宋体" w:cs="新宋体"/>
          <w:color w:val="auto"/>
          <w:sz w:val="21"/>
          <w:szCs w:val="21"/>
        </w:rPr>
        <w:t>2.落实政府采购政策需满足的资格要求：本项目为专门面向</w:t>
      </w:r>
      <w:r>
        <w:rPr>
          <w:rFonts w:hint="eastAsia" w:ascii="宋体" w:hAnsi="宋体" w:cs="宋体"/>
          <w:color w:val="auto"/>
          <w:lang w:val="en-US" w:eastAsia="zh-CN"/>
        </w:rPr>
        <w:t>小微</w:t>
      </w:r>
      <w:r>
        <w:rPr>
          <w:rFonts w:hint="eastAsia" w:ascii="新宋体" w:hAnsi="新宋体" w:eastAsia="新宋体" w:cs="新宋体"/>
          <w:color w:val="auto"/>
          <w:sz w:val="21"/>
          <w:szCs w:val="21"/>
        </w:rPr>
        <w:t>企业采购的项目 </w:t>
      </w:r>
    </w:p>
    <w:p w14:paraId="621AAB26">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新宋体" w:hAnsi="新宋体" w:eastAsia="新宋体" w:cs="新宋体"/>
          <w:color w:val="FF0000"/>
          <w:sz w:val="21"/>
          <w:szCs w:val="21"/>
        </w:rPr>
      </w:pPr>
      <w:r>
        <w:rPr>
          <w:rFonts w:hint="eastAsia" w:ascii="新宋体" w:hAnsi="新宋体" w:eastAsia="新宋体" w:cs="新宋体"/>
          <w:color w:val="auto"/>
          <w:sz w:val="21"/>
          <w:szCs w:val="21"/>
        </w:rPr>
        <w:t>3.本项目的特定资格要求：</w:t>
      </w:r>
      <w:r>
        <w:rPr>
          <w:rFonts w:hint="eastAsia" w:ascii="新宋体" w:hAnsi="新宋体" w:eastAsia="新宋体" w:cs="新宋体"/>
          <w:color w:val="auto"/>
          <w:sz w:val="21"/>
          <w:szCs w:val="21"/>
          <w:lang w:eastAsia="zh-CN"/>
        </w:rPr>
        <w:t>（</w:t>
      </w:r>
      <w:r>
        <w:rPr>
          <w:rFonts w:hint="eastAsia" w:ascii="新宋体" w:hAnsi="新宋体" w:eastAsia="新宋体" w:cs="新宋体"/>
          <w:color w:val="auto"/>
          <w:sz w:val="21"/>
          <w:szCs w:val="21"/>
          <w:lang w:val="en-US" w:eastAsia="zh-CN"/>
        </w:rPr>
        <w:t>1）</w:t>
      </w:r>
      <w:r>
        <w:rPr>
          <w:rFonts w:hint="eastAsia" w:ascii="新宋体" w:hAnsi="新宋体" w:eastAsia="新宋体" w:cs="新宋体"/>
          <w:color w:val="auto"/>
          <w:sz w:val="21"/>
          <w:szCs w:val="21"/>
        </w:rPr>
        <w:t>具有独立法人资格，具备</w:t>
      </w:r>
      <w:r>
        <w:rPr>
          <w:rFonts w:hint="eastAsia" w:ascii="新宋体" w:hAnsi="新宋体" w:eastAsia="新宋体" w:cs="新宋体"/>
          <w:color w:val="auto"/>
          <w:sz w:val="21"/>
          <w:szCs w:val="21"/>
          <w:lang w:val="en-US" w:eastAsia="zh-CN"/>
        </w:rPr>
        <w:t>公路工程</w:t>
      </w:r>
      <w:r>
        <w:rPr>
          <w:rFonts w:hint="eastAsia" w:ascii="新宋体" w:hAnsi="新宋体" w:eastAsia="新宋体" w:cs="新宋体"/>
          <w:color w:val="0000FF"/>
          <w:sz w:val="21"/>
          <w:szCs w:val="21"/>
          <w:highlight w:val="white"/>
          <w:lang w:eastAsia="zh-CN"/>
        </w:rPr>
        <w:t>三级</w:t>
      </w:r>
      <w:r>
        <w:rPr>
          <w:rFonts w:hint="eastAsia" w:ascii="新宋体" w:hAnsi="新宋体" w:eastAsia="新宋体" w:cs="新宋体"/>
          <w:color w:val="auto"/>
          <w:sz w:val="21"/>
          <w:szCs w:val="21"/>
        </w:rPr>
        <w:t>以上资质（含</w:t>
      </w:r>
      <w:r>
        <w:rPr>
          <w:rFonts w:hint="eastAsia" w:ascii="新宋体" w:hAnsi="新宋体" w:eastAsia="新宋体" w:cs="新宋体"/>
          <w:color w:val="auto"/>
          <w:sz w:val="21"/>
          <w:szCs w:val="21"/>
          <w:lang w:val="en-US" w:eastAsia="zh-CN"/>
        </w:rPr>
        <w:t>三</w:t>
      </w:r>
      <w:r>
        <w:rPr>
          <w:rFonts w:hint="eastAsia" w:ascii="新宋体" w:hAnsi="新宋体" w:eastAsia="新宋体" w:cs="新宋体"/>
          <w:color w:val="auto"/>
          <w:sz w:val="21"/>
          <w:szCs w:val="21"/>
        </w:rPr>
        <w:t>级），并在人员、设备、资金等方面具有相应的施工能力，其中，投标人拟派项目经理须具备</w:t>
      </w:r>
      <w:r>
        <w:rPr>
          <w:rFonts w:hint="eastAsia" w:ascii="新宋体" w:hAnsi="新宋体" w:eastAsia="新宋体" w:cs="新宋体"/>
          <w:color w:val="0000FF"/>
          <w:sz w:val="21"/>
          <w:szCs w:val="21"/>
          <w:highlight w:val="white"/>
        </w:rPr>
        <w:t>[</w:t>
      </w:r>
      <w:r>
        <w:rPr>
          <w:rFonts w:hint="eastAsia" w:ascii="新宋体" w:hAnsi="新宋体" w:eastAsia="新宋体" w:cs="新宋体"/>
          <w:color w:val="auto"/>
          <w:sz w:val="21"/>
          <w:szCs w:val="21"/>
          <w:lang w:val="en-US" w:eastAsia="zh-CN"/>
        </w:rPr>
        <w:t>公路工程</w:t>
      </w:r>
      <w:r>
        <w:rPr>
          <w:rFonts w:hint="eastAsia" w:ascii="新宋体" w:hAnsi="新宋体" w:eastAsia="新宋体" w:cs="新宋体"/>
          <w:color w:val="0000FF"/>
          <w:sz w:val="21"/>
          <w:szCs w:val="21"/>
          <w:highlight w:val="white"/>
        </w:rPr>
        <w:t>二级](含)以上</w:t>
      </w:r>
      <w:r>
        <w:rPr>
          <w:rFonts w:hint="eastAsia" w:ascii="新宋体" w:hAnsi="新宋体" w:eastAsia="新宋体" w:cs="新宋体"/>
          <w:sz w:val="21"/>
          <w:szCs w:val="21"/>
          <w:highlight w:val="white"/>
        </w:rPr>
        <w:t>注册建造师执业资格，具备安全生产考核合格证书（B类）。</w:t>
      </w:r>
    </w:p>
    <w:p w14:paraId="5434A2DF">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新宋体" w:hAnsi="新宋体" w:eastAsia="新宋体" w:cs="新宋体"/>
          <w:color w:val="auto"/>
          <w:sz w:val="21"/>
          <w:szCs w:val="21"/>
        </w:rPr>
      </w:pPr>
      <w:r>
        <w:rPr>
          <w:rFonts w:hint="eastAsia" w:ascii="新宋体" w:hAnsi="新宋体" w:eastAsia="新宋体" w:cs="新宋体"/>
          <w:color w:val="auto"/>
          <w:sz w:val="21"/>
          <w:szCs w:val="21"/>
          <w:lang w:eastAsia="zh-CN"/>
        </w:rPr>
        <w:t>（</w:t>
      </w:r>
      <w:r>
        <w:rPr>
          <w:rFonts w:hint="eastAsia" w:ascii="新宋体" w:hAnsi="新宋体" w:eastAsia="新宋体" w:cs="新宋体"/>
          <w:color w:val="auto"/>
          <w:sz w:val="21"/>
          <w:szCs w:val="21"/>
          <w:lang w:val="en-US" w:eastAsia="zh-CN"/>
        </w:rPr>
        <w:t>2）</w:t>
      </w:r>
      <w:r>
        <w:rPr>
          <w:rFonts w:hint="eastAsia" w:ascii="新宋体" w:hAnsi="新宋体" w:eastAsia="新宋体" w:cs="新宋体"/>
          <w:color w:val="auto"/>
          <w:sz w:val="21"/>
          <w:szCs w:val="21"/>
        </w:rPr>
        <w:t>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p>
    <w:p w14:paraId="6C3B56E7">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新宋体" w:hAnsi="新宋体" w:eastAsia="新宋体" w:cs="新宋体"/>
          <w:color w:val="auto"/>
          <w:sz w:val="21"/>
          <w:szCs w:val="21"/>
        </w:rPr>
      </w:pPr>
      <w:r>
        <w:rPr>
          <w:rFonts w:hint="eastAsia" w:ascii="新宋体" w:hAnsi="新宋体" w:eastAsia="新宋体" w:cs="新宋体"/>
          <w:color w:val="auto"/>
          <w:sz w:val="21"/>
          <w:szCs w:val="21"/>
          <w:lang w:eastAsia="zh-CN"/>
        </w:rPr>
        <w:t>（</w:t>
      </w:r>
      <w:r>
        <w:rPr>
          <w:rFonts w:hint="eastAsia" w:ascii="新宋体" w:hAnsi="新宋体" w:eastAsia="新宋体" w:cs="新宋体"/>
          <w:color w:val="auto"/>
          <w:sz w:val="21"/>
          <w:szCs w:val="21"/>
          <w:lang w:val="en-US" w:eastAsia="zh-CN"/>
        </w:rPr>
        <w:t>3</w:t>
      </w:r>
      <w:r>
        <w:rPr>
          <w:rFonts w:hint="eastAsia" w:ascii="新宋体" w:hAnsi="新宋体" w:eastAsia="新宋体" w:cs="新宋体"/>
          <w:color w:val="auto"/>
          <w:sz w:val="21"/>
          <w:szCs w:val="21"/>
          <w:lang w:eastAsia="zh-CN"/>
        </w:rPr>
        <w:t>）</w:t>
      </w:r>
      <w:r>
        <w:rPr>
          <w:rFonts w:hint="eastAsia" w:ascii="新宋体" w:hAnsi="新宋体" w:eastAsia="新宋体" w:cs="新宋体"/>
          <w:color w:val="auto"/>
          <w:sz w:val="21"/>
          <w:szCs w:val="21"/>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245F83C0">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leftChars="0" w:right="0" w:firstLine="420" w:firstLineChars="200"/>
        <w:textAlignment w:val="auto"/>
        <w:rPr>
          <w:rFonts w:hint="eastAsia" w:ascii="新宋体" w:hAnsi="新宋体" w:eastAsia="新宋体" w:cs="新宋体"/>
          <w:color w:val="auto"/>
          <w:sz w:val="21"/>
          <w:szCs w:val="21"/>
        </w:rPr>
      </w:pPr>
      <w:r>
        <w:rPr>
          <w:rFonts w:hint="eastAsia" w:ascii="新宋体" w:hAnsi="新宋体" w:eastAsia="新宋体" w:cs="新宋体"/>
          <w:color w:val="auto"/>
          <w:sz w:val="21"/>
          <w:szCs w:val="21"/>
          <w:lang w:val="en-US" w:eastAsia="zh-CN"/>
        </w:rPr>
        <w:t>4.</w:t>
      </w:r>
      <w:r>
        <w:rPr>
          <w:rFonts w:hint="eastAsia" w:ascii="新宋体" w:hAnsi="新宋体" w:eastAsia="新宋体" w:cs="新宋体"/>
          <w:color w:val="auto"/>
          <w:sz w:val="21"/>
          <w:szCs w:val="21"/>
        </w:rPr>
        <w:t xml:space="preserve">本项目不接受联合体磋商。 </w:t>
      </w:r>
    </w:p>
    <w:p w14:paraId="4C890FD1">
      <w:pPr>
        <w:spacing w:line="440" w:lineRule="exact"/>
        <w:rPr>
          <w:rFonts w:hint="eastAsia" w:ascii="宋体" w:hAnsi="宋体" w:eastAsia="宋体" w:cs="宋体"/>
          <w:b/>
          <w:bCs/>
          <w:color w:val="auto"/>
          <w:szCs w:val="21"/>
        </w:rPr>
      </w:pPr>
      <w:r>
        <w:rPr>
          <w:rFonts w:hint="eastAsia" w:ascii="宋体" w:hAnsi="宋体" w:eastAsia="宋体" w:cs="宋体"/>
          <w:b/>
          <w:bCs/>
          <w:color w:val="auto"/>
          <w:szCs w:val="21"/>
        </w:rPr>
        <w:t>三、获取采购文件</w:t>
      </w:r>
      <w:bookmarkEnd w:id="19"/>
      <w:bookmarkEnd w:id="20"/>
      <w:r>
        <w:rPr>
          <w:rFonts w:hint="eastAsia" w:ascii="宋体" w:hAnsi="宋体" w:eastAsia="宋体" w:cs="宋体"/>
          <w:b/>
          <w:bCs/>
          <w:color w:val="auto"/>
          <w:szCs w:val="21"/>
        </w:rPr>
        <w:t>：</w:t>
      </w:r>
    </w:p>
    <w:p w14:paraId="0901747C">
      <w:pPr>
        <w:keepNext w:val="0"/>
        <w:keepLines w:val="0"/>
        <w:pageBreakBefore w:val="0"/>
        <w:widowControl w:val="0"/>
        <w:kinsoku/>
        <w:wordWrap/>
        <w:overflowPunct/>
        <w:topLinePunct w:val="0"/>
        <w:autoSpaceDE/>
        <w:autoSpaceDN/>
        <w:bidi w:val="0"/>
        <w:adjustRightInd/>
        <w:snapToGrid/>
        <w:spacing w:line="240" w:lineRule="auto"/>
        <w:ind w:firstLine="420" w:firstLineChars="200"/>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时间：</w:t>
      </w:r>
      <w:r>
        <w:rPr>
          <w:rFonts w:hint="eastAsia" w:ascii="新宋体" w:hAnsi="新宋体" w:eastAsia="新宋体" w:cs="新宋体"/>
          <w:color w:val="auto"/>
          <w:szCs w:val="21"/>
          <w:highlight w:val="none"/>
          <w:lang w:val="en-US" w:eastAsia="zh-CN"/>
        </w:rPr>
        <w:t>2026年 6 月 11 日</w:t>
      </w:r>
      <w:r>
        <w:rPr>
          <w:rFonts w:hint="eastAsia" w:ascii="宋体" w:hAnsi="宋体" w:eastAsia="宋体" w:cs="宋体"/>
          <w:color w:val="auto"/>
          <w:sz w:val="21"/>
          <w:szCs w:val="21"/>
          <w:highlight w:val="none"/>
          <w:lang w:eastAsia="zh-CN"/>
        </w:rPr>
        <w:t>至</w:t>
      </w:r>
      <w:r>
        <w:rPr>
          <w:rFonts w:hint="eastAsia" w:ascii="新宋体" w:hAnsi="新宋体" w:eastAsia="新宋体" w:cs="新宋体"/>
          <w:color w:val="auto"/>
          <w:szCs w:val="21"/>
          <w:highlight w:val="none"/>
          <w:lang w:val="en-US" w:eastAsia="zh-CN"/>
        </w:rPr>
        <w:t>2026年  6 月 18  日</w:t>
      </w:r>
      <w:r>
        <w:rPr>
          <w:rFonts w:hint="eastAsia" w:ascii="宋体" w:hAnsi="宋体" w:eastAsia="宋体" w:cs="宋体"/>
          <w:color w:val="auto"/>
          <w:sz w:val="21"/>
          <w:szCs w:val="21"/>
          <w:highlight w:val="none"/>
          <w:lang w:eastAsia="zh-CN"/>
        </w:rPr>
        <w:t>，每天上午00:00至12:00，下午12:00至23:59（北京时间，法定节假日除外）</w:t>
      </w:r>
    </w:p>
    <w:p w14:paraId="36F463D7">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hAnsi="宋体" w:cs="宋体"/>
          <w:bCs/>
          <w:caps w:val="0"/>
          <w:color w:val="auto"/>
          <w:spacing w:val="0"/>
          <w:w w:val="100"/>
          <w:kern w:val="0"/>
          <w:position w:val="0"/>
          <w:szCs w:val="21"/>
          <w:highlight w:val="none"/>
        </w:rPr>
      </w:pPr>
      <w:bookmarkStart w:id="25" w:name="_Toc28359082"/>
      <w:bookmarkStart w:id="26" w:name="_Toc28359005"/>
      <w:bookmarkStart w:id="27" w:name="_Toc35393793"/>
      <w:bookmarkStart w:id="28" w:name="_Toc35393624"/>
      <w:r>
        <w:rPr>
          <w:rFonts w:hint="eastAsia" w:ascii="宋体" w:hAnsi="宋体" w:cs="宋体"/>
          <w:bCs/>
          <w:caps w:val="0"/>
          <w:color w:val="auto"/>
          <w:spacing w:val="0"/>
          <w:w w:val="100"/>
          <w:kern w:val="0"/>
          <w:position w:val="0"/>
          <w:szCs w:val="21"/>
          <w:highlight w:val="none"/>
        </w:rPr>
        <w:t>地点：</w:t>
      </w:r>
      <w:r>
        <w:rPr>
          <w:rFonts w:hint="eastAsia" w:ascii="宋体" w:hAnsi="宋体"/>
          <w:caps w:val="0"/>
          <w:color w:val="auto"/>
          <w:spacing w:val="0"/>
          <w:w w:val="100"/>
          <w:kern w:val="0"/>
          <w:position w:val="0"/>
          <w:szCs w:val="21"/>
          <w:highlight w:val="none"/>
          <w:lang w:val="en-US" w:eastAsia="zh-CN"/>
        </w:rPr>
        <w:t>广西政府采购云平台线上获取</w:t>
      </w:r>
    </w:p>
    <w:p w14:paraId="12CB4FFC">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hAnsi="宋体" w:cs="宋体"/>
          <w:bCs/>
          <w:caps w:val="0"/>
          <w:color w:val="auto"/>
          <w:spacing w:val="0"/>
          <w:w w:val="100"/>
          <w:kern w:val="0"/>
          <w:position w:val="0"/>
          <w:szCs w:val="21"/>
          <w:highlight w:val="none"/>
        </w:rPr>
      </w:pPr>
      <w:r>
        <w:rPr>
          <w:rFonts w:hint="eastAsia" w:ascii="宋体" w:hAnsi="宋体" w:cs="宋体"/>
          <w:bCs/>
          <w:caps w:val="0"/>
          <w:color w:val="auto"/>
          <w:spacing w:val="0"/>
          <w:w w:val="100"/>
          <w:kern w:val="0"/>
          <w:position w:val="0"/>
          <w:szCs w:val="21"/>
          <w:highlight w:val="none"/>
        </w:rPr>
        <w:t>方式：</w:t>
      </w:r>
      <w:r>
        <w:rPr>
          <w:rFonts w:hint="eastAsia" w:ascii="宋体" w:hAnsi="宋体"/>
          <w:caps w:val="0"/>
          <w:color w:val="auto"/>
          <w:spacing w:val="0"/>
          <w:w w:val="100"/>
          <w:kern w:val="0"/>
          <w:position w:val="0"/>
          <w:szCs w:val="21"/>
          <w:highlight w:val="none"/>
        </w:rPr>
        <w:t>供应商登录广西政府采购云平台https://www.gcy.zfcg.gxzf.gov.cn/在线申请获取采购文件（进入“项目采购”应用，在获取采购文件菜单中选择项目，申请获取采购文件）。</w:t>
      </w:r>
    </w:p>
    <w:p w14:paraId="03484B51">
      <w:pPr>
        <w:keepNext w:val="0"/>
        <w:keepLines w:val="0"/>
        <w:pageBreakBefore w:val="0"/>
        <w:widowControl w:val="0"/>
        <w:kinsoku/>
        <w:wordWrap/>
        <w:overflowPunct/>
        <w:topLinePunct w:val="0"/>
        <w:autoSpaceDE/>
        <w:autoSpaceDN/>
        <w:bidi w:val="0"/>
        <w:adjustRightInd/>
        <w:snapToGrid/>
        <w:spacing w:line="480" w:lineRule="exact"/>
        <w:ind w:firstLine="420" w:firstLineChars="200"/>
        <w:textAlignment w:val="auto"/>
        <w:rPr>
          <w:rFonts w:ascii="宋体" w:hAnsi="宋体" w:cs="宋体"/>
          <w:caps w:val="0"/>
          <w:color w:val="auto"/>
          <w:spacing w:val="0"/>
          <w:w w:val="100"/>
          <w:kern w:val="0"/>
          <w:position w:val="0"/>
          <w:szCs w:val="21"/>
          <w:highlight w:val="none"/>
        </w:rPr>
      </w:pPr>
      <w:r>
        <w:rPr>
          <w:rFonts w:hint="eastAsia" w:ascii="宋体" w:hAnsi="宋体" w:cs="宋体"/>
          <w:bCs/>
          <w:caps w:val="0"/>
          <w:color w:val="auto"/>
          <w:spacing w:val="0"/>
          <w:w w:val="100"/>
          <w:kern w:val="0"/>
          <w:position w:val="0"/>
          <w:szCs w:val="21"/>
          <w:highlight w:val="none"/>
        </w:rPr>
        <w:t>售价：</w:t>
      </w:r>
      <w:r>
        <w:rPr>
          <w:rFonts w:hint="eastAsia" w:ascii="宋体" w:hAnsi="宋体" w:cs="宋体"/>
          <w:caps w:val="0"/>
          <w:color w:val="auto"/>
          <w:spacing w:val="0"/>
          <w:w w:val="100"/>
          <w:kern w:val="0"/>
          <w:position w:val="0"/>
          <w:szCs w:val="21"/>
          <w:highlight w:val="none"/>
        </w:rPr>
        <w:t>0元。</w:t>
      </w:r>
    </w:p>
    <w:p w14:paraId="01187945">
      <w:pPr>
        <w:spacing w:line="440" w:lineRule="exact"/>
        <w:rPr>
          <w:rFonts w:hint="eastAsia" w:ascii="宋体" w:hAnsi="宋体" w:eastAsia="宋体" w:cs="宋体"/>
          <w:b/>
          <w:bCs/>
          <w:color w:val="auto"/>
          <w:szCs w:val="21"/>
        </w:rPr>
      </w:pPr>
      <w:r>
        <w:rPr>
          <w:rFonts w:hint="eastAsia" w:ascii="宋体" w:hAnsi="宋体" w:eastAsia="宋体" w:cs="宋体"/>
          <w:b/>
          <w:bCs/>
          <w:color w:val="auto"/>
          <w:szCs w:val="21"/>
        </w:rPr>
        <w:t>四、</w:t>
      </w:r>
      <w:bookmarkEnd w:id="25"/>
      <w:bookmarkEnd w:id="26"/>
      <w:r>
        <w:rPr>
          <w:rFonts w:hint="eastAsia" w:ascii="宋体" w:hAnsi="宋体" w:cs="宋体"/>
          <w:b/>
          <w:bCs/>
          <w:color w:val="auto"/>
          <w:szCs w:val="21"/>
          <w:lang w:eastAsia="zh-CN"/>
        </w:rPr>
        <w:t>磋商文件</w:t>
      </w:r>
      <w:r>
        <w:rPr>
          <w:rFonts w:hint="eastAsia" w:ascii="宋体" w:hAnsi="宋体" w:eastAsia="宋体" w:cs="宋体"/>
          <w:b/>
          <w:bCs/>
          <w:color w:val="auto"/>
          <w:szCs w:val="21"/>
        </w:rPr>
        <w:t>提交时间和地点</w:t>
      </w:r>
      <w:bookmarkEnd w:id="27"/>
      <w:bookmarkEnd w:id="28"/>
    </w:p>
    <w:p w14:paraId="2AEC1E84">
      <w:pPr>
        <w:spacing w:line="440" w:lineRule="exact"/>
        <w:ind w:firstLine="420" w:firstLineChars="200"/>
        <w:rPr>
          <w:rFonts w:hint="eastAsia" w:ascii="宋体" w:hAnsi="宋体" w:eastAsia="宋体" w:cs="宋体"/>
          <w:bCs/>
          <w:color w:val="auto"/>
          <w:szCs w:val="21"/>
        </w:rPr>
      </w:pPr>
      <w:r>
        <w:rPr>
          <w:rFonts w:hint="eastAsia" w:ascii="宋体" w:hAnsi="宋体" w:eastAsia="宋体" w:cs="宋体"/>
          <w:bCs/>
          <w:color w:val="auto"/>
          <w:szCs w:val="21"/>
        </w:rPr>
        <w:t>截止时间：</w:t>
      </w:r>
      <w:r>
        <w:rPr>
          <w:rFonts w:hint="eastAsia" w:ascii="新宋体" w:hAnsi="新宋体" w:eastAsia="新宋体" w:cs="新宋体"/>
          <w:color w:val="auto"/>
          <w:szCs w:val="21"/>
          <w:highlight w:val="none"/>
          <w:lang w:val="en-US" w:eastAsia="zh-CN"/>
        </w:rPr>
        <w:t>2026年 6 月 22  日09</w:t>
      </w:r>
      <w:r>
        <w:rPr>
          <w:rFonts w:hint="eastAsia" w:ascii="新宋体" w:hAnsi="新宋体" w:eastAsia="新宋体" w:cs="新宋体"/>
          <w:color w:val="auto"/>
          <w:szCs w:val="21"/>
          <w:highlight w:val="none"/>
        </w:rPr>
        <w:t>:30</w:t>
      </w:r>
      <w:r>
        <w:rPr>
          <w:rFonts w:hint="eastAsia" w:ascii="宋体" w:hAnsi="宋体" w:eastAsia="宋体" w:cs="宋体"/>
          <w:bCs/>
          <w:color w:val="auto"/>
          <w:szCs w:val="21"/>
        </w:rPr>
        <w:t>（北京时间）。</w:t>
      </w:r>
    </w:p>
    <w:p w14:paraId="6919C8A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地点：</w:t>
      </w:r>
      <w:r>
        <w:rPr>
          <w:rFonts w:hint="eastAsia" w:ascii="新宋体" w:hAnsi="新宋体" w:eastAsia="新宋体" w:cs="新宋体"/>
          <w:color w:val="000000" w:themeColor="text1"/>
          <w:szCs w:val="21"/>
          <w:lang w:eastAsia="zh-CN"/>
          <w14:textFill>
            <w14:solidFill>
              <w14:schemeClr w14:val="tx1"/>
            </w14:solidFill>
          </w14:textFill>
        </w:rPr>
        <w:t>通过广西政府采购云平台</w:t>
      </w:r>
      <w:r>
        <w:rPr>
          <w:rFonts w:hint="eastAsia" w:ascii="新宋体" w:hAnsi="新宋体" w:eastAsia="新宋体" w:cs="新宋体"/>
          <w:color w:val="000000" w:themeColor="text1"/>
          <w:szCs w:val="21"/>
          <w14:textFill>
            <w14:solidFill>
              <w14:schemeClr w14:val="tx1"/>
            </w14:solidFill>
          </w14:textFill>
        </w:rPr>
        <w:t>实行在线提交</w:t>
      </w:r>
      <w:r>
        <w:rPr>
          <w:rFonts w:hint="eastAsia" w:ascii="宋体" w:hAnsi="宋体" w:eastAsia="宋体" w:cs="宋体"/>
          <w:color w:val="auto"/>
          <w:szCs w:val="21"/>
        </w:rPr>
        <w:t>。</w:t>
      </w:r>
    </w:p>
    <w:p w14:paraId="7AF2EDCF">
      <w:pPr>
        <w:spacing w:line="440" w:lineRule="exact"/>
        <w:rPr>
          <w:rFonts w:hint="eastAsia" w:ascii="宋体" w:hAnsi="宋体" w:eastAsia="宋体" w:cs="宋体"/>
          <w:b/>
          <w:bCs/>
          <w:color w:val="auto"/>
          <w:szCs w:val="21"/>
        </w:rPr>
      </w:pPr>
      <w:r>
        <w:rPr>
          <w:rFonts w:hint="eastAsia" w:ascii="宋体" w:hAnsi="宋体" w:eastAsia="宋体" w:cs="宋体"/>
          <w:b/>
          <w:bCs/>
          <w:color w:val="auto"/>
          <w:szCs w:val="21"/>
        </w:rPr>
        <w:t>五、开启</w:t>
      </w:r>
    </w:p>
    <w:p w14:paraId="74371B2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时间：</w:t>
      </w:r>
      <w:r>
        <w:rPr>
          <w:rFonts w:hint="eastAsia" w:ascii="新宋体" w:hAnsi="新宋体" w:eastAsia="新宋体" w:cs="新宋体"/>
          <w:color w:val="auto"/>
          <w:szCs w:val="21"/>
          <w:highlight w:val="none"/>
          <w:lang w:val="en-US" w:eastAsia="zh-CN"/>
        </w:rPr>
        <w:t>2026年  6 月 22  日09</w:t>
      </w:r>
      <w:r>
        <w:rPr>
          <w:rFonts w:hint="eastAsia" w:ascii="新宋体" w:hAnsi="新宋体" w:eastAsia="新宋体" w:cs="新宋体"/>
          <w:color w:val="auto"/>
          <w:szCs w:val="21"/>
          <w:highlight w:val="none"/>
        </w:rPr>
        <w:t>:30</w:t>
      </w:r>
      <w:r>
        <w:rPr>
          <w:rFonts w:hint="eastAsia" w:ascii="宋体" w:hAnsi="宋体" w:eastAsia="宋体" w:cs="宋体"/>
          <w:color w:val="auto"/>
          <w:szCs w:val="21"/>
        </w:rPr>
        <w:t>（北京时间）截标后。</w:t>
      </w:r>
    </w:p>
    <w:p w14:paraId="7333FFB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宋体" w:hAnsi="宋体" w:eastAsia="宋体" w:cs="宋体"/>
          <w:color w:val="auto"/>
          <w:szCs w:val="21"/>
        </w:rPr>
      </w:pPr>
      <w:r>
        <w:rPr>
          <w:rFonts w:hint="eastAsia" w:ascii="宋体" w:hAnsi="宋体" w:eastAsia="宋体" w:cs="宋体"/>
          <w:color w:val="auto"/>
          <w:szCs w:val="21"/>
        </w:rPr>
        <w:t>地点：</w:t>
      </w:r>
      <w:r>
        <w:rPr>
          <w:rFonts w:hint="eastAsia" w:ascii="新宋体" w:hAnsi="新宋体" w:eastAsia="新宋体" w:cs="新宋体"/>
          <w:color w:val="000000" w:themeColor="text1"/>
          <w:szCs w:val="21"/>
          <w:lang w:eastAsia="zh-CN"/>
          <w14:textFill>
            <w14:solidFill>
              <w14:schemeClr w14:val="tx1"/>
            </w14:solidFill>
          </w14:textFill>
        </w:rPr>
        <w:t>通过广西政府采购云平台</w:t>
      </w:r>
      <w:r>
        <w:rPr>
          <w:rFonts w:hint="eastAsia" w:ascii="新宋体" w:hAnsi="新宋体" w:eastAsia="新宋体" w:cs="新宋体"/>
          <w:color w:val="000000" w:themeColor="text1"/>
          <w:szCs w:val="21"/>
          <w14:textFill>
            <w14:solidFill>
              <w14:schemeClr w14:val="tx1"/>
            </w14:solidFill>
          </w14:textFill>
        </w:rPr>
        <w:t>实行在线</w:t>
      </w:r>
      <w:r>
        <w:rPr>
          <w:rFonts w:hint="eastAsia" w:ascii="新宋体" w:hAnsi="新宋体" w:eastAsia="新宋体" w:cs="新宋体"/>
          <w:color w:val="000000" w:themeColor="text1"/>
          <w:szCs w:val="21"/>
          <w:lang w:val="en-US" w:eastAsia="zh-CN"/>
          <w14:textFill>
            <w14:solidFill>
              <w14:schemeClr w14:val="tx1"/>
            </w14:solidFill>
          </w14:textFill>
        </w:rPr>
        <w:t>磋商</w:t>
      </w:r>
      <w:r>
        <w:rPr>
          <w:rFonts w:hint="eastAsia" w:ascii="宋体" w:hAnsi="宋体" w:eastAsia="宋体" w:cs="宋体"/>
          <w:color w:val="auto"/>
          <w:szCs w:val="21"/>
        </w:rPr>
        <w:t>。</w:t>
      </w:r>
    </w:p>
    <w:p w14:paraId="0EFED725">
      <w:pPr>
        <w:spacing w:line="440" w:lineRule="exact"/>
        <w:rPr>
          <w:rFonts w:hint="eastAsia" w:ascii="宋体" w:hAnsi="宋体" w:eastAsia="宋体" w:cs="宋体"/>
          <w:b/>
          <w:bCs/>
          <w:color w:val="auto"/>
          <w:szCs w:val="21"/>
        </w:rPr>
      </w:pPr>
      <w:bookmarkStart w:id="29" w:name="_Toc35393625"/>
      <w:bookmarkStart w:id="30" w:name="_Toc35393794"/>
      <w:bookmarkStart w:id="31" w:name="_Toc28359084"/>
      <w:bookmarkStart w:id="32" w:name="_Toc28359007"/>
      <w:r>
        <w:rPr>
          <w:rFonts w:hint="eastAsia" w:ascii="宋体" w:hAnsi="宋体" w:eastAsia="宋体" w:cs="宋体"/>
          <w:b/>
          <w:bCs/>
          <w:color w:val="auto"/>
          <w:szCs w:val="21"/>
        </w:rPr>
        <w:t>六、公告期限</w:t>
      </w:r>
      <w:bookmarkEnd w:id="29"/>
      <w:bookmarkEnd w:id="30"/>
      <w:bookmarkEnd w:id="31"/>
      <w:bookmarkEnd w:id="32"/>
    </w:p>
    <w:p w14:paraId="79932359">
      <w:pPr>
        <w:spacing w:line="440" w:lineRule="exact"/>
        <w:ind w:firstLine="420" w:firstLineChars="200"/>
        <w:rPr>
          <w:rFonts w:hint="eastAsia" w:ascii="宋体" w:hAnsi="宋体" w:eastAsia="宋体" w:cs="宋体"/>
          <w:color w:val="auto"/>
          <w:kern w:val="0"/>
          <w:szCs w:val="21"/>
        </w:rPr>
      </w:pPr>
      <w:r>
        <w:rPr>
          <w:rFonts w:hint="eastAsia" w:ascii="宋体" w:hAnsi="宋体" w:eastAsia="宋体" w:cs="宋体"/>
          <w:color w:val="auto"/>
          <w:kern w:val="0"/>
          <w:szCs w:val="21"/>
        </w:rPr>
        <w:t>自本公告发布之日起</w:t>
      </w:r>
      <w:r>
        <w:rPr>
          <w:rFonts w:hint="eastAsia" w:ascii="宋体" w:hAnsi="宋体" w:cs="宋体"/>
          <w:color w:val="auto"/>
          <w:kern w:val="0"/>
          <w:szCs w:val="21"/>
          <w:lang w:val="en-US" w:eastAsia="zh-CN"/>
        </w:rPr>
        <w:t>5</w:t>
      </w:r>
      <w:r>
        <w:rPr>
          <w:rFonts w:hint="eastAsia" w:ascii="宋体" w:hAnsi="宋体" w:eastAsia="宋体" w:cs="宋体"/>
          <w:color w:val="auto"/>
          <w:kern w:val="0"/>
          <w:szCs w:val="21"/>
        </w:rPr>
        <w:t>个工作日。</w:t>
      </w:r>
    </w:p>
    <w:p w14:paraId="34FE06E5">
      <w:pPr>
        <w:spacing w:line="440" w:lineRule="exact"/>
        <w:rPr>
          <w:rFonts w:hint="eastAsia" w:ascii="宋体" w:hAnsi="宋体" w:eastAsia="宋体" w:cs="宋体"/>
          <w:b/>
          <w:bCs/>
          <w:color w:val="auto"/>
          <w:szCs w:val="21"/>
        </w:rPr>
      </w:pPr>
      <w:bookmarkStart w:id="33" w:name="_Toc35393795"/>
      <w:bookmarkStart w:id="34" w:name="_Toc35393626"/>
      <w:r>
        <w:rPr>
          <w:rFonts w:hint="eastAsia" w:ascii="宋体" w:hAnsi="宋体" w:eastAsia="宋体" w:cs="宋体"/>
          <w:b/>
          <w:bCs/>
          <w:color w:val="auto"/>
          <w:szCs w:val="21"/>
        </w:rPr>
        <w:t>七、其他补充事宜</w:t>
      </w:r>
      <w:bookmarkEnd w:id="33"/>
      <w:bookmarkEnd w:id="34"/>
    </w:p>
    <w:p w14:paraId="6114032C">
      <w:pPr>
        <w:pStyle w:val="69"/>
        <w:spacing w:line="480" w:lineRule="exact"/>
        <w:ind w:firstLine="420"/>
        <w:rPr>
          <w:caps w:val="0"/>
          <w:color w:val="auto"/>
          <w:spacing w:val="0"/>
          <w:w w:val="100"/>
          <w:kern w:val="0"/>
          <w:position w:val="0"/>
          <w:highlight w:val="none"/>
        </w:rPr>
      </w:pPr>
      <w:bookmarkStart w:id="35" w:name="_Toc35393627"/>
      <w:bookmarkStart w:id="36" w:name="_Toc35393796"/>
      <w:bookmarkStart w:id="37" w:name="_Toc28359008"/>
      <w:bookmarkStart w:id="38" w:name="_Toc28359085"/>
      <w:r>
        <w:rPr>
          <w:rFonts w:hint="eastAsia"/>
          <w:caps w:val="0"/>
          <w:color w:val="auto"/>
          <w:spacing w:val="0"/>
          <w:w w:val="100"/>
          <w:kern w:val="0"/>
          <w:position w:val="0"/>
          <w:highlight w:val="none"/>
        </w:rPr>
        <w:t>1.网上查询地址：中国政府采购网、广西壮族自治区政府采购网。</w:t>
      </w:r>
    </w:p>
    <w:p w14:paraId="0B53257C">
      <w:pPr>
        <w:pStyle w:val="69"/>
        <w:spacing w:line="480" w:lineRule="exact"/>
        <w:ind w:firstLine="420"/>
        <w:rPr>
          <w:rFonts w:hint="default" w:eastAsia="宋体"/>
          <w:caps w:val="0"/>
          <w:color w:val="auto"/>
          <w:spacing w:val="0"/>
          <w:w w:val="100"/>
          <w:kern w:val="0"/>
          <w:position w:val="0"/>
          <w:highlight w:val="none"/>
          <w:lang w:val="en-US" w:eastAsia="zh-CN"/>
        </w:rPr>
      </w:pPr>
      <w:r>
        <w:rPr>
          <w:rFonts w:hint="eastAsia"/>
          <w:caps w:val="0"/>
          <w:color w:val="auto"/>
          <w:spacing w:val="0"/>
          <w:w w:val="100"/>
          <w:kern w:val="0"/>
          <w:position w:val="0"/>
          <w:highlight w:val="none"/>
        </w:rPr>
        <w:t>2.本项目政府采购落实政策：</w:t>
      </w:r>
      <w:r>
        <w:rPr>
          <w:rFonts w:hint="eastAsia"/>
          <w:caps w:val="0"/>
          <w:color w:val="auto"/>
          <w:spacing w:val="0"/>
          <w:w w:val="100"/>
          <w:kern w:val="0"/>
          <w:position w:val="0"/>
          <w:highlight w:val="none"/>
          <w:lang w:val="en-US" w:eastAsia="zh-CN"/>
        </w:rPr>
        <w:t>专门面向</w:t>
      </w:r>
      <w:r>
        <w:rPr>
          <w:rFonts w:hint="eastAsia" w:ascii="宋体" w:hAnsi="宋体" w:cs="宋体"/>
          <w:color w:val="auto"/>
          <w:lang w:val="en-US" w:eastAsia="zh-CN"/>
        </w:rPr>
        <w:t>小微</w:t>
      </w:r>
      <w:r>
        <w:rPr>
          <w:rFonts w:hint="eastAsia"/>
          <w:caps w:val="0"/>
          <w:color w:val="auto"/>
          <w:spacing w:val="0"/>
          <w:w w:val="100"/>
          <w:kern w:val="0"/>
          <w:position w:val="0"/>
          <w:highlight w:val="none"/>
          <w:lang w:val="en-US" w:eastAsia="zh-CN"/>
        </w:rPr>
        <w:t>企业采购。</w:t>
      </w:r>
    </w:p>
    <w:p w14:paraId="20C801EE">
      <w:pPr>
        <w:pStyle w:val="69"/>
        <w:spacing w:line="480" w:lineRule="exact"/>
        <w:ind w:firstLine="420"/>
        <w:rPr>
          <w:caps w:val="0"/>
          <w:color w:val="auto"/>
          <w:spacing w:val="0"/>
          <w:w w:val="100"/>
          <w:kern w:val="0"/>
          <w:position w:val="0"/>
          <w:highlight w:val="none"/>
        </w:rPr>
      </w:pPr>
      <w:r>
        <w:rPr>
          <w:rFonts w:hint="eastAsia"/>
          <w:caps w:val="0"/>
          <w:color w:val="auto"/>
          <w:spacing w:val="0"/>
          <w:w w:val="100"/>
          <w:kern w:val="0"/>
          <w:position w:val="0"/>
          <w:highlight w:val="none"/>
        </w:rPr>
        <w:t>3.投标保证金：不收取投标保证金。</w:t>
      </w:r>
    </w:p>
    <w:bookmarkEnd w:id="35"/>
    <w:bookmarkEnd w:id="36"/>
    <w:bookmarkEnd w:id="37"/>
    <w:bookmarkEnd w:id="38"/>
    <w:p w14:paraId="31327C53">
      <w:pPr>
        <w:spacing w:line="440" w:lineRule="exact"/>
        <w:rPr>
          <w:rFonts w:hint="eastAsia" w:ascii="宋体" w:hAnsi="宋体" w:eastAsia="宋体" w:cs="宋体"/>
          <w:b/>
          <w:bCs/>
          <w:color w:val="auto"/>
          <w:szCs w:val="21"/>
        </w:rPr>
      </w:pPr>
      <w:r>
        <w:rPr>
          <w:rFonts w:hint="eastAsia" w:ascii="宋体" w:hAnsi="宋体" w:cs="宋体"/>
          <w:b/>
          <w:bCs/>
          <w:color w:val="auto"/>
          <w:szCs w:val="21"/>
          <w:lang w:eastAsia="zh-CN"/>
        </w:rPr>
        <w:t>八</w:t>
      </w:r>
      <w:r>
        <w:rPr>
          <w:rFonts w:hint="eastAsia" w:ascii="宋体" w:hAnsi="宋体" w:eastAsia="宋体" w:cs="宋体"/>
          <w:b/>
          <w:bCs/>
          <w:color w:val="auto"/>
          <w:szCs w:val="21"/>
        </w:rPr>
        <w:t>、凡对本次采购提出询问，请按以下方式联系。</w:t>
      </w:r>
      <w:bookmarkEnd w:id="21"/>
      <w:bookmarkEnd w:id="22"/>
      <w:bookmarkEnd w:id="23"/>
      <w:bookmarkEnd w:id="24"/>
    </w:p>
    <w:p w14:paraId="43EF60AB">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新宋体" w:hAnsi="新宋体" w:eastAsia="新宋体" w:cs="新宋体"/>
          <w:color w:val="auto"/>
          <w:sz w:val="21"/>
          <w:szCs w:val="21"/>
        </w:rPr>
      </w:pPr>
      <w:r>
        <w:rPr>
          <w:rFonts w:hint="eastAsia" w:ascii="新宋体" w:hAnsi="新宋体" w:eastAsia="新宋体" w:cs="新宋体"/>
          <w:i w:val="0"/>
          <w:iCs w:val="0"/>
          <w:caps w:val="0"/>
          <w:color w:val="auto"/>
          <w:spacing w:val="0"/>
          <w:sz w:val="21"/>
          <w:szCs w:val="21"/>
          <w:shd w:val="clear" w:fill="FFFFFF"/>
        </w:rPr>
        <w:t>1.采购人信息</w:t>
      </w:r>
    </w:p>
    <w:p w14:paraId="3467CC87">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新宋体" w:hAnsi="新宋体" w:eastAsia="新宋体" w:cs="新宋体"/>
          <w:color w:val="auto"/>
          <w:sz w:val="21"/>
          <w:szCs w:val="21"/>
        </w:rPr>
      </w:pPr>
      <w:r>
        <w:rPr>
          <w:rFonts w:hint="eastAsia" w:ascii="新宋体" w:hAnsi="新宋体" w:eastAsia="新宋体" w:cs="新宋体"/>
          <w:i w:val="0"/>
          <w:iCs w:val="0"/>
          <w:caps w:val="0"/>
          <w:color w:val="auto"/>
          <w:spacing w:val="0"/>
          <w:sz w:val="21"/>
          <w:szCs w:val="21"/>
          <w:shd w:val="clear" w:fill="FFFFFF"/>
        </w:rPr>
        <w:t>    名   称：</w:t>
      </w:r>
      <w:r>
        <w:rPr>
          <w:rFonts w:hint="eastAsia" w:ascii="新宋体" w:hAnsi="新宋体" w:eastAsia="新宋体" w:cs="新宋体"/>
          <w:i w:val="0"/>
          <w:iCs w:val="0"/>
          <w:caps w:val="0"/>
          <w:color w:val="auto"/>
          <w:spacing w:val="0"/>
          <w:sz w:val="21"/>
          <w:szCs w:val="21"/>
          <w:shd w:val="clear" w:fill="FFFFFF"/>
          <w:lang w:eastAsia="zh-CN"/>
        </w:rPr>
        <w:t>钦州市钦北区生态移民发展中心</w:t>
      </w:r>
      <w:r>
        <w:rPr>
          <w:rFonts w:hint="eastAsia" w:ascii="新宋体" w:hAnsi="新宋体" w:eastAsia="新宋体" w:cs="新宋体"/>
          <w:i w:val="0"/>
          <w:iCs w:val="0"/>
          <w:caps w:val="0"/>
          <w:color w:val="auto"/>
          <w:spacing w:val="0"/>
          <w:sz w:val="21"/>
          <w:szCs w:val="21"/>
          <w:shd w:val="clear" w:fill="FFFFFF"/>
        </w:rPr>
        <w:t> </w:t>
      </w:r>
    </w:p>
    <w:p w14:paraId="12E9E24C">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新宋体" w:hAnsi="新宋体" w:eastAsia="新宋体" w:cs="新宋体"/>
          <w:color w:val="auto"/>
          <w:sz w:val="21"/>
          <w:szCs w:val="21"/>
          <w:lang w:eastAsia="zh-CN"/>
        </w:rPr>
      </w:pPr>
      <w:r>
        <w:rPr>
          <w:rFonts w:hint="eastAsia" w:ascii="新宋体" w:hAnsi="新宋体" w:eastAsia="新宋体" w:cs="新宋体"/>
          <w:i w:val="0"/>
          <w:iCs w:val="0"/>
          <w:caps w:val="0"/>
          <w:color w:val="auto"/>
          <w:spacing w:val="0"/>
          <w:sz w:val="21"/>
          <w:szCs w:val="21"/>
          <w:shd w:val="clear" w:fill="FFFFFF"/>
        </w:rPr>
        <w:t>    地   址：</w:t>
      </w:r>
      <w:r>
        <w:rPr>
          <w:rFonts w:hint="eastAsia" w:ascii="新宋体" w:hAnsi="新宋体" w:eastAsia="新宋体" w:cs="新宋体"/>
          <w:i w:val="0"/>
          <w:iCs w:val="0"/>
          <w:caps w:val="0"/>
          <w:color w:val="auto"/>
          <w:spacing w:val="0"/>
          <w:sz w:val="21"/>
          <w:szCs w:val="21"/>
          <w:shd w:val="clear" w:fill="FFFFFF"/>
          <w:lang w:val="en-US" w:eastAsia="zh-CN"/>
        </w:rPr>
        <w:t>钦州市钦北区行政信息中心粮食局三楼</w:t>
      </w:r>
    </w:p>
    <w:p w14:paraId="0A2B3F74">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default" w:ascii="新宋体" w:hAnsi="新宋体" w:eastAsia="新宋体" w:cs="新宋体"/>
          <w:color w:val="auto"/>
          <w:sz w:val="21"/>
          <w:szCs w:val="21"/>
          <w:lang w:val="en-US" w:eastAsia="zh-CN"/>
        </w:rPr>
      </w:pPr>
      <w:r>
        <w:rPr>
          <w:rFonts w:hint="eastAsia" w:ascii="新宋体" w:hAnsi="新宋体" w:eastAsia="新宋体" w:cs="新宋体"/>
          <w:i w:val="0"/>
          <w:iCs w:val="0"/>
          <w:caps w:val="0"/>
          <w:color w:val="auto"/>
          <w:spacing w:val="0"/>
          <w:sz w:val="21"/>
          <w:szCs w:val="21"/>
          <w:shd w:val="clear" w:fill="FFFFFF"/>
        </w:rPr>
        <w:t>    项目联系人：</w:t>
      </w:r>
      <w:r>
        <w:rPr>
          <w:rFonts w:hint="eastAsia" w:ascii="新宋体" w:hAnsi="新宋体" w:eastAsia="新宋体" w:cs="新宋体"/>
          <w:i w:val="0"/>
          <w:iCs w:val="0"/>
          <w:caps w:val="0"/>
          <w:color w:val="auto"/>
          <w:spacing w:val="0"/>
          <w:sz w:val="21"/>
          <w:szCs w:val="21"/>
          <w:shd w:val="clear" w:fill="FFFFFF"/>
          <w:lang w:val="en-US" w:eastAsia="zh-CN"/>
        </w:rPr>
        <w:t>李显桥</w:t>
      </w:r>
    </w:p>
    <w:p w14:paraId="5081C337">
      <w:pPr>
        <w:pStyle w:val="2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textAlignment w:val="auto"/>
        <w:rPr>
          <w:rFonts w:hint="eastAsia" w:ascii="新宋体" w:hAnsi="新宋体" w:eastAsia="新宋体" w:cs="新宋体"/>
          <w:i w:val="0"/>
          <w:iCs w:val="0"/>
          <w:color w:val="auto"/>
          <w:sz w:val="21"/>
          <w:szCs w:val="21"/>
        </w:rPr>
      </w:pPr>
      <w:r>
        <w:rPr>
          <w:rFonts w:hint="eastAsia" w:ascii="新宋体" w:hAnsi="新宋体" w:eastAsia="新宋体" w:cs="新宋体"/>
          <w:i w:val="0"/>
          <w:iCs w:val="0"/>
          <w:caps w:val="0"/>
          <w:color w:val="auto"/>
          <w:spacing w:val="0"/>
          <w:sz w:val="21"/>
          <w:szCs w:val="21"/>
          <w:shd w:val="clear" w:fill="FFFFFF"/>
        </w:rPr>
        <w:t>    项目联系方式：0777-3685695</w:t>
      </w:r>
      <w:r>
        <w:rPr>
          <w:rFonts w:hint="eastAsia" w:ascii="新宋体" w:hAnsi="新宋体" w:eastAsia="新宋体" w:cs="新宋体"/>
          <w:i w:val="0"/>
          <w:iCs w:val="0"/>
          <w:caps w:val="0"/>
          <w:color w:val="auto"/>
          <w:spacing w:val="0"/>
          <w:sz w:val="21"/>
          <w:szCs w:val="21"/>
          <w:shd w:val="clear" w:fill="FFFFFF"/>
        </w:rPr>
        <w:br w:type="textWrapping"/>
      </w:r>
      <w:r>
        <w:rPr>
          <w:rFonts w:hint="eastAsia" w:ascii="新宋体" w:hAnsi="新宋体" w:eastAsia="新宋体" w:cs="新宋体"/>
          <w:i w:val="0"/>
          <w:iCs w:val="0"/>
          <w:caps w:val="0"/>
          <w:color w:val="auto"/>
          <w:spacing w:val="0"/>
          <w:sz w:val="21"/>
          <w:szCs w:val="21"/>
          <w:shd w:val="clear" w:fill="FFFFFF"/>
        </w:rPr>
        <w:t>2.采购代理机构信息</w:t>
      </w:r>
    </w:p>
    <w:p w14:paraId="2AB78680">
      <w:pPr>
        <w:spacing w:line="480" w:lineRule="exact"/>
        <w:ind w:firstLine="420" w:firstLineChars="200"/>
        <w:rPr>
          <w:rFonts w:hint="eastAsia" w:ascii="宋体" w:hAnsi="宋体" w:eastAsia="宋体" w:cs="宋体"/>
          <w:caps w:val="0"/>
          <w:color w:val="auto"/>
          <w:spacing w:val="0"/>
          <w:w w:val="100"/>
          <w:kern w:val="0"/>
          <w:position w:val="0"/>
          <w:szCs w:val="21"/>
          <w:highlight w:val="none"/>
          <w:lang w:eastAsia="zh-CN"/>
        </w:rPr>
      </w:pPr>
      <w:r>
        <w:rPr>
          <w:rFonts w:hint="eastAsia" w:ascii="宋体" w:hAnsi="宋体" w:cs="宋体"/>
          <w:caps w:val="0"/>
          <w:color w:val="auto"/>
          <w:spacing w:val="0"/>
          <w:w w:val="100"/>
          <w:kern w:val="0"/>
          <w:position w:val="0"/>
          <w:szCs w:val="21"/>
          <w:highlight w:val="none"/>
        </w:rPr>
        <w:t>名    称：</w:t>
      </w:r>
      <w:r>
        <w:rPr>
          <w:rFonts w:hint="eastAsia" w:ascii="宋体" w:hAnsi="宋体"/>
          <w:caps w:val="0"/>
          <w:color w:val="auto"/>
          <w:spacing w:val="0"/>
          <w:w w:val="100"/>
          <w:kern w:val="0"/>
          <w:position w:val="0"/>
          <w:szCs w:val="21"/>
          <w:highlight w:val="none"/>
          <w:lang w:eastAsia="zh-CN"/>
        </w:rPr>
        <w:t>广西恒业项目管理有限公司</w:t>
      </w:r>
    </w:p>
    <w:p w14:paraId="06D40206">
      <w:pPr>
        <w:spacing w:line="480" w:lineRule="exact"/>
        <w:ind w:firstLine="420" w:firstLineChars="200"/>
        <w:rPr>
          <w:rFonts w:ascii="宋体" w:hAnsi="宋体" w:cs="宋体"/>
          <w:caps w:val="0"/>
          <w:color w:val="auto"/>
          <w:spacing w:val="0"/>
          <w:w w:val="100"/>
          <w:kern w:val="0"/>
          <w:position w:val="0"/>
          <w:szCs w:val="21"/>
          <w:highlight w:val="none"/>
        </w:rPr>
      </w:pPr>
      <w:r>
        <w:rPr>
          <w:rFonts w:hint="eastAsia" w:ascii="宋体" w:hAnsi="宋体" w:cs="宋体"/>
          <w:caps w:val="0"/>
          <w:color w:val="auto"/>
          <w:spacing w:val="0"/>
          <w:w w:val="100"/>
          <w:kern w:val="0"/>
          <w:position w:val="0"/>
          <w:szCs w:val="21"/>
          <w:highlight w:val="none"/>
        </w:rPr>
        <w:t>地　  址：钦州市扬帆北大道20号文华名苑1栋4单元1003号房</w:t>
      </w:r>
    </w:p>
    <w:p w14:paraId="4B9FBD3A">
      <w:pPr>
        <w:spacing w:line="480" w:lineRule="exact"/>
        <w:ind w:firstLine="420" w:firstLineChars="200"/>
        <w:rPr>
          <w:rFonts w:hint="default" w:ascii="宋体" w:hAnsi="宋体" w:eastAsia="宋体" w:cs="宋体"/>
          <w:caps w:val="0"/>
          <w:color w:val="auto"/>
          <w:spacing w:val="0"/>
          <w:w w:val="100"/>
          <w:kern w:val="0"/>
          <w:position w:val="0"/>
          <w:szCs w:val="21"/>
          <w:highlight w:val="none"/>
          <w:lang w:val="en-US" w:eastAsia="zh-CN"/>
        </w:rPr>
      </w:pPr>
      <w:r>
        <w:rPr>
          <w:rFonts w:hint="eastAsia" w:ascii="宋体" w:hAnsi="宋体" w:cs="宋体"/>
          <w:caps w:val="0"/>
          <w:color w:val="auto"/>
          <w:spacing w:val="0"/>
          <w:w w:val="100"/>
          <w:kern w:val="0"/>
          <w:position w:val="0"/>
          <w:szCs w:val="21"/>
          <w:highlight w:val="none"/>
        </w:rPr>
        <w:t>联系方式：</w:t>
      </w:r>
      <w:r>
        <w:rPr>
          <w:rFonts w:hint="eastAsia" w:ascii="宋体" w:hAnsi="宋体" w:cs="宋体"/>
          <w:caps w:val="0"/>
          <w:color w:val="auto"/>
          <w:spacing w:val="0"/>
          <w:w w:val="100"/>
          <w:kern w:val="0"/>
          <w:position w:val="0"/>
          <w:szCs w:val="21"/>
          <w:highlight w:val="none"/>
          <w:lang w:val="en-US" w:eastAsia="zh-CN"/>
        </w:rPr>
        <w:t>方敏敏，0777-3602823</w:t>
      </w:r>
    </w:p>
    <w:p w14:paraId="2D2D2180">
      <w:pPr>
        <w:pageBreakBefore w:val="0"/>
        <w:kinsoku/>
        <w:wordWrap/>
        <w:overflowPunct/>
        <w:topLinePunct w:val="0"/>
        <w:autoSpaceDE/>
        <w:autoSpaceDN/>
        <w:bidi w:val="0"/>
        <w:adjustRightInd/>
        <w:snapToGrid/>
        <w:spacing w:line="300" w:lineRule="exact"/>
        <w:jc w:val="right"/>
        <w:textAlignment w:val="auto"/>
        <w:outlineLvl w:val="9"/>
        <w:rPr>
          <w:rFonts w:hint="eastAsia" w:ascii="宋体" w:hAnsi="宋体" w:eastAsia="宋体" w:cs="宋体"/>
          <w:color w:val="auto"/>
          <w:highlight w:val="none"/>
          <w:lang w:eastAsia="zh-CN"/>
        </w:rPr>
      </w:pPr>
    </w:p>
    <w:p w14:paraId="1F93AA64">
      <w:pPr>
        <w:pageBreakBefore w:val="0"/>
        <w:kinsoku/>
        <w:wordWrap/>
        <w:overflowPunct/>
        <w:topLinePunct w:val="0"/>
        <w:autoSpaceDE/>
        <w:autoSpaceDN/>
        <w:bidi w:val="0"/>
        <w:adjustRightInd/>
        <w:snapToGrid/>
        <w:spacing w:line="300" w:lineRule="exact"/>
        <w:jc w:val="right"/>
        <w:textAlignment w:val="auto"/>
        <w:outlineLvl w:val="9"/>
        <w:rPr>
          <w:rFonts w:hint="eastAsia" w:ascii="宋体" w:hAnsi="宋体" w:eastAsia="宋体" w:cs="宋体"/>
          <w:color w:val="auto"/>
          <w:highlight w:val="none"/>
          <w:lang w:eastAsia="zh-CN"/>
        </w:rPr>
      </w:pPr>
    </w:p>
    <w:p w14:paraId="7417520A">
      <w:pPr>
        <w:keepNext w:val="0"/>
        <w:keepLines w:val="0"/>
        <w:pageBreakBefore w:val="0"/>
        <w:widowControl w:val="0"/>
        <w:kinsoku/>
        <w:wordWrap/>
        <w:overflowPunct/>
        <w:topLinePunct w:val="0"/>
        <w:autoSpaceDE/>
        <w:autoSpaceDN/>
        <w:bidi w:val="0"/>
        <w:adjustRightInd/>
        <w:snapToGrid/>
        <w:spacing w:line="360" w:lineRule="auto"/>
        <w:jc w:val="right"/>
        <w:textAlignment w:val="auto"/>
        <w:outlineLvl w:val="9"/>
        <w:rPr>
          <w:rFonts w:hint="eastAsia" w:ascii="宋体" w:hAnsi="宋体" w:eastAsia="宋体" w:cs="宋体"/>
          <w:color w:val="auto"/>
          <w:sz w:val="21"/>
          <w:szCs w:val="21"/>
          <w:highlight w:val="none"/>
        </w:rPr>
      </w:pPr>
      <w:r>
        <w:rPr>
          <w:rFonts w:hint="eastAsia" w:ascii="宋体" w:hAnsi="宋体" w:cs="宋体"/>
          <w:b w:val="0"/>
          <w:bCs w:val="0"/>
          <w:color w:val="auto"/>
          <w:kern w:val="2"/>
          <w:sz w:val="21"/>
          <w:szCs w:val="21"/>
          <w:highlight w:val="none"/>
          <w:lang w:val="en-US" w:eastAsia="zh-CN" w:bidi="ar-SA"/>
        </w:rPr>
        <w:t>广西恒业项目管理有限公司</w:t>
      </w:r>
      <w:r>
        <w:rPr>
          <w:rFonts w:hint="eastAsia" w:ascii="宋体" w:hAnsi="宋体" w:eastAsia="宋体" w:cs="宋体"/>
          <w:color w:val="auto"/>
          <w:sz w:val="21"/>
          <w:szCs w:val="21"/>
          <w:highlight w:val="none"/>
        </w:rPr>
        <w:t xml:space="preserve">           </w:t>
      </w:r>
    </w:p>
    <w:p w14:paraId="08E5F257">
      <w:pPr>
        <w:pStyle w:val="64"/>
        <w:keepNext w:val="0"/>
        <w:keepLines w:val="0"/>
        <w:pageBreakBefore w:val="0"/>
        <w:widowControl w:val="0"/>
        <w:kinsoku/>
        <w:wordWrap/>
        <w:overflowPunct/>
        <w:topLinePunct w:val="0"/>
        <w:autoSpaceDE/>
        <w:autoSpaceDN/>
        <w:bidi w:val="0"/>
        <w:adjustRightInd/>
        <w:snapToGrid/>
        <w:spacing w:line="360" w:lineRule="auto"/>
        <w:jc w:val="right"/>
        <w:textAlignment w:val="auto"/>
        <w:rPr>
          <w:rFonts w:hint="eastAsia"/>
          <w:color w:val="auto"/>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 xml:space="preserve"> </w:t>
      </w:r>
      <w:r>
        <w:rPr>
          <w:rFonts w:hint="eastAsia" w:ascii="新宋体" w:hAnsi="新宋体" w:eastAsia="新宋体" w:cs="新宋体"/>
          <w:color w:val="auto"/>
          <w:szCs w:val="21"/>
          <w:highlight w:val="none"/>
          <w:lang w:val="en-US" w:eastAsia="zh-CN"/>
        </w:rPr>
        <w:t>2026年  6 月 11  日</w:t>
      </w:r>
    </w:p>
    <w:p w14:paraId="037C2F1C">
      <w:pPr>
        <w:pStyle w:val="10"/>
        <w:rPr>
          <w:rFonts w:hint="eastAsia" w:ascii="宋体" w:hAnsi="宋体" w:eastAsia="宋体" w:cs="宋体"/>
          <w:color w:val="auto"/>
        </w:rPr>
      </w:pPr>
    </w:p>
    <w:p w14:paraId="7FFDF98F">
      <w:pPr>
        <w:keepNext w:val="0"/>
        <w:keepLines w:val="0"/>
        <w:pageBreakBefore w:val="0"/>
        <w:widowControl w:val="0"/>
        <w:kinsoku/>
        <w:wordWrap/>
        <w:overflowPunct/>
        <w:topLinePunct w:val="0"/>
        <w:autoSpaceDE/>
        <w:autoSpaceDN/>
        <w:bidi w:val="0"/>
        <w:adjustRightInd w:val="0"/>
        <w:snapToGrid w:val="0"/>
        <w:spacing w:line="420" w:lineRule="exact"/>
        <w:jc w:val="center"/>
        <w:textAlignment w:val="auto"/>
        <w:outlineLvl w:val="0"/>
        <w:rPr>
          <w:rFonts w:hint="eastAsia" w:ascii="宋体" w:hAnsi="宋体" w:eastAsia="宋体" w:cs="宋体"/>
          <w:b/>
          <w:bCs/>
          <w:color w:val="auto"/>
          <w:sz w:val="36"/>
          <w:szCs w:val="36"/>
          <w:highlight w:val="none"/>
          <w:lang w:val="zh-CN" w:eastAsia="zh-CN"/>
        </w:rPr>
      </w:pPr>
      <w:bookmarkStart w:id="39" w:name="_Toc12356"/>
      <w:bookmarkStart w:id="40" w:name="_Toc1638"/>
      <w:r>
        <w:rPr>
          <w:rFonts w:hint="eastAsia" w:ascii="宋体" w:hAnsi="宋体" w:eastAsia="宋体" w:cs="宋体"/>
          <w:color w:val="auto"/>
          <w:sz w:val="32"/>
          <w:szCs w:val="32"/>
        </w:rPr>
        <w:br w:type="page"/>
      </w:r>
      <w:bookmarkStart w:id="41" w:name="_Toc3887"/>
      <w:bookmarkStart w:id="42" w:name="_Toc6941"/>
      <w:r>
        <w:rPr>
          <w:rFonts w:hint="eastAsia" w:ascii="宋体" w:hAnsi="宋体" w:eastAsia="宋体" w:cs="宋体"/>
          <w:b/>
          <w:bCs/>
          <w:color w:val="auto"/>
          <w:sz w:val="36"/>
          <w:szCs w:val="36"/>
          <w:highlight w:val="none"/>
          <w:lang w:val="zh-CN" w:eastAsia="zh-CN"/>
        </w:rPr>
        <w:t>第二章 供应商须知</w:t>
      </w:r>
      <w:bookmarkEnd w:id="39"/>
      <w:bookmarkEnd w:id="40"/>
      <w:bookmarkEnd w:id="41"/>
      <w:bookmarkEnd w:id="42"/>
    </w:p>
    <w:p w14:paraId="7B2B9C01">
      <w:pPr>
        <w:pageBreakBefore w:val="0"/>
        <w:widowControl w:val="0"/>
        <w:kinsoku/>
        <w:wordWrap/>
        <w:overflowPunct/>
        <w:topLinePunct w:val="0"/>
        <w:autoSpaceDE/>
        <w:autoSpaceDN/>
        <w:bidi w:val="0"/>
        <w:adjustRightInd w:val="0"/>
        <w:snapToGrid w:val="0"/>
        <w:spacing w:line="420" w:lineRule="exact"/>
        <w:jc w:val="center"/>
        <w:textAlignment w:val="auto"/>
        <w:rPr>
          <w:rFonts w:hint="eastAsia" w:ascii="宋体" w:hAnsi="宋体" w:eastAsia="宋体" w:cs="宋体"/>
          <w:b/>
          <w:bCs/>
          <w:color w:val="auto"/>
          <w:sz w:val="36"/>
          <w:szCs w:val="36"/>
          <w:highlight w:val="none"/>
          <w:lang w:val="zh-CN" w:eastAsia="zh-CN"/>
        </w:rPr>
      </w:pPr>
      <w:bookmarkStart w:id="43" w:name="_Toc13547"/>
      <w:bookmarkStart w:id="44" w:name="_Toc8282"/>
      <w:bookmarkStart w:id="45" w:name="_Toc25063"/>
      <w:bookmarkStart w:id="46" w:name="_Toc9508"/>
      <w:r>
        <w:rPr>
          <w:rFonts w:hint="eastAsia" w:ascii="宋体" w:hAnsi="宋体" w:eastAsia="宋体" w:cs="宋体"/>
          <w:b/>
          <w:bCs/>
          <w:color w:val="auto"/>
          <w:sz w:val="36"/>
          <w:szCs w:val="36"/>
          <w:highlight w:val="none"/>
          <w:lang w:val="zh-CN" w:eastAsia="zh-CN"/>
        </w:rPr>
        <w:t>供 应 商 须 知 前 附 表</w:t>
      </w:r>
      <w:bookmarkEnd w:id="43"/>
      <w:bookmarkEnd w:id="44"/>
      <w:bookmarkEnd w:id="45"/>
      <w:bookmarkEnd w:id="46"/>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8"/>
        <w:gridCol w:w="887"/>
        <w:gridCol w:w="1656"/>
        <w:gridCol w:w="6399"/>
      </w:tblGrid>
      <w:tr w14:paraId="67696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624" w:type="dxa"/>
            <w:vAlign w:val="center"/>
          </w:tcPr>
          <w:p w14:paraId="1AE80C81">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序号</w:t>
            </w:r>
          </w:p>
        </w:tc>
        <w:tc>
          <w:tcPr>
            <w:tcW w:w="882" w:type="dxa"/>
            <w:vAlign w:val="center"/>
          </w:tcPr>
          <w:p w14:paraId="5BC0CD28">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条款号</w:t>
            </w:r>
          </w:p>
        </w:tc>
        <w:tc>
          <w:tcPr>
            <w:tcW w:w="1646" w:type="dxa"/>
            <w:vAlign w:val="center"/>
          </w:tcPr>
          <w:p w14:paraId="7EE504B5">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条款名称</w:t>
            </w:r>
          </w:p>
        </w:tc>
        <w:tc>
          <w:tcPr>
            <w:tcW w:w="6362" w:type="dxa"/>
            <w:vAlign w:val="center"/>
          </w:tcPr>
          <w:p w14:paraId="6EB7A1E3">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内容、要求</w:t>
            </w:r>
          </w:p>
        </w:tc>
      </w:tr>
      <w:tr w14:paraId="044B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24" w:type="dxa"/>
            <w:vAlign w:val="center"/>
          </w:tcPr>
          <w:p w14:paraId="6AA53BC0">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w:t>
            </w:r>
          </w:p>
        </w:tc>
        <w:tc>
          <w:tcPr>
            <w:tcW w:w="882" w:type="dxa"/>
            <w:vAlign w:val="center"/>
          </w:tcPr>
          <w:p w14:paraId="1790ACC6">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1.1</w:t>
            </w:r>
          </w:p>
        </w:tc>
        <w:tc>
          <w:tcPr>
            <w:tcW w:w="1646" w:type="dxa"/>
            <w:vAlign w:val="center"/>
          </w:tcPr>
          <w:p w14:paraId="6F0CBEF8">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项目名称及项目编号</w:t>
            </w:r>
          </w:p>
        </w:tc>
        <w:tc>
          <w:tcPr>
            <w:tcW w:w="6362" w:type="dxa"/>
            <w:vAlign w:val="center"/>
          </w:tcPr>
          <w:p w14:paraId="3CF4DA3A">
            <w:pPr>
              <w:spacing w:line="440" w:lineRule="exact"/>
              <w:rPr>
                <w:rFonts w:hint="eastAsia" w:ascii="宋体" w:hAnsi="宋体" w:eastAsia="宋体" w:cs="宋体"/>
                <w:color w:val="auto"/>
                <w:szCs w:val="21"/>
              </w:rPr>
            </w:pPr>
            <w:r>
              <w:rPr>
                <w:rFonts w:hint="eastAsia" w:ascii="宋体" w:hAnsi="宋体" w:eastAsia="宋体" w:cs="宋体"/>
                <w:color w:val="auto"/>
                <w:szCs w:val="21"/>
              </w:rPr>
              <w:t>项目名称：</w:t>
            </w:r>
            <w:r>
              <w:rPr>
                <w:rFonts w:hint="eastAsia" w:ascii="宋体" w:hAnsi="宋体" w:cs="宋体"/>
                <w:color w:val="auto"/>
                <w:lang w:val="zh-CN" w:eastAsia="zh-CN"/>
              </w:rPr>
              <w:t>钦北区小董镇西陵村委西陵村道路硬化项目</w:t>
            </w:r>
            <w:r>
              <w:rPr>
                <w:rFonts w:hint="eastAsia" w:ascii="宋体" w:hAnsi="宋体" w:eastAsia="宋体" w:cs="宋体"/>
                <w:color w:val="auto"/>
                <w:szCs w:val="21"/>
              </w:rPr>
              <w:t xml:space="preserve">      </w:t>
            </w:r>
          </w:p>
          <w:p w14:paraId="154EA924">
            <w:pPr>
              <w:spacing w:line="440" w:lineRule="exact"/>
              <w:rPr>
                <w:rFonts w:hint="eastAsia" w:ascii="宋体" w:hAnsi="宋体" w:eastAsia="宋体" w:cs="宋体"/>
                <w:color w:val="auto"/>
                <w:lang w:eastAsia="zh-CN"/>
              </w:rPr>
            </w:pPr>
            <w:r>
              <w:rPr>
                <w:rFonts w:hint="eastAsia" w:ascii="宋体" w:hAnsi="宋体" w:eastAsia="宋体" w:cs="宋体"/>
                <w:color w:val="auto"/>
                <w:szCs w:val="21"/>
              </w:rPr>
              <w:t>项目编号：QZZC2026-C2-030016-GXHY</w:t>
            </w:r>
            <w:r>
              <w:rPr>
                <w:rFonts w:hint="eastAsia" w:ascii="宋体" w:hAnsi="宋体" w:cs="宋体"/>
                <w:color w:val="auto"/>
                <w:szCs w:val="21"/>
                <w:lang w:eastAsia="zh-CN"/>
              </w:rPr>
              <w:t xml:space="preserve">    </w:t>
            </w:r>
          </w:p>
        </w:tc>
      </w:tr>
      <w:tr w14:paraId="21D70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24" w:type="dxa"/>
            <w:vAlign w:val="center"/>
          </w:tcPr>
          <w:p w14:paraId="25ED6D26">
            <w:pPr>
              <w:spacing w:line="440" w:lineRule="exact"/>
              <w:jc w:val="center"/>
              <w:rPr>
                <w:rFonts w:hint="eastAsia" w:ascii="宋体" w:hAnsi="宋体" w:eastAsia="宋体" w:cs="宋体"/>
                <w:color w:val="auto"/>
                <w:szCs w:val="21"/>
              </w:rPr>
            </w:pPr>
          </w:p>
        </w:tc>
        <w:tc>
          <w:tcPr>
            <w:tcW w:w="882" w:type="dxa"/>
            <w:vAlign w:val="center"/>
          </w:tcPr>
          <w:p w14:paraId="3FF4DC31">
            <w:pPr>
              <w:spacing w:line="44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1.2</w:t>
            </w:r>
          </w:p>
        </w:tc>
        <w:tc>
          <w:tcPr>
            <w:tcW w:w="1646" w:type="dxa"/>
            <w:vAlign w:val="center"/>
          </w:tcPr>
          <w:p w14:paraId="0E33CF4F">
            <w:pPr>
              <w:spacing w:line="440" w:lineRule="exact"/>
              <w:jc w:val="center"/>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工期</w:t>
            </w:r>
          </w:p>
        </w:tc>
        <w:tc>
          <w:tcPr>
            <w:tcW w:w="6362" w:type="dxa"/>
            <w:vAlign w:val="center"/>
          </w:tcPr>
          <w:p w14:paraId="2D5ED346">
            <w:pPr>
              <w:spacing w:line="440" w:lineRule="exact"/>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自合同签订之日起90个日历天</w:t>
            </w:r>
          </w:p>
        </w:tc>
      </w:tr>
      <w:tr w14:paraId="66909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24" w:type="dxa"/>
            <w:vAlign w:val="center"/>
          </w:tcPr>
          <w:p w14:paraId="370F1D43">
            <w:pPr>
              <w:spacing w:line="440" w:lineRule="exact"/>
              <w:jc w:val="center"/>
              <w:rPr>
                <w:rFonts w:hint="eastAsia" w:ascii="宋体" w:hAnsi="宋体" w:eastAsia="宋体" w:cs="宋体"/>
                <w:color w:val="auto"/>
                <w:szCs w:val="21"/>
              </w:rPr>
            </w:pPr>
          </w:p>
        </w:tc>
        <w:tc>
          <w:tcPr>
            <w:tcW w:w="882" w:type="dxa"/>
            <w:vAlign w:val="center"/>
          </w:tcPr>
          <w:p w14:paraId="03B8DA85">
            <w:pPr>
              <w:spacing w:line="440" w:lineRule="exact"/>
              <w:jc w:val="center"/>
              <w:rPr>
                <w:rFonts w:hint="default" w:ascii="宋体" w:hAnsi="宋体" w:cs="宋体"/>
                <w:color w:val="auto"/>
                <w:szCs w:val="21"/>
                <w:lang w:val="en-US" w:eastAsia="zh-CN"/>
              </w:rPr>
            </w:pPr>
            <w:r>
              <w:rPr>
                <w:rFonts w:hint="eastAsia" w:ascii="宋体" w:hAnsi="宋体" w:cs="宋体"/>
                <w:color w:val="auto"/>
                <w:szCs w:val="21"/>
                <w:lang w:val="en-US" w:eastAsia="zh-CN"/>
              </w:rPr>
              <w:t>1.3</w:t>
            </w:r>
          </w:p>
        </w:tc>
        <w:tc>
          <w:tcPr>
            <w:tcW w:w="1646" w:type="dxa"/>
            <w:vAlign w:val="center"/>
          </w:tcPr>
          <w:p w14:paraId="17DEF648">
            <w:pPr>
              <w:spacing w:line="440" w:lineRule="exact"/>
              <w:jc w:val="center"/>
              <w:rPr>
                <w:rFonts w:hint="eastAsia" w:ascii="宋体" w:hAnsi="宋体" w:cs="宋体"/>
                <w:color w:val="auto"/>
                <w:szCs w:val="21"/>
                <w:lang w:val="en-US" w:eastAsia="zh-CN"/>
              </w:rPr>
            </w:pPr>
            <w:r>
              <w:rPr>
                <w:rFonts w:hint="eastAsia" w:ascii="宋体" w:hAnsi="宋体" w:cs="宋体"/>
                <w:color w:val="auto"/>
                <w:szCs w:val="21"/>
                <w:lang w:val="en-US" w:eastAsia="zh-CN"/>
              </w:rPr>
              <w:t>质量要求</w:t>
            </w:r>
          </w:p>
        </w:tc>
        <w:tc>
          <w:tcPr>
            <w:tcW w:w="6362" w:type="dxa"/>
            <w:vAlign w:val="center"/>
          </w:tcPr>
          <w:p w14:paraId="2213A371">
            <w:pPr>
              <w:spacing w:line="440" w:lineRule="exact"/>
              <w:rPr>
                <w:rFonts w:hint="eastAsia" w:ascii="宋体" w:hAnsi="宋体" w:cs="宋体"/>
                <w:color w:val="auto"/>
                <w:szCs w:val="21"/>
                <w:lang w:val="en-US" w:eastAsia="zh-CN"/>
              </w:rPr>
            </w:pPr>
            <w:r>
              <w:rPr>
                <w:rFonts w:hAnsi="宋体" w:eastAsia="宋体"/>
              </w:rPr>
              <w:t>符合国家验收合格标准。</w:t>
            </w:r>
          </w:p>
        </w:tc>
      </w:tr>
      <w:tr w14:paraId="32B83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624" w:type="dxa"/>
            <w:vAlign w:val="center"/>
          </w:tcPr>
          <w:p w14:paraId="6278291C">
            <w:pPr>
              <w:spacing w:line="440" w:lineRule="exact"/>
              <w:jc w:val="center"/>
              <w:rPr>
                <w:rFonts w:hint="eastAsia" w:ascii="宋体" w:hAnsi="宋体" w:eastAsia="宋体" w:cs="宋体"/>
                <w:color w:val="auto"/>
                <w:szCs w:val="21"/>
              </w:rPr>
            </w:pPr>
          </w:p>
        </w:tc>
        <w:tc>
          <w:tcPr>
            <w:tcW w:w="882" w:type="dxa"/>
            <w:vAlign w:val="center"/>
          </w:tcPr>
          <w:p w14:paraId="3A753FEF">
            <w:pPr>
              <w:spacing w:line="440" w:lineRule="exact"/>
              <w:jc w:val="center"/>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1.4</w:t>
            </w:r>
          </w:p>
        </w:tc>
        <w:tc>
          <w:tcPr>
            <w:tcW w:w="1646" w:type="dxa"/>
            <w:vAlign w:val="center"/>
          </w:tcPr>
          <w:p w14:paraId="0104A53E">
            <w:pPr>
              <w:spacing w:line="440" w:lineRule="exact"/>
              <w:jc w:val="center"/>
              <w:rPr>
                <w:rFonts w:hint="eastAsia" w:ascii="宋体" w:hAnsi="宋体" w:eastAsia="宋体" w:cs="宋体"/>
                <w:color w:val="auto"/>
                <w:kern w:val="2"/>
                <w:sz w:val="21"/>
                <w:szCs w:val="21"/>
                <w:lang w:val="en-US" w:eastAsia="zh-CN" w:bidi="ar-SA"/>
              </w:rPr>
            </w:pPr>
            <w:r>
              <w:rPr>
                <w:rFonts w:hint="eastAsia" w:ascii="宋体" w:hAnsi="宋体" w:cs="宋体"/>
                <w:color w:val="auto"/>
                <w:szCs w:val="21"/>
                <w:lang w:val="en-US" w:eastAsia="zh-CN"/>
              </w:rPr>
              <w:t>磋商内容</w:t>
            </w:r>
          </w:p>
        </w:tc>
        <w:tc>
          <w:tcPr>
            <w:tcW w:w="6362" w:type="dxa"/>
            <w:vAlign w:val="center"/>
          </w:tcPr>
          <w:p w14:paraId="71E570CF">
            <w:pPr>
              <w:spacing w:line="440" w:lineRule="exact"/>
              <w:rPr>
                <w:rFonts w:hint="eastAsia" w:ascii="宋体" w:hAnsi="宋体" w:eastAsia="宋体" w:cs="宋体"/>
                <w:color w:val="auto"/>
                <w:kern w:val="2"/>
                <w:sz w:val="21"/>
                <w:szCs w:val="21"/>
                <w:lang w:val="en-US" w:eastAsia="zh-CN" w:bidi="ar-SA"/>
              </w:rPr>
            </w:pPr>
            <w:r>
              <w:rPr>
                <w:szCs w:val="21"/>
              </w:rPr>
              <w:t>具体详见工程量清单及图纸。</w:t>
            </w:r>
          </w:p>
        </w:tc>
      </w:tr>
      <w:tr w14:paraId="7CFD0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24" w:type="dxa"/>
            <w:vAlign w:val="center"/>
          </w:tcPr>
          <w:p w14:paraId="396194B5">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2</w:t>
            </w:r>
          </w:p>
        </w:tc>
        <w:tc>
          <w:tcPr>
            <w:tcW w:w="882" w:type="dxa"/>
            <w:vAlign w:val="center"/>
          </w:tcPr>
          <w:p w14:paraId="6A894056">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1646" w:type="dxa"/>
            <w:vAlign w:val="center"/>
          </w:tcPr>
          <w:p w14:paraId="7A303623">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供应商资格</w:t>
            </w:r>
            <w:bookmarkStart w:id="621" w:name="_GoBack"/>
            <w:bookmarkEnd w:id="621"/>
          </w:p>
        </w:tc>
        <w:tc>
          <w:tcPr>
            <w:tcW w:w="6362" w:type="dxa"/>
            <w:vAlign w:val="center"/>
          </w:tcPr>
          <w:p w14:paraId="1EAD8300">
            <w:pPr>
              <w:spacing w:line="440" w:lineRule="exact"/>
              <w:rPr>
                <w:rFonts w:hint="eastAsia" w:ascii="宋体" w:hAnsi="宋体" w:eastAsia="宋体" w:cs="宋体"/>
                <w:color w:val="auto"/>
              </w:rPr>
            </w:pPr>
            <w:r>
              <w:rPr>
                <w:rFonts w:hint="eastAsia" w:ascii="宋体" w:hAnsi="宋体" w:eastAsia="宋体" w:cs="宋体"/>
                <w:color w:val="auto"/>
              </w:rPr>
              <w:t>1.满足《中华人民共和国政府采购法》第二十二条规定；</w:t>
            </w:r>
          </w:p>
          <w:p w14:paraId="34584E77">
            <w:pPr>
              <w:spacing w:line="440" w:lineRule="exact"/>
              <w:rPr>
                <w:rFonts w:hint="eastAsia" w:ascii="宋体" w:hAnsi="宋体" w:eastAsia="宋体" w:cs="宋体"/>
                <w:color w:val="auto"/>
              </w:rPr>
            </w:pPr>
            <w:r>
              <w:rPr>
                <w:rFonts w:hint="eastAsia" w:ascii="宋体" w:hAnsi="宋体" w:eastAsia="宋体" w:cs="宋体"/>
                <w:color w:val="auto"/>
              </w:rPr>
              <w:t>2.落实政府采购政策需满足的资格要求：本项目为专门面向</w:t>
            </w:r>
            <w:r>
              <w:rPr>
                <w:rFonts w:hint="eastAsia" w:ascii="宋体" w:hAnsi="宋体" w:cs="宋体"/>
                <w:color w:val="auto"/>
                <w:lang w:val="en-US" w:eastAsia="zh-CN"/>
              </w:rPr>
              <w:t>小微</w:t>
            </w:r>
            <w:r>
              <w:rPr>
                <w:rFonts w:hint="eastAsia" w:ascii="宋体" w:hAnsi="宋体" w:eastAsia="宋体" w:cs="宋体"/>
                <w:color w:val="auto"/>
              </w:rPr>
              <w:t>企业采购的项目</w:t>
            </w:r>
            <w:r>
              <w:rPr>
                <w:rFonts w:hint="eastAsia" w:ascii="宋体" w:hAnsi="宋体" w:cs="宋体"/>
                <w:color w:val="auto"/>
                <w:lang w:eastAsia="zh-CN"/>
              </w:rPr>
              <w:t>。</w:t>
            </w:r>
            <w:r>
              <w:rPr>
                <w:rFonts w:hint="eastAsia" w:ascii="宋体" w:hAnsi="宋体" w:eastAsia="宋体" w:cs="宋体"/>
                <w:color w:val="auto"/>
              </w:rPr>
              <w:t> </w:t>
            </w:r>
          </w:p>
          <w:p w14:paraId="6D1F4693">
            <w:pPr>
              <w:spacing w:line="440" w:lineRule="exact"/>
              <w:rPr>
                <w:rFonts w:hint="eastAsia" w:ascii="宋体" w:hAnsi="宋体" w:eastAsia="宋体" w:cs="宋体"/>
                <w:color w:val="FF0000"/>
              </w:rPr>
            </w:pPr>
            <w:r>
              <w:rPr>
                <w:rFonts w:hint="eastAsia" w:ascii="宋体" w:hAnsi="宋体" w:eastAsia="宋体" w:cs="宋体"/>
                <w:color w:val="auto"/>
              </w:rPr>
              <w:t>3.本项目的特定资格要求：</w:t>
            </w:r>
            <w:r>
              <w:rPr>
                <w:rFonts w:hint="eastAsia" w:ascii="宋体" w:hAnsi="宋体" w:cs="宋体"/>
                <w:color w:val="auto"/>
                <w:lang w:eastAsia="zh-CN"/>
              </w:rPr>
              <w:t>（</w:t>
            </w:r>
            <w:r>
              <w:rPr>
                <w:rFonts w:hint="eastAsia" w:ascii="宋体" w:hAnsi="宋体" w:cs="宋体"/>
                <w:color w:val="auto"/>
                <w:lang w:val="en-US" w:eastAsia="zh-CN"/>
              </w:rPr>
              <w:t>1）</w:t>
            </w:r>
            <w:r>
              <w:rPr>
                <w:rFonts w:hint="eastAsia" w:ascii="新宋体" w:hAnsi="新宋体" w:eastAsia="新宋体" w:cs="新宋体"/>
                <w:color w:val="auto"/>
                <w:sz w:val="21"/>
                <w:szCs w:val="21"/>
              </w:rPr>
              <w:t>具有独立法人资格，具备</w:t>
            </w:r>
            <w:r>
              <w:rPr>
                <w:rFonts w:hint="eastAsia" w:ascii="新宋体" w:hAnsi="新宋体" w:eastAsia="新宋体" w:cs="新宋体"/>
                <w:color w:val="auto"/>
                <w:sz w:val="21"/>
                <w:szCs w:val="21"/>
                <w:lang w:val="en-US" w:eastAsia="zh-CN"/>
              </w:rPr>
              <w:t>公路工程</w:t>
            </w:r>
            <w:r>
              <w:rPr>
                <w:rFonts w:hint="eastAsia" w:ascii="新宋体" w:hAnsi="新宋体" w:eastAsia="新宋体" w:cs="新宋体"/>
                <w:color w:val="0000FF"/>
                <w:sz w:val="21"/>
                <w:szCs w:val="21"/>
                <w:highlight w:val="white"/>
                <w:lang w:eastAsia="zh-CN"/>
              </w:rPr>
              <w:t>三级</w:t>
            </w:r>
            <w:r>
              <w:rPr>
                <w:rFonts w:hint="eastAsia" w:ascii="新宋体" w:hAnsi="新宋体" w:eastAsia="新宋体" w:cs="新宋体"/>
                <w:color w:val="auto"/>
                <w:sz w:val="21"/>
                <w:szCs w:val="21"/>
              </w:rPr>
              <w:t>以上资质（含</w:t>
            </w:r>
            <w:r>
              <w:rPr>
                <w:rFonts w:hint="eastAsia" w:ascii="新宋体" w:hAnsi="新宋体" w:eastAsia="新宋体" w:cs="新宋体"/>
                <w:color w:val="auto"/>
                <w:sz w:val="21"/>
                <w:szCs w:val="21"/>
                <w:lang w:val="en-US" w:eastAsia="zh-CN"/>
              </w:rPr>
              <w:t>三</w:t>
            </w:r>
            <w:r>
              <w:rPr>
                <w:rFonts w:hint="eastAsia" w:ascii="新宋体" w:hAnsi="新宋体" w:eastAsia="新宋体" w:cs="新宋体"/>
                <w:color w:val="auto"/>
                <w:sz w:val="21"/>
                <w:szCs w:val="21"/>
              </w:rPr>
              <w:t>级），并在人员、设备、资金等方面具有相应的施工能力，其中，投标人拟派项目经理须具备</w:t>
            </w:r>
            <w:r>
              <w:rPr>
                <w:rFonts w:hint="eastAsia" w:ascii="新宋体" w:hAnsi="新宋体" w:eastAsia="新宋体" w:cs="新宋体"/>
                <w:color w:val="0000FF"/>
                <w:sz w:val="21"/>
                <w:szCs w:val="21"/>
                <w:highlight w:val="white"/>
              </w:rPr>
              <w:t>[</w:t>
            </w:r>
            <w:r>
              <w:rPr>
                <w:rFonts w:hint="eastAsia" w:ascii="新宋体" w:hAnsi="新宋体" w:eastAsia="新宋体" w:cs="新宋体"/>
                <w:color w:val="auto"/>
                <w:sz w:val="21"/>
                <w:szCs w:val="21"/>
                <w:lang w:val="en-US" w:eastAsia="zh-CN"/>
              </w:rPr>
              <w:t>公路工程</w:t>
            </w:r>
            <w:r>
              <w:rPr>
                <w:rFonts w:hint="eastAsia" w:ascii="新宋体" w:hAnsi="新宋体" w:eastAsia="新宋体" w:cs="新宋体"/>
                <w:color w:val="0000FF"/>
                <w:sz w:val="21"/>
                <w:szCs w:val="21"/>
                <w:highlight w:val="white"/>
              </w:rPr>
              <w:t>二级](含)以上</w:t>
            </w:r>
            <w:r>
              <w:rPr>
                <w:rFonts w:hint="eastAsia" w:ascii="新宋体" w:hAnsi="新宋体" w:eastAsia="新宋体" w:cs="新宋体"/>
                <w:sz w:val="21"/>
                <w:szCs w:val="21"/>
                <w:highlight w:val="white"/>
              </w:rPr>
              <w:t>注册建造师执业资格，具备安全生产考核合格证书（B类）</w:t>
            </w:r>
            <w:r>
              <w:rPr>
                <w:rFonts w:hint="eastAsia"/>
                <w:highlight w:val="white"/>
              </w:rPr>
              <w:t>。</w:t>
            </w:r>
          </w:p>
          <w:p w14:paraId="34FBF7EB">
            <w:pPr>
              <w:spacing w:line="440" w:lineRule="exact"/>
              <w:rPr>
                <w:rFonts w:hint="eastAsia" w:ascii="宋体" w:hAnsi="宋体" w:eastAsia="宋体" w:cs="宋体"/>
                <w:color w:val="auto"/>
              </w:rPr>
            </w:pPr>
            <w:r>
              <w:rPr>
                <w:rFonts w:hint="eastAsia" w:ascii="宋体" w:hAnsi="宋体" w:cs="宋体"/>
                <w:color w:val="auto"/>
                <w:lang w:eastAsia="zh-CN"/>
              </w:rPr>
              <w:t>（</w:t>
            </w:r>
            <w:r>
              <w:rPr>
                <w:rFonts w:hint="eastAsia" w:ascii="宋体" w:hAnsi="宋体" w:cs="宋体"/>
                <w:color w:val="auto"/>
                <w:lang w:val="en-US" w:eastAsia="zh-CN"/>
              </w:rPr>
              <w:t>2）</w:t>
            </w:r>
            <w:r>
              <w:rPr>
                <w:rFonts w:hint="eastAsia" w:ascii="宋体" w:hAnsi="宋体" w:eastAsia="宋体" w:cs="宋体"/>
                <w:color w:val="auto"/>
              </w:rPr>
              <w:t>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p>
          <w:p w14:paraId="3F59DBD1">
            <w:pPr>
              <w:spacing w:line="440" w:lineRule="exact"/>
              <w:rPr>
                <w:rFonts w:hint="eastAsia" w:ascii="宋体" w:hAnsi="宋体" w:eastAsia="宋体" w:cs="宋体"/>
                <w:color w:val="auto"/>
              </w:rPr>
            </w:pPr>
            <w:r>
              <w:rPr>
                <w:rFonts w:hint="eastAsia" w:ascii="宋体" w:hAnsi="宋体" w:cs="宋体"/>
                <w:color w:val="auto"/>
                <w:lang w:eastAsia="zh-CN"/>
              </w:rPr>
              <w:t>（</w:t>
            </w:r>
            <w:r>
              <w:rPr>
                <w:rFonts w:hint="eastAsia" w:ascii="宋体" w:hAnsi="宋体" w:cs="宋体"/>
                <w:color w:val="auto"/>
                <w:lang w:val="en-US" w:eastAsia="zh-CN"/>
              </w:rPr>
              <w:t>3</w:t>
            </w:r>
            <w:r>
              <w:rPr>
                <w:rFonts w:hint="eastAsia" w:ascii="宋体" w:hAnsi="宋体" w:cs="宋体"/>
                <w:color w:val="auto"/>
                <w:lang w:eastAsia="zh-CN"/>
              </w:rPr>
              <w:t>）</w:t>
            </w:r>
            <w:r>
              <w:rPr>
                <w:rFonts w:hint="eastAsia" w:ascii="宋体" w:hAnsi="宋体" w:eastAsia="宋体" w:cs="宋体"/>
                <w:color w:val="auto"/>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5A2EB5D9">
            <w:pPr>
              <w:spacing w:line="440" w:lineRule="exact"/>
              <w:rPr>
                <w:rFonts w:hint="eastAsia" w:ascii="宋体" w:hAnsi="宋体" w:eastAsia="宋体" w:cs="宋体"/>
                <w:color w:val="auto"/>
              </w:rPr>
            </w:pPr>
            <w:r>
              <w:rPr>
                <w:rFonts w:hint="eastAsia" w:ascii="宋体" w:hAnsi="宋体" w:cs="宋体"/>
                <w:color w:val="auto"/>
                <w:lang w:val="en-US" w:eastAsia="zh-CN"/>
              </w:rPr>
              <w:t>4.</w:t>
            </w:r>
            <w:r>
              <w:rPr>
                <w:rFonts w:hint="eastAsia" w:ascii="宋体" w:hAnsi="宋体" w:eastAsia="宋体" w:cs="宋体"/>
                <w:color w:val="auto"/>
              </w:rPr>
              <w:t>本项目不接受联合体磋商。</w:t>
            </w:r>
          </w:p>
        </w:tc>
      </w:tr>
      <w:tr w14:paraId="3A68F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624" w:type="dxa"/>
            <w:vAlign w:val="center"/>
          </w:tcPr>
          <w:p w14:paraId="118C17A4">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3</w:t>
            </w:r>
          </w:p>
        </w:tc>
        <w:tc>
          <w:tcPr>
            <w:tcW w:w="882" w:type="dxa"/>
            <w:vAlign w:val="center"/>
          </w:tcPr>
          <w:p w14:paraId="6E70B8D8">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1646" w:type="dxa"/>
            <w:vAlign w:val="center"/>
          </w:tcPr>
          <w:p w14:paraId="4D448CDB">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磋商费用</w:t>
            </w:r>
          </w:p>
        </w:tc>
        <w:tc>
          <w:tcPr>
            <w:tcW w:w="6362" w:type="dxa"/>
            <w:vAlign w:val="center"/>
          </w:tcPr>
          <w:p w14:paraId="61201922">
            <w:pPr>
              <w:spacing w:line="440" w:lineRule="exact"/>
              <w:rPr>
                <w:rFonts w:hint="eastAsia" w:ascii="宋体" w:hAnsi="宋体" w:eastAsia="宋体" w:cs="宋体"/>
                <w:color w:val="auto"/>
                <w:szCs w:val="21"/>
              </w:rPr>
            </w:pPr>
            <w:r>
              <w:rPr>
                <w:rFonts w:hint="eastAsia" w:ascii="宋体" w:hAnsi="宋体" w:eastAsia="宋体" w:cs="宋体"/>
                <w:color w:val="auto"/>
                <w:szCs w:val="21"/>
              </w:rPr>
              <w:t xml:space="preserve">不论磋商结果如何，供应商均应自行承担所有与磋商有关的全部费用。 </w:t>
            </w:r>
          </w:p>
        </w:tc>
      </w:tr>
      <w:tr w14:paraId="030E0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24" w:type="dxa"/>
            <w:vAlign w:val="center"/>
          </w:tcPr>
          <w:p w14:paraId="3D96095C">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4</w:t>
            </w:r>
          </w:p>
        </w:tc>
        <w:tc>
          <w:tcPr>
            <w:tcW w:w="882" w:type="dxa"/>
            <w:vAlign w:val="center"/>
          </w:tcPr>
          <w:p w14:paraId="2238C2CE">
            <w:pPr>
              <w:spacing w:line="440" w:lineRule="exact"/>
              <w:jc w:val="center"/>
              <w:rPr>
                <w:rFonts w:hint="eastAsia" w:ascii="宋体" w:hAnsi="宋体" w:eastAsia="宋体" w:cs="宋体"/>
                <w:color w:val="auto"/>
                <w:position w:val="-2"/>
                <w:szCs w:val="21"/>
              </w:rPr>
            </w:pPr>
            <w:r>
              <w:rPr>
                <w:rFonts w:hint="eastAsia" w:ascii="宋体" w:hAnsi="宋体" w:eastAsia="宋体" w:cs="宋体"/>
                <w:color w:val="auto"/>
                <w:position w:val="-2"/>
                <w:szCs w:val="21"/>
              </w:rPr>
              <w:t>13</w:t>
            </w:r>
          </w:p>
        </w:tc>
        <w:tc>
          <w:tcPr>
            <w:tcW w:w="1646" w:type="dxa"/>
            <w:vAlign w:val="center"/>
          </w:tcPr>
          <w:p w14:paraId="3EDDAC52">
            <w:pPr>
              <w:spacing w:line="440" w:lineRule="exact"/>
              <w:jc w:val="center"/>
              <w:rPr>
                <w:rFonts w:hint="eastAsia" w:ascii="宋体" w:hAnsi="宋体" w:eastAsia="宋体" w:cs="宋体"/>
                <w:color w:val="auto"/>
                <w:position w:val="-2"/>
                <w:szCs w:val="21"/>
              </w:rPr>
            </w:pPr>
            <w:r>
              <w:rPr>
                <w:rFonts w:hint="eastAsia" w:ascii="宋体" w:hAnsi="宋体" w:eastAsia="宋体" w:cs="宋体"/>
                <w:color w:val="auto"/>
                <w:szCs w:val="21"/>
              </w:rPr>
              <w:t>磋商报价及采购预算金额</w:t>
            </w:r>
          </w:p>
        </w:tc>
        <w:tc>
          <w:tcPr>
            <w:tcW w:w="6362" w:type="dxa"/>
            <w:vAlign w:val="center"/>
          </w:tcPr>
          <w:p w14:paraId="259B6E33">
            <w:pPr>
              <w:spacing w:line="440" w:lineRule="exact"/>
              <w:rPr>
                <w:rFonts w:hint="eastAsia" w:ascii="宋体" w:hAnsi="宋体" w:eastAsia="宋体" w:cs="宋体"/>
                <w:color w:val="auto"/>
                <w:szCs w:val="21"/>
              </w:rPr>
            </w:pPr>
            <w:r>
              <w:rPr>
                <w:rFonts w:hint="eastAsia" w:ascii="宋体" w:hAnsi="宋体" w:eastAsia="宋体" w:cs="宋体"/>
                <w:color w:val="auto"/>
                <w:szCs w:val="21"/>
              </w:rPr>
              <w:t>13.1 磋商报价应按磋商文件中相关附表格式填写。</w:t>
            </w:r>
            <w:r>
              <w:rPr>
                <w:rFonts w:hint="eastAsia" w:ascii="宋体" w:hAnsi="宋体" w:eastAsia="宋体" w:cs="宋体"/>
                <w:b/>
                <w:bCs/>
                <w:color w:val="auto"/>
                <w:szCs w:val="21"/>
              </w:rPr>
              <w:t>采购预算金额人民币</w:t>
            </w:r>
            <w:r>
              <w:rPr>
                <w:rFonts w:hint="eastAsia" w:ascii="宋体" w:hAnsi="宋体" w:cs="宋体"/>
                <w:b/>
                <w:bCs/>
                <w:color w:val="auto"/>
                <w:szCs w:val="21"/>
                <w:lang w:val="en-US" w:eastAsia="zh-CN"/>
              </w:rPr>
              <w:t>玖拾陆万零伍佰陆拾肆元柒角贰分</w:t>
            </w:r>
            <w:r>
              <w:rPr>
                <w:rFonts w:hint="eastAsia" w:ascii="宋体" w:hAnsi="宋体" w:eastAsia="宋体" w:cs="宋体"/>
                <w:b/>
                <w:bCs/>
                <w:color w:val="auto"/>
                <w:szCs w:val="21"/>
              </w:rPr>
              <w:t>（¥960564.72元）。</w:t>
            </w:r>
            <w:r>
              <w:rPr>
                <w:rFonts w:hint="eastAsia" w:ascii="宋体" w:hAnsi="宋体" w:eastAsia="宋体" w:cs="宋体"/>
                <w:color w:val="auto"/>
                <w:szCs w:val="21"/>
              </w:rPr>
              <w:t>供应商报价</w:t>
            </w:r>
            <w:r>
              <w:rPr>
                <w:rFonts w:hint="eastAsia" w:ascii="宋体" w:hAnsi="宋体" w:eastAsia="宋体" w:cs="宋体"/>
                <w:color w:val="auto"/>
                <w:kern w:val="0"/>
                <w:szCs w:val="21"/>
              </w:rPr>
              <w:t>超出采购预算金额的，</w:t>
            </w:r>
            <w:r>
              <w:rPr>
                <w:rFonts w:hint="eastAsia" w:ascii="宋体" w:hAnsi="宋体" w:cs="宋体"/>
                <w:color w:val="auto"/>
                <w:kern w:val="0"/>
                <w:szCs w:val="21"/>
                <w:lang w:eastAsia="zh-CN"/>
              </w:rPr>
              <w:t>磋商文件</w:t>
            </w:r>
            <w:r>
              <w:rPr>
                <w:rFonts w:hint="eastAsia" w:ascii="宋体" w:hAnsi="宋体" w:eastAsia="宋体" w:cs="宋体"/>
                <w:color w:val="auto"/>
                <w:kern w:val="0"/>
                <w:szCs w:val="21"/>
              </w:rPr>
              <w:t>按无效处理。</w:t>
            </w:r>
          </w:p>
          <w:p w14:paraId="331A131F">
            <w:pPr>
              <w:snapToGrid w:val="0"/>
              <w:spacing w:line="440" w:lineRule="exact"/>
              <w:jc w:val="left"/>
              <w:rPr>
                <w:rFonts w:hint="eastAsia" w:ascii="宋体" w:hAnsi="宋体" w:eastAsia="宋体" w:cs="宋体"/>
                <w:color w:val="auto"/>
                <w:szCs w:val="21"/>
              </w:rPr>
            </w:pPr>
            <w:r>
              <w:rPr>
                <w:rFonts w:hint="eastAsia" w:ascii="宋体" w:hAnsi="宋体" w:eastAsia="宋体" w:cs="宋体"/>
                <w:color w:val="auto"/>
                <w:szCs w:val="21"/>
              </w:rPr>
              <w:t>13.2供应商必须就“采购需求”中所有内容作完整唯一报价，否则，其</w:t>
            </w:r>
            <w:r>
              <w:rPr>
                <w:rFonts w:hint="eastAsia" w:ascii="宋体" w:hAnsi="宋体" w:cs="宋体"/>
                <w:color w:val="auto"/>
                <w:szCs w:val="21"/>
                <w:lang w:eastAsia="zh-CN"/>
              </w:rPr>
              <w:t>磋商文件</w:t>
            </w:r>
            <w:r>
              <w:rPr>
                <w:rFonts w:hint="eastAsia" w:ascii="宋体" w:hAnsi="宋体" w:eastAsia="宋体" w:cs="宋体"/>
                <w:color w:val="auto"/>
                <w:szCs w:val="21"/>
              </w:rPr>
              <w:t>无效；</w:t>
            </w:r>
            <w:r>
              <w:rPr>
                <w:rFonts w:hint="eastAsia" w:ascii="宋体" w:hAnsi="宋体" w:cs="宋体"/>
                <w:color w:val="auto"/>
                <w:szCs w:val="21"/>
                <w:lang w:eastAsia="zh-CN"/>
              </w:rPr>
              <w:t>磋商文件</w:t>
            </w:r>
            <w:r>
              <w:rPr>
                <w:rFonts w:hint="eastAsia" w:ascii="宋体" w:hAnsi="宋体" w:eastAsia="宋体" w:cs="宋体"/>
                <w:color w:val="auto"/>
                <w:szCs w:val="21"/>
              </w:rPr>
              <w:t>只允许有一个报价，有选择的或有条件的报价将不予接受。</w:t>
            </w:r>
          </w:p>
          <w:p w14:paraId="53384538">
            <w:pPr>
              <w:snapToGrid w:val="0"/>
              <w:spacing w:line="440" w:lineRule="exact"/>
              <w:jc w:val="left"/>
              <w:rPr>
                <w:rFonts w:hint="eastAsia" w:ascii="宋体" w:hAnsi="宋体" w:eastAsia="宋体" w:cs="宋体"/>
                <w:color w:val="auto"/>
                <w:szCs w:val="21"/>
              </w:rPr>
            </w:pPr>
            <w:r>
              <w:rPr>
                <w:rFonts w:hint="eastAsia" w:ascii="宋体" w:hAnsi="宋体" w:eastAsia="宋体" w:cs="宋体"/>
                <w:color w:val="auto"/>
                <w:szCs w:val="21"/>
              </w:rPr>
              <w:t>13.4</w:t>
            </w:r>
            <w:r>
              <w:rPr>
                <w:rFonts w:hint="eastAsia" w:ascii="宋体" w:hAnsi="宋体" w:eastAsia="宋体" w:cs="宋体"/>
                <w:color w:val="auto"/>
                <w:kern w:val="0"/>
                <w:szCs w:val="21"/>
              </w:rPr>
              <w:t>供应商应在规定时间内在</w:t>
            </w:r>
            <w:r>
              <w:rPr>
                <w:rFonts w:hint="eastAsia" w:ascii="宋体" w:hAnsi="宋体" w:cs="宋体"/>
                <w:color w:val="auto"/>
                <w:kern w:val="0"/>
                <w:szCs w:val="21"/>
                <w:lang w:eastAsia="zh-CN"/>
              </w:rPr>
              <w:t>广西政府采购云</w:t>
            </w:r>
            <w:r>
              <w:rPr>
                <w:rFonts w:hint="eastAsia" w:ascii="宋体" w:hAnsi="宋体" w:eastAsia="宋体" w:cs="宋体"/>
                <w:color w:val="auto"/>
                <w:kern w:val="0"/>
                <w:szCs w:val="21"/>
              </w:rPr>
              <w:t>系统上提交最后报价，超出磋商小组设定的最后报价时限或其最后报价超出采购预算导致已通过评审的</w:t>
            </w:r>
            <w:r>
              <w:rPr>
                <w:rFonts w:hint="eastAsia" w:ascii="宋体" w:hAnsi="宋体" w:cs="宋体"/>
                <w:color w:val="auto"/>
                <w:kern w:val="0"/>
                <w:szCs w:val="21"/>
                <w:lang w:eastAsia="zh-CN"/>
              </w:rPr>
              <w:t>磋商文件</w:t>
            </w:r>
            <w:r>
              <w:rPr>
                <w:rFonts w:hint="eastAsia" w:ascii="宋体" w:hAnsi="宋体" w:eastAsia="宋体" w:cs="宋体"/>
                <w:color w:val="auto"/>
                <w:kern w:val="0"/>
                <w:szCs w:val="21"/>
              </w:rPr>
              <w:t>无效的，按供应商在提交</w:t>
            </w:r>
            <w:r>
              <w:rPr>
                <w:rFonts w:hint="eastAsia" w:ascii="宋体" w:hAnsi="宋体" w:cs="宋体"/>
                <w:color w:val="auto"/>
                <w:kern w:val="0"/>
                <w:szCs w:val="21"/>
                <w:lang w:eastAsia="zh-CN"/>
              </w:rPr>
              <w:t>磋商文件</w:t>
            </w:r>
            <w:r>
              <w:rPr>
                <w:rFonts w:hint="eastAsia" w:ascii="宋体" w:hAnsi="宋体" w:eastAsia="宋体" w:cs="宋体"/>
                <w:color w:val="auto"/>
                <w:kern w:val="0"/>
                <w:szCs w:val="21"/>
              </w:rPr>
              <w:t>截止时间后撤回</w:t>
            </w:r>
            <w:r>
              <w:rPr>
                <w:rFonts w:hint="eastAsia" w:ascii="宋体" w:hAnsi="宋体" w:cs="宋体"/>
                <w:color w:val="auto"/>
                <w:kern w:val="0"/>
                <w:szCs w:val="21"/>
                <w:lang w:eastAsia="zh-CN"/>
              </w:rPr>
              <w:t>磋商文件</w:t>
            </w:r>
            <w:r>
              <w:rPr>
                <w:rFonts w:hint="eastAsia" w:ascii="宋体" w:hAnsi="宋体" w:eastAsia="宋体" w:cs="宋体"/>
                <w:color w:val="auto"/>
                <w:kern w:val="0"/>
                <w:szCs w:val="21"/>
              </w:rPr>
              <w:t>处理。</w:t>
            </w:r>
          </w:p>
        </w:tc>
      </w:tr>
      <w:tr w14:paraId="72B3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24" w:type="dxa"/>
            <w:vAlign w:val="center"/>
          </w:tcPr>
          <w:p w14:paraId="3EA50AC0">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5</w:t>
            </w:r>
          </w:p>
        </w:tc>
        <w:tc>
          <w:tcPr>
            <w:tcW w:w="882" w:type="dxa"/>
            <w:vAlign w:val="center"/>
          </w:tcPr>
          <w:p w14:paraId="79239D52">
            <w:pPr>
              <w:spacing w:line="440" w:lineRule="exact"/>
              <w:jc w:val="center"/>
              <w:rPr>
                <w:rFonts w:hint="eastAsia" w:ascii="宋体" w:hAnsi="宋体" w:eastAsia="宋体" w:cs="宋体"/>
                <w:color w:val="auto"/>
                <w:position w:val="-2"/>
                <w:szCs w:val="21"/>
              </w:rPr>
            </w:pPr>
            <w:r>
              <w:rPr>
                <w:rFonts w:hint="eastAsia" w:ascii="宋体" w:hAnsi="宋体" w:eastAsia="宋体" w:cs="宋体"/>
                <w:color w:val="auto"/>
                <w:position w:val="-2"/>
                <w:szCs w:val="21"/>
              </w:rPr>
              <w:t>14.1</w:t>
            </w:r>
          </w:p>
        </w:tc>
        <w:tc>
          <w:tcPr>
            <w:tcW w:w="1646" w:type="dxa"/>
            <w:vAlign w:val="center"/>
          </w:tcPr>
          <w:p w14:paraId="22976C38">
            <w:pPr>
              <w:spacing w:line="440" w:lineRule="exact"/>
              <w:jc w:val="center"/>
              <w:rPr>
                <w:rFonts w:hint="eastAsia" w:ascii="宋体" w:hAnsi="宋体" w:eastAsia="宋体" w:cs="宋体"/>
                <w:color w:val="auto"/>
                <w:position w:val="-2"/>
                <w:szCs w:val="21"/>
              </w:rPr>
            </w:pPr>
            <w:r>
              <w:rPr>
                <w:rFonts w:hint="eastAsia" w:ascii="宋体" w:hAnsi="宋体" w:cs="宋体"/>
                <w:color w:val="auto"/>
                <w:position w:val="-2"/>
                <w:szCs w:val="21"/>
                <w:lang w:eastAsia="zh-CN"/>
              </w:rPr>
              <w:t>磋商文件</w:t>
            </w:r>
            <w:r>
              <w:rPr>
                <w:rFonts w:hint="eastAsia" w:ascii="宋体" w:hAnsi="宋体" w:eastAsia="宋体" w:cs="宋体"/>
                <w:color w:val="auto"/>
                <w:position w:val="-2"/>
                <w:szCs w:val="21"/>
              </w:rPr>
              <w:t>有效期</w:t>
            </w:r>
          </w:p>
        </w:tc>
        <w:tc>
          <w:tcPr>
            <w:tcW w:w="6362" w:type="dxa"/>
          </w:tcPr>
          <w:p w14:paraId="551A0AFF">
            <w:pPr>
              <w:tabs>
                <w:tab w:val="left" w:pos="1305"/>
              </w:tabs>
              <w:spacing w:line="440" w:lineRule="exact"/>
              <w:rPr>
                <w:rFonts w:hint="eastAsia" w:ascii="宋体" w:hAnsi="宋体" w:eastAsia="宋体" w:cs="宋体"/>
                <w:color w:val="auto"/>
                <w:szCs w:val="21"/>
              </w:rPr>
            </w:pPr>
            <w:r>
              <w:rPr>
                <w:rFonts w:hint="eastAsia" w:ascii="宋体" w:hAnsi="宋体" w:cs="宋体"/>
                <w:color w:val="auto"/>
                <w:szCs w:val="21"/>
                <w:lang w:eastAsia="zh-CN"/>
              </w:rPr>
              <w:t>磋商文件</w:t>
            </w:r>
            <w:r>
              <w:rPr>
                <w:rFonts w:hint="eastAsia" w:ascii="宋体" w:hAnsi="宋体" w:eastAsia="宋体" w:cs="宋体"/>
                <w:color w:val="auto"/>
                <w:szCs w:val="21"/>
              </w:rPr>
              <w:t>递交截止时间之日起</w:t>
            </w:r>
            <w:r>
              <w:rPr>
                <w:rFonts w:hint="eastAsia" w:ascii="宋体" w:hAnsi="宋体" w:cs="宋体"/>
                <w:color w:val="auto"/>
                <w:szCs w:val="21"/>
                <w:lang w:val="en-US" w:eastAsia="zh-CN"/>
              </w:rPr>
              <w:t>9</w:t>
            </w:r>
            <w:r>
              <w:rPr>
                <w:rFonts w:hint="eastAsia" w:ascii="宋体" w:hAnsi="宋体" w:eastAsia="宋体" w:cs="宋体"/>
                <w:color w:val="auto"/>
                <w:szCs w:val="21"/>
              </w:rPr>
              <w:t>0天，有效期不足的</w:t>
            </w:r>
            <w:r>
              <w:rPr>
                <w:rFonts w:hint="eastAsia" w:ascii="宋体" w:hAnsi="宋体" w:cs="宋体"/>
                <w:color w:val="auto"/>
                <w:szCs w:val="21"/>
                <w:lang w:eastAsia="zh-CN"/>
              </w:rPr>
              <w:t>磋商文件</w:t>
            </w:r>
            <w:r>
              <w:rPr>
                <w:rFonts w:hint="eastAsia" w:ascii="宋体" w:hAnsi="宋体" w:eastAsia="宋体" w:cs="宋体"/>
                <w:color w:val="auto"/>
                <w:szCs w:val="21"/>
              </w:rPr>
              <w:t>将被拒绝。</w:t>
            </w:r>
          </w:p>
        </w:tc>
      </w:tr>
      <w:tr w14:paraId="113A8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24" w:type="dxa"/>
            <w:vAlign w:val="center"/>
          </w:tcPr>
          <w:p w14:paraId="7E5EA00B">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6</w:t>
            </w:r>
          </w:p>
        </w:tc>
        <w:tc>
          <w:tcPr>
            <w:tcW w:w="882" w:type="dxa"/>
            <w:vAlign w:val="center"/>
          </w:tcPr>
          <w:p w14:paraId="31650E86">
            <w:pPr>
              <w:spacing w:line="440" w:lineRule="exact"/>
              <w:jc w:val="center"/>
              <w:rPr>
                <w:rFonts w:hint="eastAsia" w:ascii="宋体" w:hAnsi="宋体" w:eastAsia="宋体" w:cs="宋体"/>
                <w:color w:val="auto"/>
                <w:position w:val="-2"/>
                <w:szCs w:val="21"/>
              </w:rPr>
            </w:pPr>
            <w:r>
              <w:rPr>
                <w:rFonts w:hint="eastAsia" w:ascii="宋体" w:hAnsi="宋体" w:eastAsia="宋体" w:cs="宋体"/>
                <w:color w:val="auto"/>
                <w:position w:val="-2"/>
                <w:szCs w:val="21"/>
              </w:rPr>
              <w:t>15</w:t>
            </w:r>
          </w:p>
        </w:tc>
        <w:tc>
          <w:tcPr>
            <w:tcW w:w="1646" w:type="dxa"/>
            <w:vAlign w:val="center"/>
          </w:tcPr>
          <w:p w14:paraId="1E5FA07F">
            <w:pPr>
              <w:spacing w:line="440" w:lineRule="exact"/>
              <w:jc w:val="center"/>
              <w:rPr>
                <w:rFonts w:hint="eastAsia" w:ascii="宋体" w:hAnsi="宋体" w:eastAsia="宋体" w:cs="宋体"/>
                <w:color w:val="auto"/>
                <w:position w:val="-2"/>
                <w:szCs w:val="21"/>
              </w:rPr>
            </w:pPr>
            <w:r>
              <w:rPr>
                <w:rFonts w:hint="eastAsia" w:ascii="宋体" w:hAnsi="宋体" w:eastAsia="宋体" w:cs="宋体"/>
                <w:color w:val="auto"/>
                <w:position w:val="-2"/>
                <w:szCs w:val="21"/>
              </w:rPr>
              <w:t>保证金</w:t>
            </w:r>
          </w:p>
        </w:tc>
        <w:tc>
          <w:tcPr>
            <w:tcW w:w="6362" w:type="dxa"/>
          </w:tcPr>
          <w:p w14:paraId="275B9FEE">
            <w:pPr>
              <w:tabs>
                <w:tab w:val="left" w:pos="1305"/>
              </w:tabs>
              <w:spacing w:line="440" w:lineRule="exact"/>
              <w:rPr>
                <w:rFonts w:hint="eastAsia" w:ascii="宋体" w:hAnsi="宋体" w:eastAsia="宋体" w:cs="宋体"/>
                <w:color w:val="auto"/>
                <w:szCs w:val="21"/>
              </w:rPr>
            </w:pPr>
            <w:r>
              <w:rPr>
                <w:rFonts w:hint="eastAsia" w:ascii="宋体" w:hAnsi="宋体" w:eastAsia="宋体" w:cs="宋体"/>
                <w:color w:val="auto"/>
                <w:szCs w:val="21"/>
              </w:rPr>
              <w:t>本项目无需缴纳磋商保证金</w:t>
            </w:r>
          </w:p>
        </w:tc>
      </w:tr>
      <w:tr w14:paraId="48D1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jc w:val="center"/>
        </w:trPr>
        <w:tc>
          <w:tcPr>
            <w:tcW w:w="624" w:type="dxa"/>
            <w:vAlign w:val="center"/>
          </w:tcPr>
          <w:p w14:paraId="217EF64B">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7</w:t>
            </w:r>
          </w:p>
        </w:tc>
        <w:tc>
          <w:tcPr>
            <w:tcW w:w="882" w:type="dxa"/>
            <w:vAlign w:val="center"/>
          </w:tcPr>
          <w:p w14:paraId="10EA0B44">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16</w:t>
            </w:r>
          </w:p>
        </w:tc>
        <w:tc>
          <w:tcPr>
            <w:tcW w:w="1646" w:type="dxa"/>
            <w:vAlign w:val="center"/>
          </w:tcPr>
          <w:p w14:paraId="3D301C66">
            <w:pPr>
              <w:pStyle w:val="5"/>
              <w:spacing w:before="0" w:after="0" w:line="440" w:lineRule="exact"/>
              <w:jc w:val="center"/>
              <w:rPr>
                <w:rFonts w:hint="eastAsia" w:ascii="宋体" w:hAnsi="宋体" w:eastAsia="宋体" w:cs="宋体"/>
                <w:b w:val="0"/>
                <w:bCs/>
                <w:color w:val="auto"/>
                <w:sz w:val="21"/>
                <w:szCs w:val="21"/>
              </w:rPr>
            </w:pPr>
            <w:bookmarkStart w:id="47" w:name="_Toc19911"/>
            <w:bookmarkStart w:id="48" w:name="_Toc12547"/>
            <w:bookmarkStart w:id="49" w:name="_Toc27452"/>
            <w:r>
              <w:rPr>
                <w:rFonts w:hint="eastAsia" w:ascii="宋体" w:hAnsi="宋体" w:eastAsia="宋体" w:cs="宋体"/>
                <w:b w:val="0"/>
                <w:bCs/>
                <w:color w:val="auto"/>
                <w:sz w:val="21"/>
                <w:szCs w:val="21"/>
              </w:rPr>
              <w:t>竞争性</w:t>
            </w:r>
            <w:r>
              <w:rPr>
                <w:rFonts w:hint="eastAsia" w:ascii="宋体" w:hAnsi="宋体" w:cs="宋体"/>
                <w:b w:val="0"/>
                <w:bCs/>
                <w:color w:val="auto"/>
                <w:sz w:val="21"/>
                <w:szCs w:val="21"/>
                <w:lang w:eastAsia="zh-CN"/>
              </w:rPr>
              <w:t>磋商文件</w:t>
            </w:r>
            <w:r>
              <w:rPr>
                <w:rFonts w:hint="eastAsia" w:ascii="宋体" w:hAnsi="宋体" w:eastAsia="宋体" w:cs="宋体"/>
                <w:b w:val="0"/>
                <w:bCs/>
                <w:color w:val="auto"/>
                <w:sz w:val="21"/>
                <w:szCs w:val="21"/>
              </w:rPr>
              <w:t>的制作</w:t>
            </w:r>
            <w:bookmarkEnd w:id="47"/>
            <w:bookmarkEnd w:id="48"/>
            <w:bookmarkEnd w:id="49"/>
          </w:p>
          <w:p w14:paraId="60B9F209">
            <w:pPr>
              <w:spacing w:line="440" w:lineRule="exact"/>
              <w:jc w:val="center"/>
              <w:rPr>
                <w:rFonts w:hint="eastAsia" w:ascii="宋体" w:hAnsi="宋体" w:eastAsia="宋体" w:cs="宋体"/>
                <w:color w:val="auto"/>
                <w:szCs w:val="21"/>
              </w:rPr>
            </w:pPr>
          </w:p>
        </w:tc>
        <w:tc>
          <w:tcPr>
            <w:tcW w:w="6362" w:type="dxa"/>
            <w:vAlign w:val="center"/>
          </w:tcPr>
          <w:p w14:paraId="2A1B22E1">
            <w:pPr>
              <w:spacing w:line="440" w:lineRule="exact"/>
              <w:rPr>
                <w:rFonts w:hint="eastAsia" w:ascii="宋体" w:hAnsi="宋体" w:eastAsia="宋体" w:cs="宋体"/>
                <w:color w:val="auto"/>
                <w:szCs w:val="21"/>
              </w:rPr>
            </w:pPr>
            <w:r>
              <w:rPr>
                <w:rFonts w:hint="eastAsia" w:ascii="宋体" w:hAnsi="宋体" w:eastAsia="宋体" w:cs="宋体"/>
                <w:color w:val="auto"/>
                <w:szCs w:val="21"/>
              </w:rPr>
              <w:t>16.1 电子</w:t>
            </w:r>
            <w:r>
              <w:rPr>
                <w:rFonts w:hint="eastAsia" w:ascii="宋体" w:hAnsi="宋体" w:cs="宋体"/>
                <w:color w:val="auto"/>
                <w:szCs w:val="21"/>
                <w:lang w:eastAsia="zh-CN"/>
              </w:rPr>
              <w:t>磋商文件</w:t>
            </w:r>
            <w:r>
              <w:rPr>
                <w:rFonts w:hint="eastAsia" w:ascii="宋体" w:hAnsi="宋体" w:eastAsia="宋体" w:cs="宋体"/>
                <w:color w:val="auto"/>
                <w:szCs w:val="21"/>
              </w:rPr>
              <w:t>中须加盖供应商公章部分均采用 CA 签章，并根据“政府采购项目电子交易管理操作指南-供应商” 及本磋商文件规定的格式和顺序编制电子</w:t>
            </w:r>
            <w:r>
              <w:rPr>
                <w:rFonts w:hint="eastAsia" w:ascii="宋体" w:hAnsi="宋体" w:cs="宋体"/>
                <w:color w:val="auto"/>
                <w:szCs w:val="21"/>
                <w:lang w:eastAsia="zh-CN"/>
              </w:rPr>
              <w:t>磋商文件</w:t>
            </w:r>
            <w:r>
              <w:rPr>
                <w:rFonts w:hint="eastAsia" w:ascii="宋体" w:hAnsi="宋体" w:eastAsia="宋体" w:cs="宋体"/>
                <w:color w:val="auto"/>
                <w:szCs w:val="21"/>
              </w:rPr>
              <w:t>并进行关联定位，以便磋商小组在评审时，点击评分项可直接定位到该评分项内容。如对磋商文件的某项要求，供应商的电子</w:t>
            </w:r>
            <w:r>
              <w:rPr>
                <w:rFonts w:hint="eastAsia" w:ascii="宋体" w:hAnsi="宋体" w:cs="宋体"/>
                <w:color w:val="auto"/>
                <w:szCs w:val="21"/>
                <w:lang w:eastAsia="zh-CN"/>
              </w:rPr>
              <w:t>磋商文件</w:t>
            </w:r>
            <w:r>
              <w:rPr>
                <w:rFonts w:hint="eastAsia" w:ascii="宋体" w:hAnsi="宋体" w:eastAsia="宋体" w:cs="宋体"/>
                <w:color w:val="auto"/>
                <w:szCs w:val="21"/>
              </w:rPr>
              <w:t>未能关联定位提供相应的内容与其对应，则磋商小组在评审时如做出对供应商不利的评审由供应商自行承担。电子</w:t>
            </w:r>
            <w:r>
              <w:rPr>
                <w:rFonts w:hint="eastAsia" w:ascii="宋体" w:hAnsi="宋体" w:cs="宋体"/>
                <w:color w:val="auto"/>
                <w:szCs w:val="21"/>
                <w:lang w:eastAsia="zh-CN"/>
              </w:rPr>
              <w:t>磋商文件</w:t>
            </w:r>
            <w:r>
              <w:rPr>
                <w:rFonts w:hint="eastAsia" w:ascii="宋体" w:hAnsi="宋体" w:eastAsia="宋体" w:cs="宋体"/>
                <w:color w:val="auto"/>
                <w:szCs w:val="21"/>
              </w:rPr>
              <w:t>如内容不完整、编排混乱导致</w:t>
            </w:r>
            <w:r>
              <w:rPr>
                <w:rFonts w:hint="eastAsia" w:ascii="宋体" w:hAnsi="宋体" w:cs="宋体"/>
                <w:color w:val="auto"/>
                <w:szCs w:val="21"/>
                <w:lang w:eastAsia="zh-CN"/>
              </w:rPr>
              <w:t>磋商文件</w:t>
            </w:r>
            <w:r>
              <w:rPr>
                <w:rFonts w:hint="eastAsia" w:ascii="宋体" w:hAnsi="宋体" w:eastAsia="宋体" w:cs="宋体"/>
                <w:color w:val="auto"/>
                <w:szCs w:val="21"/>
              </w:rPr>
              <w:t>被误读、 漏读，或者在按采购文件规定的部位查找不到相关内容的，由供应商自行承担。</w:t>
            </w:r>
          </w:p>
          <w:p w14:paraId="62386404">
            <w:pPr>
              <w:spacing w:line="440" w:lineRule="exact"/>
              <w:rPr>
                <w:rFonts w:hint="eastAsia" w:ascii="宋体" w:hAnsi="宋体" w:eastAsia="宋体" w:cs="宋体"/>
                <w:color w:val="auto"/>
                <w:szCs w:val="21"/>
              </w:rPr>
            </w:pPr>
            <w:r>
              <w:rPr>
                <w:rFonts w:hint="eastAsia" w:ascii="宋体" w:hAnsi="宋体" w:eastAsia="宋体" w:cs="宋体"/>
                <w:color w:val="auto"/>
                <w:szCs w:val="21"/>
              </w:rPr>
              <w:t>16.2供应商法人（负责人）或授权代表持有</w:t>
            </w:r>
            <w:r>
              <w:rPr>
                <w:rFonts w:hint="eastAsia" w:ascii="宋体" w:hAnsi="宋体" w:cs="宋体"/>
                <w:color w:val="auto"/>
                <w:szCs w:val="21"/>
                <w:lang w:eastAsia="zh-CN"/>
              </w:rPr>
              <w:t>广西政府采购云</w:t>
            </w:r>
            <w:r>
              <w:rPr>
                <w:rFonts w:hint="eastAsia" w:ascii="宋体" w:hAnsi="宋体" w:eastAsia="宋体" w:cs="宋体"/>
                <w:color w:val="auto"/>
                <w:szCs w:val="21"/>
              </w:rPr>
              <w:t>个人CA签章的，应在</w:t>
            </w:r>
            <w:r>
              <w:rPr>
                <w:rFonts w:hint="eastAsia" w:ascii="宋体" w:hAnsi="宋体" w:cs="宋体"/>
                <w:color w:val="auto"/>
                <w:szCs w:val="21"/>
                <w:lang w:eastAsia="zh-CN"/>
              </w:rPr>
              <w:t>磋商文件</w:t>
            </w:r>
            <w:r>
              <w:rPr>
                <w:rFonts w:hint="eastAsia" w:ascii="宋体" w:hAnsi="宋体" w:eastAsia="宋体" w:cs="宋体"/>
                <w:color w:val="auto"/>
                <w:szCs w:val="21"/>
              </w:rPr>
              <w:t>中涉及到签字的位置使用个人CA签章，没有办理</w:t>
            </w:r>
            <w:r>
              <w:rPr>
                <w:rFonts w:hint="eastAsia" w:ascii="宋体" w:hAnsi="宋体" w:cs="宋体"/>
                <w:color w:val="auto"/>
                <w:szCs w:val="21"/>
                <w:lang w:eastAsia="zh-CN"/>
              </w:rPr>
              <w:t>广西政府采购云</w:t>
            </w:r>
            <w:r>
              <w:rPr>
                <w:rFonts w:hint="eastAsia" w:ascii="宋体" w:hAnsi="宋体" w:eastAsia="宋体" w:cs="宋体"/>
                <w:color w:val="auto"/>
                <w:szCs w:val="21"/>
              </w:rPr>
              <w:t>个人CA签章的可在</w:t>
            </w:r>
            <w:r>
              <w:rPr>
                <w:rFonts w:hint="eastAsia" w:ascii="宋体" w:hAnsi="宋体" w:cs="宋体"/>
                <w:color w:val="auto"/>
                <w:szCs w:val="21"/>
                <w:lang w:eastAsia="zh-CN"/>
              </w:rPr>
              <w:t>磋商文件</w:t>
            </w:r>
            <w:r>
              <w:rPr>
                <w:rFonts w:hint="eastAsia" w:ascii="宋体" w:hAnsi="宋体" w:eastAsia="宋体" w:cs="宋体"/>
                <w:color w:val="auto"/>
                <w:szCs w:val="21"/>
              </w:rPr>
              <w:t>中涉及到签字的位置手写签字后扫描或者拍照做成 PDF 的格式上传即可。</w:t>
            </w:r>
          </w:p>
          <w:p w14:paraId="0BDF36A4">
            <w:pPr>
              <w:spacing w:line="440" w:lineRule="exact"/>
              <w:rPr>
                <w:rFonts w:hint="eastAsia" w:ascii="宋体" w:hAnsi="宋体" w:eastAsia="宋体" w:cs="宋体"/>
                <w:color w:val="auto"/>
                <w:szCs w:val="21"/>
              </w:rPr>
            </w:pPr>
            <w:r>
              <w:rPr>
                <w:rFonts w:hint="eastAsia" w:ascii="宋体" w:hAnsi="宋体" w:eastAsia="宋体" w:cs="宋体"/>
                <w:color w:val="auto"/>
                <w:szCs w:val="21"/>
              </w:rPr>
              <w:t xml:space="preserve">16.3 </w:t>
            </w:r>
            <w:r>
              <w:rPr>
                <w:rFonts w:hint="eastAsia" w:ascii="宋体" w:hAnsi="宋体" w:cs="宋体"/>
                <w:color w:val="auto"/>
                <w:szCs w:val="21"/>
                <w:lang w:eastAsia="zh-CN"/>
              </w:rPr>
              <w:t>磋商文件</w:t>
            </w:r>
            <w:r>
              <w:rPr>
                <w:rFonts w:hint="eastAsia" w:ascii="宋体" w:hAnsi="宋体" w:eastAsia="宋体" w:cs="宋体"/>
                <w:color w:val="auto"/>
                <w:szCs w:val="21"/>
              </w:rPr>
              <w:t>不得涂改，若有修改错漏处，须法定代表人（负责人）或授权委托人签字（或个人CA签章）。</w:t>
            </w:r>
            <w:r>
              <w:rPr>
                <w:rFonts w:hint="eastAsia" w:ascii="宋体" w:hAnsi="宋体" w:cs="宋体"/>
                <w:color w:val="auto"/>
                <w:szCs w:val="21"/>
                <w:lang w:eastAsia="zh-CN"/>
              </w:rPr>
              <w:t>磋商文件</w:t>
            </w:r>
            <w:r>
              <w:rPr>
                <w:rFonts w:hint="eastAsia" w:ascii="宋体" w:hAnsi="宋体" w:eastAsia="宋体" w:cs="宋体"/>
                <w:color w:val="auto"/>
                <w:szCs w:val="21"/>
              </w:rPr>
              <w:t>因字迹潦草或表达不清所引起的后果由供应商负责。</w:t>
            </w:r>
          </w:p>
          <w:p w14:paraId="43904A47">
            <w:pPr>
              <w:spacing w:line="440" w:lineRule="exact"/>
              <w:rPr>
                <w:rFonts w:hint="eastAsia" w:ascii="宋体" w:hAnsi="宋体" w:eastAsia="宋体" w:cs="宋体"/>
                <w:color w:val="auto"/>
                <w:szCs w:val="21"/>
              </w:rPr>
            </w:pPr>
            <w:r>
              <w:rPr>
                <w:rFonts w:hint="eastAsia" w:ascii="宋体" w:hAnsi="宋体" w:eastAsia="宋体" w:cs="宋体"/>
                <w:color w:val="auto"/>
                <w:szCs w:val="21"/>
              </w:rPr>
              <w:t xml:space="preserve">16.4磋商前准备 </w:t>
            </w:r>
          </w:p>
          <w:p w14:paraId="6D1D3442">
            <w:pPr>
              <w:spacing w:line="440" w:lineRule="exact"/>
              <w:rPr>
                <w:rFonts w:hint="eastAsia" w:ascii="宋体" w:hAnsi="宋体" w:eastAsia="宋体" w:cs="宋体"/>
                <w:color w:val="auto"/>
                <w:szCs w:val="21"/>
              </w:rPr>
            </w:pPr>
            <w:r>
              <w:rPr>
                <w:rFonts w:hint="eastAsia" w:ascii="宋体" w:hAnsi="宋体" w:eastAsia="宋体" w:cs="宋体"/>
                <w:color w:val="auto"/>
                <w:szCs w:val="21"/>
              </w:rPr>
              <w:t>16.4.1本项目实行在线磋商，采用电子</w:t>
            </w:r>
            <w:r>
              <w:rPr>
                <w:rFonts w:hint="eastAsia" w:ascii="宋体" w:hAnsi="宋体" w:cs="宋体"/>
                <w:color w:val="auto"/>
                <w:szCs w:val="21"/>
                <w:lang w:eastAsia="zh-CN"/>
              </w:rPr>
              <w:t>磋商文件</w:t>
            </w:r>
            <w:r>
              <w:rPr>
                <w:rFonts w:hint="eastAsia" w:ascii="宋体" w:hAnsi="宋体" w:eastAsia="宋体" w:cs="宋体"/>
                <w:color w:val="auto"/>
                <w:szCs w:val="21"/>
              </w:rPr>
              <w:t xml:space="preserve">。若供应商参与磋商，自行承担磋商一切费用。 </w:t>
            </w:r>
          </w:p>
          <w:p w14:paraId="239C10E5">
            <w:pPr>
              <w:spacing w:line="440" w:lineRule="exact"/>
              <w:rPr>
                <w:rFonts w:hint="eastAsia" w:ascii="宋体" w:hAnsi="宋体" w:eastAsia="宋体" w:cs="宋体"/>
                <w:color w:val="auto"/>
                <w:szCs w:val="21"/>
              </w:rPr>
            </w:pPr>
            <w:r>
              <w:rPr>
                <w:rFonts w:hint="eastAsia" w:ascii="宋体" w:hAnsi="宋体" w:eastAsia="宋体" w:cs="宋体"/>
                <w:color w:val="auto"/>
                <w:szCs w:val="21"/>
              </w:rPr>
              <w:t>16.4.2各供应商应在截标前应确保成为</w:t>
            </w:r>
            <w:r>
              <w:rPr>
                <w:rFonts w:hint="eastAsia" w:ascii="宋体" w:hAnsi="宋体" w:cs="宋体"/>
                <w:color w:val="auto"/>
                <w:szCs w:val="21"/>
                <w:lang w:eastAsia="zh-CN"/>
              </w:rPr>
              <w:t>广西政府采购云平台</w:t>
            </w:r>
            <w:r>
              <w:rPr>
                <w:rFonts w:hint="eastAsia" w:ascii="宋体" w:hAnsi="宋体" w:eastAsia="宋体" w:cs="宋体"/>
                <w:color w:val="auto"/>
                <w:szCs w:val="21"/>
              </w:rPr>
              <w:t xml:space="preserve">正式注册入库供应商，并完成 CA 数字证书申领。因未注册入库、未办理 CA 数字证书等原因造成无法磋商或磋商失败等后果由供应商自行承担。 </w:t>
            </w:r>
          </w:p>
          <w:p w14:paraId="520B11F1">
            <w:pPr>
              <w:spacing w:line="440" w:lineRule="exact"/>
              <w:rPr>
                <w:rFonts w:hint="eastAsia" w:ascii="宋体" w:hAnsi="宋体" w:eastAsia="宋体" w:cs="宋体"/>
                <w:color w:val="auto"/>
                <w:szCs w:val="21"/>
              </w:rPr>
            </w:pPr>
            <w:r>
              <w:rPr>
                <w:rFonts w:hint="eastAsia" w:ascii="宋体" w:hAnsi="宋体" w:eastAsia="宋体" w:cs="宋体"/>
                <w:color w:val="auto"/>
                <w:szCs w:val="21"/>
              </w:rPr>
              <w:t>16.4.3供应商将</w:t>
            </w:r>
            <w:r>
              <w:rPr>
                <w:rFonts w:hint="eastAsia" w:ascii="宋体" w:hAnsi="宋体" w:cs="宋体"/>
                <w:color w:val="auto"/>
                <w:szCs w:val="21"/>
                <w:lang w:eastAsia="zh-CN"/>
              </w:rPr>
              <w:t>广西政府采购云</w:t>
            </w:r>
            <w:r>
              <w:rPr>
                <w:rFonts w:hint="eastAsia" w:ascii="宋体" w:hAnsi="宋体" w:eastAsia="宋体" w:cs="宋体"/>
                <w:color w:val="auto"/>
                <w:szCs w:val="21"/>
              </w:rPr>
              <w:t>电子交易客户端下载、安装完成后，可通过账号密码或 CA 登录客户端进行</w:t>
            </w:r>
            <w:r>
              <w:rPr>
                <w:rFonts w:hint="eastAsia" w:ascii="宋体" w:hAnsi="宋体" w:cs="宋体"/>
                <w:color w:val="auto"/>
                <w:szCs w:val="21"/>
                <w:lang w:eastAsia="zh-CN"/>
              </w:rPr>
              <w:t>磋商文件</w:t>
            </w:r>
            <w:r>
              <w:rPr>
                <w:rFonts w:hint="eastAsia" w:ascii="宋体" w:hAnsi="宋体" w:eastAsia="宋体" w:cs="宋体"/>
                <w:color w:val="auto"/>
                <w:szCs w:val="21"/>
              </w:rPr>
              <w:t>制作。客户端请至网站下载专区查看，如有问题可拨打</w:t>
            </w:r>
            <w:r>
              <w:rPr>
                <w:rFonts w:hint="eastAsia" w:ascii="宋体" w:hAnsi="宋体" w:cs="宋体"/>
                <w:color w:val="auto"/>
                <w:szCs w:val="21"/>
                <w:lang w:eastAsia="zh-CN"/>
              </w:rPr>
              <w:t>广西政府采购云</w:t>
            </w:r>
            <w:r>
              <w:rPr>
                <w:rFonts w:hint="eastAsia" w:ascii="宋体" w:hAnsi="宋体" w:eastAsia="宋体" w:cs="宋体"/>
                <w:color w:val="auto"/>
                <w:szCs w:val="21"/>
              </w:rPr>
              <w:t xml:space="preserve">客户服务热线 </w:t>
            </w:r>
            <w:r>
              <w:rPr>
                <w:rFonts w:hint="eastAsia" w:ascii="宋体" w:hAnsi="宋体" w:cs="宋体"/>
                <w:color w:val="auto"/>
                <w:szCs w:val="21"/>
                <w:lang w:val="en-US" w:eastAsia="zh-CN"/>
              </w:rPr>
              <w:t>95763</w:t>
            </w:r>
            <w:r>
              <w:rPr>
                <w:rFonts w:hint="eastAsia" w:ascii="宋体" w:hAnsi="宋体" w:eastAsia="宋体" w:cs="宋体"/>
                <w:color w:val="auto"/>
                <w:szCs w:val="21"/>
              </w:rPr>
              <w:t xml:space="preserve"> 进行咨询。</w:t>
            </w:r>
          </w:p>
        </w:tc>
      </w:tr>
      <w:tr w14:paraId="791B4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jc w:val="center"/>
        </w:trPr>
        <w:tc>
          <w:tcPr>
            <w:tcW w:w="624" w:type="dxa"/>
            <w:vAlign w:val="center"/>
          </w:tcPr>
          <w:p w14:paraId="2937E4AE">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8</w:t>
            </w:r>
          </w:p>
        </w:tc>
        <w:tc>
          <w:tcPr>
            <w:tcW w:w="882" w:type="dxa"/>
            <w:vAlign w:val="center"/>
          </w:tcPr>
          <w:p w14:paraId="6F31050A">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18.1</w:t>
            </w:r>
          </w:p>
        </w:tc>
        <w:tc>
          <w:tcPr>
            <w:tcW w:w="1646" w:type="dxa"/>
            <w:vAlign w:val="center"/>
          </w:tcPr>
          <w:p w14:paraId="1496B205">
            <w:pPr>
              <w:spacing w:line="440" w:lineRule="exact"/>
              <w:jc w:val="center"/>
              <w:rPr>
                <w:rFonts w:hint="eastAsia" w:ascii="宋体" w:hAnsi="宋体" w:eastAsia="宋体" w:cs="宋体"/>
                <w:color w:val="auto"/>
                <w:szCs w:val="21"/>
              </w:rPr>
            </w:pPr>
            <w:r>
              <w:rPr>
                <w:rFonts w:hint="eastAsia" w:ascii="宋体" w:hAnsi="宋体" w:cs="宋体"/>
                <w:color w:val="auto"/>
                <w:szCs w:val="21"/>
                <w:lang w:eastAsia="zh-CN"/>
              </w:rPr>
              <w:t>磋商文件</w:t>
            </w:r>
            <w:r>
              <w:rPr>
                <w:rFonts w:hint="eastAsia" w:ascii="宋体" w:hAnsi="宋体" w:eastAsia="宋体" w:cs="宋体"/>
                <w:color w:val="auto"/>
                <w:szCs w:val="21"/>
              </w:rPr>
              <w:t>递交截止时间</w:t>
            </w:r>
          </w:p>
        </w:tc>
        <w:tc>
          <w:tcPr>
            <w:tcW w:w="6362" w:type="dxa"/>
            <w:vAlign w:val="center"/>
          </w:tcPr>
          <w:p w14:paraId="17B93B6C">
            <w:pPr>
              <w:spacing w:line="440" w:lineRule="exact"/>
              <w:rPr>
                <w:rFonts w:hint="eastAsia" w:ascii="宋体" w:hAnsi="宋体" w:eastAsia="宋体" w:cs="宋体"/>
                <w:color w:val="auto"/>
                <w:szCs w:val="21"/>
              </w:rPr>
            </w:pPr>
            <w:r>
              <w:rPr>
                <w:rFonts w:hint="eastAsia" w:ascii="宋体" w:hAnsi="宋体" w:eastAsia="宋体" w:cs="宋体"/>
                <w:color w:val="auto"/>
                <w:szCs w:val="21"/>
                <w:u w:val="single"/>
              </w:rPr>
              <w:t>于</w:t>
            </w:r>
            <w:r>
              <w:rPr>
                <w:rFonts w:hint="eastAsia" w:ascii="新宋体" w:hAnsi="新宋体" w:eastAsia="新宋体" w:cs="新宋体"/>
                <w:color w:val="auto"/>
                <w:szCs w:val="21"/>
                <w:highlight w:val="none"/>
                <w:u w:val="single"/>
                <w:lang w:val="en-US" w:eastAsia="zh-CN"/>
              </w:rPr>
              <w:t>2026年  6 月  22 日</w:t>
            </w:r>
            <w:r>
              <w:rPr>
                <w:rFonts w:hint="eastAsia" w:ascii="宋体" w:hAnsi="宋体" w:cs="宋体"/>
                <w:color w:val="auto"/>
                <w:szCs w:val="21"/>
                <w:u w:val="single"/>
                <w:lang w:val="en-US" w:eastAsia="zh-CN"/>
              </w:rPr>
              <w:t>09</w:t>
            </w:r>
            <w:r>
              <w:rPr>
                <w:rFonts w:hint="eastAsia" w:ascii="宋体" w:hAnsi="宋体" w:eastAsia="宋体" w:cs="宋体"/>
                <w:color w:val="auto"/>
                <w:szCs w:val="21"/>
                <w:u w:val="single"/>
              </w:rPr>
              <w:t>:30</w:t>
            </w:r>
            <w:r>
              <w:rPr>
                <w:rFonts w:hint="eastAsia" w:ascii="宋体" w:hAnsi="宋体" w:eastAsia="宋体" w:cs="宋体"/>
                <w:color w:val="auto"/>
                <w:szCs w:val="21"/>
              </w:rPr>
              <w:t>之前将电子</w:t>
            </w:r>
            <w:r>
              <w:rPr>
                <w:rFonts w:hint="eastAsia" w:ascii="宋体" w:hAnsi="宋体" w:cs="宋体"/>
                <w:color w:val="auto"/>
                <w:szCs w:val="21"/>
                <w:lang w:eastAsia="zh-CN"/>
              </w:rPr>
              <w:t>磋商文件</w:t>
            </w:r>
            <w:r>
              <w:rPr>
                <w:rFonts w:hint="eastAsia" w:ascii="宋体" w:hAnsi="宋体" w:eastAsia="宋体" w:cs="宋体"/>
                <w:color w:val="auto"/>
                <w:szCs w:val="21"/>
              </w:rPr>
              <w:t>上传到</w:t>
            </w:r>
            <w:r>
              <w:rPr>
                <w:rFonts w:hint="eastAsia" w:ascii="宋体" w:hAnsi="宋体" w:cs="宋体"/>
                <w:color w:val="auto"/>
                <w:szCs w:val="21"/>
                <w:lang w:eastAsia="zh-CN"/>
              </w:rPr>
              <w:t>广西政府采购云平台</w:t>
            </w:r>
            <w:r>
              <w:rPr>
                <w:rFonts w:hint="eastAsia" w:ascii="宋体" w:hAnsi="宋体" w:eastAsia="宋体" w:cs="宋体"/>
                <w:color w:val="auto"/>
                <w:szCs w:val="21"/>
              </w:rPr>
              <w:t>。应按照本项目磋商文件和</w:t>
            </w:r>
            <w:r>
              <w:rPr>
                <w:rFonts w:hint="eastAsia" w:ascii="宋体" w:hAnsi="宋体" w:cs="宋体"/>
                <w:color w:val="auto"/>
                <w:szCs w:val="21"/>
                <w:lang w:eastAsia="zh-CN"/>
              </w:rPr>
              <w:t>广西政府采购云平台</w:t>
            </w:r>
            <w:r>
              <w:rPr>
                <w:rFonts w:hint="eastAsia" w:ascii="宋体" w:hAnsi="宋体" w:eastAsia="宋体" w:cs="宋体"/>
                <w:color w:val="auto"/>
                <w:szCs w:val="21"/>
              </w:rPr>
              <w:t>的要求编制、加密传输</w:t>
            </w:r>
            <w:r>
              <w:rPr>
                <w:rFonts w:hint="eastAsia" w:ascii="宋体" w:hAnsi="宋体" w:cs="宋体"/>
                <w:color w:val="auto"/>
                <w:szCs w:val="21"/>
                <w:lang w:eastAsia="zh-CN"/>
              </w:rPr>
              <w:t>磋商文件</w:t>
            </w:r>
            <w:r>
              <w:rPr>
                <w:rFonts w:hint="eastAsia" w:ascii="宋体" w:hAnsi="宋体" w:eastAsia="宋体" w:cs="宋体"/>
                <w:color w:val="auto"/>
                <w:szCs w:val="21"/>
              </w:rPr>
              <w:t>。供应商在使用系统进行响应的过程中遇到涉及平台使用的任何问题，可致电</w:t>
            </w:r>
            <w:r>
              <w:rPr>
                <w:rFonts w:hint="eastAsia" w:ascii="宋体" w:hAnsi="宋体" w:cs="宋体"/>
                <w:color w:val="auto"/>
                <w:szCs w:val="21"/>
                <w:lang w:eastAsia="zh-CN"/>
              </w:rPr>
              <w:t>广西政府采购云平台</w:t>
            </w:r>
            <w:r>
              <w:rPr>
                <w:rFonts w:hint="eastAsia" w:ascii="宋体" w:hAnsi="宋体" w:eastAsia="宋体" w:cs="宋体"/>
                <w:color w:val="auto"/>
                <w:szCs w:val="21"/>
              </w:rPr>
              <w:t>技术支持热线咨询，联系方式：</w:t>
            </w:r>
            <w:r>
              <w:rPr>
                <w:rFonts w:hint="eastAsia" w:ascii="宋体" w:hAnsi="宋体" w:cs="宋体"/>
                <w:color w:val="auto"/>
                <w:szCs w:val="21"/>
                <w:lang w:val="en-US" w:eastAsia="zh-CN"/>
              </w:rPr>
              <w:t>95763</w:t>
            </w:r>
            <w:r>
              <w:rPr>
                <w:rFonts w:hint="eastAsia" w:ascii="宋体" w:hAnsi="宋体" w:eastAsia="宋体" w:cs="宋体"/>
                <w:color w:val="auto"/>
                <w:szCs w:val="21"/>
              </w:rPr>
              <w:t>。</w:t>
            </w:r>
          </w:p>
        </w:tc>
      </w:tr>
      <w:tr w14:paraId="6F45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24" w:type="dxa"/>
            <w:vAlign w:val="center"/>
          </w:tcPr>
          <w:p w14:paraId="13BDB607">
            <w:pPr>
              <w:spacing w:line="440" w:lineRule="exact"/>
              <w:jc w:val="center"/>
              <w:rPr>
                <w:rFonts w:hint="eastAsia" w:ascii="宋体" w:hAnsi="宋体" w:eastAsia="宋体" w:cs="宋体"/>
                <w:color w:val="auto"/>
                <w:position w:val="-2"/>
                <w:szCs w:val="21"/>
              </w:rPr>
            </w:pPr>
            <w:r>
              <w:rPr>
                <w:rFonts w:hint="eastAsia" w:ascii="宋体" w:hAnsi="宋体" w:eastAsia="宋体" w:cs="宋体"/>
                <w:color w:val="auto"/>
                <w:position w:val="-2"/>
                <w:szCs w:val="21"/>
              </w:rPr>
              <w:t>9</w:t>
            </w:r>
          </w:p>
        </w:tc>
        <w:tc>
          <w:tcPr>
            <w:tcW w:w="882" w:type="dxa"/>
            <w:vAlign w:val="center"/>
          </w:tcPr>
          <w:p w14:paraId="46ED7DE3">
            <w:pPr>
              <w:spacing w:line="440" w:lineRule="exact"/>
              <w:jc w:val="center"/>
              <w:rPr>
                <w:rFonts w:hint="eastAsia" w:ascii="宋体" w:hAnsi="宋体" w:eastAsia="宋体" w:cs="宋体"/>
                <w:color w:val="auto"/>
                <w:position w:val="-2"/>
                <w:szCs w:val="21"/>
              </w:rPr>
            </w:pPr>
            <w:r>
              <w:rPr>
                <w:rFonts w:hint="eastAsia" w:ascii="宋体" w:hAnsi="宋体" w:eastAsia="宋体" w:cs="宋体"/>
                <w:color w:val="auto"/>
                <w:position w:val="-2"/>
                <w:szCs w:val="21"/>
              </w:rPr>
              <w:t>18.2</w:t>
            </w:r>
          </w:p>
        </w:tc>
        <w:tc>
          <w:tcPr>
            <w:tcW w:w="1646" w:type="dxa"/>
            <w:vAlign w:val="center"/>
          </w:tcPr>
          <w:p w14:paraId="771880E7">
            <w:pPr>
              <w:spacing w:line="440" w:lineRule="exact"/>
              <w:jc w:val="center"/>
              <w:rPr>
                <w:rFonts w:hint="eastAsia" w:ascii="宋体" w:hAnsi="宋体" w:eastAsia="宋体" w:cs="宋体"/>
                <w:color w:val="auto"/>
                <w:position w:val="-2"/>
                <w:szCs w:val="21"/>
              </w:rPr>
            </w:pPr>
            <w:r>
              <w:rPr>
                <w:rFonts w:hint="eastAsia" w:ascii="宋体" w:hAnsi="宋体" w:cs="宋体"/>
                <w:color w:val="auto"/>
                <w:szCs w:val="21"/>
                <w:lang w:eastAsia="zh-CN"/>
              </w:rPr>
              <w:t>磋商文件</w:t>
            </w:r>
            <w:r>
              <w:rPr>
                <w:rFonts w:hint="eastAsia" w:ascii="宋体" w:hAnsi="宋体" w:eastAsia="宋体" w:cs="宋体"/>
                <w:color w:val="auto"/>
                <w:szCs w:val="21"/>
              </w:rPr>
              <w:t>解密时间</w:t>
            </w:r>
          </w:p>
        </w:tc>
        <w:tc>
          <w:tcPr>
            <w:tcW w:w="6362" w:type="dxa"/>
            <w:vAlign w:val="center"/>
          </w:tcPr>
          <w:p w14:paraId="57C1B129">
            <w:pPr>
              <w:pStyle w:val="9"/>
              <w:spacing w:line="440" w:lineRule="exact"/>
              <w:rPr>
                <w:rFonts w:hint="eastAsia" w:ascii="宋体" w:hAnsi="宋体" w:eastAsia="宋体" w:cs="宋体"/>
                <w:color w:val="auto"/>
                <w:szCs w:val="21"/>
              </w:rPr>
            </w:pPr>
            <w:r>
              <w:rPr>
                <w:rFonts w:hint="eastAsia" w:ascii="宋体" w:hAnsi="宋体" w:cs="宋体"/>
                <w:color w:val="auto"/>
                <w:szCs w:val="21"/>
                <w:lang w:eastAsia="zh-CN"/>
              </w:rPr>
              <w:t>磋商文件</w:t>
            </w:r>
            <w:r>
              <w:rPr>
                <w:rFonts w:hint="eastAsia" w:ascii="宋体" w:hAnsi="宋体" w:eastAsia="宋体" w:cs="宋体"/>
                <w:color w:val="auto"/>
                <w:szCs w:val="21"/>
              </w:rPr>
              <w:t>解密时间</w:t>
            </w:r>
            <w:r>
              <w:rPr>
                <w:rFonts w:hint="eastAsia" w:ascii="宋体" w:hAnsi="宋体" w:eastAsia="宋体" w:cs="宋体"/>
                <w:color w:val="auto"/>
              </w:rPr>
              <w:t>：截标时间后</w:t>
            </w:r>
            <w:r>
              <w:rPr>
                <w:rFonts w:hint="eastAsia" w:ascii="宋体" w:hAnsi="宋体" w:eastAsia="宋体" w:cs="宋体"/>
                <w:color w:val="auto"/>
                <w:u w:val="single"/>
              </w:rPr>
              <w:t>30</w:t>
            </w:r>
            <w:r>
              <w:rPr>
                <w:rFonts w:hint="eastAsia" w:ascii="宋体" w:hAnsi="宋体" w:eastAsia="宋体" w:cs="宋体"/>
                <w:color w:val="auto"/>
              </w:rPr>
              <w:t>分钟内磋商供应商可以登录</w:t>
            </w:r>
            <w:r>
              <w:rPr>
                <w:rFonts w:hint="eastAsia" w:ascii="宋体" w:hAnsi="宋体" w:cs="宋体"/>
                <w:color w:val="auto"/>
                <w:lang w:eastAsia="zh-CN"/>
              </w:rPr>
              <w:t>广西政府采购云平台</w:t>
            </w:r>
            <w:r>
              <w:rPr>
                <w:rFonts w:hint="eastAsia" w:ascii="宋体" w:hAnsi="宋体" w:eastAsia="宋体" w:cs="宋体"/>
                <w:color w:val="auto"/>
              </w:rPr>
              <w:t>，用“项目采购-开标评标”功能进行解密</w:t>
            </w:r>
            <w:r>
              <w:rPr>
                <w:rFonts w:hint="eastAsia" w:ascii="宋体" w:hAnsi="宋体" w:cs="宋体"/>
                <w:color w:val="auto"/>
                <w:lang w:eastAsia="zh-CN"/>
              </w:rPr>
              <w:t>磋商文件</w:t>
            </w:r>
            <w:r>
              <w:rPr>
                <w:rFonts w:hint="eastAsia" w:ascii="宋体" w:hAnsi="宋体" w:eastAsia="宋体" w:cs="宋体"/>
                <w:color w:val="auto"/>
              </w:rPr>
              <w:t>。若磋商供应商在规定时间内无法解密或解密失败，可以以电子备份</w:t>
            </w:r>
            <w:r>
              <w:rPr>
                <w:rFonts w:hint="eastAsia" w:ascii="宋体" w:hAnsi="宋体" w:cs="宋体"/>
                <w:color w:val="auto"/>
                <w:lang w:eastAsia="zh-CN"/>
              </w:rPr>
              <w:t>磋商文件</w:t>
            </w:r>
            <w:r>
              <w:rPr>
                <w:rFonts w:hint="eastAsia" w:ascii="宋体" w:hAnsi="宋体" w:eastAsia="宋体" w:cs="宋体"/>
                <w:color w:val="auto"/>
              </w:rPr>
              <w:t>作为依据</w:t>
            </w:r>
            <w:r>
              <w:rPr>
                <w:rFonts w:hint="eastAsia" w:ascii="宋体" w:hAnsi="宋体" w:eastAsia="宋体" w:cs="宋体"/>
                <w:b/>
                <w:bCs/>
                <w:color w:val="auto"/>
              </w:rPr>
              <w:t>【在接到无法解密或解密失败的通知后，磋商供应商可根据自身实际情况按通知时要求的时间到</w:t>
            </w:r>
            <w:r>
              <w:rPr>
                <w:rFonts w:hint="eastAsia" w:ascii="宋体" w:hAnsi="宋体" w:cs="宋体"/>
                <w:b/>
                <w:bCs/>
                <w:color w:val="auto"/>
                <w:lang w:eastAsia="zh-CN"/>
              </w:rPr>
              <w:t>广西恒业项目管理有限公司</w:t>
            </w:r>
            <w:r>
              <w:rPr>
                <w:rFonts w:hint="eastAsia" w:ascii="宋体" w:hAnsi="宋体" w:eastAsia="宋体" w:cs="宋体"/>
                <w:b/>
                <w:bCs/>
                <w:color w:val="auto"/>
              </w:rPr>
              <w:t>开标室现场提交或以电子邮件的形式（以通知时所告知的电子邮箱地址为准）提交电子备份</w:t>
            </w:r>
            <w:r>
              <w:rPr>
                <w:rFonts w:hint="eastAsia" w:ascii="宋体" w:hAnsi="宋体" w:cs="宋体"/>
                <w:b/>
                <w:bCs/>
                <w:color w:val="auto"/>
                <w:lang w:eastAsia="zh-CN"/>
              </w:rPr>
              <w:t>磋商文件</w:t>
            </w:r>
            <w:r>
              <w:rPr>
                <w:rFonts w:hint="eastAsia" w:ascii="宋体" w:hAnsi="宋体" w:eastAsia="宋体" w:cs="宋体"/>
                <w:b/>
                <w:bCs/>
                <w:color w:val="auto"/>
              </w:rPr>
              <w:t>】</w:t>
            </w:r>
            <w:r>
              <w:rPr>
                <w:rFonts w:hint="eastAsia" w:ascii="宋体" w:hAnsi="宋体" w:eastAsia="宋体" w:cs="宋体"/>
                <w:color w:val="auto"/>
              </w:rPr>
              <w:t>，若磋商供应商在规定时间内无法解密或解密失败且未提供电子备份</w:t>
            </w:r>
            <w:r>
              <w:rPr>
                <w:rFonts w:hint="eastAsia" w:ascii="宋体" w:hAnsi="宋体" w:cs="宋体"/>
                <w:color w:val="auto"/>
                <w:lang w:eastAsia="zh-CN"/>
              </w:rPr>
              <w:t>磋商文件</w:t>
            </w:r>
            <w:r>
              <w:rPr>
                <w:rFonts w:hint="eastAsia" w:ascii="宋体" w:hAnsi="宋体" w:eastAsia="宋体" w:cs="宋体"/>
                <w:color w:val="auto"/>
              </w:rPr>
              <w:t>的(包含提供的电子备份文件无效或无法解密的情况)，视为无效响应。</w:t>
            </w:r>
          </w:p>
        </w:tc>
      </w:tr>
      <w:tr w14:paraId="38C04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624" w:type="dxa"/>
            <w:vAlign w:val="center"/>
          </w:tcPr>
          <w:p w14:paraId="142B818D">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10</w:t>
            </w:r>
          </w:p>
        </w:tc>
        <w:tc>
          <w:tcPr>
            <w:tcW w:w="882" w:type="dxa"/>
            <w:vAlign w:val="center"/>
          </w:tcPr>
          <w:p w14:paraId="788C7A22">
            <w:pPr>
              <w:spacing w:line="440" w:lineRule="exact"/>
              <w:ind w:firstLine="105" w:firstLineChars="50"/>
              <w:jc w:val="center"/>
              <w:rPr>
                <w:rFonts w:hint="eastAsia" w:ascii="宋体" w:hAnsi="宋体" w:eastAsia="宋体" w:cs="宋体"/>
                <w:color w:val="auto"/>
                <w:position w:val="-2"/>
                <w:szCs w:val="21"/>
              </w:rPr>
            </w:pPr>
            <w:r>
              <w:rPr>
                <w:rFonts w:hint="eastAsia" w:ascii="宋体" w:hAnsi="宋体" w:eastAsia="宋体" w:cs="宋体"/>
                <w:color w:val="auto"/>
                <w:position w:val="-2"/>
                <w:szCs w:val="21"/>
              </w:rPr>
              <w:t>19.1</w:t>
            </w:r>
          </w:p>
        </w:tc>
        <w:tc>
          <w:tcPr>
            <w:tcW w:w="1646" w:type="dxa"/>
            <w:vAlign w:val="center"/>
          </w:tcPr>
          <w:p w14:paraId="0FDA1835">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磋商小组组成</w:t>
            </w:r>
          </w:p>
        </w:tc>
        <w:tc>
          <w:tcPr>
            <w:tcW w:w="6362" w:type="dxa"/>
            <w:vAlign w:val="center"/>
          </w:tcPr>
          <w:p w14:paraId="40596700">
            <w:pPr>
              <w:spacing w:line="440" w:lineRule="exact"/>
              <w:ind w:left="15" w:hanging="14" w:hangingChars="7"/>
              <w:rPr>
                <w:rFonts w:hint="eastAsia" w:ascii="宋体" w:hAnsi="宋体" w:eastAsia="宋体" w:cs="宋体"/>
                <w:color w:val="auto"/>
                <w:szCs w:val="21"/>
              </w:rPr>
            </w:pPr>
            <w:r>
              <w:rPr>
                <w:rFonts w:hint="eastAsia" w:ascii="宋体" w:hAnsi="宋体" w:eastAsia="宋体" w:cs="宋体"/>
                <w:color w:val="auto"/>
                <w:szCs w:val="21"/>
              </w:rPr>
              <w:t>磋商及评审工作由采购代理机构负责组织，具体磋商、评审工作由依法组建的磋商小组负责，磋商小组由采购人代表和有关方面的专家组成。</w:t>
            </w:r>
          </w:p>
          <w:p w14:paraId="62F27584">
            <w:pPr>
              <w:spacing w:line="440" w:lineRule="exact"/>
              <w:ind w:left="15" w:hanging="14" w:hangingChars="7"/>
              <w:rPr>
                <w:rFonts w:hint="eastAsia" w:ascii="宋体" w:hAnsi="宋体" w:eastAsia="宋体" w:cs="宋体"/>
                <w:color w:val="auto"/>
                <w:szCs w:val="21"/>
              </w:rPr>
            </w:pPr>
            <w:r>
              <w:rPr>
                <w:rFonts w:hint="eastAsia" w:ascii="宋体" w:hAnsi="宋体" w:eastAsia="宋体" w:cs="宋体"/>
                <w:color w:val="auto"/>
                <w:szCs w:val="21"/>
              </w:rPr>
              <w:t>磋商小组的构成：</w:t>
            </w:r>
            <w:r>
              <w:rPr>
                <w:rFonts w:hint="eastAsia" w:ascii="宋体" w:hAnsi="宋体" w:cs="宋体"/>
                <w:color w:val="auto"/>
                <w:szCs w:val="21"/>
                <w:u w:val="single"/>
                <w:lang w:val="en-US" w:eastAsia="zh-CN"/>
              </w:rPr>
              <w:t xml:space="preserve"> </w:t>
            </w:r>
            <w:r>
              <w:rPr>
                <w:rFonts w:hint="eastAsia" w:ascii="宋体" w:hAnsi="宋体" w:eastAsia="宋体" w:cs="宋体"/>
                <w:color w:val="auto"/>
                <w:szCs w:val="21"/>
                <w:u w:val="single"/>
              </w:rPr>
              <w:t xml:space="preserve">3 </w:t>
            </w:r>
            <w:r>
              <w:rPr>
                <w:rFonts w:hint="eastAsia" w:ascii="宋体" w:hAnsi="宋体" w:eastAsia="宋体" w:cs="宋体"/>
                <w:color w:val="auto"/>
                <w:szCs w:val="21"/>
              </w:rPr>
              <w:t>人，</w:t>
            </w:r>
            <w:r>
              <w:rPr>
                <w:rFonts w:hint="eastAsia" w:ascii="宋体" w:hAnsi="宋体" w:cs="宋体"/>
                <w:color w:val="auto"/>
                <w:szCs w:val="21"/>
                <w:lang w:val="en-US" w:eastAsia="zh-CN"/>
              </w:rPr>
              <w:t>其中</w:t>
            </w:r>
            <w:r>
              <w:rPr>
                <w:rFonts w:hint="eastAsia" w:ascii="宋体" w:hAnsi="宋体" w:eastAsia="宋体" w:cs="宋体"/>
                <w:color w:val="auto"/>
                <w:szCs w:val="21"/>
              </w:rPr>
              <w:t>采购人代表</w:t>
            </w:r>
            <w:r>
              <w:rPr>
                <w:rFonts w:hint="eastAsia" w:ascii="宋体" w:hAnsi="宋体" w:eastAsia="宋体" w:cs="宋体"/>
                <w:color w:val="auto"/>
                <w:szCs w:val="21"/>
                <w:u w:val="single"/>
              </w:rPr>
              <w:t xml:space="preserve"> 1 </w:t>
            </w:r>
            <w:r>
              <w:rPr>
                <w:rFonts w:hint="eastAsia" w:ascii="宋体" w:hAnsi="宋体" w:eastAsia="宋体" w:cs="宋体"/>
                <w:color w:val="auto"/>
                <w:szCs w:val="21"/>
              </w:rPr>
              <w:t>人，</w:t>
            </w:r>
            <w:r>
              <w:rPr>
                <w:rFonts w:hint="eastAsia" w:ascii="宋体" w:hAnsi="宋体" w:cs="宋体"/>
                <w:color w:val="auto"/>
                <w:szCs w:val="21"/>
                <w:lang w:val="en-US" w:eastAsia="zh-CN"/>
              </w:rPr>
              <w:t>随机抽取</w:t>
            </w:r>
            <w:r>
              <w:rPr>
                <w:rFonts w:hint="eastAsia" w:ascii="宋体" w:hAnsi="宋体" w:eastAsia="宋体" w:cs="宋体"/>
                <w:color w:val="auto"/>
                <w:szCs w:val="21"/>
              </w:rPr>
              <w:t>专家</w:t>
            </w:r>
            <w:r>
              <w:rPr>
                <w:rFonts w:hint="eastAsia" w:ascii="宋体" w:hAnsi="宋体" w:eastAsia="宋体" w:cs="宋体"/>
                <w:color w:val="auto"/>
                <w:szCs w:val="21"/>
                <w:u w:val="single"/>
              </w:rPr>
              <w:t xml:space="preserve"> 2 </w:t>
            </w:r>
            <w:r>
              <w:rPr>
                <w:rFonts w:hint="eastAsia" w:ascii="宋体" w:hAnsi="宋体" w:eastAsia="宋体" w:cs="宋体"/>
                <w:color w:val="auto"/>
                <w:szCs w:val="21"/>
              </w:rPr>
              <w:t>人</w:t>
            </w:r>
          </w:p>
        </w:tc>
      </w:tr>
      <w:tr w14:paraId="72780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624" w:type="dxa"/>
            <w:vAlign w:val="center"/>
          </w:tcPr>
          <w:p w14:paraId="232661A7">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11</w:t>
            </w:r>
          </w:p>
        </w:tc>
        <w:tc>
          <w:tcPr>
            <w:tcW w:w="882" w:type="dxa"/>
            <w:vAlign w:val="center"/>
          </w:tcPr>
          <w:p w14:paraId="4CBE5DCA">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19.2</w:t>
            </w:r>
          </w:p>
        </w:tc>
        <w:tc>
          <w:tcPr>
            <w:tcW w:w="1646" w:type="dxa"/>
            <w:vAlign w:val="center"/>
          </w:tcPr>
          <w:p w14:paraId="6A586E37">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磋商时间、地点、人员</w:t>
            </w:r>
          </w:p>
        </w:tc>
        <w:tc>
          <w:tcPr>
            <w:tcW w:w="6362" w:type="dxa"/>
          </w:tcPr>
          <w:p w14:paraId="7677DA22">
            <w:pPr>
              <w:keepNext w:val="0"/>
              <w:keepLines w:val="0"/>
              <w:pageBreakBefore w:val="0"/>
              <w:widowControl w:val="0"/>
              <w:kinsoku/>
              <w:wordWrap/>
              <w:overflowPunct/>
              <w:topLinePunct w:val="0"/>
              <w:autoSpaceDE/>
              <w:autoSpaceDN/>
              <w:bidi w:val="0"/>
              <w:adjustRightInd/>
              <w:snapToGrid/>
              <w:spacing w:line="360" w:lineRule="auto"/>
              <w:ind w:left="315" w:hanging="315" w:hangingChars="150"/>
              <w:jc w:val="left"/>
              <w:textAlignment w:val="auto"/>
              <w:rPr>
                <w:rFonts w:hint="eastAsia" w:ascii="宋体" w:hAnsi="宋体" w:eastAsia="宋体" w:cs="宋体"/>
                <w:color w:val="auto"/>
                <w:szCs w:val="21"/>
              </w:rPr>
            </w:pPr>
            <w:r>
              <w:rPr>
                <w:rFonts w:hint="eastAsia" w:ascii="宋体" w:hAnsi="宋体" w:eastAsia="宋体" w:cs="宋体"/>
                <w:color w:val="auto"/>
                <w:szCs w:val="21"/>
              </w:rPr>
              <w:t>19.2.1磋商时间：</w:t>
            </w:r>
            <w:r>
              <w:rPr>
                <w:rFonts w:hint="eastAsia" w:ascii="宋体" w:hAnsi="宋体" w:cs="宋体"/>
                <w:color w:val="auto"/>
                <w:szCs w:val="21"/>
                <w:lang w:eastAsia="zh-CN"/>
              </w:rPr>
              <w:t>磋商文件</w:t>
            </w:r>
            <w:r>
              <w:rPr>
                <w:rFonts w:hint="eastAsia" w:ascii="宋体" w:hAnsi="宋体" w:eastAsia="宋体" w:cs="宋体"/>
                <w:color w:val="auto"/>
                <w:szCs w:val="21"/>
              </w:rPr>
              <w:t>递交截止时间后。</w:t>
            </w:r>
          </w:p>
          <w:p w14:paraId="6F9EBD9A">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rPr>
            </w:pPr>
            <w:r>
              <w:rPr>
                <w:rFonts w:hint="eastAsia" w:ascii="宋体" w:hAnsi="宋体" w:eastAsia="宋体" w:cs="宋体"/>
                <w:color w:val="auto"/>
                <w:szCs w:val="21"/>
              </w:rPr>
              <w:t>19.2.2磋商地点：本项目需要磋商供应商代表在截标当天截标后，按磋商小组要求及时登陆</w:t>
            </w:r>
            <w:r>
              <w:rPr>
                <w:rFonts w:hint="eastAsia" w:ascii="宋体" w:hAnsi="宋体" w:cs="宋体"/>
                <w:color w:val="auto"/>
                <w:szCs w:val="21"/>
                <w:lang w:eastAsia="zh-CN"/>
              </w:rPr>
              <w:t>广西政府采购云平台</w:t>
            </w:r>
            <w:r>
              <w:rPr>
                <w:rFonts w:hint="eastAsia" w:ascii="宋体" w:hAnsi="宋体" w:eastAsia="宋体" w:cs="宋体"/>
                <w:color w:val="auto"/>
                <w:szCs w:val="21"/>
              </w:rPr>
              <w:t>等候在线磋商。</w:t>
            </w:r>
          </w:p>
          <w:p w14:paraId="265B173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eastAsia="宋体" w:cs="宋体"/>
                <w:color w:val="auto"/>
                <w:szCs w:val="21"/>
              </w:rPr>
            </w:pPr>
            <w:r>
              <w:rPr>
                <w:rFonts w:hint="eastAsia" w:ascii="宋体" w:hAnsi="宋体" w:eastAsia="宋体" w:cs="宋体"/>
                <w:color w:val="auto"/>
                <w:szCs w:val="21"/>
              </w:rPr>
              <w:t>19.2.3磋商参加人员：供应商法定代表人、负责人、自然人或相应的委托代理人持有效身份证原件和供应商</w:t>
            </w:r>
            <w:r>
              <w:rPr>
                <w:rFonts w:hint="eastAsia" w:ascii="宋体" w:hAnsi="宋体" w:cs="宋体"/>
                <w:color w:val="auto"/>
                <w:szCs w:val="21"/>
                <w:lang w:eastAsia="zh-CN"/>
              </w:rPr>
              <w:t>广西政府采购云平台</w:t>
            </w:r>
            <w:r>
              <w:rPr>
                <w:rFonts w:hint="eastAsia" w:ascii="宋体" w:hAnsi="宋体" w:eastAsia="宋体" w:cs="宋体"/>
                <w:color w:val="auto"/>
                <w:szCs w:val="21"/>
              </w:rPr>
              <w:t>CA数字证书参加磋商。</w:t>
            </w:r>
            <w:r>
              <w:rPr>
                <w:rFonts w:hint="eastAsia" w:ascii="宋体" w:hAnsi="宋体" w:cs="宋体"/>
                <w:bCs/>
                <w:sz w:val="21"/>
                <w:szCs w:val="21"/>
              </w:rPr>
              <w:t>请供应商实时登陆“</w:t>
            </w:r>
            <w:r>
              <w:rPr>
                <w:rFonts w:hint="eastAsia" w:ascii="宋体" w:hAnsi="宋体" w:cs="宋体"/>
                <w:bCs/>
                <w:sz w:val="21"/>
                <w:szCs w:val="21"/>
                <w:lang w:eastAsia="zh-CN"/>
              </w:rPr>
              <w:t>广西政府采购云</w:t>
            </w:r>
            <w:r>
              <w:rPr>
                <w:rFonts w:hint="eastAsia" w:ascii="宋体" w:hAnsi="宋体" w:cs="宋体"/>
                <w:bCs/>
                <w:sz w:val="21"/>
                <w:szCs w:val="21"/>
              </w:rPr>
              <w:t>”平台等候在线磋商。</w:t>
            </w:r>
          </w:p>
          <w:p w14:paraId="4E374C7A">
            <w:pPr>
              <w:keepNext w:val="0"/>
              <w:keepLines w:val="0"/>
              <w:pageBreakBefore w:val="0"/>
              <w:widowControl w:val="0"/>
              <w:tabs>
                <w:tab w:val="left" w:pos="1140"/>
              </w:tabs>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Cs w:val="21"/>
              </w:rPr>
            </w:pPr>
            <w:r>
              <w:rPr>
                <w:rFonts w:hint="eastAsia" w:ascii="宋体" w:hAnsi="宋体" w:eastAsia="宋体" w:cs="宋体"/>
                <w:color w:val="auto"/>
                <w:szCs w:val="21"/>
              </w:rPr>
              <w:t>19.2.4</w:t>
            </w:r>
            <w:r>
              <w:rPr>
                <w:rFonts w:hint="eastAsia" w:ascii="宋体" w:hAnsi="宋体" w:cs="宋体"/>
                <w:color w:val="auto"/>
                <w:szCs w:val="21"/>
                <w:lang w:eastAsia="zh-CN"/>
              </w:rPr>
              <w:t>磋商文件</w:t>
            </w:r>
            <w:r>
              <w:rPr>
                <w:rFonts w:hint="eastAsia" w:ascii="宋体" w:hAnsi="宋体" w:eastAsia="宋体" w:cs="宋体"/>
                <w:color w:val="auto"/>
                <w:szCs w:val="21"/>
              </w:rPr>
              <w:t>递交截止时间后，由磋商小组在评标室内线上开启</w:t>
            </w:r>
            <w:r>
              <w:rPr>
                <w:rFonts w:hint="eastAsia" w:ascii="宋体" w:hAnsi="宋体" w:cs="宋体"/>
                <w:color w:val="auto"/>
                <w:szCs w:val="21"/>
                <w:lang w:eastAsia="zh-CN"/>
              </w:rPr>
              <w:t>磋商文件</w:t>
            </w:r>
            <w:r>
              <w:rPr>
                <w:rFonts w:hint="eastAsia" w:ascii="宋体" w:hAnsi="宋体" w:eastAsia="宋体" w:cs="宋体"/>
                <w:color w:val="auto"/>
                <w:szCs w:val="21"/>
              </w:rPr>
              <w:t>。</w:t>
            </w:r>
          </w:p>
        </w:tc>
      </w:tr>
      <w:tr w14:paraId="13277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24" w:type="dxa"/>
            <w:vAlign w:val="center"/>
          </w:tcPr>
          <w:p w14:paraId="1F47189C">
            <w:pPr>
              <w:spacing w:line="440" w:lineRule="exact"/>
              <w:jc w:val="center"/>
              <w:rPr>
                <w:rFonts w:hint="eastAsia" w:ascii="宋体" w:hAnsi="宋体" w:eastAsia="宋体" w:cs="宋体"/>
                <w:color w:val="auto"/>
                <w:szCs w:val="21"/>
              </w:rPr>
            </w:pPr>
            <w:r>
              <w:rPr>
                <w:rFonts w:hint="eastAsia" w:ascii="宋体" w:hAnsi="宋体" w:eastAsia="宋体" w:cs="宋体"/>
                <w:color w:val="auto"/>
                <w:kern w:val="0"/>
                <w:szCs w:val="21"/>
              </w:rPr>
              <w:t>12</w:t>
            </w:r>
          </w:p>
        </w:tc>
        <w:tc>
          <w:tcPr>
            <w:tcW w:w="882" w:type="dxa"/>
            <w:vAlign w:val="center"/>
          </w:tcPr>
          <w:p w14:paraId="3618B271">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20.2</w:t>
            </w:r>
          </w:p>
        </w:tc>
        <w:tc>
          <w:tcPr>
            <w:tcW w:w="1646" w:type="dxa"/>
            <w:vAlign w:val="center"/>
          </w:tcPr>
          <w:p w14:paraId="0B39CA18">
            <w:pPr>
              <w:pStyle w:val="14"/>
              <w:spacing w:line="440" w:lineRule="exact"/>
              <w:jc w:val="center"/>
              <w:rPr>
                <w:rFonts w:hint="eastAsia" w:ascii="宋体" w:hAnsi="宋体" w:eastAsia="宋体" w:cs="宋体"/>
                <w:color w:val="auto"/>
                <w:kern w:val="0"/>
                <w:szCs w:val="21"/>
              </w:rPr>
            </w:pPr>
            <w:r>
              <w:rPr>
                <w:rFonts w:hint="eastAsia" w:ascii="宋体" w:hAnsi="宋体" w:eastAsia="宋体" w:cs="宋体"/>
                <w:color w:val="auto"/>
                <w:kern w:val="0"/>
                <w:szCs w:val="21"/>
              </w:rPr>
              <w:t>评审办法</w:t>
            </w:r>
          </w:p>
        </w:tc>
        <w:tc>
          <w:tcPr>
            <w:tcW w:w="6362" w:type="dxa"/>
            <w:vAlign w:val="center"/>
          </w:tcPr>
          <w:p w14:paraId="5AC130B0">
            <w:pPr>
              <w:tabs>
                <w:tab w:val="left" w:pos="1140"/>
              </w:tabs>
              <w:spacing w:line="440" w:lineRule="exact"/>
              <w:rPr>
                <w:rFonts w:hint="eastAsia" w:ascii="宋体" w:hAnsi="宋体" w:eastAsia="宋体" w:cs="宋体"/>
                <w:color w:val="auto"/>
                <w:szCs w:val="21"/>
              </w:rPr>
            </w:pPr>
            <w:r>
              <w:rPr>
                <w:rFonts w:hint="eastAsia" w:ascii="宋体" w:hAnsi="宋体" w:eastAsia="宋体" w:cs="宋体"/>
                <w:color w:val="auto"/>
                <w:szCs w:val="21"/>
              </w:rPr>
              <w:t>具体详见第四章评审办法。</w:t>
            </w:r>
          </w:p>
        </w:tc>
      </w:tr>
      <w:tr w14:paraId="5ADDD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24" w:type="dxa"/>
            <w:vAlign w:val="center"/>
          </w:tcPr>
          <w:p w14:paraId="4DBDEE42">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13</w:t>
            </w:r>
          </w:p>
        </w:tc>
        <w:tc>
          <w:tcPr>
            <w:tcW w:w="882" w:type="dxa"/>
            <w:vAlign w:val="center"/>
          </w:tcPr>
          <w:p w14:paraId="46A0D8A9">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26</w:t>
            </w:r>
          </w:p>
        </w:tc>
        <w:tc>
          <w:tcPr>
            <w:tcW w:w="1646" w:type="dxa"/>
            <w:vAlign w:val="center"/>
          </w:tcPr>
          <w:p w14:paraId="6B4872E0">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信用查询</w:t>
            </w:r>
          </w:p>
        </w:tc>
        <w:tc>
          <w:tcPr>
            <w:tcW w:w="6362" w:type="dxa"/>
            <w:vAlign w:val="center"/>
          </w:tcPr>
          <w:p w14:paraId="6524C63D">
            <w:pPr>
              <w:spacing w:line="440" w:lineRule="exact"/>
              <w:ind w:left="15" w:hanging="14" w:hangingChars="7"/>
              <w:rPr>
                <w:rFonts w:hint="eastAsia" w:ascii="宋体" w:hAnsi="宋体" w:eastAsia="宋体" w:cs="宋体"/>
                <w:color w:val="auto"/>
                <w:szCs w:val="21"/>
              </w:rPr>
            </w:pPr>
            <w:r>
              <w:rPr>
                <w:rFonts w:hint="eastAsia" w:ascii="宋体" w:hAnsi="宋体" w:eastAsia="宋体" w:cs="宋体"/>
                <w:color w:val="auto"/>
                <w:szCs w:val="21"/>
              </w:rPr>
              <w:t>根据《关于做好政府采购有关信用主体标识码登记及在政府采购活动中查询使用信用记录有关问题的通知》（桂财采〔2016〕37），由采购代理机构对第一成交候选人进行信用查询：</w:t>
            </w:r>
          </w:p>
          <w:p w14:paraId="30BBCE63">
            <w:pPr>
              <w:spacing w:line="440" w:lineRule="exact"/>
              <w:ind w:left="15" w:hanging="14" w:hangingChars="7"/>
              <w:rPr>
                <w:rFonts w:hint="eastAsia" w:ascii="宋体" w:hAnsi="宋体" w:eastAsia="宋体" w:cs="宋体"/>
                <w:color w:val="auto"/>
                <w:szCs w:val="21"/>
              </w:rPr>
            </w:pPr>
            <w:r>
              <w:rPr>
                <w:rFonts w:hint="eastAsia" w:ascii="宋体" w:hAnsi="宋体" w:eastAsia="宋体" w:cs="宋体"/>
                <w:color w:val="auto"/>
                <w:szCs w:val="21"/>
              </w:rPr>
              <w:t>⑴查询渠道：“信用中国”网站(www.creditchina.gov.cn)、中国政府采购网(www.ccgp.gov.cn)等；</w:t>
            </w:r>
          </w:p>
          <w:p w14:paraId="36B1A1CE">
            <w:pPr>
              <w:spacing w:line="440" w:lineRule="exact"/>
              <w:ind w:left="315" w:hanging="315" w:hangingChars="150"/>
              <w:rPr>
                <w:rFonts w:hint="eastAsia" w:ascii="宋体" w:hAnsi="宋体" w:eastAsia="宋体" w:cs="宋体"/>
                <w:color w:val="auto"/>
                <w:szCs w:val="21"/>
              </w:rPr>
            </w:pPr>
            <w:r>
              <w:rPr>
                <w:rFonts w:hint="eastAsia" w:ascii="宋体" w:hAnsi="宋体" w:eastAsia="宋体" w:cs="宋体"/>
                <w:color w:val="auto"/>
                <w:szCs w:val="21"/>
              </w:rPr>
              <w:t>⑵查询时间：成交通知书发出前；</w:t>
            </w:r>
          </w:p>
          <w:p w14:paraId="4249DFA3">
            <w:pPr>
              <w:spacing w:line="440" w:lineRule="exact"/>
              <w:ind w:left="15" w:hanging="14" w:hangingChars="7"/>
              <w:rPr>
                <w:rFonts w:hint="eastAsia" w:ascii="宋体" w:hAnsi="宋体" w:eastAsia="宋体" w:cs="宋体"/>
                <w:color w:val="auto"/>
                <w:szCs w:val="21"/>
              </w:rPr>
            </w:pPr>
            <w:r>
              <w:rPr>
                <w:rFonts w:hint="eastAsia" w:ascii="宋体" w:hAnsi="宋体" w:eastAsia="宋体" w:cs="宋体"/>
                <w:color w:val="auto"/>
                <w:szCs w:val="21"/>
              </w:rPr>
              <w:t>⑶信用信息查询记录和证据留存方式：在查询网站中直接打印查询记录，打印材料作为采购活动资料保存；</w:t>
            </w:r>
          </w:p>
          <w:p w14:paraId="3507E686">
            <w:pPr>
              <w:spacing w:line="440" w:lineRule="exact"/>
              <w:ind w:left="15" w:hanging="14" w:hangingChars="7"/>
              <w:rPr>
                <w:rFonts w:hint="eastAsia" w:ascii="宋体" w:hAnsi="宋体" w:eastAsia="宋体" w:cs="宋体"/>
                <w:color w:val="auto"/>
                <w:szCs w:val="21"/>
              </w:rPr>
            </w:pPr>
            <w:r>
              <w:rPr>
                <w:rFonts w:hint="eastAsia" w:ascii="宋体" w:hAnsi="宋体" w:eastAsia="宋体" w:cs="宋体"/>
                <w:color w:val="auto"/>
                <w:szCs w:val="21"/>
              </w:rPr>
              <w:t>⑷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取消其成交候选人资格。采购人依法按照评审报告中磋商小组推荐成交候选人排序表确定排名第二的成交候选人为成交供应商或者重新组织采购。</w:t>
            </w:r>
          </w:p>
        </w:tc>
      </w:tr>
      <w:tr w14:paraId="46EE4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624" w:type="dxa"/>
            <w:vAlign w:val="center"/>
          </w:tcPr>
          <w:p w14:paraId="1A07C5B0">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14</w:t>
            </w:r>
          </w:p>
        </w:tc>
        <w:tc>
          <w:tcPr>
            <w:tcW w:w="882" w:type="dxa"/>
            <w:vAlign w:val="center"/>
          </w:tcPr>
          <w:p w14:paraId="0875D730">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27</w:t>
            </w:r>
          </w:p>
        </w:tc>
        <w:tc>
          <w:tcPr>
            <w:tcW w:w="1646" w:type="dxa"/>
            <w:vAlign w:val="center"/>
          </w:tcPr>
          <w:p w14:paraId="19BE8AA7">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成交结果公告</w:t>
            </w:r>
          </w:p>
          <w:p w14:paraId="450472BD">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及成交通知书</w:t>
            </w:r>
          </w:p>
        </w:tc>
        <w:tc>
          <w:tcPr>
            <w:tcW w:w="6362" w:type="dxa"/>
          </w:tcPr>
          <w:p w14:paraId="157AD265">
            <w:pPr>
              <w:spacing w:line="440" w:lineRule="exact"/>
              <w:rPr>
                <w:rFonts w:hint="eastAsia" w:ascii="宋体" w:hAnsi="宋体" w:eastAsia="宋体" w:cs="宋体"/>
                <w:color w:val="auto"/>
                <w:szCs w:val="21"/>
              </w:rPr>
            </w:pPr>
            <w:r>
              <w:rPr>
                <w:rFonts w:hint="eastAsia" w:ascii="宋体" w:hAnsi="宋体" w:eastAsia="宋体" w:cs="宋体"/>
                <w:color w:val="auto"/>
                <w:szCs w:val="21"/>
              </w:rPr>
              <w:t>27.1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3DA17889">
            <w:pPr>
              <w:spacing w:line="440" w:lineRule="exact"/>
              <w:rPr>
                <w:rFonts w:hint="eastAsia" w:ascii="宋体" w:hAnsi="宋体" w:eastAsia="宋体" w:cs="宋体"/>
                <w:color w:val="auto"/>
                <w:szCs w:val="21"/>
              </w:rPr>
            </w:pPr>
            <w:r>
              <w:rPr>
                <w:rFonts w:hint="eastAsia" w:ascii="宋体" w:hAnsi="宋体" w:eastAsia="宋体" w:cs="宋体"/>
                <w:color w:val="auto"/>
                <w:szCs w:val="21"/>
              </w:rPr>
              <w:t>27.2在发布成交公告的同时，采购代理机构向成交供应商发出成交通知书。成交供应商自接到通知之日起七个工作日内，办理成交通知书领取手续。</w:t>
            </w:r>
          </w:p>
        </w:tc>
      </w:tr>
      <w:tr w14:paraId="0B22F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jc w:val="center"/>
        </w:trPr>
        <w:tc>
          <w:tcPr>
            <w:tcW w:w="624" w:type="dxa"/>
            <w:vAlign w:val="center"/>
          </w:tcPr>
          <w:p w14:paraId="71427D04">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15</w:t>
            </w:r>
          </w:p>
        </w:tc>
        <w:tc>
          <w:tcPr>
            <w:tcW w:w="882" w:type="dxa"/>
            <w:vAlign w:val="center"/>
          </w:tcPr>
          <w:p w14:paraId="3D0FFCB5">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28</w:t>
            </w:r>
          </w:p>
        </w:tc>
        <w:tc>
          <w:tcPr>
            <w:tcW w:w="1646" w:type="dxa"/>
            <w:vAlign w:val="center"/>
          </w:tcPr>
          <w:p w14:paraId="418E8FB5">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履约保证金</w:t>
            </w:r>
          </w:p>
        </w:tc>
        <w:tc>
          <w:tcPr>
            <w:tcW w:w="6362" w:type="dxa"/>
            <w:vAlign w:val="center"/>
          </w:tcPr>
          <w:p w14:paraId="0453B51E">
            <w:pPr>
              <w:spacing w:line="440" w:lineRule="exact"/>
              <w:rPr>
                <w:rFonts w:hint="eastAsia" w:ascii="宋体" w:hAnsi="宋体" w:eastAsia="宋体" w:cs="宋体"/>
                <w:color w:val="auto"/>
                <w:szCs w:val="21"/>
              </w:rPr>
            </w:pPr>
            <w:r>
              <w:rPr>
                <w:rFonts w:hint="eastAsia" w:ascii="宋体" w:hAnsi="宋体" w:eastAsia="宋体" w:cs="宋体"/>
                <w:color w:val="auto"/>
                <w:szCs w:val="21"/>
              </w:rPr>
              <w:t>本项目免收履约保证金。</w:t>
            </w:r>
          </w:p>
        </w:tc>
      </w:tr>
      <w:tr w14:paraId="6C74E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24" w:type="dxa"/>
            <w:vAlign w:val="center"/>
          </w:tcPr>
          <w:p w14:paraId="520D8716">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16</w:t>
            </w:r>
          </w:p>
        </w:tc>
        <w:tc>
          <w:tcPr>
            <w:tcW w:w="882" w:type="dxa"/>
            <w:vAlign w:val="center"/>
          </w:tcPr>
          <w:p w14:paraId="13C0EAD6">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29.1</w:t>
            </w:r>
          </w:p>
        </w:tc>
        <w:tc>
          <w:tcPr>
            <w:tcW w:w="1646" w:type="dxa"/>
            <w:vAlign w:val="center"/>
          </w:tcPr>
          <w:p w14:paraId="211366E7">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签订合同时间</w:t>
            </w:r>
          </w:p>
        </w:tc>
        <w:tc>
          <w:tcPr>
            <w:tcW w:w="6362" w:type="dxa"/>
          </w:tcPr>
          <w:p w14:paraId="1CB4C072">
            <w:pPr>
              <w:spacing w:line="440" w:lineRule="exact"/>
              <w:rPr>
                <w:rFonts w:hint="eastAsia" w:ascii="宋体" w:hAnsi="宋体" w:eastAsia="宋体" w:cs="宋体"/>
                <w:color w:val="auto"/>
                <w:szCs w:val="21"/>
              </w:rPr>
            </w:pPr>
            <w:r>
              <w:rPr>
                <w:rFonts w:hAnsi="宋体"/>
                <w:b w:val="0"/>
                <w:bCs w:val="0"/>
                <w:color w:val="auto"/>
                <w:szCs w:val="21"/>
              </w:rPr>
              <w:t>成交通知书发出之日起</w:t>
            </w:r>
            <w:r>
              <w:rPr>
                <w:rFonts w:hint="eastAsia" w:hAnsi="宋体"/>
                <w:b w:val="0"/>
                <w:bCs w:val="0"/>
                <w:color w:val="auto"/>
                <w:szCs w:val="21"/>
                <w:lang w:val="en-US" w:eastAsia="zh-CN"/>
              </w:rPr>
              <w:t>25</w:t>
            </w:r>
            <w:r>
              <w:rPr>
                <w:rFonts w:hAnsi="宋体"/>
                <w:b w:val="0"/>
                <w:bCs w:val="0"/>
                <w:color w:val="auto"/>
                <w:szCs w:val="21"/>
              </w:rPr>
              <w:t>日内</w:t>
            </w:r>
          </w:p>
        </w:tc>
      </w:tr>
      <w:tr w14:paraId="703D5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24" w:type="dxa"/>
            <w:vAlign w:val="center"/>
          </w:tcPr>
          <w:p w14:paraId="4DE7064D">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17</w:t>
            </w:r>
          </w:p>
        </w:tc>
        <w:tc>
          <w:tcPr>
            <w:tcW w:w="882" w:type="dxa"/>
            <w:vAlign w:val="center"/>
          </w:tcPr>
          <w:p w14:paraId="1737C024">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29.3</w:t>
            </w:r>
          </w:p>
        </w:tc>
        <w:tc>
          <w:tcPr>
            <w:tcW w:w="1646" w:type="dxa"/>
            <w:vAlign w:val="center"/>
          </w:tcPr>
          <w:p w14:paraId="6B1AD6AE">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合同备案存档</w:t>
            </w:r>
          </w:p>
        </w:tc>
        <w:tc>
          <w:tcPr>
            <w:tcW w:w="6362" w:type="dxa"/>
            <w:vAlign w:val="center"/>
          </w:tcPr>
          <w:p w14:paraId="7322E3FD">
            <w:pPr>
              <w:spacing w:line="440" w:lineRule="exact"/>
              <w:rPr>
                <w:rFonts w:hint="eastAsia" w:ascii="宋体" w:hAnsi="宋体" w:eastAsia="宋体" w:cs="宋体"/>
                <w:color w:val="auto"/>
                <w:szCs w:val="21"/>
              </w:rPr>
            </w:pPr>
            <w:r>
              <w:rPr>
                <w:rFonts w:hAnsi="宋体"/>
                <w:color w:val="auto"/>
              </w:rPr>
              <w:t>政府采购合同双方自签订之日起</w:t>
            </w:r>
            <w:r>
              <w:rPr>
                <w:color w:val="auto"/>
              </w:rPr>
              <w:t>1</w:t>
            </w:r>
            <w:r>
              <w:rPr>
                <w:rFonts w:hAnsi="宋体"/>
                <w:color w:val="auto"/>
              </w:rPr>
              <w:t>个工作日内将合同原件两份交采购代理机构。采购代理机构</w:t>
            </w:r>
            <w:r>
              <w:rPr>
                <w:rFonts w:hint="eastAsia" w:hAnsi="宋体"/>
                <w:color w:val="auto"/>
                <w:lang w:eastAsia="zh-CN"/>
              </w:rPr>
              <w:t>在</w:t>
            </w:r>
            <w:r>
              <w:rPr>
                <w:rFonts w:hint="eastAsia" w:hAnsi="宋体"/>
                <w:color w:val="auto"/>
                <w:lang w:val="en-US" w:eastAsia="zh-CN"/>
              </w:rPr>
              <w:t>2个工作日内</w:t>
            </w:r>
            <w:r>
              <w:rPr>
                <w:rFonts w:hAnsi="宋体"/>
                <w:color w:val="auto"/>
              </w:rPr>
              <w:t>将政府采购合同在省级以上人民政府财政部门指定媒体上公告并于合同签订之日起</w:t>
            </w:r>
            <w:r>
              <w:rPr>
                <w:color w:val="auto"/>
              </w:rPr>
              <w:t>7</w:t>
            </w:r>
            <w:r>
              <w:rPr>
                <w:rFonts w:hAnsi="宋体"/>
                <w:color w:val="auto"/>
              </w:rPr>
              <w:t>个工作日内将一份合同原件送</w:t>
            </w:r>
            <w:r>
              <w:rPr>
                <w:rFonts w:hint="eastAsia" w:hAnsi="宋体" w:cs="Times New Roman"/>
                <w:color w:val="auto"/>
                <w:lang w:val="zh-CN" w:eastAsia="zh-CN"/>
              </w:rPr>
              <w:t>钦北区政府</w:t>
            </w:r>
            <w:r>
              <w:rPr>
                <w:rFonts w:hint="eastAsia" w:hAnsi="宋体"/>
                <w:color w:val="auto"/>
                <w:lang w:eastAsia="zh-CN"/>
              </w:rPr>
              <w:t>采购管理办公室</w:t>
            </w:r>
            <w:r>
              <w:rPr>
                <w:rFonts w:hAnsi="宋体"/>
                <w:color w:val="auto"/>
              </w:rPr>
              <w:t>备案，一份由采购代理机构存档。</w:t>
            </w:r>
          </w:p>
        </w:tc>
      </w:tr>
      <w:tr w14:paraId="76DCE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24" w:type="dxa"/>
            <w:vAlign w:val="center"/>
          </w:tcPr>
          <w:p w14:paraId="574441D9">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18</w:t>
            </w:r>
          </w:p>
        </w:tc>
        <w:tc>
          <w:tcPr>
            <w:tcW w:w="882" w:type="dxa"/>
            <w:vAlign w:val="center"/>
          </w:tcPr>
          <w:p w14:paraId="6BBFFAC0">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30</w:t>
            </w:r>
          </w:p>
        </w:tc>
        <w:tc>
          <w:tcPr>
            <w:tcW w:w="1646" w:type="dxa"/>
            <w:vAlign w:val="center"/>
          </w:tcPr>
          <w:p w14:paraId="1C0AD469">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采购代理服务费</w:t>
            </w:r>
          </w:p>
        </w:tc>
        <w:tc>
          <w:tcPr>
            <w:tcW w:w="6362" w:type="dxa"/>
          </w:tcPr>
          <w:p w14:paraId="5D2C6BB4">
            <w:pPr>
              <w:spacing w:line="440" w:lineRule="exact"/>
              <w:rPr>
                <w:rFonts w:hint="eastAsia" w:ascii="宋体" w:hAnsi="宋体" w:eastAsia="宋体" w:cs="宋体"/>
                <w:color w:val="auto"/>
                <w:szCs w:val="21"/>
              </w:rPr>
            </w:pPr>
            <w:r>
              <w:rPr>
                <w:rFonts w:hAnsi="宋体"/>
                <w:color w:val="auto"/>
              </w:rPr>
              <w:t>成交供应商领取成交通知书前，</w:t>
            </w:r>
            <w:r>
              <w:rPr>
                <w:rFonts w:hAnsi="宋体"/>
                <w:color w:val="auto"/>
                <w:szCs w:val="21"/>
              </w:rPr>
              <w:t>参照</w:t>
            </w:r>
            <w:r>
              <w:rPr>
                <w:rFonts w:hint="eastAsia" w:ascii="新宋体" w:hAnsi="新宋体" w:eastAsia="新宋体" w:cs="新宋体"/>
                <w:color w:val="000000"/>
                <w:sz w:val="21"/>
                <w:szCs w:val="21"/>
              </w:rPr>
              <w:t>根据《钦州市人民政府办公室关于财政性资金投资项目其他费用预算管理有关问题的通知》（钦政办〔2025〕4号</w:t>
            </w:r>
            <w:r>
              <w:rPr>
                <w:rFonts w:hint="eastAsia" w:ascii="新宋体" w:hAnsi="新宋体" w:eastAsia="新宋体" w:cs="新宋体"/>
                <w:color w:val="000000"/>
                <w:sz w:val="21"/>
                <w:szCs w:val="21"/>
                <w:lang w:val="en-US" w:eastAsia="zh-CN"/>
              </w:rPr>
              <w:t>收取</w:t>
            </w:r>
            <w:r>
              <w:rPr>
                <w:rFonts w:hint="eastAsia" w:ascii="新宋体" w:hAnsi="新宋体" w:eastAsia="新宋体" w:cs="新宋体"/>
                <w:color w:val="000000"/>
                <w:sz w:val="21"/>
                <w:szCs w:val="21"/>
              </w:rPr>
              <w:t>招标代理费</w:t>
            </w:r>
            <w:r>
              <w:rPr>
                <w:rFonts w:hint="eastAsia" w:ascii="新宋体" w:hAnsi="新宋体" w:eastAsia="新宋体" w:cs="新宋体"/>
                <w:color w:val="000000"/>
                <w:sz w:val="21"/>
                <w:szCs w:val="21"/>
                <w:lang w:val="en-US" w:eastAsia="zh-CN"/>
              </w:rPr>
              <w:t>及</w:t>
            </w:r>
            <w:r>
              <w:rPr>
                <w:rFonts w:hint="eastAsia" w:ascii="新宋体" w:hAnsi="新宋体" w:eastAsia="新宋体" w:cs="新宋体"/>
                <w:color w:val="000000"/>
                <w:sz w:val="21"/>
                <w:szCs w:val="21"/>
              </w:rPr>
              <w:t>造价咨询费</w:t>
            </w:r>
            <w:r>
              <w:rPr>
                <w:rFonts w:hint="eastAsia" w:hAnsi="宋体"/>
                <w:color w:val="auto"/>
              </w:rPr>
              <w:t>。</w:t>
            </w:r>
          </w:p>
        </w:tc>
      </w:tr>
      <w:tr w14:paraId="5F1FC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24" w:type="dxa"/>
            <w:vAlign w:val="center"/>
          </w:tcPr>
          <w:p w14:paraId="796FC857">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19</w:t>
            </w:r>
          </w:p>
        </w:tc>
        <w:tc>
          <w:tcPr>
            <w:tcW w:w="882" w:type="dxa"/>
            <w:vAlign w:val="center"/>
          </w:tcPr>
          <w:p w14:paraId="5A914093">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31</w:t>
            </w:r>
          </w:p>
        </w:tc>
        <w:tc>
          <w:tcPr>
            <w:tcW w:w="1646" w:type="dxa"/>
            <w:vAlign w:val="center"/>
          </w:tcPr>
          <w:p w14:paraId="5C4ACC07">
            <w:pPr>
              <w:spacing w:line="440" w:lineRule="exact"/>
              <w:jc w:val="center"/>
              <w:rPr>
                <w:rFonts w:hint="eastAsia" w:ascii="宋体" w:hAnsi="宋体" w:eastAsia="宋体" w:cs="宋体"/>
                <w:color w:val="auto"/>
                <w:szCs w:val="21"/>
              </w:rPr>
            </w:pPr>
            <w:r>
              <w:rPr>
                <w:rFonts w:hint="eastAsia" w:ascii="宋体" w:hAnsi="宋体" w:eastAsia="宋体" w:cs="宋体"/>
                <w:color w:val="auto"/>
                <w:szCs w:val="21"/>
              </w:rPr>
              <w:t>解释权</w:t>
            </w:r>
          </w:p>
        </w:tc>
        <w:tc>
          <w:tcPr>
            <w:tcW w:w="6362" w:type="dxa"/>
          </w:tcPr>
          <w:p w14:paraId="3E2F3FBD">
            <w:pPr>
              <w:spacing w:line="440" w:lineRule="exact"/>
              <w:rPr>
                <w:rFonts w:hint="eastAsia" w:ascii="宋体" w:hAnsi="宋体" w:eastAsia="宋体" w:cs="宋体"/>
                <w:color w:val="auto"/>
                <w:szCs w:val="21"/>
              </w:rPr>
            </w:pPr>
            <w:r>
              <w:rPr>
                <w:rFonts w:hint="eastAsia" w:ascii="宋体" w:hAnsi="宋体" w:eastAsia="宋体" w:cs="宋体"/>
                <w:color w:val="auto"/>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tc>
      </w:tr>
      <w:tr w14:paraId="72194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24" w:type="dxa"/>
            <w:vAlign w:val="center"/>
          </w:tcPr>
          <w:p w14:paraId="420A3B66">
            <w:pPr>
              <w:spacing w:line="44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20</w:t>
            </w:r>
          </w:p>
        </w:tc>
        <w:tc>
          <w:tcPr>
            <w:tcW w:w="882" w:type="dxa"/>
            <w:vAlign w:val="center"/>
          </w:tcPr>
          <w:p w14:paraId="47DB14D7">
            <w:pPr>
              <w:spacing w:line="440" w:lineRule="exact"/>
              <w:jc w:val="center"/>
              <w:rPr>
                <w:rFonts w:hint="eastAsia" w:ascii="宋体" w:hAnsi="宋体" w:eastAsia="宋体" w:cs="宋体"/>
                <w:color w:val="auto"/>
                <w:szCs w:val="21"/>
              </w:rPr>
            </w:pPr>
          </w:p>
        </w:tc>
        <w:tc>
          <w:tcPr>
            <w:tcW w:w="1646" w:type="dxa"/>
            <w:vAlign w:val="center"/>
          </w:tcPr>
          <w:p w14:paraId="5680AA8A">
            <w:pPr>
              <w:spacing w:line="440" w:lineRule="exact"/>
              <w:jc w:val="center"/>
              <w:rPr>
                <w:rFonts w:hint="default" w:ascii="宋体" w:hAnsi="宋体" w:eastAsia="宋体" w:cs="宋体"/>
                <w:color w:val="auto"/>
                <w:szCs w:val="21"/>
                <w:lang w:val="en-US" w:eastAsia="zh-CN"/>
              </w:rPr>
            </w:pPr>
            <w:r>
              <w:rPr>
                <w:rFonts w:hint="eastAsia" w:ascii="宋体" w:hAnsi="宋体" w:cs="宋体"/>
                <w:color w:val="auto"/>
                <w:szCs w:val="21"/>
                <w:lang w:val="en-US" w:eastAsia="zh-CN"/>
              </w:rPr>
              <w:t>中小企业</w:t>
            </w:r>
          </w:p>
        </w:tc>
        <w:tc>
          <w:tcPr>
            <w:tcW w:w="6362" w:type="dxa"/>
          </w:tcPr>
          <w:p w14:paraId="0C1935C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rPr>
              <w:t>本项目的工程施工所属行业为</w:t>
            </w:r>
            <w:r>
              <w:rPr>
                <w:rFonts w:hint="eastAsia"/>
                <w:lang w:eastAsia="zh-CN"/>
              </w:rPr>
              <w:t>：</w:t>
            </w:r>
            <w:r>
              <w:rPr>
                <w:rFonts w:hint="eastAsia"/>
                <w:u w:val="single"/>
              </w:rPr>
              <w:t>建筑业</w:t>
            </w:r>
            <w:r>
              <w:rPr>
                <w:rFonts w:hint="eastAsia"/>
                <w:lang w:eastAsia="zh-CN"/>
              </w:rPr>
              <w:t>。</w:t>
            </w:r>
          </w:p>
          <w:p w14:paraId="528CF21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新宋体" w:hAnsi="新宋体" w:eastAsia="新宋体" w:cs="新宋体"/>
                <w:lang w:eastAsia="zh-CN"/>
              </w:rPr>
            </w:pPr>
            <w:r>
              <w:rPr>
                <w:rFonts w:hint="eastAsia" w:ascii="新宋体" w:hAnsi="新宋体" w:eastAsia="新宋体" w:cs="新宋体"/>
                <w:lang w:eastAsia="zh-CN"/>
              </w:rPr>
              <w:t>根据《关于印发中小企业划型标准规定的通知》（工信部联企业〔2011〕300 号）的规定，与本项目有关的行业中小企业划型标准：</w:t>
            </w:r>
          </w:p>
          <w:p w14:paraId="02FED8C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lang w:eastAsia="zh-CN"/>
              </w:rPr>
            </w:pPr>
            <w:r>
              <w:rPr>
                <w:rFonts w:hint="eastAsia" w:ascii="新宋体" w:hAnsi="新宋体" w:eastAsia="新宋体" w:cs="新宋体"/>
                <w:lang w:eastAsia="zh-CN"/>
              </w:rPr>
              <w:t>建筑业：营业收入 80000 万元以下或资产总额 80000 万元以下的为中小微型企业。其中，营业收入 6000 万元及以上，且资产总额 5000 万元及以上的为中型企业；营业收入 300 万元及以上，且资产总额 300 万元及以上的为小型企业；营业收入 300 万元以下或资产总额 300 万元以下的为微型企业。</w:t>
            </w:r>
          </w:p>
        </w:tc>
      </w:tr>
      <w:tr w14:paraId="47073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624" w:type="dxa"/>
            <w:vAlign w:val="center"/>
          </w:tcPr>
          <w:p w14:paraId="41873FAF">
            <w:pPr>
              <w:spacing w:line="440" w:lineRule="exact"/>
              <w:jc w:val="center"/>
              <w:rPr>
                <w:rFonts w:hint="default" w:ascii="宋体" w:hAnsi="宋体" w:cs="宋体"/>
                <w:color w:val="auto"/>
                <w:szCs w:val="21"/>
                <w:lang w:val="en-US" w:eastAsia="zh-CN"/>
              </w:rPr>
            </w:pPr>
            <w:r>
              <w:rPr>
                <w:rFonts w:hint="eastAsia" w:ascii="宋体" w:hAnsi="宋体" w:cs="宋体"/>
                <w:color w:val="auto"/>
                <w:szCs w:val="21"/>
                <w:lang w:val="en-US" w:eastAsia="zh-CN"/>
              </w:rPr>
              <w:t>21</w:t>
            </w:r>
          </w:p>
        </w:tc>
        <w:tc>
          <w:tcPr>
            <w:tcW w:w="882" w:type="dxa"/>
            <w:vAlign w:val="center"/>
          </w:tcPr>
          <w:p w14:paraId="63E50DDE">
            <w:pPr>
              <w:spacing w:line="440" w:lineRule="exact"/>
              <w:jc w:val="center"/>
              <w:rPr>
                <w:rFonts w:hint="eastAsia" w:ascii="宋体" w:hAnsi="宋体" w:eastAsia="宋体" w:cs="宋体"/>
                <w:color w:val="auto"/>
                <w:szCs w:val="21"/>
              </w:rPr>
            </w:pPr>
          </w:p>
        </w:tc>
        <w:tc>
          <w:tcPr>
            <w:tcW w:w="1646" w:type="dxa"/>
            <w:vAlign w:val="center"/>
          </w:tcPr>
          <w:p w14:paraId="116E9C02">
            <w:pPr>
              <w:spacing w:line="440" w:lineRule="exact"/>
              <w:jc w:val="center"/>
              <w:rPr>
                <w:rFonts w:hint="default" w:ascii="宋体" w:hAnsi="宋体" w:cs="宋体"/>
                <w:color w:val="auto"/>
                <w:szCs w:val="21"/>
                <w:lang w:val="en-US" w:eastAsia="zh-CN"/>
              </w:rPr>
            </w:pPr>
            <w:r>
              <w:rPr>
                <w:rFonts w:hint="eastAsia" w:ascii="宋体" w:hAnsi="宋体" w:cs="宋体"/>
                <w:color w:val="auto"/>
                <w:szCs w:val="21"/>
                <w:lang w:val="en-US" w:eastAsia="zh-CN"/>
              </w:rPr>
              <w:t>政采贷</w:t>
            </w:r>
          </w:p>
        </w:tc>
        <w:tc>
          <w:tcPr>
            <w:tcW w:w="6362" w:type="dxa"/>
          </w:tcPr>
          <w:p w14:paraId="690670A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新宋体" w:hAnsi="新宋体" w:eastAsia="新宋体" w:cs="新宋体"/>
                <w:lang w:eastAsia="zh-CN"/>
              </w:rPr>
            </w:pPr>
            <w:r>
              <w:rPr>
                <w:rFonts w:hint="eastAsia" w:ascii="新宋体" w:hAnsi="新宋体" w:eastAsia="新宋体" w:cs="新宋体"/>
                <w:lang w:eastAsia="zh-CN"/>
              </w:rPr>
              <w:t>供应商可凭中标（成交）通知书或政府采购合同等相关材料、信息，通过中征应收账款融资服务平台向银行业金融机构在线申请“政采贷”融资</w:t>
            </w:r>
          </w:p>
        </w:tc>
      </w:tr>
    </w:tbl>
    <w:p w14:paraId="77303CE6">
      <w:pPr>
        <w:rPr>
          <w:rFonts w:hint="eastAsia" w:ascii="宋体" w:hAnsi="宋体" w:eastAsia="宋体" w:cs="宋体"/>
          <w:b/>
          <w:color w:val="auto"/>
          <w:szCs w:val="28"/>
        </w:rPr>
      </w:pPr>
    </w:p>
    <w:p w14:paraId="17CFF76D">
      <w:pPr>
        <w:rPr>
          <w:rFonts w:hint="eastAsia" w:ascii="宋体" w:hAnsi="宋体" w:eastAsia="宋体" w:cs="宋体"/>
          <w:b/>
          <w:bCs w:val="0"/>
          <w:color w:val="auto"/>
          <w:szCs w:val="28"/>
        </w:rPr>
      </w:pPr>
      <w:bookmarkStart w:id="50" w:name="_Toc22792"/>
      <w:bookmarkStart w:id="51" w:name="_Toc22246"/>
      <w:r>
        <w:rPr>
          <w:rFonts w:hint="eastAsia" w:ascii="宋体" w:hAnsi="宋体" w:eastAsia="宋体" w:cs="宋体"/>
          <w:b/>
          <w:bCs w:val="0"/>
          <w:color w:val="auto"/>
          <w:szCs w:val="28"/>
        </w:rPr>
        <w:br w:type="page"/>
      </w:r>
    </w:p>
    <w:p w14:paraId="6176E3E3">
      <w:pPr>
        <w:pStyle w:val="4"/>
        <w:tabs>
          <w:tab w:val="left" w:pos="567"/>
        </w:tabs>
        <w:spacing w:line="440" w:lineRule="exact"/>
        <w:jc w:val="center"/>
        <w:rPr>
          <w:rFonts w:hint="eastAsia" w:ascii="宋体" w:hAnsi="宋体" w:eastAsia="宋体" w:cs="宋体"/>
          <w:b/>
          <w:bCs w:val="0"/>
          <w:color w:val="auto"/>
          <w:szCs w:val="28"/>
        </w:rPr>
      </w:pPr>
      <w:r>
        <w:rPr>
          <w:rFonts w:hint="eastAsia" w:ascii="宋体" w:hAnsi="宋体" w:eastAsia="宋体" w:cs="宋体"/>
          <w:b/>
          <w:bCs w:val="0"/>
          <w:color w:val="auto"/>
          <w:szCs w:val="28"/>
        </w:rPr>
        <w:t>一、总则</w:t>
      </w:r>
      <w:bookmarkEnd w:id="50"/>
      <w:bookmarkEnd w:id="51"/>
    </w:p>
    <w:p w14:paraId="255E6ED4">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52" w:name="_Toc6626"/>
      <w:bookmarkStart w:id="53" w:name="_Toc17238"/>
      <w:r>
        <w:rPr>
          <w:rFonts w:hint="eastAsia" w:ascii="新宋体" w:hAnsi="新宋体" w:eastAsia="新宋体" w:cs="新宋体"/>
          <w:color w:val="auto"/>
          <w:spacing w:val="0"/>
          <w:sz w:val="21"/>
          <w:szCs w:val="21"/>
        </w:rPr>
        <w:t>1. 适应范围</w:t>
      </w:r>
      <w:bookmarkEnd w:id="52"/>
      <w:bookmarkEnd w:id="53"/>
    </w:p>
    <w:p w14:paraId="246D9464">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1.1项目名称及项目编号：详见供应商须知前附表。</w:t>
      </w:r>
    </w:p>
    <w:p w14:paraId="12B78006">
      <w:pPr>
        <w:spacing w:line="440" w:lineRule="exact"/>
        <w:ind w:firstLine="411" w:firstLineChars="196"/>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1.2本竞争性磋商文件（以下简称磋商文件）适用于本磋商项目的磋商、评审、合同履约、验收、付款等行为（法律、法规另有规定的，从其规定）。</w:t>
      </w:r>
    </w:p>
    <w:p w14:paraId="4FF84064">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54" w:name="_Toc29360"/>
      <w:bookmarkStart w:id="55" w:name="_Toc28336"/>
      <w:r>
        <w:rPr>
          <w:rFonts w:hint="eastAsia" w:ascii="新宋体" w:hAnsi="新宋体" w:eastAsia="新宋体" w:cs="新宋体"/>
          <w:color w:val="auto"/>
          <w:spacing w:val="0"/>
          <w:sz w:val="21"/>
          <w:szCs w:val="21"/>
        </w:rPr>
        <w:t>2. 定义</w:t>
      </w:r>
      <w:bookmarkEnd w:id="54"/>
      <w:bookmarkEnd w:id="55"/>
    </w:p>
    <w:p w14:paraId="6BD79700">
      <w:pPr>
        <w:spacing w:line="44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2.1“供应商”是指符合本次采购项目的供应商资格并提交</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、参加磋商的供应商。如果该供应商在本次磋商中成交，即成为“成交供应商”。</w:t>
      </w:r>
    </w:p>
    <w:p w14:paraId="13F6943A">
      <w:pPr>
        <w:spacing w:line="44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2.2“货物”系指按磋商文件规定，供应商须向采购人提供的一切设备、保险、税金、备品备件、工具、手册及其它有关技术资料和材料。</w:t>
      </w:r>
    </w:p>
    <w:p w14:paraId="78089210">
      <w:pPr>
        <w:spacing w:line="44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2.3“服务”系指按磋商文件规定，供应商须承担的安装、调试、技术协助、校准、培训、技术指导以及其他类似的义务。</w:t>
      </w:r>
    </w:p>
    <w:p w14:paraId="2C5B0CE1">
      <w:pPr>
        <w:spacing w:line="44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2.4“项目”系指供应商按磋商文件规定向采购人提供的货物和服务。</w:t>
      </w:r>
    </w:p>
    <w:p w14:paraId="11EF1EB0">
      <w:pPr>
        <w:spacing w:line="44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2.5“书面形式”包括信函、传真、电报等。</w:t>
      </w:r>
    </w:p>
    <w:p w14:paraId="3E54D8F9">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56" w:name="_Toc25441"/>
      <w:bookmarkStart w:id="57" w:name="_Toc6608"/>
      <w:r>
        <w:rPr>
          <w:rFonts w:hint="eastAsia" w:ascii="新宋体" w:hAnsi="新宋体" w:eastAsia="新宋体" w:cs="新宋体"/>
          <w:color w:val="auto"/>
          <w:spacing w:val="0"/>
          <w:sz w:val="21"/>
          <w:szCs w:val="21"/>
        </w:rPr>
        <w:t>3. 供应商资格</w:t>
      </w:r>
      <w:bookmarkEnd w:id="56"/>
      <w:bookmarkEnd w:id="57"/>
    </w:p>
    <w:p w14:paraId="4E0F3CD8">
      <w:pPr>
        <w:pStyle w:val="5"/>
        <w:spacing w:before="0" w:after="0" w:line="440" w:lineRule="exact"/>
        <w:ind w:firstLine="420" w:firstLineChars="200"/>
        <w:rPr>
          <w:rFonts w:hint="eastAsia" w:ascii="新宋体" w:hAnsi="新宋体" w:eastAsia="新宋体" w:cs="新宋体"/>
          <w:b w:val="0"/>
          <w:bCs/>
          <w:color w:val="auto"/>
          <w:spacing w:val="0"/>
          <w:sz w:val="21"/>
          <w:szCs w:val="21"/>
        </w:rPr>
      </w:pPr>
      <w:bookmarkStart w:id="58" w:name="_Toc16496"/>
      <w:r>
        <w:rPr>
          <w:rFonts w:hint="eastAsia" w:ascii="新宋体" w:hAnsi="新宋体" w:eastAsia="新宋体" w:cs="新宋体"/>
          <w:b w:val="0"/>
          <w:bCs/>
          <w:color w:val="auto"/>
          <w:spacing w:val="0"/>
          <w:sz w:val="21"/>
          <w:szCs w:val="21"/>
        </w:rPr>
        <w:t>详见供应商须知前附表。</w:t>
      </w:r>
    </w:p>
    <w:p w14:paraId="1519DAED">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59" w:name="_Toc11981"/>
      <w:r>
        <w:rPr>
          <w:rFonts w:hint="eastAsia" w:ascii="新宋体" w:hAnsi="新宋体" w:eastAsia="新宋体" w:cs="新宋体"/>
          <w:color w:val="auto"/>
          <w:spacing w:val="0"/>
          <w:sz w:val="21"/>
          <w:szCs w:val="21"/>
        </w:rPr>
        <w:t>4. 磋商费用</w:t>
      </w:r>
      <w:bookmarkEnd w:id="58"/>
      <w:bookmarkEnd w:id="59"/>
    </w:p>
    <w:p w14:paraId="1B83D0F2">
      <w:pPr>
        <w:tabs>
          <w:tab w:val="left" w:pos="1635"/>
        </w:tabs>
        <w:spacing w:line="44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不论磋商结果如何，供应商均应自行承担所有与磋商有关的全部费用。</w:t>
      </w:r>
    </w:p>
    <w:p w14:paraId="75F99B62">
      <w:pPr>
        <w:pStyle w:val="5"/>
        <w:numPr>
          <w:ilvl w:val="0"/>
          <w:numId w:val="2"/>
        </w:numPr>
        <w:spacing w:before="0" w:after="0" w:line="440" w:lineRule="exact"/>
        <w:ind w:firstLine="422" w:firstLineChars="200"/>
        <w:rPr>
          <w:rFonts w:hint="eastAsia" w:ascii="新宋体" w:hAnsi="新宋体" w:eastAsia="新宋体" w:cs="新宋体"/>
          <w:color w:val="auto"/>
          <w:spacing w:val="0"/>
          <w:sz w:val="21"/>
          <w:szCs w:val="21"/>
        </w:rPr>
      </w:pPr>
      <w:bookmarkStart w:id="60" w:name="_Toc31376"/>
      <w:bookmarkStart w:id="61" w:name="_Toc5698"/>
      <w:r>
        <w:rPr>
          <w:rFonts w:hint="eastAsia" w:ascii="新宋体" w:hAnsi="新宋体" w:eastAsia="新宋体" w:cs="新宋体"/>
          <w:color w:val="auto"/>
          <w:spacing w:val="0"/>
          <w:sz w:val="21"/>
          <w:szCs w:val="21"/>
        </w:rPr>
        <w:t>联合体要求</w:t>
      </w:r>
      <w:bookmarkEnd w:id="60"/>
      <w:bookmarkEnd w:id="61"/>
    </w:p>
    <w:p w14:paraId="39352494">
      <w:pPr>
        <w:spacing w:line="440" w:lineRule="exact"/>
        <w:ind w:firstLine="420" w:firstLineChars="200"/>
        <w:rPr>
          <w:rFonts w:hint="eastAsia" w:ascii="新宋体" w:hAnsi="新宋体" w:eastAsia="新宋体" w:cs="新宋体"/>
          <w:bCs/>
          <w:color w:val="auto"/>
          <w:spacing w:val="0"/>
          <w:szCs w:val="21"/>
        </w:rPr>
      </w:pPr>
      <w:r>
        <w:rPr>
          <w:rFonts w:hint="eastAsia" w:ascii="新宋体" w:hAnsi="新宋体" w:eastAsia="新宋体" w:cs="新宋体"/>
          <w:bCs/>
          <w:color w:val="auto"/>
          <w:spacing w:val="0"/>
          <w:szCs w:val="21"/>
        </w:rPr>
        <w:t>本项目不接受联合体参与磋商</w:t>
      </w:r>
    </w:p>
    <w:p w14:paraId="0025A7B5">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62" w:name="_Toc4152"/>
      <w:bookmarkStart w:id="63" w:name="_Toc31862"/>
      <w:r>
        <w:rPr>
          <w:rFonts w:hint="eastAsia" w:ascii="新宋体" w:hAnsi="新宋体" w:eastAsia="新宋体" w:cs="新宋体"/>
          <w:color w:val="auto"/>
          <w:spacing w:val="0"/>
          <w:sz w:val="21"/>
          <w:szCs w:val="21"/>
        </w:rPr>
        <w:t>6. 质疑和投诉</w:t>
      </w:r>
      <w:bookmarkEnd w:id="62"/>
      <w:bookmarkEnd w:id="63"/>
      <w:r>
        <w:rPr>
          <w:rFonts w:hint="eastAsia" w:ascii="新宋体" w:hAnsi="新宋体" w:eastAsia="新宋体" w:cs="新宋体"/>
          <w:color w:val="auto"/>
          <w:spacing w:val="0"/>
          <w:sz w:val="21"/>
          <w:szCs w:val="21"/>
        </w:rPr>
        <w:tab/>
      </w:r>
    </w:p>
    <w:p w14:paraId="59F7AC35">
      <w:pPr>
        <w:tabs>
          <w:tab w:val="left" w:pos="2190"/>
        </w:tabs>
        <w:spacing w:line="440" w:lineRule="exact"/>
        <w:ind w:firstLine="435"/>
        <w:rPr>
          <w:rFonts w:hint="eastAsia" w:ascii="新宋体" w:hAnsi="新宋体" w:eastAsia="新宋体" w:cs="新宋体"/>
          <w:color w:val="auto"/>
          <w:spacing w:val="0"/>
          <w:szCs w:val="21"/>
        </w:rPr>
      </w:pPr>
      <w:bookmarkStart w:id="64" w:name="_Toc8195"/>
      <w:bookmarkStart w:id="65" w:name="_Toc26087"/>
      <w:r>
        <w:rPr>
          <w:rFonts w:hint="eastAsia" w:ascii="新宋体" w:hAnsi="新宋体" w:eastAsia="新宋体" w:cs="新宋体"/>
          <w:color w:val="auto"/>
          <w:spacing w:val="0"/>
          <w:szCs w:val="21"/>
        </w:rPr>
        <w:t>6.1供应对政府采购活动事项有疑问的，可以向采购人提出询问。</w:t>
      </w:r>
    </w:p>
    <w:p w14:paraId="07D5726D">
      <w:pPr>
        <w:tabs>
          <w:tab w:val="left" w:pos="2190"/>
        </w:tabs>
        <w:spacing w:line="44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6.2供应商认为磋商文件使自己的合法权益受到损害的，应当在竞争性磋商公告期限届满之日起七个工作日内，以书面形式向采购代理机构提出质疑。供应商认为采购过程或成交结果使自己的合法权益受到损害的，应当在各采购程序环节结束之日起七个工作日内，以书面形式向采购代理机构提出质疑。采购代理机构应认真做好质疑处理工作。</w:t>
      </w:r>
    </w:p>
    <w:p w14:paraId="3B09707B">
      <w:pPr>
        <w:tabs>
          <w:tab w:val="left" w:pos="2190"/>
        </w:tabs>
        <w:spacing w:line="44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6.3供应商对采购代理机构的质疑答复不满意或者采购代理机构未在规定的时间内作出答复的，可以在答复期满后十五个工作日内向本级财政部门投诉。</w:t>
      </w:r>
    </w:p>
    <w:p w14:paraId="23C469A7">
      <w:pPr>
        <w:tabs>
          <w:tab w:val="left" w:pos="2190"/>
        </w:tabs>
        <w:spacing w:line="44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6.4质疑、投诉应当采用书面形式，质疑书、投诉书实行实名制，均应明确阐述磋商文件、采购过程或成交结果中使自己合法权益受到损害的实质性内容，提供相关事实、明确的请求，并提供必要的证明材料。质疑函格式详见附件。</w:t>
      </w:r>
    </w:p>
    <w:p w14:paraId="01D6AEF3">
      <w:pPr>
        <w:tabs>
          <w:tab w:val="left" w:pos="2190"/>
        </w:tabs>
        <w:spacing w:line="440" w:lineRule="exact"/>
        <w:ind w:firstLine="435"/>
        <w:rPr>
          <w:rFonts w:hint="default" w:ascii="新宋体" w:hAnsi="新宋体" w:eastAsia="新宋体" w:cs="新宋体"/>
          <w:b w:val="0"/>
          <w:bCs w:val="0"/>
          <w:color w:val="auto"/>
          <w:spacing w:val="0"/>
          <w:kern w:val="2"/>
          <w:sz w:val="21"/>
          <w:szCs w:val="21"/>
          <w:highlight w:val="none"/>
          <w:lang w:val="en-US" w:eastAsia="zh-CN" w:bidi="ar-SA"/>
        </w:rPr>
      </w:pPr>
      <w:r>
        <w:rPr>
          <w:rFonts w:hint="eastAsia" w:ascii="新宋体" w:hAnsi="新宋体" w:eastAsia="新宋体" w:cs="新宋体"/>
          <w:color w:val="auto"/>
          <w:spacing w:val="0"/>
          <w:szCs w:val="21"/>
        </w:rPr>
        <w:t>6.5质疑联系部门：</w:t>
      </w:r>
      <w:r>
        <w:rPr>
          <w:rFonts w:hint="eastAsia" w:ascii="新宋体" w:hAnsi="新宋体" w:eastAsia="新宋体" w:cs="新宋体"/>
          <w:b w:val="0"/>
          <w:bCs w:val="0"/>
          <w:color w:val="auto"/>
          <w:spacing w:val="0"/>
          <w:kern w:val="2"/>
          <w:sz w:val="21"/>
          <w:szCs w:val="21"/>
          <w:highlight w:val="none"/>
          <w:lang w:val="en-US" w:eastAsia="zh-CN" w:bidi="ar-SA"/>
        </w:rPr>
        <w:t>广西恒业项目管理有限公司</w:t>
      </w:r>
      <w:r>
        <w:rPr>
          <w:rFonts w:hint="eastAsia" w:ascii="新宋体" w:hAnsi="新宋体" w:eastAsia="新宋体" w:cs="新宋体"/>
          <w:color w:val="auto"/>
          <w:spacing w:val="0"/>
          <w:szCs w:val="21"/>
        </w:rPr>
        <w:t>；联系电话：</w:t>
      </w:r>
      <w:r>
        <w:rPr>
          <w:rFonts w:hint="eastAsia" w:ascii="新宋体" w:hAnsi="新宋体" w:eastAsia="新宋体" w:cs="新宋体"/>
          <w:b w:val="0"/>
          <w:bCs w:val="0"/>
          <w:color w:val="auto"/>
          <w:spacing w:val="0"/>
          <w:kern w:val="2"/>
          <w:sz w:val="21"/>
          <w:szCs w:val="21"/>
          <w:highlight w:val="none"/>
          <w:lang w:val="en-US" w:eastAsia="zh-CN" w:bidi="ar-SA"/>
        </w:rPr>
        <w:t>0777-3602823</w:t>
      </w:r>
    </w:p>
    <w:p w14:paraId="1124F87C">
      <w:pPr>
        <w:tabs>
          <w:tab w:val="left" w:pos="2190"/>
        </w:tabs>
        <w:spacing w:line="440" w:lineRule="exact"/>
        <w:ind w:firstLine="420" w:firstLineChars="200"/>
        <w:rPr>
          <w:rFonts w:hint="eastAsia" w:ascii="新宋体" w:hAnsi="新宋体" w:eastAsia="新宋体" w:cs="新宋体"/>
          <w:color w:val="auto"/>
          <w:spacing w:val="0"/>
          <w:szCs w:val="21"/>
          <w:lang w:eastAsia="zh-CN"/>
        </w:rPr>
      </w:pPr>
      <w:r>
        <w:rPr>
          <w:rFonts w:hint="eastAsia" w:ascii="新宋体" w:hAnsi="新宋体" w:eastAsia="新宋体" w:cs="新宋体"/>
          <w:color w:val="auto"/>
          <w:spacing w:val="0"/>
          <w:szCs w:val="21"/>
        </w:rPr>
        <w:t>通讯地址：</w:t>
      </w:r>
      <w:r>
        <w:rPr>
          <w:rFonts w:hint="eastAsia" w:ascii="新宋体" w:hAnsi="新宋体" w:eastAsia="新宋体" w:cs="新宋体"/>
          <w:i w:val="0"/>
          <w:iCs w:val="0"/>
          <w:caps w:val="0"/>
          <w:color w:val="auto"/>
          <w:spacing w:val="0"/>
          <w:sz w:val="21"/>
          <w:szCs w:val="21"/>
          <w:shd w:val="clear" w:fill="FFFFFF"/>
          <w:lang w:eastAsia="zh-CN"/>
        </w:rPr>
        <w:t>钦州市龙祥路8号境东十里9204号楼（售楼部右转150米）</w:t>
      </w:r>
    </w:p>
    <w:p w14:paraId="576B8BA1">
      <w:pPr>
        <w:tabs>
          <w:tab w:val="left" w:pos="2190"/>
        </w:tabs>
        <w:spacing w:line="440" w:lineRule="exact"/>
        <w:ind w:firstLine="435"/>
        <w:rPr>
          <w:rFonts w:hint="eastAsia" w:ascii="新宋体" w:hAnsi="新宋体" w:eastAsia="新宋体" w:cs="新宋体"/>
          <w:color w:val="auto"/>
          <w:spacing w:val="0"/>
          <w:szCs w:val="21"/>
          <w:lang w:val="en-US" w:eastAsia="zh-CN"/>
        </w:rPr>
      </w:pPr>
      <w:r>
        <w:rPr>
          <w:rFonts w:hint="eastAsia" w:ascii="新宋体" w:hAnsi="新宋体" w:eastAsia="新宋体" w:cs="新宋体"/>
          <w:color w:val="auto"/>
          <w:spacing w:val="0"/>
          <w:szCs w:val="21"/>
        </w:rPr>
        <w:t>6.6 投诉联系部门：</w:t>
      </w:r>
      <w:bookmarkEnd w:id="64"/>
      <w:bookmarkEnd w:id="65"/>
      <w:r>
        <w:rPr>
          <w:rFonts w:hint="eastAsia" w:ascii="新宋体" w:hAnsi="新宋体" w:eastAsia="新宋体" w:cs="新宋体"/>
          <w:color w:val="auto"/>
          <w:spacing w:val="0"/>
          <w:szCs w:val="21"/>
          <w:lang w:val="en-US" w:eastAsia="zh-CN"/>
        </w:rPr>
        <w:t>钦州市钦北</w:t>
      </w:r>
      <w:r>
        <w:rPr>
          <w:rFonts w:hint="eastAsia" w:ascii="新宋体" w:hAnsi="新宋体" w:eastAsia="新宋体" w:cs="新宋体"/>
          <w:b w:val="0"/>
          <w:bCs w:val="0"/>
          <w:color w:val="auto"/>
          <w:spacing w:val="0"/>
          <w:kern w:val="2"/>
          <w:sz w:val="21"/>
          <w:szCs w:val="21"/>
          <w:highlight w:val="none"/>
          <w:lang w:val="en-US" w:eastAsia="zh-CN" w:bidi="ar-SA"/>
        </w:rPr>
        <w:t>区财政局</w:t>
      </w:r>
    </w:p>
    <w:p w14:paraId="584CDDC0">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66" w:name="_Toc32145"/>
      <w:bookmarkStart w:id="67" w:name="_Toc6998"/>
      <w:r>
        <w:rPr>
          <w:rFonts w:hint="eastAsia" w:ascii="新宋体" w:hAnsi="新宋体" w:eastAsia="新宋体" w:cs="新宋体"/>
          <w:color w:val="auto"/>
          <w:spacing w:val="0"/>
          <w:sz w:val="21"/>
          <w:szCs w:val="21"/>
        </w:rPr>
        <w:t>7. 转包与分包</w:t>
      </w:r>
      <w:bookmarkEnd w:id="66"/>
      <w:bookmarkEnd w:id="67"/>
    </w:p>
    <w:p w14:paraId="47734240">
      <w:pPr>
        <w:tabs>
          <w:tab w:val="left" w:pos="2190"/>
        </w:tabs>
        <w:spacing w:line="44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7.1 本项目不允许转包。</w:t>
      </w:r>
    </w:p>
    <w:p w14:paraId="3B5348C1">
      <w:pPr>
        <w:tabs>
          <w:tab w:val="left" w:pos="2190"/>
        </w:tabs>
        <w:spacing w:line="44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7.2 本项目不可以分包。</w:t>
      </w:r>
    </w:p>
    <w:p w14:paraId="770452BE">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68" w:name="_Toc719"/>
      <w:bookmarkStart w:id="69" w:name="_Toc3368"/>
      <w:r>
        <w:rPr>
          <w:rFonts w:hint="eastAsia" w:ascii="新宋体" w:hAnsi="新宋体" w:eastAsia="新宋体" w:cs="新宋体"/>
          <w:color w:val="auto"/>
          <w:spacing w:val="0"/>
          <w:sz w:val="21"/>
          <w:szCs w:val="21"/>
        </w:rPr>
        <w:t>8. 特别说明</w:t>
      </w:r>
      <w:bookmarkEnd w:id="68"/>
      <w:bookmarkEnd w:id="69"/>
    </w:p>
    <w:p w14:paraId="34CE4572">
      <w:pPr>
        <w:tabs>
          <w:tab w:val="left" w:pos="1635"/>
        </w:tabs>
        <w:spacing w:line="440" w:lineRule="exact"/>
        <w:ind w:firstLine="422" w:firstLineChars="200"/>
        <w:rPr>
          <w:rFonts w:hint="eastAsia" w:ascii="新宋体" w:hAnsi="新宋体" w:eastAsia="新宋体" w:cs="新宋体"/>
          <w:b/>
          <w:color w:val="auto"/>
          <w:spacing w:val="0"/>
          <w:szCs w:val="21"/>
        </w:rPr>
      </w:pPr>
      <w:r>
        <w:rPr>
          <w:rFonts w:hint="eastAsia" w:ascii="新宋体" w:hAnsi="新宋体" w:eastAsia="新宋体" w:cs="新宋体"/>
          <w:b/>
          <w:color w:val="auto"/>
          <w:spacing w:val="0"/>
          <w:szCs w:val="21"/>
        </w:rPr>
        <w:t>8.1关联供应商不得参加同一合同项下政府采购活动，否则</w:t>
      </w:r>
      <w:r>
        <w:rPr>
          <w:rFonts w:hint="eastAsia" w:ascii="新宋体" w:hAnsi="新宋体" w:eastAsia="新宋体" w:cs="新宋体"/>
          <w:b/>
          <w:color w:val="auto"/>
          <w:spacing w:val="0"/>
          <w:szCs w:val="21"/>
          <w:lang w:eastAsia="zh-CN"/>
        </w:rPr>
        <w:t>磋商文件</w:t>
      </w:r>
      <w:r>
        <w:rPr>
          <w:rFonts w:hint="eastAsia" w:ascii="新宋体" w:hAnsi="新宋体" w:eastAsia="新宋体" w:cs="新宋体"/>
          <w:b/>
          <w:color w:val="auto"/>
          <w:spacing w:val="0"/>
          <w:szCs w:val="21"/>
        </w:rPr>
        <w:t>将被视为无效：</w:t>
      </w:r>
    </w:p>
    <w:p w14:paraId="1EE8F691">
      <w:pPr>
        <w:tabs>
          <w:tab w:val="left" w:pos="1635"/>
        </w:tabs>
        <w:spacing w:line="38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（1）单位负责人为同一人或者存在直接控股、管理关系的，不得参加同一合同项下的政府采购活动。</w:t>
      </w:r>
    </w:p>
    <w:p w14:paraId="7CD55469">
      <w:pPr>
        <w:tabs>
          <w:tab w:val="left" w:pos="1635"/>
        </w:tabs>
        <w:spacing w:line="380" w:lineRule="exact"/>
        <w:ind w:firstLine="435"/>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（2）为本采购项目提供整体设计、规范编制或者项目管理、监理、检测等服务的供应商，不得再参加本次采购活动。</w:t>
      </w:r>
    </w:p>
    <w:p w14:paraId="2F21E2A2">
      <w:pPr>
        <w:pStyle w:val="10"/>
        <w:spacing w:line="440" w:lineRule="exact"/>
        <w:rPr>
          <w:rFonts w:hint="eastAsia" w:ascii="新宋体" w:hAnsi="新宋体" w:eastAsia="新宋体" w:cs="新宋体"/>
          <w:color w:val="auto"/>
          <w:spacing w:val="0"/>
        </w:rPr>
      </w:pPr>
    </w:p>
    <w:p w14:paraId="45920CCE">
      <w:pPr>
        <w:pStyle w:val="4"/>
        <w:tabs>
          <w:tab w:val="left" w:pos="567"/>
        </w:tabs>
        <w:spacing w:line="440" w:lineRule="exact"/>
        <w:jc w:val="center"/>
        <w:rPr>
          <w:rFonts w:hint="eastAsia" w:ascii="新宋体" w:hAnsi="新宋体" w:eastAsia="新宋体" w:cs="新宋体"/>
          <w:b/>
          <w:bCs w:val="0"/>
          <w:color w:val="auto"/>
          <w:spacing w:val="0"/>
          <w:szCs w:val="28"/>
        </w:rPr>
      </w:pPr>
      <w:bookmarkStart w:id="70" w:name="_Toc11860"/>
      <w:bookmarkStart w:id="71" w:name="_Toc22498"/>
      <w:r>
        <w:rPr>
          <w:rFonts w:hint="eastAsia" w:ascii="新宋体" w:hAnsi="新宋体" w:eastAsia="新宋体" w:cs="新宋体"/>
          <w:b/>
          <w:bCs w:val="0"/>
          <w:color w:val="auto"/>
          <w:spacing w:val="0"/>
          <w:szCs w:val="28"/>
        </w:rPr>
        <w:t>二、磋商文件</w:t>
      </w:r>
      <w:bookmarkEnd w:id="70"/>
      <w:bookmarkEnd w:id="71"/>
    </w:p>
    <w:p w14:paraId="63C36079">
      <w:pPr>
        <w:pStyle w:val="5"/>
        <w:spacing w:before="0" w:after="0" w:line="440" w:lineRule="exact"/>
        <w:ind w:firstLine="422" w:firstLineChars="200"/>
        <w:rPr>
          <w:rFonts w:hint="eastAsia" w:ascii="新宋体" w:hAnsi="新宋体" w:eastAsia="新宋体" w:cs="新宋体"/>
          <w:color w:val="auto"/>
          <w:spacing w:val="0"/>
          <w:sz w:val="21"/>
          <w:szCs w:val="21"/>
          <w:lang w:val="pt-BR"/>
        </w:rPr>
      </w:pPr>
      <w:bookmarkStart w:id="72" w:name="_Toc15161"/>
      <w:bookmarkStart w:id="73" w:name="_Toc18964"/>
      <w:r>
        <w:rPr>
          <w:rFonts w:hint="eastAsia" w:ascii="新宋体" w:hAnsi="新宋体" w:eastAsia="新宋体" w:cs="新宋体"/>
          <w:color w:val="auto"/>
          <w:spacing w:val="0"/>
          <w:sz w:val="21"/>
          <w:szCs w:val="21"/>
          <w:lang w:val="pt-BR"/>
        </w:rPr>
        <w:t xml:space="preserve">9. </w:t>
      </w:r>
      <w:r>
        <w:rPr>
          <w:rFonts w:hint="eastAsia" w:ascii="新宋体" w:hAnsi="新宋体" w:eastAsia="新宋体" w:cs="新宋体"/>
          <w:color w:val="auto"/>
          <w:spacing w:val="0"/>
          <w:sz w:val="21"/>
          <w:szCs w:val="21"/>
        </w:rPr>
        <w:t>磋商文件的构成</w:t>
      </w:r>
      <w:bookmarkEnd w:id="72"/>
      <w:bookmarkEnd w:id="73"/>
    </w:p>
    <w:p w14:paraId="6E44FC8A">
      <w:pPr>
        <w:numPr>
          <w:ilvl w:val="0"/>
          <w:numId w:val="3"/>
        </w:numPr>
        <w:spacing w:line="440" w:lineRule="exact"/>
        <w:ind w:left="1265" w:leftChars="0" w:hanging="425" w:firstLineChars="0"/>
        <w:rPr>
          <w:rFonts w:hint="eastAsia" w:ascii="新宋体" w:hAnsi="新宋体" w:eastAsia="新宋体" w:cs="新宋体"/>
          <w:color w:val="auto"/>
          <w:spacing w:val="0"/>
          <w:szCs w:val="21"/>
          <w:lang w:eastAsia="zh-CN"/>
        </w:rPr>
      </w:pPr>
      <w:r>
        <w:rPr>
          <w:rFonts w:hint="eastAsia" w:ascii="新宋体" w:hAnsi="新宋体" w:eastAsia="新宋体" w:cs="新宋体"/>
          <w:color w:val="auto"/>
          <w:spacing w:val="0"/>
          <w:szCs w:val="21"/>
        </w:rPr>
        <w:t>竞争性磋商公告</w:t>
      </w:r>
      <w:r>
        <w:rPr>
          <w:rFonts w:hint="eastAsia" w:ascii="新宋体" w:hAnsi="新宋体" w:eastAsia="新宋体" w:cs="新宋体"/>
          <w:color w:val="auto"/>
          <w:spacing w:val="0"/>
          <w:szCs w:val="21"/>
          <w:lang w:eastAsia="zh-CN"/>
        </w:rPr>
        <w:t>；</w:t>
      </w:r>
    </w:p>
    <w:p w14:paraId="1A181902">
      <w:pPr>
        <w:numPr>
          <w:ilvl w:val="0"/>
          <w:numId w:val="3"/>
        </w:numPr>
        <w:spacing w:line="440" w:lineRule="exact"/>
        <w:ind w:left="1265" w:leftChars="0" w:hanging="425" w:firstLineChars="0"/>
        <w:rPr>
          <w:rFonts w:hint="eastAsia" w:ascii="新宋体" w:hAnsi="新宋体" w:eastAsia="新宋体" w:cs="新宋体"/>
          <w:color w:val="auto"/>
          <w:spacing w:val="0"/>
          <w:szCs w:val="21"/>
          <w:lang w:eastAsia="zh-CN"/>
        </w:rPr>
      </w:pPr>
      <w:r>
        <w:rPr>
          <w:rFonts w:hint="eastAsia" w:ascii="新宋体" w:hAnsi="新宋体" w:eastAsia="新宋体" w:cs="新宋体"/>
          <w:color w:val="auto"/>
          <w:spacing w:val="0"/>
          <w:szCs w:val="21"/>
        </w:rPr>
        <w:t>供应商须知</w:t>
      </w:r>
      <w:r>
        <w:rPr>
          <w:rFonts w:hint="eastAsia" w:ascii="新宋体" w:hAnsi="新宋体" w:eastAsia="新宋体" w:cs="新宋体"/>
          <w:color w:val="auto"/>
          <w:spacing w:val="0"/>
          <w:szCs w:val="21"/>
          <w:lang w:eastAsia="zh-CN"/>
        </w:rPr>
        <w:t>；</w:t>
      </w:r>
    </w:p>
    <w:p w14:paraId="11E08DDC">
      <w:pPr>
        <w:numPr>
          <w:ilvl w:val="0"/>
          <w:numId w:val="3"/>
        </w:numPr>
        <w:spacing w:line="440" w:lineRule="exact"/>
        <w:ind w:left="1265" w:leftChars="0" w:hanging="425" w:firstLineChars="0"/>
        <w:rPr>
          <w:rFonts w:hint="eastAsia" w:ascii="新宋体" w:hAnsi="新宋体" w:eastAsia="新宋体" w:cs="新宋体"/>
          <w:color w:val="auto"/>
          <w:spacing w:val="0"/>
          <w:szCs w:val="21"/>
          <w:lang w:eastAsia="zh-CN"/>
        </w:rPr>
      </w:pPr>
      <w:r>
        <w:rPr>
          <w:rFonts w:hint="eastAsia" w:ascii="新宋体" w:hAnsi="新宋体" w:eastAsia="新宋体" w:cs="新宋体"/>
          <w:color w:val="auto"/>
          <w:spacing w:val="0"/>
          <w:szCs w:val="21"/>
        </w:rPr>
        <w:t>合同格式</w:t>
      </w:r>
      <w:r>
        <w:rPr>
          <w:rFonts w:hint="eastAsia" w:ascii="新宋体" w:hAnsi="新宋体" w:eastAsia="新宋体" w:cs="新宋体"/>
          <w:color w:val="auto"/>
          <w:spacing w:val="0"/>
          <w:szCs w:val="21"/>
          <w:lang w:eastAsia="zh-CN"/>
        </w:rPr>
        <w:t>；</w:t>
      </w:r>
    </w:p>
    <w:p w14:paraId="1B7D5D04">
      <w:pPr>
        <w:numPr>
          <w:ilvl w:val="0"/>
          <w:numId w:val="3"/>
        </w:numPr>
        <w:spacing w:line="440" w:lineRule="exact"/>
        <w:ind w:left="1265" w:leftChars="0" w:hanging="425" w:firstLineChars="0"/>
        <w:rPr>
          <w:rFonts w:hint="eastAsia" w:ascii="新宋体" w:hAnsi="新宋体" w:eastAsia="新宋体" w:cs="新宋体"/>
          <w:color w:val="auto"/>
          <w:spacing w:val="0"/>
          <w:szCs w:val="21"/>
          <w:lang w:eastAsia="zh-CN"/>
        </w:rPr>
      </w:pPr>
      <w:r>
        <w:rPr>
          <w:rFonts w:hint="eastAsia" w:ascii="新宋体" w:hAnsi="新宋体" w:eastAsia="新宋体" w:cs="新宋体"/>
          <w:color w:val="auto"/>
          <w:spacing w:val="0"/>
          <w:szCs w:val="21"/>
        </w:rPr>
        <w:t>图纸</w:t>
      </w:r>
      <w:r>
        <w:rPr>
          <w:rFonts w:hint="eastAsia" w:ascii="新宋体" w:hAnsi="新宋体" w:eastAsia="新宋体" w:cs="新宋体"/>
          <w:color w:val="auto"/>
          <w:spacing w:val="0"/>
          <w:szCs w:val="21"/>
          <w:lang w:eastAsia="zh-CN"/>
        </w:rPr>
        <w:t>；</w:t>
      </w:r>
    </w:p>
    <w:p w14:paraId="3BD12B01">
      <w:pPr>
        <w:numPr>
          <w:ilvl w:val="0"/>
          <w:numId w:val="3"/>
        </w:numPr>
        <w:spacing w:line="440" w:lineRule="exact"/>
        <w:ind w:left="1265" w:leftChars="0" w:hanging="425" w:firstLineChars="0"/>
        <w:rPr>
          <w:rFonts w:hint="eastAsia" w:ascii="新宋体" w:hAnsi="新宋体" w:eastAsia="新宋体" w:cs="新宋体"/>
          <w:color w:val="auto"/>
          <w:spacing w:val="0"/>
          <w:szCs w:val="21"/>
          <w:lang w:eastAsia="zh-CN"/>
        </w:rPr>
      </w:pPr>
      <w:r>
        <w:rPr>
          <w:rFonts w:hint="eastAsia" w:ascii="新宋体" w:hAnsi="新宋体" w:eastAsia="新宋体" w:cs="新宋体"/>
          <w:color w:val="auto"/>
          <w:spacing w:val="0"/>
          <w:szCs w:val="21"/>
        </w:rPr>
        <w:t>技术规范</w:t>
      </w:r>
      <w:r>
        <w:rPr>
          <w:rFonts w:hint="eastAsia" w:ascii="新宋体" w:hAnsi="新宋体" w:eastAsia="新宋体" w:cs="新宋体"/>
          <w:color w:val="auto"/>
          <w:spacing w:val="0"/>
          <w:szCs w:val="21"/>
          <w:lang w:eastAsia="zh-CN"/>
        </w:rPr>
        <w:t>；</w:t>
      </w:r>
    </w:p>
    <w:p w14:paraId="69C8A84B">
      <w:pPr>
        <w:numPr>
          <w:ilvl w:val="0"/>
          <w:numId w:val="3"/>
        </w:numPr>
        <w:spacing w:line="440" w:lineRule="exact"/>
        <w:ind w:left="1265" w:leftChars="0" w:hanging="425" w:firstLineChars="0"/>
        <w:rPr>
          <w:rFonts w:hint="eastAsia" w:ascii="新宋体" w:hAnsi="新宋体" w:eastAsia="新宋体" w:cs="新宋体"/>
          <w:color w:val="auto"/>
          <w:spacing w:val="0"/>
          <w:szCs w:val="21"/>
          <w:lang w:eastAsia="zh-CN"/>
        </w:rPr>
      </w:pPr>
      <w:r>
        <w:rPr>
          <w:rFonts w:hint="eastAsia" w:ascii="新宋体" w:hAnsi="新宋体" w:eastAsia="新宋体" w:cs="新宋体"/>
          <w:color w:val="auto"/>
          <w:spacing w:val="0"/>
          <w:szCs w:val="21"/>
        </w:rPr>
        <w:t>工程量清单报价说明</w:t>
      </w:r>
      <w:r>
        <w:rPr>
          <w:rFonts w:hint="eastAsia" w:ascii="新宋体" w:hAnsi="新宋体" w:eastAsia="新宋体" w:cs="新宋体"/>
          <w:color w:val="auto"/>
          <w:spacing w:val="0"/>
          <w:szCs w:val="21"/>
          <w:lang w:eastAsia="zh-CN"/>
        </w:rPr>
        <w:t>；</w:t>
      </w:r>
    </w:p>
    <w:p w14:paraId="61C1D806">
      <w:pPr>
        <w:numPr>
          <w:ilvl w:val="0"/>
          <w:numId w:val="3"/>
        </w:numPr>
        <w:spacing w:line="440" w:lineRule="exact"/>
        <w:ind w:left="1265" w:leftChars="0" w:hanging="425" w:firstLineChars="0"/>
        <w:rPr>
          <w:rFonts w:hint="eastAsia" w:ascii="新宋体" w:hAnsi="新宋体" w:eastAsia="新宋体" w:cs="新宋体"/>
          <w:color w:val="auto"/>
          <w:spacing w:val="0"/>
          <w:szCs w:val="21"/>
          <w:lang w:eastAsia="zh-CN"/>
        </w:rPr>
      </w:pPr>
      <w:r>
        <w:rPr>
          <w:rFonts w:hint="eastAsia" w:ascii="新宋体" w:hAnsi="新宋体" w:eastAsia="新宋体" w:cs="新宋体"/>
          <w:color w:val="auto"/>
          <w:spacing w:val="0"/>
          <w:szCs w:val="21"/>
        </w:rPr>
        <w:t>磋商文件格式</w:t>
      </w:r>
      <w:r>
        <w:rPr>
          <w:rFonts w:hint="eastAsia" w:ascii="新宋体" w:hAnsi="新宋体" w:eastAsia="新宋体" w:cs="新宋体"/>
          <w:color w:val="auto"/>
          <w:spacing w:val="0"/>
          <w:szCs w:val="21"/>
          <w:lang w:eastAsia="zh-CN"/>
        </w:rPr>
        <w:t>；</w:t>
      </w:r>
    </w:p>
    <w:p w14:paraId="292692A5">
      <w:pPr>
        <w:numPr>
          <w:ilvl w:val="0"/>
          <w:numId w:val="3"/>
        </w:numPr>
        <w:spacing w:line="440" w:lineRule="exact"/>
        <w:ind w:left="1265" w:leftChars="0" w:hanging="425" w:firstLineChars="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评审程序、评审方法和评审标准。</w:t>
      </w:r>
    </w:p>
    <w:p w14:paraId="50C35517">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74" w:name="_Toc25246"/>
      <w:bookmarkStart w:id="75" w:name="_Toc9103"/>
      <w:r>
        <w:rPr>
          <w:rFonts w:hint="eastAsia" w:ascii="新宋体" w:hAnsi="新宋体" w:eastAsia="新宋体" w:cs="新宋体"/>
          <w:color w:val="auto"/>
          <w:spacing w:val="0"/>
          <w:sz w:val="21"/>
          <w:szCs w:val="21"/>
        </w:rPr>
        <w:t>10. 磋商文件的澄清与修改</w:t>
      </w:r>
      <w:bookmarkEnd w:id="74"/>
      <w:bookmarkEnd w:id="75"/>
    </w:p>
    <w:p w14:paraId="52766522">
      <w:pPr>
        <w:spacing w:line="440" w:lineRule="exact"/>
        <w:ind w:left="420" w:leftChars="200"/>
        <w:jc w:val="left"/>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10.1 提交首次</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截止之日前，采购代理机构可以对已发出的磋商文件进行必要澄清、答复、修改或补</w:t>
      </w:r>
    </w:p>
    <w:p w14:paraId="57623D90">
      <w:pPr>
        <w:spacing w:line="440" w:lineRule="exact"/>
        <w:jc w:val="left"/>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充，澄清或者修改的内容可能影响</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编制的，澄清或者修改的内容作为磋商文件的组成部分。采购代理机构应当在提交首次</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递交截止</w:t>
      </w:r>
      <w:r>
        <w:rPr>
          <w:rFonts w:hint="eastAsia" w:ascii="新宋体" w:hAnsi="新宋体" w:eastAsia="新宋体" w:cs="新宋体"/>
          <w:b w:val="0"/>
          <w:bCs w:val="0"/>
          <w:color w:val="auto"/>
          <w:spacing w:val="0"/>
          <w:szCs w:val="21"/>
        </w:rPr>
        <w:t>时间五日前在本项目竞争性磋商公告发布的同一媒体上发布更正公告，不足五日的，应当顺延首次</w:t>
      </w:r>
      <w:r>
        <w:rPr>
          <w:rFonts w:hint="eastAsia" w:ascii="新宋体" w:hAnsi="新宋体" w:eastAsia="新宋体" w:cs="新宋体"/>
          <w:b w:val="0"/>
          <w:bCs w:val="0"/>
          <w:color w:val="auto"/>
          <w:spacing w:val="0"/>
          <w:szCs w:val="21"/>
          <w:lang w:eastAsia="zh-CN"/>
        </w:rPr>
        <w:t>磋商文件</w:t>
      </w:r>
      <w:r>
        <w:rPr>
          <w:rFonts w:hint="eastAsia" w:ascii="新宋体" w:hAnsi="新宋体" w:eastAsia="新宋体" w:cs="新宋体"/>
          <w:color w:val="auto"/>
          <w:spacing w:val="0"/>
          <w:szCs w:val="21"/>
        </w:rPr>
        <w:t>递交截止时间。</w:t>
      </w:r>
    </w:p>
    <w:p w14:paraId="25CB09A4">
      <w:pPr>
        <w:spacing w:line="440" w:lineRule="exact"/>
        <w:ind w:left="420" w:leftChars="200"/>
        <w:jc w:val="left"/>
        <w:rPr>
          <w:rFonts w:hint="eastAsia" w:ascii="新宋体" w:hAnsi="新宋体" w:eastAsia="新宋体" w:cs="新宋体"/>
          <w:b/>
          <w:bCs/>
          <w:color w:val="auto"/>
          <w:spacing w:val="0"/>
          <w:szCs w:val="21"/>
        </w:rPr>
      </w:pPr>
      <w:r>
        <w:rPr>
          <w:rFonts w:hint="eastAsia" w:ascii="新宋体" w:hAnsi="新宋体" w:eastAsia="新宋体" w:cs="新宋体"/>
          <w:color w:val="auto"/>
          <w:spacing w:val="0"/>
          <w:szCs w:val="21"/>
        </w:rPr>
        <w:t>10.2</w:t>
      </w:r>
      <w:r>
        <w:rPr>
          <w:rFonts w:hint="eastAsia" w:ascii="新宋体" w:hAnsi="新宋体" w:eastAsia="新宋体" w:cs="新宋体"/>
          <w:b/>
          <w:bCs/>
          <w:color w:val="auto"/>
          <w:spacing w:val="0"/>
          <w:szCs w:val="21"/>
        </w:rPr>
        <w:t>供应商应实时关注本项目信息公告发布媒体相关网站了解澄清、修改等与项目有关的内容，如因供应商</w:t>
      </w:r>
    </w:p>
    <w:p w14:paraId="3FB2E3A8">
      <w:pPr>
        <w:spacing w:line="440" w:lineRule="exact"/>
        <w:jc w:val="left"/>
        <w:rPr>
          <w:rFonts w:hint="eastAsia" w:ascii="新宋体" w:hAnsi="新宋体" w:eastAsia="新宋体" w:cs="新宋体"/>
          <w:b/>
          <w:bCs/>
          <w:color w:val="auto"/>
          <w:spacing w:val="0"/>
          <w:szCs w:val="21"/>
        </w:rPr>
      </w:pPr>
      <w:r>
        <w:rPr>
          <w:rFonts w:hint="eastAsia" w:ascii="新宋体" w:hAnsi="新宋体" w:eastAsia="新宋体" w:cs="新宋体"/>
          <w:b/>
          <w:bCs/>
          <w:color w:val="auto"/>
          <w:spacing w:val="0"/>
          <w:szCs w:val="21"/>
        </w:rPr>
        <w:t>未及时登录相关网站了解澄清、修改等与项目有关的内容，从而导致</w:t>
      </w:r>
      <w:r>
        <w:rPr>
          <w:rFonts w:hint="eastAsia" w:ascii="新宋体" w:hAnsi="新宋体" w:eastAsia="新宋体" w:cs="新宋体"/>
          <w:b/>
          <w:bCs/>
          <w:color w:val="auto"/>
          <w:spacing w:val="0"/>
          <w:szCs w:val="21"/>
          <w:lang w:eastAsia="zh-CN"/>
        </w:rPr>
        <w:t>磋商文件</w:t>
      </w:r>
      <w:r>
        <w:rPr>
          <w:rFonts w:hint="eastAsia" w:ascii="新宋体" w:hAnsi="新宋体" w:eastAsia="新宋体" w:cs="新宋体"/>
          <w:b/>
          <w:bCs/>
          <w:color w:val="auto"/>
          <w:spacing w:val="0"/>
          <w:szCs w:val="21"/>
        </w:rPr>
        <w:t>无效的，由供应商自行承担责任。</w:t>
      </w:r>
    </w:p>
    <w:p w14:paraId="42C40800">
      <w:pPr>
        <w:spacing w:line="440" w:lineRule="exact"/>
        <w:ind w:left="0" w:leftChars="0" w:firstLine="420" w:firstLineChars="200"/>
        <w:jc w:val="left"/>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10.3澄清或者修改的内容为磋商文件的组成部分。当澄清或者修改通知就同一内容的表述不一致时，以最后发出的文件为准。</w:t>
      </w:r>
    </w:p>
    <w:p w14:paraId="13CEA50F">
      <w:pPr>
        <w:spacing w:line="440" w:lineRule="exact"/>
        <w:ind w:left="0" w:leftChars="0" w:firstLine="420" w:firstLineChars="200"/>
        <w:jc w:val="left"/>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10.4 磋商文件的澄清或者修改都应该通过本项目采购代理机构以法定形式发布，采购人非通过本机构，不得擅自澄清或者修改磋商文件。</w:t>
      </w:r>
    </w:p>
    <w:p w14:paraId="3D1B2ED9">
      <w:pPr>
        <w:spacing w:line="440" w:lineRule="exact"/>
        <w:ind w:left="0" w:leftChars="0" w:firstLine="420" w:firstLineChars="200"/>
        <w:jc w:val="left"/>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10.5采购单位可以视采购具体情况，延长</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截止时间和磋商时间，在本项目竞争性磋商公告发布的同一媒体上发布变更公告。</w:t>
      </w:r>
    </w:p>
    <w:p w14:paraId="5C07E751">
      <w:pPr>
        <w:pStyle w:val="62"/>
        <w:spacing w:line="440" w:lineRule="exact"/>
        <w:rPr>
          <w:rFonts w:hint="eastAsia" w:ascii="新宋体" w:hAnsi="新宋体" w:eastAsia="新宋体" w:cs="新宋体"/>
          <w:color w:val="auto"/>
          <w:spacing w:val="0"/>
        </w:rPr>
      </w:pPr>
    </w:p>
    <w:p w14:paraId="4B40A129">
      <w:pPr>
        <w:pStyle w:val="4"/>
        <w:tabs>
          <w:tab w:val="left" w:pos="567"/>
        </w:tabs>
        <w:spacing w:line="440" w:lineRule="exact"/>
        <w:jc w:val="center"/>
        <w:rPr>
          <w:rFonts w:hint="eastAsia" w:ascii="新宋体" w:hAnsi="新宋体" w:eastAsia="新宋体" w:cs="新宋体"/>
          <w:b/>
          <w:bCs w:val="0"/>
          <w:color w:val="auto"/>
          <w:spacing w:val="0"/>
          <w:szCs w:val="28"/>
        </w:rPr>
      </w:pPr>
      <w:bookmarkStart w:id="76" w:name="_Toc19686"/>
      <w:bookmarkStart w:id="77" w:name="_Toc20830"/>
      <w:r>
        <w:rPr>
          <w:rFonts w:hint="eastAsia" w:ascii="新宋体" w:hAnsi="新宋体" w:eastAsia="新宋体" w:cs="新宋体"/>
          <w:b/>
          <w:bCs w:val="0"/>
          <w:color w:val="auto"/>
          <w:spacing w:val="0"/>
          <w:szCs w:val="28"/>
        </w:rPr>
        <w:t>三、竞争性</w:t>
      </w:r>
      <w:r>
        <w:rPr>
          <w:rFonts w:hint="eastAsia" w:ascii="新宋体" w:hAnsi="新宋体" w:eastAsia="新宋体" w:cs="新宋体"/>
          <w:b/>
          <w:bCs w:val="0"/>
          <w:color w:val="auto"/>
          <w:spacing w:val="0"/>
          <w:szCs w:val="28"/>
          <w:lang w:eastAsia="zh-CN"/>
        </w:rPr>
        <w:t>磋商文件</w:t>
      </w:r>
      <w:r>
        <w:rPr>
          <w:rFonts w:hint="eastAsia" w:ascii="新宋体" w:hAnsi="新宋体" w:eastAsia="新宋体" w:cs="新宋体"/>
          <w:b/>
          <w:bCs w:val="0"/>
          <w:color w:val="auto"/>
          <w:spacing w:val="0"/>
          <w:szCs w:val="28"/>
        </w:rPr>
        <w:t>的编制</w:t>
      </w:r>
      <w:bookmarkEnd w:id="76"/>
      <w:bookmarkEnd w:id="77"/>
    </w:p>
    <w:p w14:paraId="1FA2C907">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78" w:name="_Toc19607"/>
      <w:r>
        <w:rPr>
          <w:rFonts w:hint="eastAsia" w:ascii="新宋体" w:hAnsi="新宋体" w:eastAsia="新宋体" w:cs="新宋体"/>
          <w:color w:val="auto"/>
          <w:spacing w:val="0"/>
          <w:sz w:val="21"/>
          <w:szCs w:val="21"/>
        </w:rPr>
        <w:t>11.竞争性</w:t>
      </w:r>
      <w:r>
        <w:rPr>
          <w:rFonts w:hint="eastAsia" w:ascii="新宋体" w:hAnsi="新宋体" w:eastAsia="新宋体" w:cs="新宋体"/>
          <w:color w:val="auto"/>
          <w:spacing w:val="0"/>
          <w:sz w:val="21"/>
          <w:szCs w:val="21"/>
          <w:lang w:eastAsia="zh-CN"/>
        </w:rPr>
        <w:t>磋商文件</w:t>
      </w:r>
      <w:r>
        <w:rPr>
          <w:rFonts w:hint="eastAsia" w:ascii="新宋体" w:hAnsi="新宋体" w:eastAsia="新宋体" w:cs="新宋体"/>
          <w:color w:val="auto"/>
          <w:spacing w:val="0"/>
          <w:sz w:val="21"/>
          <w:szCs w:val="21"/>
        </w:rPr>
        <w:t>编制基本要求</w:t>
      </w:r>
      <w:bookmarkEnd w:id="78"/>
    </w:p>
    <w:p w14:paraId="4DB12CAF">
      <w:pPr>
        <w:spacing w:line="440" w:lineRule="exact"/>
        <w:ind w:firstLine="422" w:firstLineChars="200"/>
        <w:rPr>
          <w:rFonts w:hint="eastAsia" w:ascii="新宋体" w:hAnsi="新宋体" w:eastAsia="新宋体" w:cs="新宋体"/>
          <w:b/>
          <w:bCs/>
          <w:color w:val="auto"/>
          <w:spacing w:val="0"/>
          <w:szCs w:val="21"/>
        </w:rPr>
      </w:pPr>
      <w:r>
        <w:rPr>
          <w:rFonts w:hint="eastAsia" w:ascii="新宋体" w:hAnsi="新宋体" w:eastAsia="新宋体" w:cs="新宋体"/>
          <w:b/>
          <w:bCs/>
          <w:color w:val="auto"/>
          <w:spacing w:val="0"/>
          <w:szCs w:val="21"/>
        </w:rPr>
        <w:t>11.1 本项目实行电子响应，供应商应准备电子</w:t>
      </w:r>
      <w:r>
        <w:rPr>
          <w:rFonts w:hint="eastAsia" w:ascii="新宋体" w:hAnsi="新宋体" w:eastAsia="新宋体" w:cs="新宋体"/>
          <w:b/>
          <w:bCs/>
          <w:color w:val="auto"/>
          <w:spacing w:val="0"/>
          <w:szCs w:val="21"/>
          <w:lang w:eastAsia="zh-CN"/>
        </w:rPr>
        <w:t>磋商文件</w:t>
      </w:r>
      <w:r>
        <w:rPr>
          <w:rFonts w:hint="eastAsia" w:ascii="新宋体" w:hAnsi="新宋体" w:eastAsia="新宋体" w:cs="新宋体"/>
          <w:b/>
          <w:bCs/>
          <w:color w:val="auto"/>
          <w:spacing w:val="0"/>
          <w:szCs w:val="21"/>
        </w:rPr>
        <w:t>：</w:t>
      </w:r>
    </w:p>
    <w:p w14:paraId="5B9EA392">
      <w:pPr>
        <w:keepNext w:val="0"/>
        <w:keepLines w:val="0"/>
        <w:pageBreakBefore w:val="0"/>
        <w:widowControl w:val="0"/>
        <w:kinsoku/>
        <w:wordWrap w:val="0"/>
        <w:overflowPunct/>
        <w:topLinePunct w:val="0"/>
        <w:autoSpaceDE/>
        <w:autoSpaceDN/>
        <w:bidi w:val="0"/>
        <w:adjustRightInd/>
        <w:snapToGrid/>
        <w:spacing w:line="440" w:lineRule="exact"/>
        <w:ind w:firstLine="422" w:firstLineChars="200"/>
        <w:textAlignment w:val="auto"/>
        <w:rPr>
          <w:rFonts w:hint="eastAsia" w:ascii="新宋体" w:hAnsi="新宋体" w:eastAsia="新宋体" w:cs="新宋体"/>
          <w:b/>
          <w:bCs/>
          <w:color w:val="auto"/>
          <w:spacing w:val="0"/>
          <w:szCs w:val="21"/>
        </w:rPr>
      </w:pPr>
      <w:r>
        <w:rPr>
          <w:rFonts w:hint="eastAsia" w:ascii="新宋体" w:hAnsi="新宋体" w:eastAsia="新宋体" w:cs="新宋体"/>
          <w:b/>
          <w:bCs/>
          <w:color w:val="auto"/>
          <w:spacing w:val="0"/>
          <w:szCs w:val="21"/>
        </w:rPr>
        <w:t>11.1.1 电子</w:t>
      </w:r>
      <w:r>
        <w:rPr>
          <w:rFonts w:hint="eastAsia" w:ascii="新宋体" w:hAnsi="新宋体" w:eastAsia="新宋体" w:cs="新宋体"/>
          <w:b/>
          <w:bCs/>
          <w:color w:val="auto"/>
          <w:spacing w:val="0"/>
          <w:szCs w:val="21"/>
          <w:lang w:eastAsia="zh-CN"/>
        </w:rPr>
        <w:t>磋商文件</w:t>
      </w:r>
      <w:r>
        <w:rPr>
          <w:rFonts w:hint="eastAsia" w:ascii="新宋体" w:hAnsi="新宋体" w:eastAsia="新宋体" w:cs="新宋体"/>
          <w:b/>
          <w:bCs/>
          <w:color w:val="auto"/>
          <w:spacing w:val="0"/>
          <w:szCs w:val="21"/>
        </w:rPr>
        <w:t>按</w:t>
      </w:r>
      <w:r>
        <w:rPr>
          <w:rFonts w:hint="eastAsia" w:ascii="新宋体" w:hAnsi="新宋体" w:eastAsia="新宋体" w:cs="新宋体"/>
          <w:b/>
          <w:bCs/>
          <w:color w:val="auto"/>
          <w:spacing w:val="0"/>
          <w:szCs w:val="21"/>
          <w:lang w:eastAsia="zh-CN"/>
        </w:rPr>
        <w:t>广西政府采购云平台</w:t>
      </w:r>
      <w:r>
        <w:rPr>
          <w:rFonts w:hint="eastAsia" w:ascii="新宋体" w:hAnsi="新宋体" w:eastAsia="新宋体" w:cs="新宋体"/>
          <w:b/>
          <w:bCs/>
          <w:color w:val="auto"/>
          <w:spacing w:val="0"/>
          <w:szCs w:val="21"/>
        </w:rPr>
        <w:t xml:space="preserve">要求及本磋商文件要求制作、加密并递交。具体操作流程可参考《政府采购项目电子交易管理操作指南-供应商》，指南可在 “http://www.ccgp-guangxi.gov.cn/PurchaseAdvisory/ImportantNotice/2866753.html”下载。 </w:t>
      </w:r>
    </w:p>
    <w:p w14:paraId="1F7CB51B">
      <w:pPr>
        <w:spacing w:line="440" w:lineRule="exact"/>
        <w:ind w:firstLine="422" w:firstLineChars="200"/>
        <w:rPr>
          <w:rFonts w:hint="eastAsia" w:ascii="新宋体" w:hAnsi="新宋体" w:eastAsia="新宋体" w:cs="新宋体"/>
          <w:b/>
          <w:bCs/>
          <w:color w:val="auto"/>
          <w:spacing w:val="0"/>
          <w:szCs w:val="21"/>
        </w:rPr>
      </w:pPr>
      <w:r>
        <w:rPr>
          <w:rFonts w:hint="eastAsia" w:ascii="新宋体" w:hAnsi="新宋体" w:eastAsia="新宋体" w:cs="新宋体"/>
          <w:b/>
          <w:bCs/>
          <w:color w:val="auto"/>
          <w:spacing w:val="0"/>
          <w:szCs w:val="21"/>
        </w:rPr>
        <w:t>11.2竞争性</w:t>
      </w:r>
      <w:r>
        <w:rPr>
          <w:rFonts w:hint="eastAsia" w:ascii="新宋体" w:hAnsi="新宋体" w:eastAsia="新宋体" w:cs="新宋体"/>
          <w:b/>
          <w:bCs/>
          <w:color w:val="auto"/>
          <w:spacing w:val="0"/>
          <w:szCs w:val="21"/>
          <w:lang w:eastAsia="zh-CN"/>
        </w:rPr>
        <w:t>磋商文件</w:t>
      </w:r>
      <w:r>
        <w:rPr>
          <w:rFonts w:hint="eastAsia" w:ascii="新宋体" w:hAnsi="新宋体" w:eastAsia="新宋体" w:cs="新宋体"/>
          <w:b/>
          <w:bCs/>
          <w:color w:val="auto"/>
          <w:spacing w:val="0"/>
          <w:szCs w:val="21"/>
        </w:rPr>
        <w:t>（以下简称</w:t>
      </w:r>
      <w:r>
        <w:rPr>
          <w:rFonts w:hint="eastAsia" w:ascii="新宋体" w:hAnsi="新宋体" w:eastAsia="新宋体" w:cs="新宋体"/>
          <w:b/>
          <w:bCs/>
          <w:color w:val="auto"/>
          <w:spacing w:val="0"/>
          <w:szCs w:val="21"/>
          <w:lang w:eastAsia="zh-CN"/>
        </w:rPr>
        <w:t>磋商文件</w:t>
      </w:r>
      <w:r>
        <w:rPr>
          <w:rFonts w:hint="eastAsia" w:ascii="新宋体" w:hAnsi="新宋体" w:eastAsia="新宋体" w:cs="新宋体"/>
          <w:b/>
          <w:bCs/>
          <w:color w:val="auto"/>
          <w:spacing w:val="0"/>
          <w:szCs w:val="21"/>
        </w:rPr>
        <w:t>）的组成及要求</w:t>
      </w:r>
    </w:p>
    <w:p w14:paraId="2884AC36">
      <w:pPr>
        <w:spacing w:line="440" w:lineRule="exact"/>
        <w:ind w:firstLine="422" w:firstLineChars="200"/>
        <w:rPr>
          <w:rFonts w:hint="eastAsia" w:ascii="新宋体" w:hAnsi="新宋体" w:eastAsia="新宋体" w:cs="新宋体"/>
          <w:b/>
          <w:bCs/>
          <w:color w:val="auto"/>
          <w:spacing w:val="0"/>
          <w:szCs w:val="21"/>
        </w:rPr>
      </w:pPr>
      <w:r>
        <w:rPr>
          <w:rFonts w:hint="eastAsia" w:ascii="新宋体" w:hAnsi="新宋体" w:eastAsia="新宋体" w:cs="新宋体"/>
          <w:b/>
          <w:bCs/>
          <w:color w:val="auto"/>
          <w:spacing w:val="0"/>
          <w:szCs w:val="21"/>
        </w:rPr>
        <w:t>11.2.1</w:t>
      </w:r>
      <w:r>
        <w:rPr>
          <w:rFonts w:hint="eastAsia" w:ascii="新宋体" w:hAnsi="新宋体" w:eastAsia="新宋体" w:cs="新宋体"/>
          <w:b/>
          <w:bCs/>
          <w:color w:val="auto"/>
          <w:spacing w:val="0"/>
          <w:szCs w:val="21"/>
          <w:lang w:eastAsia="zh-CN"/>
        </w:rPr>
        <w:t>磋商文件</w:t>
      </w:r>
      <w:r>
        <w:rPr>
          <w:rFonts w:hint="eastAsia" w:ascii="新宋体" w:hAnsi="新宋体" w:eastAsia="新宋体" w:cs="新宋体"/>
          <w:b/>
          <w:bCs/>
          <w:color w:val="auto"/>
          <w:spacing w:val="0"/>
          <w:szCs w:val="21"/>
        </w:rPr>
        <w:t>组成【格式见第</w:t>
      </w:r>
      <w:r>
        <w:rPr>
          <w:rFonts w:hint="eastAsia" w:ascii="新宋体" w:hAnsi="新宋体" w:eastAsia="新宋体" w:cs="新宋体"/>
          <w:b/>
          <w:bCs/>
          <w:color w:val="auto"/>
          <w:spacing w:val="0"/>
          <w:szCs w:val="21"/>
          <w:lang w:val="en-US" w:eastAsia="zh-CN"/>
        </w:rPr>
        <w:t>七</w:t>
      </w:r>
      <w:r>
        <w:rPr>
          <w:rFonts w:hint="eastAsia" w:ascii="新宋体" w:hAnsi="新宋体" w:eastAsia="新宋体" w:cs="新宋体"/>
          <w:b/>
          <w:bCs/>
          <w:color w:val="auto"/>
          <w:spacing w:val="0"/>
          <w:szCs w:val="21"/>
        </w:rPr>
        <w:t>章“磋商文件格式”】</w:t>
      </w:r>
    </w:p>
    <w:p w14:paraId="5E5200E3">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11.3 供应商应按竞争性磋商文件第</w:t>
      </w:r>
      <w:r>
        <w:rPr>
          <w:rFonts w:hint="eastAsia" w:ascii="新宋体" w:hAnsi="新宋体" w:eastAsia="新宋体" w:cs="新宋体"/>
          <w:color w:val="auto"/>
          <w:spacing w:val="0"/>
          <w:szCs w:val="21"/>
          <w:lang w:val="en-US" w:eastAsia="zh-CN"/>
        </w:rPr>
        <w:t>七</w:t>
      </w:r>
      <w:r>
        <w:rPr>
          <w:rFonts w:hint="eastAsia" w:ascii="新宋体" w:hAnsi="新宋体" w:eastAsia="新宋体" w:cs="新宋体"/>
          <w:color w:val="auto"/>
          <w:spacing w:val="0"/>
          <w:szCs w:val="21"/>
        </w:rPr>
        <w:t>章“磋商文件格式”编制</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w:t>
      </w:r>
    </w:p>
    <w:p w14:paraId="25C829DC">
      <w:pPr>
        <w:spacing w:line="440" w:lineRule="exact"/>
        <w:ind w:firstLine="422" w:firstLineChars="200"/>
        <w:rPr>
          <w:rFonts w:hint="eastAsia" w:ascii="新宋体" w:hAnsi="新宋体" w:eastAsia="新宋体" w:cs="新宋体"/>
          <w:b/>
          <w:bCs/>
          <w:color w:val="auto"/>
          <w:spacing w:val="0"/>
          <w:szCs w:val="21"/>
        </w:rPr>
      </w:pPr>
      <w:r>
        <w:rPr>
          <w:rFonts w:hint="eastAsia" w:ascii="新宋体" w:hAnsi="新宋体" w:eastAsia="新宋体" w:cs="新宋体"/>
          <w:b/>
          <w:bCs/>
          <w:color w:val="auto"/>
          <w:spacing w:val="0"/>
          <w:szCs w:val="21"/>
        </w:rPr>
        <w:t>特别说明：</w:t>
      </w:r>
    </w:p>
    <w:p w14:paraId="554C04CA">
      <w:pPr>
        <w:spacing w:line="440" w:lineRule="exact"/>
        <w:ind w:firstLine="422" w:firstLineChars="200"/>
        <w:rPr>
          <w:rFonts w:hint="eastAsia" w:ascii="新宋体" w:hAnsi="新宋体" w:eastAsia="新宋体" w:cs="新宋体"/>
          <w:b/>
          <w:color w:val="auto"/>
          <w:spacing w:val="0"/>
          <w:szCs w:val="21"/>
        </w:rPr>
      </w:pPr>
      <w:r>
        <w:rPr>
          <w:rFonts w:hint="eastAsia" w:ascii="新宋体" w:hAnsi="新宋体" w:eastAsia="新宋体" w:cs="新宋体"/>
          <w:b/>
          <w:bCs/>
          <w:color w:val="auto"/>
          <w:spacing w:val="0"/>
          <w:szCs w:val="21"/>
        </w:rPr>
        <w:t>（1）</w:t>
      </w:r>
      <w:r>
        <w:rPr>
          <w:rFonts w:hint="eastAsia" w:ascii="新宋体" w:hAnsi="新宋体" w:eastAsia="新宋体" w:cs="新宋体"/>
          <w:b/>
          <w:bCs/>
          <w:color w:val="auto"/>
          <w:spacing w:val="0"/>
          <w:szCs w:val="21"/>
          <w:lang w:eastAsia="zh-CN"/>
        </w:rPr>
        <w:t>磋商文件</w:t>
      </w:r>
      <w:r>
        <w:rPr>
          <w:rFonts w:hint="eastAsia" w:ascii="新宋体" w:hAnsi="新宋体" w:eastAsia="新宋体" w:cs="新宋体"/>
          <w:b/>
          <w:color w:val="auto"/>
          <w:spacing w:val="0"/>
          <w:szCs w:val="21"/>
        </w:rPr>
        <w:t>（电子</w:t>
      </w:r>
      <w:r>
        <w:rPr>
          <w:rFonts w:hint="eastAsia" w:ascii="新宋体" w:hAnsi="新宋体" w:eastAsia="新宋体" w:cs="新宋体"/>
          <w:b/>
          <w:color w:val="auto"/>
          <w:spacing w:val="0"/>
          <w:szCs w:val="21"/>
          <w:lang w:eastAsia="zh-CN"/>
        </w:rPr>
        <w:t>磋商文件</w:t>
      </w:r>
      <w:r>
        <w:rPr>
          <w:rFonts w:hint="eastAsia" w:ascii="新宋体" w:hAnsi="新宋体" w:eastAsia="新宋体" w:cs="新宋体"/>
          <w:b/>
          <w:color w:val="auto"/>
          <w:spacing w:val="0"/>
          <w:szCs w:val="21"/>
        </w:rPr>
        <w:t>），其中电子</w:t>
      </w:r>
      <w:r>
        <w:rPr>
          <w:rFonts w:hint="eastAsia" w:ascii="新宋体" w:hAnsi="新宋体" w:eastAsia="新宋体" w:cs="新宋体"/>
          <w:b/>
          <w:color w:val="auto"/>
          <w:spacing w:val="0"/>
          <w:szCs w:val="21"/>
          <w:lang w:eastAsia="zh-CN"/>
        </w:rPr>
        <w:t>磋商文件</w:t>
      </w:r>
      <w:r>
        <w:rPr>
          <w:rFonts w:hint="eastAsia" w:ascii="新宋体" w:hAnsi="新宋体" w:eastAsia="新宋体" w:cs="新宋体"/>
          <w:b/>
          <w:color w:val="auto"/>
          <w:spacing w:val="0"/>
          <w:szCs w:val="21"/>
        </w:rPr>
        <w:t>中所须加盖公章部分均采用CA签章。若磋商文件中有专门标注的某关联点，并要求供应商在电子响应系统中作出磋商响应的，如供应商未对关联点进行响应或者在</w:t>
      </w:r>
      <w:r>
        <w:rPr>
          <w:rFonts w:hint="eastAsia" w:ascii="新宋体" w:hAnsi="新宋体" w:eastAsia="新宋体" w:cs="新宋体"/>
          <w:b/>
          <w:color w:val="auto"/>
          <w:spacing w:val="0"/>
          <w:szCs w:val="21"/>
          <w:lang w:eastAsia="zh-CN"/>
        </w:rPr>
        <w:t>磋商文件</w:t>
      </w:r>
      <w:r>
        <w:rPr>
          <w:rFonts w:hint="eastAsia" w:ascii="新宋体" w:hAnsi="新宋体" w:eastAsia="新宋体" w:cs="新宋体"/>
          <w:b/>
          <w:color w:val="auto"/>
          <w:spacing w:val="0"/>
          <w:szCs w:val="21"/>
        </w:rPr>
        <w:t>其它内容进行描述，造成电子评审不能查询的责任由供应商自行承担。</w:t>
      </w:r>
    </w:p>
    <w:p w14:paraId="609D893F">
      <w:pPr>
        <w:numPr>
          <w:ilvl w:val="0"/>
          <w:numId w:val="4"/>
        </w:numPr>
        <w:spacing w:line="440" w:lineRule="exact"/>
        <w:ind w:firstLine="422" w:firstLineChars="200"/>
        <w:rPr>
          <w:rFonts w:hint="eastAsia" w:ascii="新宋体" w:hAnsi="新宋体" w:eastAsia="新宋体" w:cs="新宋体"/>
          <w:b/>
          <w:color w:val="auto"/>
          <w:spacing w:val="0"/>
          <w:szCs w:val="21"/>
        </w:rPr>
      </w:pPr>
      <w:r>
        <w:rPr>
          <w:rFonts w:hint="eastAsia" w:ascii="新宋体" w:hAnsi="新宋体" w:eastAsia="新宋体" w:cs="新宋体"/>
          <w:b/>
          <w:bCs/>
          <w:color w:val="auto"/>
          <w:spacing w:val="0"/>
          <w:szCs w:val="21"/>
        </w:rPr>
        <w:t>磋商文件要求法定代表人（负责人）或委托代理人签字的部分必须签字然后扫描或者拍照做成 pdf 格式上传（或加盖个人CA签章），无签字的视为响应无效。</w:t>
      </w:r>
    </w:p>
    <w:p w14:paraId="6126DF3A">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79" w:name="_Toc13139"/>
      <w:bookmarkStart w:id="80" w:name="_Toc2180"/>
      <w:r>
        <w:rPr>
          <w:rFonts w:hint="eastAsia" w:ascii="新宋体" w:hAnsi="新宋体" w:eastAsia="新宋体" w:cs="新宋体"/>
          <w:color w:val="auto"/>
          <w:spacing w:val="0"/>
          <w:sz w:val="21"/>
          <w:szCs w:val="21"/>
        </w:rPr>
        <w:t xml:space="preserve">12. </w:t>
      </w:r>
      <w:r>
        <w:rPr>
          <w:rFonts w:hint="eastAsia" w:ascii="新宋体" w:hAnsi="新宋体" w:eastAsia="新宋体" w:cs="新宋体"/>
          <w:color w:val="auto"/>
          <w:spacing w:val="0"/>
          <w:sz w:val="21"/>
          <w:szCs w:val="21"/>
          <w:lang w:eastAsia="zh-CN"/>
        </w:rPr>
        <w:t>磋商文件</w:t>
      </w:r>
      <w:r>
        <w:rPr>
          <w:rFonts w:hint="eastAsia" w:ascii="新宋体" w:hAnsi="新宋体" w:eastAsia="新宋体" w:cs="新宋体"/>
          <w:color w:val="auto"/>
          <w:spacing w:val="0"/>
          <w:sz w:val="21"/>
          <w:szCs w:val="21"/>
        </w:rPr>
        <w:t>的语言及计量</w:t>
      </w:r>
      <w:bookmarkEnd w:id="79"/>
      <w:bookmarkEnd w:id="80"/>
    </w:p>
    <w:p w14:paraId="1B94F0AB">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12.1 </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以及供应商与采购代理机构就有关磋商事宜的所有来往函电，均应以中文汉语书写。供应商提交的支持文件和印刷的文献可以使用别的语言，但其相应内容必须附有中文翻译文本，在解释</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时以中文翻译文本为主。</w:t>
      </w:r>
    </w:p>
    <w:p w14:paraId="476B5B54">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12.2 磋商计量单位，磋商文件已有明确规定的，使用磋商文件规定的计量单位；磋商文件没有规定的，应采用中华人民共和国法定计量单位（货币单位：人民币元），否则视同未响应。</w:t>
      </w:r>
    </w:p>
    <w:p w14:paraId="5EF975F2">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81" w:name="_Toc10838"/>
      <w:bookmarkStart w:id="82" w:name="_Toc15384"/>
      <w:r>
        <w:rPr>
          <w:rFonts w:hint="eastAsia" w:ascii="新宋体" w:hAnsi="新宋体" w:eastAsia="新宋体" w:cs="新宋体"/>
          <w:color w:val="auto"/>
          <w:spacing w:val="0"/>
          <w:sz w:val="21"/>
          <w:szCs w:val="21"/>
        </w:rPr>
        <w:t>13. 磋商报价及采购预算金额</w:t>
      </w:r>
      <w:bookmarkEnd w:id="81"/>
      <w:bookmarkEnd w:id="82"/>
    </w:p>
    <w:p w14:paraId="3CA9DDC1">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13.1 磋商报价应按磋商文件中相关附表格式填写。报价超过相应采购预算金额的，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按无效处理。</w:t>
      </w:r>
    </w:p>
    <w:p w14:paraId="1DF9CA48">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13.2供应商必须就“采购需求”中所竞所有内容作完整唯一报价，否则，其</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无效。</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只允许有一个报价，有选择的或有条件的报价将不予接受。</w:t>
      </w:r>
    </w:p>
    <w:p w14:paraId="7206D26B">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13.3 磋商报价应包括本次采购范围内一切服务价款，含服务费、人员、调查、评估、收集材料、编制、申报、修改完善等费用及管理费、购置费、税金、后续服务等其他有关本项目实施过程所需的一切本身和不可或缺的所有工作开支、政策性文件规定的全部费用，采购人不再支付其它任何费用；供应商综合考虑在报价中。</w:t>
      </w:r>
    </w:p>
    <w:p w14:paraId="536C3D92">
      <w:pPr>
        <w:spacing w:line="440" w:lineRule="exact"/>
        <w:ind w:firstLine="420" w:firstLineChars="200"/>
        <w:rPr>
          <w:rFonts w:hint="eastAsia" w:ascii="新宋体" w:hAnsi="新宋体" w:eastAsia="新宋体" w:cs="新宋体"/>
          <w:b/>
          <w:bCs/>
          <w:color w:val="auto"/>
          <w:spacing w:val="0"/>
          <w:szCs w:val="21"/>
        </w:rPr>
      </w:pPr>
      <w:r>
        <w:rPr>
          <w:rFonts w:hint="eastAsia" w:ascii="新宋体" w:hAnsi="新宋体" w:eastAsia="新宋体" w:cs="新宋体"/>
          <w:color w:val="auto"/>
          <w:spacing w:val="0"/>
          <w:szCs w:val="21"/>
        </w:rPr>
        <w:t>13.4供应商应在规定时间内在</w:t>
      </w:r>
      <w:r>
        <w:rPr>
          <w:rFonts w:hint="eastAsia" w:ascii="新宋体" w:hAnsi="新宋体" w:eastAsia="新宋体" w:cs="新宋体"/>
          <w:color w:val="auto"/>
          <w:spacing w:val="0"/>
          <w:szCs w:val="21"/>
          <w:lang w:eastAsia="zh-CN"/>
        </w:rPr>
        <w:t>广西政府采购云</w:t>
      </w:r>
      <w:r>
        <w:rPr>
          <w:rFonts w:hint="eastAsia" w:ascii="新宋体" w:hAnsi="新宋体" w:eastAsia="新宋体" w:cs="新宋体"/>
          <w:color w:val="auto"/>
          <w:spacing w:val="0"/>
          <w:szCs w:val="21"/>
        </w:rPr>
        <w:t>系统上提交最后报价，超出磋商小组设定的最后报价时限或其最后报价超出采购预算导致已通过评审的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无效的，按供应商在提交</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截止时间后撤回</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处理。</w:t>
      </w:r>
    </w:p>
    <w:p w14:paraId="6D70249C">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83" w:name="_Toc26881"/>
      <w:bookmarkStart w:id="84" w:name="_Toc22348"/>
      <w:r>
        <w:rPr>
          <w:rFonts w:hint="eastAsia" w:ascii="新宋体" w:hAnsi="新宋体" w:eastAsia="新宋体" w:cs="新宋体"/>
          <w:color w:val="auto"/>
          <w:spacing w:val="0"/>
          <w:sz w:val="21"/>
          <w:szCs w:val="21"/>
        </w:rPr>
        <w:t xml:space="preserve">14. </w:t>
      </w:r>
      <w:r>
        <w:rPr>
          <w:rFonts w:hint="eastAsia" w:ascii="新宋体" w:hAnsi="新宋体" w:eastAsia="新宋体" w:cs="新宋体"/>
          <w:color w:val="auto"/>
          <w:spacing w:val="0"/>
          <w:sz w:val="21"/>
          <w:szCs w:val="21"/>
          <w:lang w:eastAsia="zh-CN"/>
        </w:rPr>
        <w:t>磋商文件</w:t>
      </w:r>
      <w:r>
        <w:rPr>
          <w:rFonts w:hint="eastAsia" w:ascii="新宋体" w:hAnsi="新宋体" w:eastAsia="新宋体" w:cs="新宋体"/>
          <w:color w:val="auto"/>
          <w:spacing w:val="0"/>
          <w:sz w:val="21"/>
          <w:szCs w:val="21"/>
        </w:rPr>
        <w:t>有效期</w:t>
      </w:r>
      <w:bookmarkEnd w:id="83"/>
      <w:bookmarkEnd w:id="84"/>
    </w:p>
    <w:p w14:paraId="51D11CF5">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14.1 </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有效期：</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递交截止时间之日起90天，有效期不足的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将被拒绝。</w:t>
      </w:r>
    </w:p>
    <w:p w14:paraId="49518F3D">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14.2 出现特殊情况下，需要延长</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有效期的，采购代理机构书面通知供应商延长</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有效期。供应商同意延长的，但不能修改</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。供应商拒绝延长的，其</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无效。</w:t>
      </w:r>
    </w:p>
    <w:p w14:paraId="5DF202BA">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85" w:name="_Toc5208"/>
      <w:bookmarkStart w:id="86" w:name="_Toc22602"/>
      <w:r>
        <w:rPr>
          <w:rFonts w:hint="eastAsia" w:ascii="新宋体" w:hAnsi="新宋体" w:eastAsia="新宋体" w:cs="新宋体"/>
          <w:color w:val="auto"/>
          <w:spacing w:val="0"/>
          <w:sz w:val="21"/>
          <w:szCs w:val="21"/>
        </w:rPr>
        <w:t>15. 保证金</w:t>
      </w:r>
      <w:bookmarkEnd w:id="85"/>
      <w:bookmarkEnd w:id="86"/>
    </w:p>
    <w:p w14:paraId="2B21023A">
      <w:pPr>
        <w:spacing w:line="440" w:lineRule="exact"/>
        <w:ind w:firstLine="420" w:firstLineChars="200"/>
        <w:rPr>
          <w:rFonts w:hint="eastAsia" w:ascii="新宋体" w:hAnsi="新宋体" w:eastAsia="新宋体" w:cs="新宋体"/>
          <w:b/>
          <w:bCs/>
          <w:color w:val="auto"/>
          <w:spacing w:val="0"/>
          <w:szCs w:val="21"/>
        </w:rPr>
      </w:pPr>
      <w:r>
        <w:rPr>
          <w:rFonts w:hint="eastAsia" w:ascii="新宋体" w:hAnsi="新宋体" w:eastAsia="新宋体" w:cs="新宋体"/>
          <w:color w:val="auto"/>
          <w:spacing w:val="0"/>
          <w:szCs w:val="21"/>
        </w:rPr>
        <w:t>本项目无需缴纳磋商保证金。</w:t>
      </w:r>
    </w:p>
    <w:p w14:paraId="161B3F66">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87" w:name="_Toc387"/>
      <w:bookmarkStart w:id="88" w:name="_Toc25510"/>
      <w:r>
        <w:rPr>
          <w:rFonts w:hint="eastAsia" w:ascii="新宋体" w:hAnsi="新宋体" w:eastAsia="新宋体" w:cs="新宋体"/>
          <w:color w:val="auto"/>
          <w:spacing w:val="0"/>
          <w:sz w:val="21"/>
          <w:szCs w:val="21"/>
        </w:rPr>
        <w:t>16. 竞争性</w:t>
      </w:r>
      <w:r>
        <w:rPr>
          <w:rFonts w:hint="eastAsia" w:ascii="新宋体" w:hAnsi="新宋体" w:eastAsia="新宋体" w:cs="新宋体"/>
          <w:color w:val="auto"/>
          <w:spacing w:val="0"/>
          <w:sz w:val="21"/>
          <w:szCs w:val="21"/>
          <w:lang w:eastAsia="zh-CN"/>
        </w:rPr>
        <w:t>磋商文件</w:t>
      </w:r>
      <w:r>
        <w:rPr>
          <w:rFonts w:hint="eastAsia" w:ascii="新宋体" w:hAnsi="新宋体" w:eastAsia="新宋体" w:cs="新宋体"/>
          <w:color w:val="auto"/>
          <w:spacing w:val="0"/>
          <w:sz w:val="21"/>
          <w:szCs w:val="21"/>
        </w:rPr>
        <w:t>的</w:t>
      </w:r>
      <w:bookmarkEnd w:id="87"/>
      <w:r>
        <w:rPr>
          <w:rFonts w:hint="eastAsia" w:ascii="新宋体" w:hAnsi="新宋体" w:eastAsia="新宋体" w:cs="新宋体"/>
          <w:color w:val="auto"/>
          <w:spacing w:val="0"/>
          <w:sz w:val="21"/>
          <w:szCs w:val="21"/>
        </w:rPr>
        <w:t>制作</w:t>
      </w:r>
      <w:bookmarkEnd w:id="88"/>
    </w:p>
    <w:p w14:paraId="2F4D8B75">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16.1 电子</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中须加盖供应商公章部分均采用 CA 签章，并根据“政府采购项目电子交易管理操作指南-供应商” 及本磋商文件规定的格式和顺序编制电子</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并进行关联定位，以便磋商小组在评审时，点击评分项可直接定位到该评分项内容。如对磋商文件的某项要求，供应商的电子</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未能关联定位提供相应的内容与其对应，则磋商小组在评审时如做出对供应商不利的评审由供应商自行承担。电子</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如内容不完整、编排混乱导致</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被误读、 漏读，或者在按采购文件规定的部位查找不到相关内容的，由供应商自行承担。</w:t>
      </w:r>
    </w:p>
    <w:p w14:paraId="5DB6A3FA">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16.2供应商法人（负责人）或授权代表持有</w:t>
      </w:r>
      <w:r>
        <w:rPr>
          <w:rFonts w:hint="eastAsia" w:ascii="新宋体" w:hAnsi="新宋体" w:eastAsia="新宋体" w:cs="新宋体"/>
          <w:color w:val="auto"/>
          <w:spacing w:val="0"/>
          <w:szCs w:val="21"/>
          <w:lang w:eastAsia="zh-CN"/>
        </w:rPr>
        <w:t>广西政府采购云</w:t>
      </w:r>
      <w:r>
        <w:rPr>
          <w:rFonts w:hint="eastAsia" w:ascii="新宋体" w:hAnsi="新宋体" w:eastAsia="新宋体" w:cs="新宋体"/>
          <w:color w:val="auto"/>
          <w:spacing w:val="0"/>
          <w:szCs w:val="21"/>
        </w:rPr>
        <w:t>个人CA签章的，应在</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中涉及到签字的位置使用个人CA签章，没有办理</w:t>
      </w:r>
      <w:r>
        <w:rPr>
          <w:rFonts w:hint="eastAsia" w:ascii="新宋体" w:hAnsi="新宋体" w:eastAsia="新宋体" w:cs="新宋体"/>
          <w:color w:val="auto"/>
          <w:spacing w:val="0"/>
          <w:szCs w:val="21"/>
          <w:lang w:eastAsia="zh-CN"/>
        </w:rPr>
        <w:t>广西政府采购云</w:t>
      </w:r>
      <w:r>
        <w:rPr>
          <w:rFonts w:hint="eastAsia" w:ascii="新宋体" w:hAnsi="新宋体" w:eastAsia="新宋体" w:cs="新宋体"/>
          <w:color w:val="auto"/>
          <w:spacing w:val="0"/>
          <w:szCs w:val="21"/>
        </w:rPr>
        <w:t>个人CA签章的可在</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中涉及到签字的位置手写签字后扫描或者拍照做成 PDF 的格式上传即可。</w:t>
      </w:r>
    </w:p>
    <w:p w14:paraId="5974F34A">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16.3 </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不得涂改，若有修改错漏处，须法定代表人（负责人）或授权委托人签字（或个人CA签章）。</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因字迹潦草或表达不清所引起的后果由供应商负责。</w:t>
      </w:r>
    </w:p>
    <w:p w14:paraId="7F84D0D1">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16.4磋商前准备 </w:t>
      </w:r>
    </w:p>
    <w:p w14:paraId="73F0DFE7">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16.4.1本项目实行在线磋商，采用电子</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 xml:space="preserve">。若供应商参与磋商，自行承担磋商一切费用。 </w:t>
      </w:r>
    </w:p>
    <w:p w14:paraId="7900E51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16.4.2各供应商应在截标前应确保成为</w:t>
      </w:r>
      <w:r>
        <w:rPr>
          <w:rFonts w:hint="eastAsia" w:ascii="新宋体" w:hAnsi="新宋体" w:eastAsia="新宋体" w:cs="新宋体"/>
          <w:color w:val="auto"/>
          <w:spacing w:val="0"/>
          <w:szCs w:val="21"/>
          <w:lang w:eastAsia="zh-CN"/>
        </w:rPr>
        <w:t>广西政府采购云平台</w:t>
      </w:r>
      <w:r>
        <w:rPr>
          <w:rFonts w:hint="eastAsia" w:ascii="新宋体" w:hAnsi="新宋体" w:eastAsia="新宋体" w:cs="新宋体"/>
          <w:color w:val="auto"/>
          <w:spacing w:val="0"/>
          <w:szCs w:val="21"/>
        </w:rPr>
        <w:t xml:space="preserve">正式注册入库供应商，并完成 CA 数字证书申领。因未注册入库、未办理 CA 数字证书等原因造成无法磋商或磋商失败等后果由供应商自行承担。 </w:t>
      </w:r>
    </w:p>
    <w:p w14:paraId="066E691B">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16.4.3供应商将</w:t>
      </w:r>
      <w:r>
        <w:rPr>
          <w:rFonts w:hint="eastAsia" w:ascii="新宋体" w:hAnsi="新宋体" w:eastAsia="新宋体" w:cs="新宋体"/>
          <w:color w:val="auto"/>
          <w:spacing w:val="0"/>
          <w:szCs w:val="21"/>
          <w:lang w:eastAsia="zh-CN"/>
        </w:rPr>
        <w:t>广西政府采购云</w:t>
      </w:r>
      <w:r>
        <w:rPr>
          <w:rFonts w:hint="eastAsia" w:ascii="新宋体" w:hAnsi="新宋体" w:eastAsia="新宋体" w:cs="新宋体"/>
          <w:color w:val="auto"/>
          <w:spacing w:val="0"/>
          <w:szCs w:val="21"/>
        </w:rPr>
        <w:t>电子交易客户端下载、安装完成后，可通过账号密码或 CA 登录客户端进行</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制作。客户端请至网站下载专区查看，如有问题可拨打</w:t>
      </w:r>
      <w:r>
        <w:rPr>
          <w:rFonts w:hint="eastAsia" w:ascii="新宋体" w:hAnsi="新宋体" w:eastAsia="新宋体" w:cs="新宋体"/>
          <w:color w:val="auto"/>
          <w:spacing w:val="0"/>
          <w:szCs w:val="21"/>
          <w:lang w:eastAsia="zh-CN"/>
        </w:rPr>
        <w:t>广西政府采购云</w:t>
      </w:r>
      <w:r>
        <w:rPr>
          <w:rFonts w:hint="eastAsia" w:ascii="新宋体" w:hAnsi="新宋体" w:eastAsia="新宋体" w:cs="新宋体"/>
          <w:color w:val="auto"/>
          <w:spacing w:val="0"/>
          <w:szCs w:val="21"/>
        </w:rPr>
        <w:t xml:space="preserve">客户服务热线 </w:t>
      </w:r>
      <w:r>
        <w:rPr>
          <w:rFonts w:hint="eastAsia" w:ascii="新宋体" w:hAnsi="新宋体" w:eastAsia="新宋体" w:cs="新宋体"/>
          <w:color w:val="auto"/>
          <w:spacing w:val="0"/>
          <w:szCs w:val="21"/>
          <w:lang w:val="en-US" w:eastAsia="zh-CN"/>
        </w:rPr>
        <w:t>95763</w:t>
      </w:r>
      <w:r>
        <w:rPr>
          <w:rFonts w:hint="eastAsia" w:ascii="新宋体" w:hAnsi="新宋体" w:eastAsia="新宋体" w:cs="新宋体"/>
          <w:color w:val="auto"/>
          <w:spacing w:val="0"/>
          <w:szCs w:val="21"/>
        </w:rPr>
        <w:t xml:space="preserve"> 进行咨询。</w:t>
      </w:r>
    </w:p>
    <w:p w14:paraId="324ABC1F">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89" w:name="_Toc2838"/>
      <w:r>
        <w:rPr>
          <w:rFonts w:hint="eastAsia" w:ascii="新宋体" w:hAnsi="新宋体" w:eastAsia="新宋体" w:cs="新宋体"/>
          <w:color w:val="auto"/>
          <w:spacing w:val="0"/>
          <w:sz w:val="21"/>
          <w:szCs w:val="21"/>
        </w:rPr>
        <w:t xml:space="preserve">17. </w:t>
      </w:r>
      <w:r>
        <w:rPr>
          <w:rFonts w:hint="eastAsia" w:ascii="新宋体" w:hAnsi="新宋体" w:eastAsia="新宋体" w:cs="新宋体"/>
          <w:color w:val="auto"/>
          <w:spacing w:val="0"/>
          <w:sz w:val="21"/>
          <w:szCs w:val="21"/>
          <w:lang w:eastAsia="zh-CN"/>
        </w:rPr>
        <w:t>磋商文件</w:t>
      </w:r>
      <w:r>
        <w:rPr>
          <w:rFonts w:hint="eastAsia" w:ascii="新宋体" w:hAnsi="新宋体" w:eastAsia="新宋体" w:cs="新宋体"/>
          <w:color w:val="auto"/>
          <w:spacing w:val="0"/>
          <w:sz w:val="21"/>
          <w:szCs w:val="21"/>
        </w:rPr>
        <w:t>的修改和撤回</w:t>
      </w:r>
      <w:bookmarkEnd w:id="89"/>
    </w:p>
    <w:p w14:paraId="5C024D79">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17.1 </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递交截止时间前可以撤回电子</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。补充或者修改电子</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的，应当先行撤回原文件，补充、修改后重新传输递交，</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递交截止时间前未完成传输的，视为撤回</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w:t>
      </w:r>
    </w:p>
    <w:p w14:paraId="210AF59C">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17.2 在</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递交截止时间后的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有效期内，供应商不得撤回其</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w:t>
      </w:r>
    </w:p>
    <w:p w14:paraId="75FE6804">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90" w:name="_Toc30156"/>
      <w:bookmarkStart w:id="91" w:name="_Toc6828"/>
      <w:r>
        <w:rPr>
          <w:rFonts w:hint="eastAsia" w:ascii="新宋体" w:hAnsi="新宋体" w:eastAsia="新宋体" w:cs="新宋体"/>
          <w:color w:val="auto"/>
          <w:spacing w:val="0"/>
          <w:sz w:val="21"/>
          <w:szCs w:val="21"/>
        </w:rPr>
        <w:t xml:space="preserve">18. </w:t>
      </w:r>
      <w:r>
        <w:rPr>
          <w:rFonts w:hint="eastAsia" w:ascii="新宋体" w:hAnsi="新宋体" w:eastAsia="新宋体" w:cs="新宋体"/>
          <w:color w:val="auto"/>
          <w:spacing w:val="0"/>
          <w:sz w:val="21"/>
          <w:szCs w:val="21"/>
          <w:lang w:eastAsia="zh-CN"/>
        </w:rPr>
        <w:t>磋商文件</w:t>
      </w:r>
      <w:r>
        <w:rPr>
          <w:rFonts w:hint="eastAsia" w:ascii="新宋体" w:hAnsi="新宋体" w:eastAsia="新宋体" w:cs="新宋体"/>
          <w:color w:val="auto"/>
          <w:spacing w:val="0"/>
          <w:sz w:val="21"/>
          <w:szCs w:val="21"/>
        </w:rPr>
        <w:t>的递交和解密</w:t>
      </w:r>
      <w:bookmarkEnd w:id="90"/>
      <w:bookmarkEnd w:id="91"/>
    </w:p>
    <w:p w14:paraId="73F2CABE">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18.1</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递交截止时间：详见供应商须知前附表。</w:t>
      </w:r>
    </w:p>
    <w:p w14:paraId="1C88F455">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18.2</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解密时间：详见供应商须知前附表。</w:t>
      </w:r>
    </w:p>
    <w:p w14:paraId="479ABB43">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18.3 除竞争性磋商文件另有规定外，供应商所递交的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不予退还。</w:t>
      </w:r>
    </w:p>
    <w:p w14:paraId="0A7F955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18.4 电子</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的相关说明</w:t>
      </w:r>
    </w:p>
    <w:p w14:paraId="0FAAF482">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（1）供应商进行电子响应应安装客户端软件，并按照采购文件和电子交易平台的要求编制并加密</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。供应商未按规定加密的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，电子交易平台将拒收。供应商应当在磋商截止时间前完成</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的传输递交，并可以补充、修改或者撤回</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。补充或者修改</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的，应当先行撤回原文件，补充、修改后重新传输递交。磋商截止时间前未完成传输的，视为撤回</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。磋商截止时间后递交的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 xml:space="preserve">，电子交易平台将拒收。 </w:t>
      </w:r>
    </w:p>
    <w:p w14:paraId="2F389042">
      <w:pPr>
        <w:spacing w:line="440" w:lineRule="exact"/>
        <w:ind w:firstLine="420" w:firstLineChars="200"/>
        <w:rPr>
          <w:rFonts w:hint="eastAsia" w:ascii="新宋体" w:hAnsi="新宋体" w:eastAsia="新宋体" w:cs="新宋体"/>
          <w:color w:val="auto"/>
          <w:spacing w:val="0"/>
        </w:rPr>
      </w:pPr>
      <w:r>
        <w:rPr>
          <w:rFonts w:hint="eastAsia" w:ascii="新宋体" w:hAnsi="新宋体" w:eastAsia="新宋体" w:cs="新宋体"/>
          <w:color w:val="auto"/>
          <w:spacing w:val="0"/>
          <w:szCs w:val="21"/>
        </w:rPr>
        <w:t>（2）如有特殊情况，采购代理机构延长截止时间和开标时间，采购代理机构和供应商的权利和义务将受到新的截止时间和开标时间的约束。</w:t>
      </w:r>
    </w:p>
    <w:p w14:paraId="74FCE419">
      <w:pPr>
        <w:pStyle w:val="4"/>
        <w:tabs>
          <w:tab w:val="left" w:pos="567"/>
        </w:tabs>
        <w:spacing w:line="440" w:lineRule="exact"/>
        <w:jc w:val="center"/>
        <w:rPr>
          <w:rFonts w:hint="eastAsia" w:ascii="新宋体" w:hAnsi="新宋体" w:eastAsia="新宋体" w:cs="新宋体"/>
          <w:b/>
          <w:bCs w:val="0"/>
          <w:color w:val="auto"/>
          <w:spacing w:val="0"/>
          <w:szCs w:val="28"/>
        </w:rPr>
      </w:pPr>
      <w:bookmarkStart w:id="92" w:name="_Toc2433"/>
    </w:p>
    <w:p w14:paraId="5FB22A38">
      <w:pPr>
        <w:pStyle w:val="4"/>
        <w:tabs>
          <w:tab w:val="left" w:pos="567"/>
        </w:tabs>
        <w:spacing w:line="440" w:lineRule="exact"/>
        <w:jc w:val="center"/>
        <w:rPr>
          <w:rFonts w:hint="eastAsia" w:ascii="新宋体" w:hAnsi="新宋体" w:eastAsia="新宋体" w:cs="新宋体"/>
          <w:b/>
          <w:bCs w:val="0"/>
          <w:color w:val="auto"/>
          <w:spacing w:val="0"/>
          <w:szCs w:val="28"/>
        </w:rPr>
      </w:pPr>
      <w:bookmarkStart w:id="93" w:name="_Toc18536"/>
      <w:r>
        <w:rPr>
          <w:rFonts w:hint="eastAsia" w:ascii="新宋体" w:hAnsi="新宋体" w:eastAsia="新宋体" w:cs="新宋体"/>
          <w:b/>
          <w:bCs w:val="0"/>
          <w:color w:val="auto"/>
          <w:spacing w:val="0"/>
          <w:szCs w:val="28"/>
        </w:rPr>
        <w:t>四、竞争性磋商（简称磋商）与评审</w:t>
      </w:r>
      <w:bookmarkEnd w:id="92"/>
      <w:bookmarkEnd w:id="93"/>
    </w:p>
    <w:p w14:paraId="7E802CBD">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94" w:name="_Toc31588"/>
      <w:bookmarkStart w:id="95" w:name="_Toc7978"/>
      <w:r>
        <w:rPr>
          <w:rFonts w:hint="eastAsia" w:ascii="新宋体" w:hAnsi="新宋体" w:eastAsia="新宋体" w:cs="新宋体"/>
          <w:color w:val="auto"/>
          <w:spacing w:val="0"/>
          <w:sz w:val="21"/>
          <w:szCs w:val="21"/>
        </w:rPr>
        <w:t>19. 磋商小组组成及磋商时间、地点、人员</w:t>
      </w:r>
      <w:bookmarkEnd w:id="94"/>
      <w:bookmarkEnd w:id="95"/>
    </w:p>
    <w:p w14:paraId="59F7437A">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19.1 磋商小组组成：</w:t>
      </w:r>
    </w:p>
    <w:p w14:paraId="4A285D87">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磋商及评审工作由采购代理机构负责组织，具体磋商、评审工作由依法组建的磋商小组负责，磋商小组由采购人代表和有关方面的专家组成。磋商小组的构成：详见供应商须知前附表。</w:t>
      </w:r>
    </w:p>
    <w:p w14:paraId="7B32DDE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19.2 磋商时间、地点、人员：</w:t>
      </w:r>
    </w:p>
    <w:p w14:paraId="614EFD5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新宋体" w:hAnsi="新宋体" w:eastAsia="新宋体" w:cs="新宋体"/>
          <w:color w:val="auto"/>
          <w:spacing w:val="0"/>
          <w:szCs w:val="21"/>
        </w:rPr>
      </w:pPr>
      <w:bookmarkStart w:id="96" w:name="_Toc9878"/>
      <w:r>
        <w:rPr>
          <w:rFonts w:hint="eastAsia" w:ascii="新宋体" w:hAnsi="新宋体" w:eastAsia="新宋体" w:cs="新宋体"/>
          <w:color w:val="auto"/>
          <w:spacing w:val="0"/>
          <w:szCs w:val="21"/>
        </w:rPr>
        <w:t>19.2.1磋商时间：</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递交截止时间后。</w:t>
      </w:r>
      <w:bookmarkEnd w:id="96"/>
    </w:p>
    <w:p w14:paraId="2011A6C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新宋体" w:hAnsi="新宋体" w:eastAsia="新宋体" w:cs="新宋体"/>
          <w:color w:val="auto"/>
          <w:spacing w:val="0"/>
          <w:szCs w:val="21"/>
        </w:rPr>
      </w:pPr>
      <w:bookmarkStart w:id="97" w:name="_Toc29268"/>
      <w:r>
        <w:rPr>
          <w:rFonts w:hint="eastAsia" w:ascii="新宋体" w:hAnsi="新宋体" w:eastAsia="新宋体" w:cs="新宋体"/>
          <w:color w:val="auto"/>
          <w:spacing w:val="0"/>
          <w:szCs w:val="21"/>
        </w:rPr>
        <w:t>19.2.2磋商地点：</w:t>
      </w:r>
      <w:bookmarkEnd w:id="97"/>
      <w:r>
        <w:rPr>
          <w:rFonts w:hint="eastAsia" w:ascii="新宋体" w:hAnsi="新宋体" w:eastAsia="新宋体" w:cs="新宋体"/>
          <w:color w:val="auto"/>
          <w:spacing w:val="0"/>
          <w:szCs w:val="21"/>
        </w:rPr>
        <w:t>本项目需要磋商供应商代表在截标当天截标后，按磋商小组要求及时登陆</w:t>
      </w:r>
      <w:r>
        <w:rPr>
          <w:rFonts w:hint="eastAsia" w:ascii="新宋体" w:hAnsi="新宋体" w:eastAsia="新宋体" w:cs="新宋体"/>
          <w:color w:val="auto"/>
          <w:spacing w:val="0"/>
          <w:szCs w:val="21"/>
          <w:lang w:eastAsia="zh-CN"/>
        </w:rPr>
        <w:t>广西政府采购云平台</w:t>
      </w:r>
      <w:r>
        <w:rPr>
          <w:rFonts w:hint="eastAsia" w:ascii="新宋体" w:hAnsi="新宋体" w:eastAsia="新宋体" w:cs="新宋体"/>
          <w:color w:val="auto"/>
          <w:spacing w:val="0"/>
          <w:szCs w:val="21"/>
        </w:rPr>
        <w:t>等候在线磋商。</w:t>
      </w:r>
    </w:p>
    <w:p w14:paraId="376DDED5">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新宋体" w:hAnsi="新宋体" w:eastAsia="新宋体" w:cs="新宋体"/>
          <w:bCs/>
          <w:color w:val="auto"/>
          <w:spacing w:val="0"/>
          <w:szCs w:val="21"/>
        </w:rPr>
      </w:pPr>
      <w:bookmarkStart w:id="98" w:name="_Toc21307"/>
      <w:r>
        <w:rPr>
          <w:rFonts w:hint="eastAsia" w:ascii="新宋体" w:hAnsi="新宋体" w:eastAsia="新宋体" w:cs="新宋体"/>
          <w:color w:val="auto"/>
          <w:spacing w:val="0"/>
          <w:szCs w:val="21"/>
        </w:rPr>
        <w:t>19</w:t>
      </w:r>
      <w:r>
        <w:rPr>
          <w:rFonts w:hint="eastAsia" w:ascii="新宋体" w:hAnsi="新宋体" w:eastAsia="新宋体" w:cs="新宋体"/>
          <w:bCs/>
          <w:color w:val="auto"/>
          <w:spacing w:val="0"/>
          <w:szCs w:val="21"/>
        </w:rPr>
        <w:t>.2.3磋商参加人员：供应商法定代表人、负责人、自然人或相应的委托代理人持</w:t>
      </w:r>
      <w:r>
        <w:rPr>
          <w:rFonts w:hint="eastAsia" w:ascii="新宋体" w:hAnsi="新宋体" w:eastAsia="新宋体" w:cs="新宋体"/>
          <w:bCs/>
          <w:color w:val="auto"/>
          <w:spacing w:val="0"/>
          <w:szCs w:val="21"/>
          <w:u w:val="single"/>
        </w:rPr>
        <w:t>有效身份证原件</w:t>
      </w:r>
      <w:r>
        <w:rPr>
          <w:rFonts w:hint="eastAsia" w:ascii="新宋体" w:hAnsi="新宋体" w:eastAsia="新宋体" w:cs="新宋体"/>
          <w:bCs/>
          <w:color w:val="auto"/>
          <w:spacing w:val="0"/>
          <w:szCs w:val="21"/>
        </w:rPr>
        <w:t>和供应商</w:t>
      </w:r>
      <w:r>
        <w:rPr>
          <w:rFonts w:hint="eastAsia" w:ascii="新宋体" w:hAnsi="新宋体" w:eastAsia="新宋体" w:cs="新宋体"/>
          <w:bCs/>
          <w:color w:val="auto"/>
          <w:spacing w:val="0"/>
          <w:szCs w:val="21"/>
          <w:u w:val="single"/>
          <w:lang w:eastAsia="zh-CN"/>
        </w:rPr>
        <w:t>广西政府采购云平台</w:t>
      </w:r>
      <w:r>
        <w:rPr>
          <w:rFonts w:hint="eastAsia" w:ascii="新宋体" w:hAnsi="新宋体" w:eastAsia="新宋体" w:cs="新宋体"/>
          <w:bCs/>
          <w:color w:val="auto"/>
          <w:spacing w:val="0"/>
          <w:szCs w:val="21"/>
          <w:u w:val="single"/>
        </w:rPr>
        <w:t>CA数字证书</w:t>
      </w:r>
      <w:r>
        <w:rPr>
          <w:rFonts w:hint="eastAsia" w:ascii="新宋体" w:hAnsi="新宋体" w:eastAsia="新宋体" w:cs="新宋体"/>
          <w:bCs/>
          <w:color w:val="auto"/>
          <w:spacing w:val="0"/>
          <w:szCs w:val="21"/>
        </w:rPr>
        <w:t>参加磋商。</w:t>
      </w:r>
      <w:bookmarkEnd w:id="98"/>
      <w:r>
        <w:rPr>
          <w:rFonts w:hint="eastAsia" w:ascii="新宋体" w:hAnsi="新宋体" w:eastAsia="新宋体" w:cs="新宋体"/>
          <w:bCs/>
          <w:spacing w:val="0"/>
          <w:sz w:val="21"/>
          <w:szCs w:val="21"/>
        </w:rPr>
        <w:t>请供应商实时登陆“</w:t>
      </w:r>
      <w:r>
        <w:rPr>
          <w:rFonts w:hint="eastAsia" w:ascii="新宋体" w:hAnsi="新宋体" w:eastAsia="新宋体" w:cs="新宋体"/>
          <w:bCs/>
          <w:spacing w:val="0"/>
          <w:sz w:val="21"/>
          <w:szCs w:val="21"/>
          <w:lang w:eastAsia="zh-CN"/>
        </w:rPr>
        <w:t>广西政府采购云</w:t>
      </w:r>
      <w:r>
        <w:rPr>
          <w:rFonts w:hint="eastAsia" w:ascii="新宋体" w:hAnsi="新宋体" w:eastAsia="新宋体" w:cs="新宋体"/>
          <w:bCs/>
          <w:spacing w:val="0"/>
          <w:sz w:val="21"/>
          <w:szCs w:val="21"/>
        </w:rPr>
        <w:t>”平台等候在线磋商。</w:t>
      </w:r>
    </w:p>
    <w:p w14:paraId="49BCE7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新宋体" w:hAnsi="新宋体" w:eastAsia="新宋体" w:cs="新宋体"/>
          <w:bCs/>
          <w:color w:val="auto"/>
          <w:spacing w:val="0"/>
          <w:szCs w:val="21"/>
        </w:rPr>
      </w:pPr>
      <w:bookmarkStart w:id="99" w:name="_Toc6288"/>
      <w:r>
        <w:rPr>
          <w:rFonts w:hint="eastAsia" w:ascii="新宋体" w:hAnsi="新宋体" w:eastAsia="新宋体" w:cs="新宋体"/>
          <w:bCs/>
          <w:color w:val="auto"/>
          <w:spacing w:val="0"/>
          <w:szCs w:val="21"/>
        </w:rPr>
        <w:t>19.2.4</w:t>
      </w:r>
      <w:r>
        <w:rPr>
          <w:rFonts w:hint="eastAsia" w:ascii="新宋体" w:hAnsi="新宋体" w:eastAsia="新宋体" w:cs="新宋体"/>
          <w:bCs/>
          <w:color w:val="auto"/>
          <w:spacing w:val="0"/>
          <w:szCs w:val="21"/>
          <w:lang w:eastAsia="zh-CN"/>
        </w:rPr>
        <w:t>磋商文件</w:t>
      </w:r>
      <w:r>
        <w:rPr>
          <w:rFonts w:hint="eastAsia" w:ascii="新宋体" w:hAnsi="新宋体" w:eastAsia="新宋体" w:cs="新宋体"/>
          <w:bCs/>
          <w:color w:val="auto"/>
          <w:spacing w:val="0"/>
          <w:szCs w:val="21"/>
        </w:rPr>
        <w:t>递交截止时间后，由磋商小组在评标室内线上开启</w:t>
      </w:r>
      <w:r>
        <w:rPr>
          <w:rFonts w:hint="eastAsia" w:ascii="新宋体" w:hAnsi="新宋体" w:eastAsia="新宋体" w:cs="新宋体"/>
          <w:bCs/>
          <w:color w:val="auto"/>
          <w:spacing w:val="0"/>
          <w:szCs w:val="21"/>
          <w:lang w:eastAsia="zh-CN"/>
        </w:rPr>
        <w:t>磋商文件</w:t>
      </w:r>
      <w:r>
        <w:rPr>
          <w:rFonts w:hint="eastAsia" w:ascii="新宋体" w:hAnsi="新宋体" w:eastAsia="新宋体" w:cs="新宋体"/>
          <w:bCs/>
          <w:color w:val="auto"/>
          <w:spacing w:val="0"/>
          <w:szCs w:val="21"/>
        </w:rPr>
        <w:t>。</w:t>
      </w:r>
      <w:bookmarkEnd w:id="99"/>
    </w:p>
    <w:p w14:paraId="52E9B22D">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100" w:name="_Toc25258"/>
      <w:bookmarkStart w:id="101" w:name="_Toc23222"/>
      <w:r>
        <w:rPr>
          <w:rFonts w:hint="eastAsia" w:ascii="新宋体" w:hAnsi="新宋体" w:eastAsia="新宋体" w:cs="新宋体"/>
          <w:color w:val="auto"/>
          <w:spacing w:val="0"/>
          <w:sz w:val="21"/>
          <w:szCs w:val="21"/>
        </w:rPr>
        <w:t>20. 评审原则</w:t>
      </w:r>
      <w:bookmarkEnd w:id="100"/>
      <w:bookmarkEnd w:id="101"/>
    </w:p>
    <w:p w14:paraId="4DF92621">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20.1 磋商小组必须坚持公平、公正、科学和择优的原则。</w:t>
      </w:r>
    </w:p>
    <w:p w14:paraId="590BFD5B">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20.2 评审办法：综合评分法，具体详见第</w:t>
      </w:r>
      <w:r>
        <w:rPr>
          <w:rFonts w:hint="eastAsia" w:ascii="新宋体" w:hAnsi="新宋体" w:eastAsia="新宋体" w:cs="新宋体"/>
          <w:color w:val="auto"/>
          <w:spacing w:val="0"/>
          <w:szCs w:val="21"/>
          <w:lang w:val="en-US" w:eastAsia="zh-CN"/>
        </w:rPr>
        <w:t>八</w:t>
      </w:r>
      <w:r>
        <w:rPr>
          <w:rFonts w:hint="eastAsia" w:ascii="新宋体" w:hAnsi="新宋体" w:eastAsia="新宋体" w:cs="新宋体"/>
          <w:color w:val="auto"/>
          <w:spacing w:val="0"/>
          <w:szCs w:val="21"/>
        </w:rPr>
        <w:t>章评审程序、评审方法和评审标准。</w:t>
      </w:r>
    </w:p>
    <w:p w14:paraId="5F141E3A">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20.3 磋商小组应按磋商文件进行评审，不得擅自更改评审办法。</w:t>
      </w:r>
    </w:p>
    <w:p w14:paraId="1C6E2F67">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20.4 在评审过程中，磋商小组任何人不得对某个供应商发表任何倾向性意见，不得向其他磋商小组成员明示或者暗示自己的评审意见。</w:t>
      </w:r>
    </w:p>
    <w:p w14:paraId="6F7AF9D9">
      <w:pPr>
        <w:spacing w:line="440" w:lineRule="exact"/>
        <w:ind w:firstLine="420" w:firstLineChars="200"/>
        <w:jc w:val="left"/>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20.5 磋商小组成员对需要共同认定的事项存在争议的，按照少数服从多数的原则作出结论。持不同意见的磋商小组成员应当在评审报告上签署不同意见并说明理由，否则视为同意。</w:t>
      </w:r>
    </w:p>
    <w:p w14:paraId="1B547EC7">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20.6 </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最后报价出现前后不一致的，除竞争性磋商文件另有规定外，按照下列规定修正：</w:t>
      </w:r>
    </w:p>
    <w:p w14:paraId="6E39C4F2">
      <w:pPr>
        <w:pStyle w:val="65"/>
        <w:tabs>
          <w:tab w:val="left" w:pos="1099"/>
        </w:tabs>
        <w:spacing w:before="130" w:line="440" w:lineRule="exact"/>
        <w:ind w:left="420" w:leftChars="200" w:firstLine="0" w:firstLineChars="0"/>
        <w:jc w:val="left"/>
        <w:rPr>
          <w:rFonts w:hint="eastAsia" w:ascii="新宋体" w:hAnsi="新宋体" w:eastAsia="新宋体" w:cs="新宋体"/>
          <w:color w:val="auto"/>
          <w:spacing w:val="0"/>
        </w:rPr>
      </w:pPr>
      <w:r>
        <w:rPr>
          <w:rFonts w:hint="eastAsia" w:ascii="新宋体" w:hAnsi="新宋体" w:eastAsia="新宋体" w:cs="新宋体"/>
          <w:color w:val="auto"/>
          <w:spacing w:val="0"/>
          <w:szCs w:val="21"/>
        </w:rPr>
        <w:t xml:space="preserve">(1) </w:t>
      </w:r>
      <w:r>
        <w:rPr>
          <w:rFonts w:hint="eastAsia" w:ascii="新宋体" w:hAnsi="新宋体" w:eastAsia="新宋体" w:cs="新宋体"/>
          <w:color w:val="auto"/>
          <w:spacing w:val="0"/>
          <w:lang w:eastAsia="zh-CN"/>
        </w:rPr>
        <w:t>磋商文件</w:t>
      </w:r>
      <w:r>
        <w:rPr>
          <w:rFonts w:hint="eastAsia" w:ascii="新宋体" w:hAnsi="新宋体" w:eastAsia="新宋体" w:cs="新宋体"/>
          <w:color w:val="auto"/>
          <w:spacing w:val="0"/>
        </w:rPr>
        <w:t>中磋商报价表内容与</w:t>
      </w:r>
      <w:r>
        <w:rPr>
          <w:rFonts w:hint="eastAsia" w:ascii="新宋体" w:hAnsi="新宋体" w:eastAsia="新宋体" w:cs="新宋体"/>
          <w:color w:val="auto"/>
          <w:spacing w:val="0"/>
          <w:lang w:eastAsia="zh-CN"/>
        </w:rPr>
        <w:t>磋商文件</w:t>
      </w:r>
      <w:r>
        <w:rPr>
          <w:rFonts w:hint="eastAsia" w:ascii="新宋体" w:hAnsi="新宋体" w:eastAsia="新宋体" w:cs="新宋体"/>
          <w:color w:val="auto"/>
          <w:spacing w:val="0"/>
        </w:rPr>
        <w:t>中相应内容不一致的，以最后磋商报价表为准；</w:t>
      </w:r>
    </w:p>
    <w:p w14:paraId="77431DCF">
      <w:pPr>
        <w:pStyle w:val="65"/>
        <w:tabs>
          <w:tab w:val="left" w:pos="1099"/>
        </w:tabs>
        <w:spacing w:before="130" w:line="440" w:lineRule="exact"/>
        <w:ind w:left="420" w:leftChars="200" w:firstLine="0" w:firstLineChars="0"/>
        <w:jc w:val="left"/>
        <w:rPr>
          <w:rFonts w:hint="eastAsia" w:ascii="新宋体" w:hAnsi="新宋体" w:eastAsia="新宋体" w:cs="新宋体"/>
          <w:color w:val="auto"/>
          <w:spacing w:val="0"/>
        </w:rPr>
      </w:pPr>
      <w:r>
        <w:rPr>
          <w:rFonts w:hint="eastAsia" w:ascii="新宋体" w:hAnsi="新宋体" w:eastAsia="新宋体" w:cs="新宋体"/>
          <w:color w:val="auto"/>
          <w:spacing w:val="0"/>
          <w:szCs w:val="21"/>
        </w:rPr>
        <w:t>(2)</w:t>
      </w:r>
      <w:r>
        <w:rPr>
          <w:rFonts w:hint="eastAsia" w:ascii="新宋体" w:hAnsi="新宋体" w:eastAsia="新宋体" w:cs="新宋体"/>
          <w:color w:val="auto"/>
          <w:spacing w:val="0"/>
        </w:rPr>
        <w:t xml:space="preserve"> 大写金额和小写金额不一致的，以大写金额为准；</w:t>
      </w:r>
    </w:p>
    <w:p w14:paraId="3EBCC7A5">
      <w:pPr>
        <w:pStyle w:val="65"/>
        <w:tabs>
          <w:tab w:val="left" w:pos="1099"/>
        </w:tabs>
        <w:spacing w:before="130" w:line="440" w:lineRule="exact"/>
        <w:ind w:left="420" w:leftChars="200" w:firstLine="0" w:firstLineChars="0"/>
        <w:jc w:val="left"/>
        <w:rPr>
          <w:rFonts w:hint="eastAsia" w:ascii="新宋体" w:hAnsi="新宋体" w:eastAsia="新宋体" w:cs="新宋体"/>
          <w:color w:val="auto"/>
          <w:spacing w:val="0"/>
        </w:rPr>
      </w:pPr>
      <w:r>
        <w:rPr>
          <w:rFonts w:hint="eastAsia" w:ascii="新宋体" w:hAnsi="新宋体" w:eastAsia="新宋体" w:cs="新宋体"/>
          <w:color w:val="auto"/>
          <w:spacing w:val="0"/>
          <w:szCs w:val="21"/>
        </w:rPr>
        <w:t>(3)</w:t>
      </w:r>
      <w:r>
        <w:rPr>
          <w:rFonts w:hint="eastAsia" w:ascii="新宋体" w:hAnsi="新宋体" w:eastAsia="新宋体" w:cs="新宋体"/>
          <w:color w:val="auto"/>
          <w:spacing w:val="0"/>
        </w:rPr>
        <w:t xml:space="preserve"> 单价金额小数点或者百分比有明显错位的，以报价表的总价为准，并修改单价；</w:t>
      </w:r>
    </w:p>
    <w:p w14:paraId="04E9F707">
      <w:pPr>
        <w:pStyle w:val="65"/>
        <w:tabs>
          <w:tab w:val="left" w:pos="1099"/>
        </w:tabs>
        <w:spacing w:before="130" w:line="440" w:lineRule="exact"/>
        <w:ind w:left="420" w:leftChars="200" w:firstLine="0" w:firstLineChars="0"/>
        <w:jc w:val="left"/>
        <w:rPr>
          <w:rFonts w:hint="eastAsia" w:ascii="新宋体" w:hAnsi="新宋体" w:eastAsia="新宋体" w:cs="新宋体"/>
          <w:color w:val="auto"/>
          <w:spacing w:val="0"/>
        </w:rPr>
      </w:pPr>
      <w:r>
        <w:rPr>
          <w:rFonts w:hint="eastAsia" w:ascii="新宋体" w:hAnsi="新宋体" w:eastAsia="新宋体" w:cs="新宋体"/>
          <w:color w:val="auto"/>
          <w:spacing w:val="0"/>
          <w:szCs w:val="21"/>
        </w:rPr>
        <w:t xml:space="preserve">(4) </w:t>
      </w:r>
      <w:r>
        <w:rPr>
          <w:rFonts w:hint="eastAsia" w:ascii="新宋体" w:hAnsi="新宋体" w:eastAsia="新宋体" w:cs="新宋体"/>
          <w:color w:val="auto"/>
          <w:spacing w:val="0"/>
        </w:rPr>
        <w:t>总价金额与按单价汇总金额不一致的，以单价金额计算结果为准。</w:t>
      </w:r>
    </w:p>
    <w:p w14:paraId="26AF0428">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同时出现两种以上不一致的，按照前款规定的顺序修正。修正后的报价（不得超出</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的范围或者改变</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的实质性内容）经磋商供应商确认后产生约束力，磋商供应商不确认的，作无效响应处理。</w:t>
      </w:r>
    </w:p>
    <w:p w14:paraId="6A7E39B3">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102" w:name="_Toc27193"/>
      <w:bookmarkStart w:id="103" w:name="_Toc2440"/>
      <w:r>
        <w:rPr>
          <w:rFonts w:hint="eastAsia" w:ascii="新宋体" w:hAnsi="新宋体" w:eastAsia="新宋体" w:cs="新宋体"/>
          <w:color w:val="auto"/>
          <w:spacing w:val="0"/>
          <w:sz w:val="21"/>
          <w:szCs w:val="21"/>
        </w:rPr>
        <w:t>21. 评审程序及磋商要求</w:t>
      </w:r>
      <w:bookmarkEnd w:id="102"/>
      <w:bookmarkEnd w:id="103"/>
    </w:p>
    <w:p w14:paraId="6907366E">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21.1磋商小组成员的通讯工具或相关电子设备统一保管后到达评标室，采购代理机构核实磋商小组成员身份，告知回避要求，宣布评审工作纪律和程序，推选磋商小组组长。</w:t>
      </w:r>
    </w:p>
    <w:p w14:paraId="5BBC1118">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21.2磋商小组应当对发布公告的竞争性磋商文件（简称磋商文件）进行确认，审查供应商的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并作出评价；要求供应商解释或者澄清其</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；编写评审报告；告知采购人、采购代理机构在评审过程中发现的供应商的违法违规行为。</w:t>
      </w:r>
    </w:p>
    <w:p w14:paraId="541863D8">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21.3 磋商小组依据竞争性磋商文件的规定，首先对</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进行资格性审查，以确定供应商是否具备本项 目供应商资格；再对通过资格性审查的供应商</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 xml:space="preserve">的有效性、完整性和对磋商文件的响应程度进行符合性 审查，以确定是否对磋商文件的实质性要求做出响应。 </w:t>
      </w:r>
    </w:p>
    <w:p w14:paraId="375AC902">
      <w:pPr>
        <w:spacing w:line="440" w:lineRule="exact"/>
        <w:ind w:firstLine="422" w:firstLineChars="200"/>
        <w:rPr>
          <w:rFonts w:hint="eastAsia" w:ascii="新宋体" w:hAnsi="新宋体" w:eastAsia="新宋体" w:cs="新宋体"/>
          <w:b/>
          <w:bCs/>
          <w:color w:val="auto"/>
          <w:spacing w:val="0"/>
          <w:szCs w:val="21"/>
        </w:rPr>
      </w:pPr>
      <w:r>
        <w:rPr>
          <w:rFonts w:hint="eastAsia" w:ascii="新宋体" w:hAnsi="新宋体" w:eastAsia="新宋体" w:cs="新宋体"/>
          <w:b/>
          <w:bCs/>
          <w:color w:val="auto"/>
          <w:spacing w:val="0"/>
          <w:szCs w:val="21"/>
        </w:rPr>
        <w:t>21.4 磋商小组在对供应商进行资格性审查时，将对供应商企业股东及出资等信息进行查询。根据 《中华人民共和国政府采购法实施条例》 第十八条第一款规定，审查中如发现供应商存在单位负责人为同一人或者存在直接控股、管理关系的不同供应商参加同一合同项下的政府采购活动的，按</w:t>
      </w:r>
      <w:r>
        <w:rPr>
          <w:rFonts w:hint="eastAsia" w:ascii="新宋体" w:hAnsi="新宋体" w:eastAsia="新宋体" w:cs="新宋体"/>
          <w:b/>
          <w:bCs/>
          <w:color w:val="auto"/>
          <w:spacing w:val="0"/>
          <w:szCs w:val="21"/>
          <w:lang w:eastAsia="zh-CN"/>
        </w:rPr>
        <w:t>磋商文件</w:t>
      </w:r>
      <w:r>
        <w:rPr>
          <w:rFonts w:hint="eastAsia" w:ascii="新宋体" w:hAnsi="新宋体" w:eastAsia="新宋体" w:cs="新宋体"/>
          <w:b/>
          <w:bCs/>
          <w:color w:val="auto"/>
          <w:spacing w:val="0"/>
          <w:szCs w:val="21"/>
        </w:rPr>
        <w:t>无效处理。</w:t>
      </w:r>
    </w:p>
    <w:p w14:paraId="44684B73">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21.4.1 查询渠道：《国家企业信用信息公示系统》（网址：www.gsxt.gov.cn/index.html）</w:t>
      </w:r>
    </w:p>
    <w:p w14:paraId="5B102CB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21.4.2 审查流程：</w:t>
      </w:r>
    </w:p>
    <w:p w14:paraId="3B0D514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（1）进入《国家企业信用信息公示系统》（网址：www.gsxt.gov.cn/index.html），输入企业名称，进入企业信息主页面；</w:t>
      </w:r>
    </w:p>
    <w:p w14:paraId="14BB262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（2）查看主页“股东及出资信息”栏，或年报中的“股东及出资信息”栏信息；</w:t>
      </w:r>
    </w:p>
    <w:p w14:paraId="7C15F60E">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（3）将各供应商的股东及出资信息进行比对，得出审查结论；</w:t>
      </w:r>
    </w:p>
    <w:p w14:paraId="7AA2206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（4）将相关资料作为评审资料打印存档。</w:t>
      </w:r>
    </w:p>
    <w:p w14:paraId="47194464">
      <w:pPr>
        <w:spacing w:line="440" w:lineRule="exact"/>
        <w:ind w:firstLine="422" w:firstLineChars="200"/>
        <w:rPr>
          <w:rFonts w:hint="eastAsia" w:ascii="新宋体" w:hAnsi="新宋体" w:eastAsia="新宋体" w:cs="新宋体"/>
          <w:b/>
          <w:bCs/>
          <w:color w:val="auto"/>
          <w:spacing w:val="0"/>
          <w:szCs w:val="21"/>
        </w:rPr>
      </w:pPr>
      <w:r>
        <w:rPr>
          <w:rFonts w:hint="eastAsia" w:ascii="新宋体" w:hAnsi="新宋体" w:eastAsia="新宋体" w:cs="新宋体"/>
          <w:b/>
          <w:bCs/>
          <w:color w:val="auto"/>
          <w:spacing w:val="0"/>
          <w:szCs w:val="21"/>
        </w:rPr>
        <w:t>21.5 磋商小组如发现供应商提供的证明文件不齐全或不符合规定格式的，应一次性告知供应商，供应商应在规定的时间内线上补正或更正。</w:t>
      </w:r>
    </w:p>
    <w:p w14:paraId="3AC21443">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21.6 磋商小组在对</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的有效性、完整性和响应程度进行审查时，可以要求供应商对</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中含义不明确、同类问题表述不一致或者有明显文字和计算错误的内容等作出必要的澄清、说明或者更正。供应商的澄清、说明或者更正不得超出</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的范围或者改变</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的实质性内容。澄清、说明或者更正应由其法定代表人或相应的授权委托代表签字（</w:t>
      </w:r>
      <w:r>
        <w:rPr>
          <w:rFonts w:hint="eastAsia" w:ascii="新宋体" w:hAnsi="新宋体" w:eastAsia="新宋体" w:cs="新宋体"/>
          <w:color w:val="auto"/>
          <w:spacing w:val="0"/>
        </w:rPr>
        <w:t>个人CA签章)</w:t>
      </w:r>
      <w:r>
        <w:rPr>
          <w:rFonts w:hint="eastAsia" w:ascii="新宋体" w:hAnsi="新宋体" w:eastAsia="新宋体" w:cs="新宋体"/>
          <w:color w:val="auto"/>
          <w:spacing w:val="0"/>
          <w:szCs w:val="21"/>
        </w:rPr>
        <w:t>或者加盖供应商公章(CA签章)。</w:t>
      </w:r>
    </w:p>
    <w:p w14:paraId="4D0A8AAC">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根据磋商文件规定的程序、评定成交的标准等事项与实质性响应竞争性磋商文件要求的供应商进行磋商。 </w:t>
      </w:r>
    </w:p>
    <w:p w14:paraId="39BEBB66">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未实质性响应磋商文件的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 xml:space="preserve">按无效处理，磋商小组应当告知有关供应商。 </w:t>
      </w:r>
    </w:p>
    <w:p w14:paraId="287A272D">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磋商小组所有成员应当按已确定的磋商顺序集中与单一供应商分别进行磋商，并给予所有实质性响应竞争性磋商文件要求的供应商平等的磋商机会。 </w:t>
      </w:r>
    </w:p>
    <w:p w14:paraId="651D1F31">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磋商中，磋商小组不得透露与磋商有关的其他供应商的技术资料、价格和其他信息。 </w:t>
      </w:r>
    </w:p>
    <w:p w14:paraId="2F4E0A9E">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磋商小组对磋商过程和重要磋商内容进行记录，磋商双方在记录上签字确认。 </w:t>
      </w:r>
    </w:p>
    <w:p w14:paraId="002FF720">
      <w:pPr>
        <w:spacing w:line="440" w:lineRule="exact"/>
        <w:ind w:firstLine="420" w:firstLineChars="200"/>
        <w:rPr>
          <w:rFonts w:hint="eastAsia" w:ascii="新宋体" w:hAnsi="新宋体" w:eastAsia="新宋体" w:cs="新宋体"/>
          <w:color w:val="auto"/>
          <w:spacing w:val="0"/>
        </w:rPr>
      </w:pPr>
      <w:r>
        <w:rPr>
          <w:rFonts w:hint="eastAsia" w:ascii="新宋体" w:hAnsi="新宋体" w:eastAsia="新宋体" w:cs="新宋体"/>
          <w:color w:val="auto"/>
          <w:spacing w:val="0"/>
          <w:szCs w:val="21"/>
        </w:rPr>
        <w:t>21.7当磋商小组一致确定磋商供应商的竞争性</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能够详细列明采购标的的技术、服务要求且符合竞争性磋商文件要求，无需再磋商的，磋商小组按竞争性磋商文件设定的21.11、21.16程序和综合评分法确定成交候选人。第一轮磋商后竞争性磋商文件有实质性变动或仍需磋商的，磋商小组对竞争性磋商文件变动或提出磋商意见后进行第二轮磋商。</w:t>
      </w:r>
    </w:p>
    <w:p w14:paraId="7A9C10F8">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21.8 在磋商过程中，磋商小组可以根据磋商文件和磋商情况实质性变动项目需求中的技术、服务要求以及合同草案条款，但不得变动磋商文件中的其他内容。实质性变动的内容，须经采购人代表确认。 </w:t>
      </w:r>
    </w:p>
    <w:p w14:paraId="30F624BE">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对磋商文件作出的实质性变动是磋商文件的有效组成部分，磋商小组应当及时通过</w:t>
      </w:r>
      <w:r>
        <w:rPr>
          <w:rFonts w:hint="eastAsia" w:ascii="新宋体" w:hAnsi="新宋体" w:eastAsia="新宋体" w:cs="新宋体"/>
          <w:color w:val="auto"/>
          <w:spacing w:val="0"/>
          <w:szCs w:val="21"/>
          <w:lang w:eastAsia="zh-CN"/>
        </w:rPr>
        <w:t>广西政府采购云平台</w:t>
      </w:r>
      <w:r>
        <w:rPr>
          <w:rFonts w:hint="eastAsia" w:ascii="新宋体" w:hAnsi="新宋体" w:eastAsia="新宋体" w:cs="新宋体"/>
          <w:color w:val="auto"/>
          <w:spacing w:val="0"/>
          <w:szCs w:val="21"/>
        </w:rPr>
        <w:t xml:space="preserve">同时通知所有参加磋商的供应商。 </w:t>
      </w:r>
    </w:p>
    <w:p w14:paraId="4E5F97CA">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供应商应当按照磋商文件的变动情况和磋商小组的要求重新提交</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 xml:space="preserve">，并由其法定代表人、负责人、自然人或相应的授权委托代表签字（个人CA签章）或者加盖供应商公章(CA签章)。逾时不交的，视同放弃磋商。 </w:t>
      </w:r>
    </w:p>
    <w:p w14:paraId="5163C4E5">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21.9 第二轮磋商</w:t>
      </w:r>
    </w:p>
    <w:p w14:paraId="2EE404CE">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磋商小组集中就重新提交的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或磋商小组提出的磋商意见与单一响应供应商分别进行磋商。磋商小组对磋商过程和重要磋商内容进行记录，磋商双方在记录上签字确认（CA签章确认）。</w:t>
      </w:r>
    </w:p>
    <w:p w14:paraId="13F24722">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磋商后，供应商根据磋商小组统一整理的书面磋商记录要求做出书面承诺，并由其法定代表人或授权代表签字或者加盖公章（CA签章）后按时线上提交。</w:t>
      </w:r>
    </w:p>
    <w:p w14:paraId="46B68D9B">
      <w:pPr>
        <w:spacing w:line="440" w:lineRule="exact"/>
        <w:ind w:firstLine="420" w:firstLineChars="200"/>
        <w:rPr>
          <w:rFonts w:hint="eastAsia" w:ascii="新宋体" w:hAnsi="新宋体" w:eastAsia="新宋体" w:cs="新宋体"/>
          <w:color w:val="auto"/>
          <w:spacing w:val="0"/>
        </w:rPr>
      </w:pPr>
      <w:r>
        <w:rPr>
          <w:rFonts w:hint="eastAsia" w:ascii="新宋体" w:hAnsi="新宋体" w:eastAsia="新宋体" w:cs="新宋体"/>
          <w:color w:val="auto"/>
          <w:spacing w:val="0"/>
          <w:szCs w:val="21"/>
        </w:rPr>
        <w:t>当磋商小组一致确定供应商的竞争性</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符合竞争性磋商文件要求，无需再磋商的，磋商小组按竞争性磋商文件设定的21.11、21.16程序和评审方法确定成交候选人。第二轮磋商后竞争性磋商文件仍有实质性变动的或仍需磋商的，磋商小组对竞争性磋商文件变动或提出磋商意见后进行第三轮磋商。以此类推。</w:t>
      </w:r>
    </w:p>
    <w:p w14:paraId="51CF8A86">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21.11 最后报价 </w:t>
      </w:r>
    </w:p>
    <w:p w14:paraId="228BC690">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21.11.1 磋商文件能够详细列明采购标的的技术、服务要求的，磋商结束后，磋商小组应当要求所有继续参加磋商的供应商在规定时间内线上提交最后报价。 </w:t>
      </w:r>
    </w:p>
    <w:p w14:paraId="280EEDAA">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21.11.2 磋商文件不能详细列明采购标的的技术、服务要求的，需由磋商供应商提供最终设计方案或解决方案的，磋商结束后，磋商小组应当按照少数服从多数的原则投票推荐 3 家以上（含 3 家）供应商的设计方案或者解决方案，并要求其在规定时间内线上提交最后报价。 </w:t>
      </w:r>
    </w:p>
    <w:p w14:paraId="5B852DF9">
      <w:pPr>
        <w:spacing w:line="440" w:lineRule="exact"/>
        <w:ind w:firstLine="420" w:firstLineChars="200"/>
        <w:rPr>
          <w:rFonts w:hint="eastAsia" w:ascii="新宋体" w:hAnsi="新宋体" w:eastAsia="新宋体" w:cs="新宋体"/>
          <w:b/>
          <w:bCs/>
          <w:color w:val="auto"/>
          <w:spacing w:val="0"/>
        </w:rPr>
      </w:pPr>
      <w:r>
        <w:rPr>
          <w:rFonts w:hint="eastAsia" w:ascii="新宋体" w:hAnsi="新宋体" w:eastAsia="新宋体" w:cs="新宋体"/>
          <w:color w:val="auto"/>
          <w:spacing w:val="0"/>
          <w:szCs w:val="21"/>
        </w:rPr>
        <w:t xml:space="preserve">21.11.3 </w:t>
      </w:r>
      <w:r>
        <w:rPr>
          <w:rFonts w:hint="eastAsia" w:ascii="新宋体" w:hAnsi="新宋体" w:eastAsia="新宋体" w:cs="新宋体"/>
          <w:b/>
          <w:bCs/>
          <w:color w:val="auto"/>
          <w:spacing w:val="0"/>
          <w:szCs w:val="21"/>
        </w:rPr>
        <w:t xml:space="preserve">根据【2015】124 号《财政部关于政府采购竞争性磋商采购方式有关问题的通知》的规定，如采购项目为政府购买服务项目（含政府和社会资本合作项目），在采购过程中符合要求的供应商（社会资本）只有 2 家的，竞争性磋商采购活动可以继续进行，并要求其在规定时间内线上提交最后报价；采购过程中符合要求的供应商（社会资本）只有 1 家的，采购人或者采购代理机构应当终止竞争性磋商采购活动，发布项目终止公告并说明原因，重新开展采购活动。 </w:t>
      </w:r>
    </w:p>
    <w:p w14:paraId="4365D458">
      <w:pPr>
        <w:spacing w:line="440" w:lineRule="exact"/>
        <w:ind w:firstLine="420" w:firstLineChars="200"/>
        <w:rPr>
          <w:rFonts w:hint="eastAsia" w:ascii="新宋体" w:hAnsi="新宋体" w:eastAsia="新宋体" w:cs="新宋体"/>
          <w:b/>
          <w:bCs/>
          <w:color w:val="auto"/>
          <w:spacing w:val="0"/>
          <w:szCs w:val="21"/>
        </w:rPr>
      </w:pPr>
      <w:r>
        <w:rPr>
          <w:rFonts w:hint="eastAsia" w:ascii="新宋体" w:hAnsi="新宋体" w:eastAsia="新宋体" w:cs="新宋体"/>
          <w:color w:val="auto"/>
          <w:spacing w:val="0"/>
          <w:szCs w:val="21"/>
        </w:rPr>
        <w:t>21.11.4 根据《政府采购竞争性磋商采购方式管理暂行办法》(财库〔2014〕214 号)的规定：</w:t>
      </w:r>
      <w:r>
        <w:rPr>
          <w:rFonts w:hint="eastAsia" w:ascii="新宋体" w:hAnsi="新宋体" w:eastAsia="新宋体" w:cs="新宋体"/>
          <w:b/>
          <w:bCs/>
          <w:color w:val="auto"/>
          <w:spacing w:val="0"/>
          <w:szCs w:val="21"/>
        </w:rPr>
        <w:t>最后报价是供应商</w:t>
      </w:r>
      <w:r>
        <w:rPr>
          <w:rFonts w:hint="eastAsia" w:ascii="新宋体" w:hAnsi="新宋体" w:eastAsia="新宋体" w:cs="新宋体"/>
          <w:b/>
          <w:bCs/>
          <w:color w:val="auto"/>
          <w:spacing w:val="0"/>
          <w:szCs w:val="21"/>
          <w:lang w:eastAsia="zh-CN"/>
        </w:rPr>
        <w:t>磋商文件</w:t>
      </w:r>
      <w:r>
        <w:rPr>
          <w:rFonts w:hint="eastAsia" w:ascii="新宋体" w:hAnsi="新宋体" w:eastAsia="新宋体" w:cs="新宋体"/>
          <w:b/>
          <w:bCs/>
          <w:color w:val="auto"/>
          <w:spacing w:val="0"/>
          <w:szCs w:val="21"/>
        </w:rPr>
        <w:t xml:space="preserve">的有效组成部分。 </w:t>
      </w:r>
    </w:p>
    <w:p w14:paraId="1AAE22BD">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21.12 已提交</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 xml:space="preserve">的供应商，在提交最后报价之前，可以根据磋商情况书面退出磋商。 </w:t>
      </w:r>
    </w:p>
    <w:p w14:paraId="442F5DB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未书面退出磋商的供应商在规定时间内线上提交最后报价，其最后报价超出采购预算导致已通过评审的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无效的，按供应商在提交</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截止时间后撤回</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 xml:space="preserve">处理。 </w:t>
      </w:r>
    </w:p>
    <w:p w14:paraId="39E220B7">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21.13 评审报告 </w:t>
      </w:r>
    </w:p>
    <w:p w14:paraId="0CA7BC7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磋商小组应当从质量和服务均能满足磋商文件全部实质性响应要求的供应商中，按照最后综合得分由高到低的顺序提出 3 名以上（含 3 名）成交候选人，并编写评审报告。</w:t>
      </w:r>
    </w:p>
    <w:p w14:paraId="474D14D3">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21.14 在评审过程中出现法律法规和磋商文件均没有明确规定的情形时，由磋商小组现场协商解决，协商不一致的，由全体磋商小组投票表决，以得票率二分之一以上磋商小组成员的意见为准。 </w:t>
      </w:r>
    </w:p>
    <w:p w14:paraId="58A739C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21.15 采购代理机构发现磋商小组有明显的违规倾向或歧视现象，或不按评审办法进行，或其他不正常行为的，应当及时制止。如制止无效，应及时向</w:t>
      </w:r>
      <w:r>
        <w:rPr>
          <w:rFonts w:hint="eastAsia" w:ascii="新宋体" w:hAnsi="新宋体" w:eastAsia="新宋体" w:cs="新宋体"/>
          <w:color w:val="auto"/>
          <w:spacing w:val="0"/>
          <w:szCs w:val="21"/>
          <w:lang w:eastAsia="zh-CN"/>
        </w:rPr>
        <w:t>钦北区</w:t>
      </w:r>
      <w:r>
        <w:rPr>
          <w:rFonts w:hint="eastAsia" w:ascii="新宋体" w:hAnsi="新宋体" w:eastAsia="新宋体" w:cs="新宋体"/>
          <w:color w:val="auto"/>
          <w:spacing w:val="0"/>
          <w:szCs w:val="21"/>
        </w:rPr>
        <w:t>政府采购监督管理机构报告。</w:t>
      </w:r>
    </w:p>
    <w:p w14:paraId="72D372CA">
      <w:pPr>
        <w:spacing w:line="440" w:lineRule="exact"/>
        <w:ind w:firstLine="420" w:firstLineChars="200"/>
        <w:rPr>
          <w:rFonts w:hint="eastAsia" w:ascii="新宋体" w:hAnsi="新宋体" w:eastAsia="新宋体" w:cs="新宋体"/>
          <w:b/>
          <w:bCs/>
          <w:color w:val="auto"/>
          <w:spacing w:val="0"/>
        </w:rPr>
      </w:pPr>
      <w:r>
        <w:rPr>
          <w:rFonts w:hint="eastAsia" w:ascii="新宋体" w:hAnsi="新宋体" w:eastAsia="新宋体" w:cs="新宋体"/>
          <w:color w:val="auto"/>
          <w:spacing w:val="0"/>
          <w:szCs w:val="21"/>
        </w:rPr>
        <w:t>21.16 本采购项目的评审依据为竞争性磋商文件和竞争性</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，采用的评审方法为</w:t>
      </w:r>
      <w:r>
        <w:rPr>
          <w:rFonts w:hint="eastAsia" w:ascii="新宋体" w:hAnsi="新宋体" w:eastAsia="新宋体" w:cs="新宋体"/>
          <w:b/>
          <w:bCs/>
          <w:color w:val="auto"/>
          <w:spacing w:val="0"/>
          <w:szCs w:val="21"/>
        </w:rPr>
        <w:t>综合评分法。</w:t>
      </w:r>
    </w:p>
    <w:p w14:paraId="3BC96159">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104" w:name="_Toc32470"/>
      <w:bookmarkStart w:id="105" w:name="_Toc13794"/>
      <w:r>
        <w:rPr>
          <w:rFonts w:hint="eastAsia" w:ascii="新宋体" w:hAnsi="新宋体" w:eastAsia="新宋体" w:cs="新宋体"/>
          <w:color w:val="auto"/>
          <w:spacing w:val="0"/>
          <w:sz w:val="21"/>
          <w:szCs w:val="21"/>
        </w:rPr>
        <w:t>22. 确定成交供应商</w:t>
      </w:r>
      <w:bookmarkEnd w:id="104"/>
      <w:bookmarkEnd w:id="105"/>
    </w:p>
    <w:p w14:paraId="1164C704">
      <w:pPr>
        <w:tabs>
          <w:tab w:val="left" w:pos="1140"/>
        </w:tabs>
        <w:spacing w:line="324" w:lineRule="auto"/>
        <w:ind w:firstLine="420" w:firstLineChars="200"/>
        <w:outlineLvl w:val="9"/>
        <w:rPr>
          <w:rFonts w:hint="eastAsia" w:ascii="新宋体" w:hAnsi="新宋体" w:eastAsia="新宋体" w:cs="新宋体"/>
          <w:color w:val="auto"/>
          <w:spacing w:val="0"/>
          <w:kern w:val="0"/>
          <w:szCs w:val="21"/>
        </w:rPr>
      </w:pPr>
      <w:r>
        <w:rPr>
          <w:rFonts w:hint="eastAsia" w:ascii="新宋体" w:hAnsi="新宋体" w:eastAsia="新宋体" w:cs="新宋体"/>
          <w:color w:val="auto"/>
          <w:spacing w:val="0"/>
          <w:kern w:val="0"/>
          <w:szCs w:val="21"/>
          <w:lang w:val="en-US" w:eastAsia="zh-CN"/>
        </w:rPr>
        <w:t xml:space="preserve">22.1 </w:t>
      </w:r>
      <w:r>
        <w:rPr>
          <w:rFonts w:hint="eastAsia" w:ascii="新宋体" w:hAnsi="新宋体" w:eastAsia="新宋体" w:cs="新宋体"/>
          <w:color w:val="auto"/>
          <w:spacing w:val="0"/>
          <w:kern w:val="0"/>
          <w:szCs w:val="21"/>
        </w:rPr>
        <w:t>磋商小组应当根据综合评分情况，按照综合得分由高到低顺序推荐成交候选供应商，并编写评审报告。磋商小组根据综合得分由高到低排列次序，若得分相同时，以评审报价由低到高顺序排列；若得分相同且评审报价相同的，以最后报价由低到高顺序排列；若仍相同的，</w:t>
      </w:r>
      <w:r>
        <w:rPr>
          <w:rFonts w:hint="eastAsia" w:ascii="新宋体" w:hAnsi="新宋体" w:eastAsia="新宋体" w:cs="新宋体"/>
          <w:color w:val="auto"/>
          <w:spacing w:val="0"/>
          <w:kern w:val="0"/>
          <w:szCs w:val="21"/>
          <w:lang w:eastAsia="zh-CN"/>
        </w:rPr>
        <w:t>依次按项目实施方案分、人员配置分</w:t>
      </w:r>
      <w:r>
        <w:rPr>
          <w:rFonts w:hint="eastAsia" w:ascii="新宋体" w:hAnsi="新宋体" w:eastAsia="新宋体" w:cs="新宋体"/>
          <w:color w:val="auto"/>
          <w:spacing w:val="0"/>
          <w:kern w:val="0"/>
          <w:szCs w:val="21"/>
        </w:rPr>
        <w:t>由高到低顺序排列并推荐成交候选供应商。</w:t>
      </w:r>
    </w:p>
    <w:p w14:paraId="47A2F8EC">
      <w:pPr>
        <w:tabs>
          <w:tab w:val="left" w:pos="1140"/>
        </w:tabs>
        <w:spacing w:line="324" w:lineRule="auto"/>
        <w:ind w:firstLine="420" w:firstLineChars="200"/>
        <w:outlineLvl w:val="9"/>
        <w:rPr>
          <w:rFonts w:hint="eastAsia" w:ascii="新宋体" w:hAnsi="新宋体" w:eastAsia="新宋体" w:cs="新宋体"/>
          <w:color w:val="auto"/>
          <w:spacing w:val="0"/>
          <w:kern w:val="0"/>
          <w:szCs w:val="21"/>
        </w:rPr>
      </w:pPr>
      <w:r>
        <w:rPr>
          <w:rFonts w:hint="eastAsia" w:ascii="新宋体" w:hAnsi="新宋体" w:eastAsia="新宋体" w:cs="新宋体"/>
          <w:color w:val="auto"/>
          <w:spacing w:val="0"/>
          <w:kern w:val="0"/>
          <w:szCs w:val="21"/>
          <w:lang w:val="en-US" w:eastAsia="zh-CN"/>
        </w:rPr>
        <w:t xml:space="preserve">22.2 </w:t>
      </w:r>
      <w:r>
        <w:rPr>
          <w:rFonts w:hint="eastAsia" w:ascii="新宋体" w:hAnsi="新宋体" w:eastAsia="新宋体" w:cs="新宋体"/>
          <w:color w:val="auto"/>
          <w:spacing w:val="0"/>
          <w:kern w:val="0"/>
          <w:szCs w:val="21"/>
        </w:rPr>
        <w:t>采购人应当确定磋商小组推荐排名第一的成交候选供应商为成交供应商。</w:t>
      </w:r>
    </w:p>
    <w:p w14:paraId="2C2B50D9">
      <w:pPr>
        <w:tabs>
          <w:tab w:val="left" w:pos="1140"/>
        </w:tabs>
        <w:spacing w:line="324" w:lineRule="auto"/>
        <w:ind w:firstLine="420" w:firstLineChars="200"/>
        <w:outlineLvl w:val="9"/>
        <w:rPr>
          <w:rFonts w:hint="eastAsia" w:ascii="新宋体" w:hAnsi="新宋体" w:eastAsia="新宋体" w:cs="新宋体"/>
          <w:color w:val="auto"/>
          <w:spacing w:val="0"/>
          <w:kern w:val="0"/>
          <w:szCs w:val="21"/>
        </w:rPr>
      </w:pPr>
      <w:r>
        <w:rPr>
          <w:rFonts w:hint="eastAsia" w:ascii="新宋体" w:hAnsi="新宋体" w:eastAsia="新宋体" w:cs="新宋体"/>
          <w:color w:val="auto"/>
          <w:spacing w:val="0"/>
          <w:kern w:val="0"/>
          <w:szCs w:val="21"/>
          <w:lang w:val="en-US" w:eastAsia="zh-CN"/>
        </w:rPr>
        <w:t xml:space="preserve">22.3 </w:t>
      </w:r>
      <w:r>
        <w:rPr>
          <w:rFonts w:hint="eastAsia" w:ascii="新宋体" w:hAnsi="新宋体" w:eastAsia="新宋体" w:cs="新宋体"/>
          <w:color w:val="auto"/>
          <w:spacing w:val="0"/>
          <w:kern w:val="0"/>
          <w:szCs w:val="21"/>
        </w:rPr>
        <w:t>排名第一的成交候选供应商放弃成交、因不可抗力提出不能履行合同，或因失信行为被取消成交候选人资格的，采购单位可以确定排名第二的成交候选供应商为成交供应商。</w:t>
      </w:r>
    </w:p>
    <w:p w14:paraId="35EF17D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kern w:val="0"/>
          <w:szCs w:val="21"/>
          <w:lang w:val="en-US" w:eastAsia="zh-CN"/>
        </w:rPr>
        <w:t xml:space="preserve">22.4 </w:t>
      </w:r>
      <w:r>
        <w:rPr>
          <w:rFonts w:hint="eastAsia" w:ascii="新宋体" w:hAnsi="新宋体" w:eastAsia="新宋体" w:cs="新宋体"/>
          <w:color w:val="auto"/>
          <w:spacing w:val="0"/>
          <w:kern w:val="0"/>
          <w:szCs w:val="21"/>
        </w:rPr>
        <w:t>排名第二的成交候选供应商因前款规定的同样原因不能签订合同的，采购单位可以确定排名第三的成交候选人为成交供应商。以此类推。</w:t>
      </w:r>
    </w:p>
    <w:p w14:paraId="5CFF2F94">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106" w:name="_Toc11990"/>
      <w:r>
        <w:rPr>
          <w:rFonts w:hint="eastAsia" w:ascii="新宋体" w:hAnsi="新宋体" w:eastAsia="新宋体" w:cs="新宋体"/>
          <w:color w:val="auto"/>
          <w:spacing w:val="0"/>
          <w:sz w:val="21"/>
          <w:szCs w:val="21"/>
        </w:rPr>
        <w:t>23. 属于下列情况之一者，</w:t>
      </w:r>
      <w:r>
        <w:rPr>
          <w:rFonts w:hint="eastAsia" w:ascii="新宋体" w:hAnsi="新宋体" w:eastAsia="新宋体" w:cs="新宋体"/>
          <w:color w:val="auto"/>
          <w:spacing w:val="0"/>
          <w:sz w:val="21"/>
          <w:szCs w:val="21"/>
          <w:lang w:eastAsia="zh-CN"/>
        </w:rPr>
        <w:t>磋商文件</w:t>
      </w:r>
      <w:r>
        <w:rPr>
          <w:rFonts w:hint="eastAsia" w:ascii="新宋体" w:hAnsi="新宋体" w:eastAsia="新宋体" w:cs="新宋体"/>
          <w:color w:val="auto"/>
          <w:spacing w:val="0"/>
          <w:sz w:val="21"/>
          <w:szCs w:val="21"/>
        </w:rPr>
        <w:t>无效</w:t>
      </w:r>
      <w:bookmarkEnd w:id="106"/>
    </w:p>
    <w:p w14:paraId="2C8BB316">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（1）未按磋商文件规定完整线上提交</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或未按规定要求线上签字、签章的；</w:t>
      </w:r>
    </w:p>
    <w:p w14:paraId="1E184708">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（2）不具备磋商文件规定的资格要求的；</w:t>
      </w:r>
    </w:p>
    <w:p w14:paraId="42EA9A68">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（3）</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未按磋商文件的内容和要求编制，或提供虚假材料的；</w:t>
      </w:r>
    </w:p>
    <w:p w14:paraId="1FF4C56E">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（4）属于“必须提供”的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未能按时提供或补正、更正的；</w:t>
      </w:r>
    </w:p>
    <w:p w14:paraId="3955F141">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（5）供应商未就“采购需求”中的所有内容作完整唯一报价的，或报价超出采购预算总金额的；</w:t>
      </w:r>
    </w:p>
    <w:p w14:paraId="796B58A6">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（6）未在磋商小组规定的时间内提交</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(包括最后报价)的；</w:t>
      </w:r>
    </w:p>
    <w:p w14:paraId="26FF57E1">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w:t>
      </w:r>
      <w:r>
        <w:rPr>
          <w:rFonts w:hint="eastAsia" w:ascii="新宋体" w:hAnsi="新宋体" w:eastAsia="新宋体" w:cs="新宋体"/>
          <w:color w:val="auto"/>
          <w:spacing w:val="0"/>
          <w:szCs w:val="21"/>
          <w:lang w:val="en-US" w:eastAsia="zh-CN"/>
        </w:rPr>
        <w:t>7</w:t>
      </w:r>
      <w:r>
        <w:rPr>
          <w:rFonts w:hint="eastAsia" w:ascii="新宋体" w:hAnsi="新宋体" w:eastAsia="新宋体" w:cs="新宋体"/>
          <w:color w:val="auto"/>
          <w:spacing w:val="0"/>
          <w:szCs w:val="21"/>
        </w:rPr>
        <w:t>）未满足磋商文件实质性要求的或者</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有采购人不能接受的附加条件的；</w:t>
      </w:r>
    </w:p>
    <w:p w14:paraId="3CAEA094">
      <w:pPr>
        <w:spacing w:line="440" w:lineRule="exact"/>
        <w:ind w:firstLine="420" w:firstLineChars="200"/>
        <w:rPr>
          <w:rFonts w:hint="eastAsia" w:ascii="新宋体" w:hAnsi="新宋体" w:eastAsia="新宋体" w:cs="新宋体"/>
          <w:color w:val="auto"/>
          <w:spacing w:val="0"/>
        </w:rPr>
      </w:pPr>
      <w:r>
        <w:rPr>
          <w:rFonts w:hint="eastAsia" w:ascii="新宋体" w:hAnsi="新宋体" w:eastAsia="新宋体" w:cs="新宋体"/>
          <w:color w:val="auto"/>
          <w:spacing w:val="0"/>
          <w:szCs w:val="21"/>
        </w:rPr>
        <w:t>（</w:t>
      </w:r>
      <w:r>
        <w:rPr>
          <w:rFonts w:hint="eastAsia" w:ascii="新宋体" w:hAnsi="新宋体" w:eastAsia="新宋体" w:cs="新宋体"/>
          <w:color w:val="auto"/>
          <w:spacing w:val="0"/>
          <w:szCs w:val="21"/>
          <w:lang w:val="en-US" w:eastAsia="zh-CN"/>
        </w:rPr>
        <w:t>8</w:t>
      </w:r>
      <w:r>
        <w:rPr>
          <w:rFonts w:hint="eastAsia" w:ascii="新宋体" w:hAnsi="新宋体" w:eastAsia="新宋体" w:cs="新宋体"/>
          <w:color w:val="auto"/>
          <w:spacing w:val="0"/>
          <w:szCs w:val="21"/>
        </w:rPr>
        <w:t>）</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实质性要求未做变动，供应商最后报价高于第一次报价的；</w:t>
      </w:r>
    </w:p>
    <w:p w14:paraId="4E744BF1">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w:t>
      </w:r>
      <w:r>
        <w:rPr>
          <w:rFonts w:hint="eastAsia" w:ascii="新宋体" w:hAnsi="新宋体" w:eastAsia="新宋体" w:cs="新宋体"/>
          <w:color w:val="auto"/>
          <w:spacing w:val="0"/>
          <w:szCs w:val="21"/>
          <w:lang w:val="en-US" w:eastAsia="zh-CN"/>
        </w:rPr>
        <w:t>9</w:t>
      </w:r>
      <w:r>
        <w:rPr>
          <w:rFonts w:hint="eastAsia" w:ascii="新宋体" w:hAnsi="新宋体" w:eastAsia="新宋体" w:cs="新宋体"/>
          <w:color w:val="auto"/>
          <w:spacing w:val="0"/>
          <w:szCs w:val="21"/>
        </w:rPr>
        <w:t>）不符合法律、法规和磋商文件规定的其他实质性要求和条件的。</w:t>
      </w:r>
    </w:p>
    <w:p w14:paraId="34B4B177">
      <w:pPr>
        <w:spacing w:line="440" w:lineRule="exact"/>
        <w:ind w:firstLine="422" w:firstLineChars="200"/>
        <w:rPr>
          <w:rFonts w:hint="eastAsia" w:ascii="新宋体" w:hAnsi="新宋体" w:eastAsia="新宋体" w:cs="新宋体"/>
          <w:b/>
          <w:bCs/>
          <w:color w:val="auto"/>
          <w:spacing w:val="0"/>
          <w:szCs w:val="21"/>
        </w:rPr>
      </w:pPr>
      <w:r>
        <w:rPr>
          <w:rFonts w:hint="eastAsia" w:ascii="新宋体" w:hAnsi="新宋体" w:eastAsia="新宋体" w:cs="新宋体"/>
          <w:b/>
          <w:bCs/>
          <w:color w:val="auto"/>
          <w:spacing w:val="0"/>
          <w:szCs w:val="21"/>
        </w:rPr>
        <w:t>供应商有下列情形之一的视为供应商相互串通磋商，</w:t>
      </w:r>
      <w:r>
        <w:rPr>
          <w:rFonts w:hint="eastAsia" w:ascii="新宋体" w:hAnsi="新宋体" w:eastAsia="新宋体" w:cs="新宋体"/>
          <w:b/>
          <w:bCs/>
          <w:color w:val="auto"/>
          <w:spacing w:val="0"/>
          <w:szCs w:val="21"/>
          <w:lang w:eastAsia="zh-CN"/>
        </w:rPr>
        <w:t>磋商文件</w:t>
      </w:r>
      <w:r>
        <w:rPr>
          <w:rFonts w:hint="eastAsia" w:ascii="新宋体" w:hAnsi="新宋体" w:eastAsia="新宋体" w:cs="新宋体"/>
          <w:b/>
          <w:bCs/>
          <w:color w:val="auto"/>
          <w:spacing w:val="0"/>
          <w:szCs w:val="21"/>
        </w:rPr>
        <w:t>将被视为无效</w:t>
      </w:r>
    </w:p>
    <w:p w14:paraId="7D1C4B81">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（1）不同供应商的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由同一单位或者个人编制；或不同供应商报名的IP地址一致的；</w:t>
      </w:r>
    </w:p>
    <w:p w14:paraId="6BE1628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（2）不同供应商委托同一单位或者个人办理磋商事宜；</w:t>
      </w:r>
    </w:p>
    <w:p w14:paraId="711A2442">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（3）不同的供应商的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载明的项目管理员为同一个人；</w:t>
      </w:r>
    </w:p>
    <w:p w14:paraId="073ABE8F">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（4）不同供应商的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异常一致或竞标报价呈规律性差异；</w:t>
      </w:r>
    </w:p>
    <w:p w14:paraId="49B9EDC7">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（5）不同供应商的</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相互混编。</w:t>
      </w:r>
    </w:p>
    <w:p w14:paraId="77D24D0C">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107" w:name="_Toc5714"/>
      <w:bookmarkStart w:id="108" w:name="_Toc4259"/>
      <w:r>
        <w:rPr>
          <w:rFonts w:hint="eastAsia" w:ascii="新宋体" w:hAnsi="新宋体" w:eastAsia="新宋体" w:cs="新宋体"/>
          <w:color w:val="auto"/>
          <w:spacing w:val="0"/>
          <w:sz w:val="21"/>
          <w:szCs w:val="21"/>
        </w:rPr>
        <w:t>24. 出现下列情形之一的，采购人或者采购代理机构应当终止竞争性磋商采购活动，发布项目终止公告并说明原因，重新开展采购活动</w:t>
      </w:r>
      <w:bookmarkEnd w:id="107"/>
      <w:bookmarkEnd w:id="108"/>
    </w:p>
    <w:p w14:paraId="0B3C41A3">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（1）因情况变化，不再符合规定的竞争性磋商采购方式适用情形的；</w:t>
      </w:r>
    </w:p>
    <w:p w14:paraId="1E60FDE6">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 xml:space="preserve">（2）出现影响采购公正的违法、违规行为的； </w:t>
      </w:r>
    </w:p>
    <w:p w14:paraId="39738BEB">
      <w:pPr>
        <w:spacing w:line="440" w:lineRule="exact"/>
        <w:ind w:firstLine="420" w:firstLineChars="200"/>
        <w:rPr>
          <w:rFonts w:hint="eastAsia" w:ascii="新宋体" w:hAnsi="新宋体" w:eastAsia="新宋体" w:cs="新宋体"/>
          <w:b/>
          <w:bCs/>
          <w:color w:val="auto"/>
          <w:spacing w:val="0"/>
          <w:szCs w:val="21"/>
        </w:rPr>
      </w:pPr>
      <w:r>
        <w:rPr>
          <w:rFonts w:hint="eastAsia" w:ascii="新宋体" w:hAnsi="新宋体" w:eastAsia="新宋体" w:cs="新宋体"/>
          <w:color w:val="auto"/>
          <w:spacing w:val="0"/>
          <w:szCs w:val="21"/>
        </w:rPr>
        <w:t>（3）在采购过程中符合竞争要求的供应商或者报价未超过采购预算的供应商不足3家的。</w:t>
      </w:r>
      <w:r>
        <w:rPr>
          <w:rFonts w:hint="eastAsia" w:ascii="新宋体" w:hAnsi="新宋体" w:eastAsia="新宋体" w:cs="新宋体"/>
          <w:b/>
          <w:bCs/>
          <w:color w:val="auto"/>
          <w:spacing w:val="0"/>
          <w:szCs w:val="21"/>
        </w:rPr>
        <w:t xml:space="preserve">（除财库〔2014〕214 号《政府采购竞争性磋商采购方式管理暂行办法》第二十一条第三款规定的情形外） </w:t>
      </w:r>
    </w:p>
    <w:p w14:paraId="0E4D4066">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109" w:name="_Toc28973"/>
      <w:bookmarkStart w:id="110" w:name="_Toc19105"/>
      <w:r>
        <w:rPr>
          <w:rFonts w:hint="eastAsia" w:ascii="新宋体" w:hAnsi="新宋体" w:eastAsia="新宋体" w:cs="新宋体"/>
          <w:color w:val="auto"/>
          <w:spacing w:val="0"/>
          <w:sz w:val="21"/>
          <w:szCs w:val="21"/>
        </w:rPr>
        <w:t>25. 磋商过程的监控</w:t>
      </w:r>
      <w:bookmarkEnd w:id="109"/>
      <w:bookmarkEnd w:id="110"/>
    </w:p>
    <w:p w14:paraId="611D3473">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本项目磋商过程实行全程录音、录像监控，供应商在磋商过程中所进行的试图影响磋商结果的不公正活动，可能导致其磋商被拒绝。</w:t>
      </w:r>
    </w:p>
    <w:p w14:paraId="4E848B07">
      <w:pPr>
        <w:pStyle w:val="5"/>
        <w:numPr>
          <w:ilvl w:val="0"/>
          <w:numId w:val="5"/>
        </w:numPr>
        <w:spacing w:before="0" w:after="0" w:line="440" w:lineRule="exact"/>
        <w:ind w:firstLine="422" w:firstLineChars="200"/>
        <w:rPr>
          <w:rFonts w:hint="eastAsia" w:ascii="新宋体" w:hAnsi="新宋体" w:eastAsia="新宋体" w:cs="新宋体"/>
          <w:color w:val="auto"/>
          <w:spacing w:val="0"/>
          <w:sz w:val="21"/>
          <w:szCs w:val="21"/>
        </w:rPr>
      </w:pPr>
      <w:bookmarkStart w:id="111" w:name="_Toc14787"/>
      <w:bookmarkStart w:id="112" w:name="_Toc14829"/>
      <w:r>
        <w:rPr>
          <w:rFonts w:hint="eastAsia" w:ascii="新宋体" w:hAnsi="新宋体" w:eastAsia="新宋体" w:cs="新宋体"/>
          <w:color w:val="auto"/>
          <w:spacing w:val="0"/>
          <w:sz w:val="21"/>
          <w:szCs w:val="21"/>
        </w:rPr>
        <w:t>信用查询</w:t>
      </w:r>
      <w:bookmarkEnd w:id="111"/>
      <w:bookmarkEnd w:id="112"/>
    </w:p>
    <w:p w14:paraId="45E846F0">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根据《关于做好政府采购有关信用主体标识码登记及在政府采购活动中查询使用信用记录有关问题的通知》桂财采〔2016〕37号的通知，采购代理机构对成交人的成交资格进行信用查询：</w:t>
      </w:r>
    </w:p>
    <w:p w14:paraId="41A3BEBC">
      <w:pPr>
        <w:spacing w:line="440" w:lineRule="exact"/>
        <w:ind w:firstLine="210" w:firstLineChars="1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（1）查询渠道：“信用中国”网站(www.creditchina.gov.cn)、中国政府采购网(www.ccgp.gov.cn)等；</w:t>
      </w:r>
    </w:p>
    <w:p w14:paraId="5A5AADA1">
      <w:pPr>
        <w:spacing w:line="440" w:lineRule="exact"/>
        <w:ind w:firstLine="210" w:firstLineChars="1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（2）查询时间：成交通知书发出前；</w:t>
      </w:r>
    </w:p>
    <w:p w14:paraId="1D5B8903">
      <w:pPr>
        <w:spacing w:line="440" w:lineRule="exact"/>
        <w:ind w:firstLine="210" w:firstLineChars="1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（3）信用信息查询记录和证据留存方式：在查询网站中直接打印查询记录，打印材料作为采购活动资料保存。</w:t>
      </w:r>
    </w:p>
    <w:p w14:paraId="538DF6B5">
      <w:pPr>
        <w:spacing w:line="440" w:lineRule="exact"/>
        <w:ind w:firstLine="210" w:firstLineChars="1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4）信用信息使用规则：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不得参与政府采购活动，取消其成交候选人资格。采购人依法按照评审报告中磋商小组推荐成交候选人排序表确定排名第二的成交候选人为成交供应商或者重新组织采购。</w:t>
      </w:r>
    </w:p>
    <w:p w14:paraId="4308031F">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113" w:name="_Toc27656"/>
      <w:bookmarkStart w:id="114" w:name="_Toc9438"/>
      <w:r>
        <w:rPr>
          <w:rFonts w:hint="eastAsia" w:ascii="新宋体" w:hAnsi="新宋体" w:eastAsia="新宋体" w:cs="新宋体"/>
          <w:color w:val="auto"/>
          <w:spacing w:val="0"/>
          <w:sz w:val="21"/>
          <w:szCs w:val="21"/>
        </w:rPr>
        <w:t>27. 成交结果公告及成交通知书</w:t>
      </w:r>
      <w:bookmarkEnd w:id="113"/>
      <w:bookmarkEnd w:id="114"/>
    </w:p>
    <w:p w14:paraId="4D21F096">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27.1 采购代理机构于磋商结束后两个工作日内将评审报告送交采购人，采购人应当自收到评审报告五个工作日内在评审报告推荐的成交候选人中按顺序确定成交供应商，采购代理机构在成交供应商确定之日起两个工作日内发出成交通知书，并在指定媒体上公告成交信息。</w:t>
      </w:r>
    </w:p>
    <w:p w14:paraId="147EB27B">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27.2 在发布成交公告的同时，采购代理机构向成交供应商发出成交通知书。成交供应商自接到通知之日起七个工作日内，办理成交通知书领取手续。</w:t>
      </w:r>
    </w:p>
    <w:p w14:paraId="2FBE16F8">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27.3 采购代理机构无义务向未成交的供应商解释未成交原因和退还</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w:t>
      </w:r>
      <w:bookmarkStart w:id="115" w:name="_Toc25593"/>
      <w:bookmarkStart w:id="116" w:name="_Toc3667"/>
    </w:p>
    <w:p w14:paraId="4CCBF12A">
      <w:pPr>
        <w:spacing w:line="440" w:lineRule="exact"/>
        <w:ind w:firstLine="3654" w:firstLineChars="1300"/>
        <w:rPr>
          <w:rFonts w:hint="eastAsia" w:ascii="新宋体" w:hAnsi="新宋体" w:eastAsia="新宋体" w:cs="新宋体"/>
          <w:b/>
          <w:bCs w:val="0"/>
          <w:color w:val="auto"/>
          <w:spacing w:val="0"/>
          <w:kern w:val="2"/>
          <w:sz w:val="28"/>
          <w:szCs w:val="28"/>
          <w:lang w:val="pt-BR" w:eastAsia="zh-CN" w:bidi="ar-SA"/>
        </w:rPr>
      </w:pPr>
      <w:r>
        <w:rPr>
          <w:rFonts w:hint="eastAsia" w:ascii="新宋体" w:hAnsi="新宋体" w:eastAsia="新宋体" w:cs="新宋体"/>
          <w:b/>
          <w:bCs w:val="0"/>
          <w:color w:val="auto"/>
          <w:spacing w:val="0"/>
          <w:kern w:val="2"/>
          <w:sz w:val="28"/>
          <w:szCs w:val="28"/>
          <w:lang w:val="pt-BR" w:eastAsia="zh-CN" w:bidi="ar-SA"/>
        </w:rPr>
        <w:t>五、签订合同</w:t>
      </w:r>
      <w:bookmarkEnd w:id="115"/>
      <w:bookmarkEnd w:id="116"/>
    </w:p>
    <w:p w14:paraId="3D7E4B42">
      <w:pPr>
        <w:pStyle w:val="5"/>
        <w:spacing w:before="0" w:after="0" w:line="440" w:lineRule="exact"/>
        <w:ind w:firstLine="422" w:firstLineChars="200"/>
        <w:rPr>
          <w:rFonts w:hint="eastAsia" w:ascii="新宋体" w:hAnsi="新宋体" w:eastAsia="新宋体" w:cs="新宋体"/>
          <w:color w:val="auto"/>
          <w:spacing w:val="0"/>
        </w:rPr>
      </w:pPr>
      <w:bookmarkStart w:id="117" w:name="_Toc9354"/>
      <w:bookmarkStart w:id="118" w:name="_Toc26520"/>
      <w:r>
        <w:rPr>
          <w:rFonts w:hint="eastAsia" w:ascii="新宋体" w:hAnsi="新宋体" w:eastAsia="新宋体" w:cs="新宋体"/>
          <w:color w:val="auto"/>
          <w:spacing w:val="0"/>
          <w:sz w:val="21"/>
          <w:szCs w:val="21"/>
        </w:rPr>
        <w:t>28. 履约保证金</w:t>
      </w:r>
      <w:bookmarkEnd w:id="117"/>
      <w:bookmarkEnd w:id="118"/>
    </w:p>
    <w:p w14:paraId="0D6E517C">
      <w:pPr>
        <w:spacing w:line="440" w:lineRule="exact"/>
        <w:rPr>
          <w:rFonts w:hint="eastAsia" w:ascii="新宋体" w:hAnsi="新宋体" w:eastAsia="新宋体" w:cs="新宋体"/>
          <w:b/>
          <w:color w:val="auto"/>
          <w:spacing w:val="0"/>
          <w:szCs w:val="21"/>
        </w:rPr>
      </w:pPr>
      <w:r>
        <w:rPr>
          <w:rFonts w:hint="eastAsia" w:ascii="新宋体" w:hAnsi="新宋体" w:eastAsia="新宋体" w:cs="新宋体"/>
          <w:b/>
          <w:color w:val="auto"/>
          <w:spacing w:val="0"/>
          <w:szCs w:val="21"/>
        </w:rPr>
        <w:t xml:space="preserve">   </w:t>
      </w:r>
      <w:r>
        <w:rPr>
          <w:rFonts w:hint="eastAsia" w:ascii="新宋体" w:hAnsi="新宋体" w:eastAsia="新宋体" w:cs="新宋体"/>
          <w:color w:val="auto"/>
          <w:spacing w:val="0"/>
          <w:szCs w:val="21"/>
        </w:rPr>
        <w:t>本项目免收履约保证金。</w:t>
      </w:r>
    </w:p>
    <w:p w14:paraId="48B6F987">
      <w:pPr>
        <w:pStyle w:val="5"/>
        <w:spacing w:before="0" w:after="0" w:line="440" w:lineRule="exact"/>
        <w:ind w:firstLine="422" w:firstLineChars="200"/>
        <w:rPr>
          <w:rFonts w:hint="eastAsia" w:ascii="新宋体" w:hAnsi="新宋体" w:eastAsia="新宋体" w:cs="新宋体"/>
          <w:color w:val="auto"/>
          <w:spacing w:val="0"/>
          <w:sz w:val="21"/>
          <w:szCs w:val="21"/>
        </w:rPr>
      </w:pPr>
      <w:bookmarkStart w:id="119" w:name="_Toc4956"/>
      <w:bookmarkStart w:id="120" w:name="_Toc13771"/>
      <w:r>
        <w:rPr>
          <w:rFonts w:hint="eastAsia" w:ascii="新宋体" w:hAnsi="新宋体" w:eastAsia="新宋体" w:cs="新宋体"/>
          <w:color w:val="auto"/>
          <w:spacing w:val="0"/>
          <w:sz w:val="21"/>
          <w:szCs w:val="21"/>
        </w:rPr>
        <w:t>29. 签订合同</w:t>
      </w:r>
      <w:bookmarkEnd w:id="119"/>
      <w:bookmarkEnd w:id="120"/>
    </w:p>
    <w:p w14:paraId="5548333B">
      <w:pPr>
        <w:spacing w:line="440" w:lineRule="exact"/>
        <w:ind w:firstLine="422" w:firstLineChars="200"/>
        <w:rPr>
          <w:rFonts w:hint="eastAsia" w:ascii="新宋体" w:hAnsi="新宋体" w:eastAsia="新宋体" w:cs="新宋体"/>
          <w:b/>
          <w:bCs/>
          <w:color w:val="auto"/>
          <w:spacing w:val="0"/>
          <w:szCs w:val="21"/>
        </w:rPr>
      </w:pPr>
      <w:r>
        <w:rPr>
          <w:rFonts w:hint="eastAsia" w:ascii="新宋体" w:hAnsi="新宋体" w:eastAsia="新宋体" w:cs="新宋体"/>
          <w:b/>
          <w:bCs/>
          <w:color w:val="auto"/>
          <w:spacing w:val="0"/>
          <w:szCs w:val="21"/>
        </w:rPr>
        <w:t>29.1 签订合同时间：详见供应商须知前附表。</w:t>
      </w:r>
    </w:p>
    <w:p w14:paraId="6C329D13">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29.2 如成交供应商有下列情形之一的，情节严重的，由财政部门将其列入不良行为记录名单，在一至三年内禁止参加政府采购活动，并予以通报。采购代理机构可从磋商小组推荐的成交候选人中按顺序重新确定成交供应商或重新组织采购。拒绝签订政府采购合同的成交供应商不得参加对该项目重新开展的采购活动。</w:t>
      </w:r>
    </w:p>
    <w:p w14:paraId="7F4441A4">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（1）成交后不与采购人签订合同的（不可抗力除外）；</w:t>
      </w:r>
    </w:p>
    <w:p w14:paraId="6FCDCFA6">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（2）将成交项目转让给他人，或者在</w:t>
      </w:r>
      <w:r>
        <w:rPr>
          <w:rFonts w:hint="eastAsia" w:ascii="新宋体" w:hAnsi="新宋体" w:eastAsia="新宋体" w:cs="新宋体"/>
          <w:color w:val="auto"/>
          <w:spacing w:val="0"/>
          <w:szCs w:val="21"/>
          <w:lang w:eastAsia="zh-CN"/>
        </w:rPr>
        <w:t>磋商文件</w:t>
      </w:r>
      <w:r>
        <w:rPr>
          <w:rFonts w:hint="eastAsia" w:ascii="新宋体" w:hAnsi="新宋体" w:eastAsia="新宋体" w:cs="新宋体"/>
          <w:color w:val="auto"/>
          <w:spacing w:val="0"/>
          <w:szCs w:val="21"/>
        </w:rPr>
        <w:t>中未说明，且未经采购人同意，将成交项目分包给他人的；</w:t>
      </w:r>
    </w:p>
    <w:p w14:paraId="0B859117">
      <w:pPr>
        <w:spacing w:line="440" w:lineRule="exact"/>
        <w:ind w:firstLine="420" w:firstLineChars="200"/>
        <w:rPr>
          <w:rFonts w:hint="eastAsia" w:ascii="新宋体" w:hAnsi="新宋体" w:eastAsia="新宋体" w:cs="新宋体"/>
          <w:color w:val="auto"/>
          <w:spacing w:val="0"/>
          <w:szCs w:val="21"/>
        </w:rPr>
      </w:pPr>
      <w:r>
        <w:rPr>
          <w:rFonts w:hint="eastAsia" w:ascii="新宋体" w:hAnsi="新宋体" w:eastAsia="新宋体" w:cs="新宋体"/>
          <w:color w:val="auto"/>
          <w:spacing w:val="0"/>
          <w:szCs w:val="21"/>
        </w:rPr>
        <w:t>（3）拒绝履行合同义务的。</w:t>
      </w:r>
    </w:p>
    <w:p w14:paraId="2D35ADD2">
      <w:pPr>
        <w:spacing w:line="440" w:lineRule="exact"/>
        <w:ind w:firstLine="420" w:firstLineChars="200"/>
        <w:rPr>
          <w:rFonts w:hint="eastAsia" w:ascii="宋体" w:hAnsi="宋体" w:eastAsia="宋体" w:cs="宋体"/>
          <w:color w:val="auto"/>
        </w:rPr>
      </w:pPr>
      <w:r>
        <w:rPr>
          <w:rFonts w:hint="eastAsia" w:ascii="新宋体" w:hAnsi="新宋体" w:eastAsia="新宋体" w:cs="新宋体"/>
          <w:color w:val="auto"/>
          <w:spacing w:val="0"/>
          <w:szCs w:val="21"/>
        </w:rPr>
        <w:t>29.3 合同备案存档：</w:t>
      </w:r>
      <w:r>
        <w:rPr>
          <w:rFonts w:hint="eastAsia" w:ascii="新宋体" w:hAnsi="新宋体" w:eastAsia="新宋体" w:cs="新宋体"/>
          <w:color w:val="auto"/>
          <w:spacing w:val="0"/>
        </w:rPr>
        <w:t>政府采购合同双方自签订之日起一个工作日内将合同原件一份交采购代理机构，采购代理机构将政府采购合同在省级以上人民政府财政部门指定媒体上公告。采购人于合同签订之日起七个工作日内将一份合同原件送本级财政部门备案，一份由</w:t>
      </w:r>
      <w:r>
        <w:rPr>
          <w:rFonts w:hint="eastAsia" w:ascii="新宋体" w:hAnsi="新宋体" w:eastAsia="新宋体" w:cs="新宋体"/>
          <w:b w:val="0"/>
          <w:bCs w:val="0"/>
          <w:color w:val="auto"/>
          <w:spacing w:val="0"/>
          <w:kern w:val="2"/>
          <w:sz w:val="21"/>
          <w:szCs w:val="21"/>
          <w:highlight w:val="none"/>
          <w:lang w:val="en-US" w:eastAsia="zh-CN" w:bidi="ar-SA"/>
        </w:rPr>
        <w:t>广西恒业项目管理有限公司</w:t>
      </w:r>
      <w:r>
        <w:rPr>
          <w:rFonts w:hint="eastAsia" w:ascii="新宋体" w:hAnsi="新宋体" w:eastAsia="新宋体" w:cs="新宋体"/>
          <w:color w:val="auto"/>
          <w:spacing w:val="0"/>
        </w:rPr>
        <w:t>存档。</w:t>
      </w:r>
    </w:p>
    <w:p w14:paraId="1982BDA8">
      <w:pPr>
        <w:pStyle w:val="4"/>
        <w:tabs>
          <w:tab w:val="left" w:pos="567"/>
        </w:tabs>
        <w:spacing w:line="440" w:lineRule="exact"/>
        <w:jc w:val="center"/>
        <w:rPr>
          <w:rFonts w:hint="eastAsia" w:ascii="宋体" w:hAnsi="宋体" w:eastAsia="宋体" w:cs="宋体"/>
          <w:b/>
          <w:bCs w:val="0"/>
          <w:color w:val="auto"/>
          <w:szCs w:val="28"/>
        </w:rPr>
      </w:pPr>
      <w:bookmarkStart w:id="121" w:name="_Toc16348"/>
    </w:p>
    <w:p w14:paraId="528FDB54">
      <w:pPr>
        <w:pStyle w:val="4"/>
        <w:tabs>
          <w:tab w:val="left" w:pos="567"/>
        </w:tabs>
        <w:spacing w:line="440" w:lineRule="exact"/>
        <w:jc w:val="center"/>
        <w:rPr>
          <w:rFonts w:hint="eastAsia" w:ascii="宋体" w:hAnsi="宋体" w:eastAsia="宋体" w:cs="宋体"/>
          <w:b/>
          <w:bCs w:val="0"/>
          <w:color w:val="auto"/>
          <w:szCs w:val="28"/>
        </w:rPr>
      </w:pPr>
      <w:bookmarkStart w:id="122" w:name="_Toc25801"/>
      <w:r>
        <w:rPr>
          <w:rFonts w:hint="eastAsia" w:ascii="宋体" w:hAnsi="宋体" w:eastAsia="宋体" w:cs="宋体"/>
          <w:b/>
          <w:bCs w:val="0"/>
          <w:color w:val="auto"/>
          <w:szCs w:val="28"/>
        </w:rPr>
        <w:t>六、其他事项</w:t>
      </w:r>
      <w:bookmarkEnd w:id="121"/>
      <w:bookmarkEnd w:id="122"/>
    </w:p>
    <w:p w14:paraId="059029A5">
      <w:pPr>
        <w:pStyle w:val="5"/>
        <w:spacing w:before="0" w:after="0" w:line="440" w:lineRule="exact"/>
        <w:ind w:firstLine="422" w:firstLineChars="200"/>
        <w:rPr>
          <w:rFonts w:hint="eastAsia" w:ascii="宋体" w:hAnsi="宋体" w:eastAsia="宋体" w:cs="宋体"/>
          <w:color w:val="auto"/>
          <w:sz w:val="21"/>
          <w:szCs w:val="21"/>
        </w:rPr>
      </w:pPr>
      <w:bookmarkStart w:id="123" w:name="_Toc28647"/>
      <w:bookmarkStart w:id="124" w:name="_Toc21562"/>
      <w:r>
        <w:rPr>
          <w:rFonts w:hint="eastAsia" w:ascii="宋体" w:hAnsi="宋体" w:eastAsia="宋体" w:cs="宋体"/>
          <w:color w:val="auto"/>
          <w:sz w:val="21"/>
          <w:szCs w:val="21"/>
        </w:rPr>
        <w:t>30. 采购代理服务费</w:t>
      </w:r>
      <w:bookmarkEnd w:id="123"/>
      <w:bookmarkEnd w:id="124"/>
    </w:p>
    <w:p w14:paraId="3EE06CE5">
      <w:pPr>
        <w:spacing w:line="400" w:lineRule="exact"/>
        <w:ind w:left="25"/>
        <w:rPr>
          <w:rFonts w:hint="eastAsia" w:ascii="宋体" w:hAnsi="宋体" w:eastAsia="宋体" w:cs="宋体"/>
          <w:color w:val="auto"/>
          <w:szCs w:val="20"/>
        </w:rPr>
      </w:pPr>
      <w:bookmarkStart w:id="125" w:name="_Toc12374"/>
      <w:r>
        <w:rPr>
          <w:rFonts w:hint="eastAsia" w:ascii="宋体" w:hAnsi="宋体" w:eastAsia="宋体" w:cs="宋体"/>
          <w:color w:val="auto"/>
        </w:rPr>
        <w:t>30.1</w:t>
      </w:r>
      <w:r>
        <w:rPr>
          <w:rFonts w:hAnsi="宋体"/>
          <w:color w:val="auto"/>
        </w:rPr>
        <w:t>成交供应商领</w:t>
      </w:r>
      <w:r>
        <w:rPr>
          <w:rFonts w:hint="eastAsia" w:ascii="新宋体" w:hAnsi="新宋体" w:eastAsia="新宋体" w:cs="新宋体"/>
          <w:color w:val="auto"/>
        </w:rPr>
        <w:t>取成交通知书前，向</w:t>
      </w:r>
      <w:r>
        <w:rPr>
          <w:rFonts w:hint="eastAsia" w:ascii="新宋体" w:hAnsi="新宋体" w:eastAsia="新宋体" w:cs="新宋体"/>
          <w:b w:val="0"/>
          <w:bCs w:val="0"/>
          <w:color w:val="auto"/>
          <w:kern w:val="2"/>
          <w:sz w:val="21"/>
          <w:szCs w:val="21"/>
          <w:highlight w:val="none"/>
          <w:lang w:val="en-US" w:eastAsia="zh-CN" w:bidi="ar-SA"/>
        </w:rPr>
        <w:t>广西恒业项目管理有限公司</w:t>
      </w:r>
      <w:r>
        <w:rPr>
          <w:rFonts w:hint="eastAsia" w:ascii="新宋体" w:hAnsi="新宋体" w:eastAsia="新宋体" w:cs="新宋体"/>
          <w:color w:val="auto"/>
        </w:rPr>
        <w:t>一次性付清</w:t>
      </w:r>
      <w:r>
        <w:rPr>
          <w:rFonts w:hint="eastAsia" w:ascii="新宋体" w:hAnsi="新宋体" w:eastAsia="新宋体" w:cs="新宋体"/>
          <w:color w:val="000000"/>
          <w:sz w:val="21"/>
          <w:szCs w:val="21"/>
        </w:rPr>
        <w:t>招标代理费</w:t>
      </w:r>
      <w:r>
        <w:rPr>
          <w:rFonts w:hint="eastAsia" w:ascii="新宋体" w:hAnsi="新宋体" w:eastAsia="新宋体" w:cs="新宋体"/>
          <w:color w:val="000000"/>
          <w:sz w:val="21"/>
          <w:szCs w:val="21"/>
          <w:lang w:val="en-US" w:eastAsia="zh-CN"/>
        </w:rPr>
        <w:t>及</w:t>
      </w:r>
      <w:r>
        <w:rPr>
          <w:rFonts w:hint="eastAsia" w:ascii="新宋体" w:hAnsi="新宋体" w:eastAsia="新宋体" w:cs="新宋体"/>
          <w:color w:val="000000"/>
          <w:sz w:val="21"/>
          <w:szCs w:val="21"/>
        </w:rPr>
        <w:t>造价咨询费</w:t>
      </w:r>
      <w:r>
        <w:rPr>
          <w:rFonts w:hint="eastAsia" w:ascii="新宋体" w:hAnsi="新宋体" w:eastAsia="新宋体" w:cs="新宋体"/>
          <w:color w:val="auto"/>
        </w:rPr>
        <w:t>。</w:t>
      </w:r>
      <w:r>
        <w:rPr>
          <w:rFonts w:hint="eastAsia" w:ascii="新宋体" w:hAnsi="新宋体" w:eastAsia="新宋体" w:cs="新宋体"/>
          <w:color w:val="auto"/>
          <w:szCs w:val="21"/>
        </w:rPr>
        <w:t>本项目的收费标准</w:t>
      </w:r>
      <w:r>
        <w:rPr>
          <w:rFonts w:hAnsi="宋体"/>
          <w:color w:val="auto"/>
          <w:szCs w:val="21"/>
        </w:rPr>
        <w:t>参照</w:t>
      </w:r>
      <w:r>
        <w:rPr>
          <w:rFonts w:hint="eastAsia" w:ascii="新宋体" w:hAnsi="新宋体" w:eastAsia="新宋体" w:cs="新宋体"/>
          <w:color w:val="000000"/>
          <w:sz w:val="21"/>
          <w:szCs w:val="21"/>
        </w:rPr>
        <w:t>根据《钦州市人民政府办公室关于财政性资金投资项目其他费用预算管理有关问题的通知》（钦政办〔2025〕4号</w:t>
      </w:r>
      <w:r>
        <w:rPr>
          <w:rFonts w:hint="eastAsia" w:ascii="新宋体" w:hAnsi="新宋体" w:eastAsia="新宋体" w:cs="新宋体"/>
          <w:color w:val="000000"/>
          <w:sz w:val="21"/>
          <w:szCs w:val="21"/>
          <w:lang w:val="en-US" w:eastAsia="zh-CN"/>
        </w:rPr>
        <w:t>收取</w:t>
      </w:r>
      <w:r>
        <w:rPr>
          <w:rFonts w:hint="eastAsia" w:ascii="宋体" w:hAnsi="宋体" w:eastAsia="宋体" w:cs="宋体"/>
          <w:color w:val="auto"/>
          <w:szCs w:val="20"/>
        </w:rPr>
        <w:t>。</w:t>
      </w:r>
    </w:p>
    <w:p w14:paraId="52A3BC23">
      <w:pPr>
        <w:spacing w:line="440" w:lineRule="exact"/>
        <w:ind w:firstLine="422" w:firstLineChars="200"/>
        <w:rPr>
          <w:rFonts w:hint="eastAsia" w:ascii="宋体" w:hAnsi="宋体" w:eastAsia="宋体" w:cs="宋体"/>
          <w:color w:val="auto"/>
          <w:szCs w:val="21"/>
        </w:rPr>
      </w:pPr>
      <w:bookmarkStart w:id="126" w:name="_Toc25237"/>
      <w:r>
        <w:rPr>
          <w:rStyle w:val="66"/>
          <w:rFonts w:hint="eastAsia" w:ascii="宋体" w:hAnsi="宋体" w:eastAsia="宋体" w:cs="宋体"/>
          <w:color w:val="auto"/>
          <w:sz w:val="21"/>
          <w:szCs w:val="21"/>
        </w:rPr>
        <w:t>31. 解释权</w:t>
      </w:r>
      <w:bookmarkEnd w:id="125"/>
      <w:bookmarkEnd w:id="126"/>
      <w:r>
        <w:rPr>
          <w:rFonts w:hint="eastAsia" w:ascii="宋体" w:hAnsi="宋体" w:eastAsia="宋体" w:cs="宋体"/>
          <w:color w:val="auto"/>
          <w:szCs w:val="21"/>
        </w:rPr>
        <w:t>：本竞争性磋商文件是根据《中华人民共和国政府采购法》《中华人民共和国政府采购法实施条例》《政府采购竞争性磋商采购方式管理暂行办法》和政府采购管理有关规定编制，本竞争性磋商文件的解释权属于采购代理机构。</w:t>
      </w:r>
    </w:p>
    <w:p w14:paraId="615826F5">
      <w:pPr>
        <w:snapToGrid w:val="0"/>
        <w:spacing w:line="440" w:lineRule="exact"/>
        <w:ind w:firstLine="422" w:firstLineChars="200"/>
        <w:rPr>
          <w:rFonts w:hint="eastAsia" w:ascii="宋体" w:hAnsi="宋体" w:eastAsia="宋体" w:cs="宋体"/>
          <w:color w:val="auto"/>
          <w:szCs w:val="21"/>
        </w:rPr>
      </w:pPr>
      <w:bookmarkStart w:id="127" w:name="_Toc27567"/>
      <w:r>
        <w:rPr>
          <w:rStyle w:val="66"/>
          <w:rFonts w:hint="eastAsia" w:ascii="宋体" w:hAnsi="宋体" w:eastAsia="宋体" w:cs="宋体"/>
          <w:color w:val="auto"/>
          <w:sz w:val="21"/>
          <w:szCs w:val="21"/>
        </w:rPr>
        <w:t>32. 监督管理机构</w:t>
      </w:r>
      <w:bookmarkEnd w:id="127"/>
      <w:r>
        <w:rPr>
          <w:rFonts w:hint="eastAsia" w:ascii="宋体" w:hAnsi="宋体" w:eastAsia="宋体" w:cs="宋体"/>
          <w:color w:val="auto"/>
          <w:szCs w:val="21"/>
        </w:rPr>
        <w:t>：</w:t>
      </w:r>
      <w:r>
        <w:rPr>
          <w:rFonts w:hAnsi="宋体"/>
          <w:color w:val="auto"/>
          <w:szCs w:val="21"/>
        </w:rPr>
        <w:t>详见供应商须知前附表</w:t>
      </w:r>
      <w:r>
        <w:rPr>
          <w:rFonts w:hint="eastAsia" w:ascii="宋体" w:hAnsi="宋体" w:eastAsia="宋体" w:cs="宋体"/>
          <w:color w:val="auto"/>
          <w:szCs w:val="21"/>
        </w:rPr>
        <w:t>。</w:t>
      </w:r>
    </w:p>
    <w:p w14:paraId="723E0E1A">
      <w:pPr>
        <w:spacing w:line="440" w:lineRule="exact"/>
        <w:rPr>
          <w:rFonts w:hint="eastAsia" w:ascii="宋体" w:hAnsi="宋体" w:eastAsia="宋体" w:cs="宋体"/>
          <w:color w:val="auto"/>
        </w:rPr>
      </w:pPr>
    </w:p>
    <w:p w14:paraId="3A1263D2">
      <w:pPr>
        <w:rPr>
          <w:rFonts w:hint="eastAsia" w:ascii="宋体" w:hAnsi="宋体" w:eastAsia="宋体" w:cs="宋体"/>
          <w:color w:val="auto"/>
          <w:sz w:val="32"/>
          <w:szCs w:val="32"/>
        </w:rPr>
      </w:pPr>
      <w:r>
        <w:rPr>
          <w:rFonts w:hint="eastAsia" w:ascii="宋体" w:hAnsi="宋体" w:eastAsia="宋体" w:cs="宋体"/>
          <w:color w:val="auto"/>
          <w:sz w:val="32"/>
          <w:szCs w:val="32"/>
        </w:rPr>
        <w:br w:type="page"/>
      </w:r>
    </w:p>
    <w:bookmarkEnd w:id="9"/>
    <w:p w14:paraId="46C20C44">
      <w:pPr>
        <w:pStyle w:val="3"/>
        <w:keepNext/>
        <w:keepLines/>
        <w:pageBreakBefore w:val="0"/>
        <w:widowControl w:val="0"/>
        <w:numPr>
          <w:ilvl w:val="0"/>
          <w:numId w:val="0"/>
        </w:numPr>
        <w:kinsoku/>
        <w:wordWrap/>
        <w:overflowPunct/>
        <w:topLinePunct w:val="0"/>
        <w:autoSpaceDE/>
        <w:autoSpaceDN/>
        <w:bidi w:val="0"/>
        <w:adjustRightInd/>
        <w:snapToGrid/>
        <w:spacing w:line="413" w:lineRule="auto"/>
        <w:jc w:val="center"/>
        <w:textAlignment w:val="auto"/>
        <w:outlineLvl w:val="0"/>
        <w:rPr>
          <w:color w:val="auto"/>
          <w:sz w:val="36"/>
          <w:szCs w:val="36"/>
        </w:rPr>
      </w:pPr>
      <w:bookmarkStart w:id="128" w:name="_Toc1746"/>
      <w:bookmarkStart w:id="129" w:name="_Toc13499"/>
      <w:r>
        <w:rPr>
          <w:rFonts w:hint="eastAsia"/>
          <w:color w:val="auto"/>
          <w:sz w:val="36"/>
          <w:szCs w:val="36"/>
        </w:rPr>
        <w:t>第</w:t>
      </w:r>
      <w:r>
        <w:rPr>
          <w:rFonts w:hint="eastAsia"/>
          <w:color w:val="auto"/>
          <w:sz w:val="36"/>
          <w:szCs w:val="36"/>
          <w:lang w:eastAsia="zh-CN"/>
        </w:rPr>
        <w:t>三</w:t>
      </w:r>
      <w:r>
        <w:rPr>
          <w:rFonts w:hint="eastAsia"/>
          <w:color w:val="auto"/>
          <w:sz w:val="36"/>
          <w:szCs w:val="36"/>
        </w:rPr>
        <w:t>章</w:t>
      </w:r>
      <w:r>
        <w:rPr>
          <w:color w:val="auto"/>
          <w:sz w:val="36"/>
          <w:szCs w:val="36"/>
        </w:rPr>
        <w:t xml:space="preserve"> </w:t>
      </w:r>
      <w:r>
        <w:rPr>
          <w:rFonts w:hint="eastAsia"/>
          <w:color w:val="auto"/>
          <w:sz w:val="36"/>
          <w:szCs w:val="36"/>
        </w:rPr>
        <w:t>合同格式</w:t>
      </w:r>
      <w:bookmarkEnd w:id="128"/>
      <w:bookmarkEnd w:id="129"/>
    </w:p>
    <w:p w14:paraId="1BAA967B">
      <w:pPr>
        <w:rPr>
          <w:rFonts w:ascii="宋体" w:hAnsi="宋体"/>
          <w:color w:val="auto"/>
          <w:highlight w:val="none"/>
        </w:rPr>
      </w:pPr>
    </w:p>
    <w:p w14:paraId="21477A73">
      <w:pPr>
        <w:rPr>
          <w:rFonts w:ascii="宋体" w:hAnsi="宋体"/>
          <w:color w:val="auto"/>
          <w:szCs w:val="21"/>
          <w:highlight w:val="none"/>
        </w:rPr>
      </w:pPr>
    </w:p>
    <w:p w14:paraId="27D69FAF">
      <w:pPr>
        <w:rPr>
          <w:rFonts w:ascii="宋体" w:hAnsi="宋体"/>
          <w:b/>
          <w:color w:val="auto"/>
          <w:szCs w:val="21"/>
          <w:highlight w:val="none"/>
        </w:rPr>
      </w:pPr>
    </w:p>
    <w:p w14:paraId="7D684B31">
      <w:pPr>
        <w:rPr>
          <w:rFonts w:ascii="宋体" w:hAnsi="宋体"/>
          <w:b/>
          <w:color w:val="auto"/>
          <w:sz w:val="30"/>
          <w:szCs w:val="30"/>
          <w:highlight w:val="none"/>
        </w:rPr>
      </w:pPr>
    </w:p>
    <w:p w14:paraId="1D0054D7">
      <w:pPr>
        <w:rPr>
          <w:rFonts w:ascii="宋体" w:hAnsi="宋体"/>
          <w:b/>
          <w:color w:val="auto"/>
          <w:sz w:val="30"/>
          <w:szCs w:val="30"/>
          <w:highlight w:val="none"/>
        </w:rPr>
      </w:pPr>
    </w:p>
    <w:p w14:paraId="662D5ECF">
      <w:pPr>
        <w:ind w:firstLine="1800" w:firstLineChars="600"/>
        <w:rPr>
          <w:rFonts w:ascii="宋体" w:hAnsi="宋体"/>
          <w:b/>
          <w:color w:val="auto"/>
          <w:sz w:val="30"/>
          <w:szCs w:val="30"/>
          <w:highlight w:val="none"/>
        </w:rPr>
      </w:pPr>
      <w:r>
        <w:rPr>
          <w:rFonts w:hint="eastAsia" w:ascii="宋体" w:hAnsi="宋体"/>
          <w:color w:val="auto"/>
          <w:sz w:val="30"/>
          <w:szCs w:val="30"/>
          <w:highlight w:val="none"/>
          <w:u w:val="single"/>
        </w:rPr>
        <w:t xml:space="preserve">                            </w:t>
      </w:r>
      <w:r>
        <w:rPr>
          <w:rFonts w:hint="eastAsia" w:ascii="宋体" w:hAnsi="宋体"/>
          <w:b/>
          <w:color w:val="auto"/>
          <w:sz w:val="30"/>
          <w:szCs w:val="30"/>
          <w:highlight w:val="none"/>
        </w:rPr>
        <w:t>工程施工合同</w:t>
      </w:r>
    </w:p>
    <w:p w14:paraId="2754EDD9">
      <w:pPr>
        <w:rPr>
          <w:rFonts w:ascii="宋体" w:hAnsi="宋体"/>
          <w:color w:val="auto"/>
          <w:sz w:val="30"/>
          <w:szCs w:val="30"/>
          <w:highlight w:val="none"/>
        </w:rPr>
      </w:pPr>
    </w:p>
    <w:p w14:paraId="7C4A2CF5">
      <w:pPr>
        <w:rPr>
          <w:rFonts w:ascii="宋体" w:hAnsi="宋体"/>
          <w:color w:val="auto"/>
          <w:sz w:val="30"/>
          <w:szCs w:val="30"/>
          <w:highlight w:val="none"/>
        </w:rPr>
      </w:pPr>
    </w:p>
    <w:p w14:paraId="2235BB65">
      <w:pPr>
        <w:jc w:val="center"/>
        <w:rPr>
          <w:rFonts w:ascii="宋体" w:hAnsi="宋体"/>
          <w:b/>
          <w:color w:val="auto"/>
          <w:sz w:val="30"/>
          <w:szCs w:val="30"/>
          <w:highlight w:val="none"/>
        </w:rPr>
      </w:pPr>
      <w:r>
        <w:rPr>
          <w:rFonts w:hint="eastAsia" w:ascii="宋体" w:hAnsi="宋体"/>
          <w:b/>
          <w:color w:val="auto"/>
          <w:sz w:val="30"/>
          <w:szCs w:val="30"/>
          <w:highlight w:val="none"/>
        </w:rPr>
        <w:t>（项目编号：</w:t>
      </w:r>
      <w:r>
        <w:rPr>
          <w:rFonts w:hint="eastAsia" w:ascii="宋体" w:hAnsi="宋体"/>
          <w:color w:val="auto"/>
          <w:sz w:val="30"/>
          <w:szCs w:val="30"/>
          <w:highlight w:val="none"/>
          <w:u w:val="single"/>
        </w:rPr>
        <w:t xml:space="preserve">                      </w:t>
      </w:r>
      <w:r>
        <w:rPr>
          <w:rFonts w:hint="eastAsia" w:ascii="宋体" w:hAnsi="宋体"/>
          <w:b/>
          <w:color w:val="auto"/>
          <w:sz w:val="30"/>
          <w:szCs w:val="30"/>
          <w:highlight w:val="none"/>
        </w:rPr>
        <w:t xml:space="preserve"> ）</w:t>
      </w:r>
    </w:p>
    <w:p w14:paraId="1C2CF7D4">
      <w:pPr>
        <w:rPr>
          <w:rFonts w:ascii="宋体" w:hAnsi="宋体"/>
          <w:color w:val="auto"/>
          <w:sz w:val="30"/>
          <w:szCs w:val="30"/>
          <w:highlight w:val="none"/>
        </w:rPr>
      </w:pPr>
    </w:p>
    <w:p w14:paraId="42D1CABD">
      <w:pPr>
        <w:rPr>
          <w:rFonts w:ascii="宋体" w:hAnsi="宋体"/>
          <w:color w:val="auto"/>
          <w:sz w:val="30"/>
          <w:szCs w:val="30"/>
          <w:highlight w:val="none"/>
        </w:rPr>
      </w:pPr>
    </w:p>
    <w:p w14:paraId="54CCA49E">
      <w:pPr>
        <w:rPr>
          <w:rFonts w:ascii="宋体" w:hAnsi="宋体"/>
          <w:color w:val="auto"/>
          <w:sz w:val="30"/>
          <w:szCs w:val="30"/>
          <w:highlight w:val="none"/>
        </w:rPr>
      </w:pPr>
    </w:p>
    <w:p w14:paraId="639237A8">
      <w:pPr>
        <w:rPr>
          <w:rFonts w:ascii="宋体" w:hAnsi="宋体"/>
          <w:color w:val="auto"/>
          <w:sz w:val="30"/>
          <w:szCs w:val="30"/>
          <w:highlight w:val="none"/>
        </w:rPr>
      </w:pPr>
    </w:p>
    <w:p w14:paraId="17952780">
      <w:pPr>
        <w:rPr>
          <w:rFonts w:ascii="宋体" w:hAnsi="宋体"/>
          <w:color w:val="auto"/>
          <w:sz w:val="30"/>
          <w:szCs w:val="30"/>
          <w:highlight w:val="none"/>
        </w:rPr>
      </w:pPr>
    </w:p>
    <w:p w14:paraId="2525163A">
      <w:pPr>
        <w:rPr>
          <w:rFonts w:ascii="宋体" w:hAnsi="宋体"/>
          <w:color w:val="auto"/>
          <w:sz w:val="30"/>
          <w:szCs w:val="30"/>
          <w:highlight w:val="none"/>
        </w:rPr>
      </w:pPr>
    </w:p>
    <w:p w14:paraId="731D94CB">
      <w:pPr>
        <w:ind w:firstLine="1350" w:firstLineChars="450"/>
        <w:rPr>
          <w:rFonts w:ascii="宋体" w:hAnsi="宋体"/>
          <w:color w:val="auto"/>
          <w:sz w:val="30"/>
          <w:szCs w:val="30"/>
          <w:highlight w:val="none"/>
          <w:u w:val="single"/>
        </w:rPr>
      </w:pPr>
      <w:r>
        <w:rPr>
          <w:rFonts w:hint="eastAsia" w:ascii="宋体" w:hAnsi="宋体"/>
          <w:color w:val="auto"/>
          <w:sz w:val="30"/>
          <w:szCs w:val="30"/>
          <w:highlight w:val="none"/>
        </w:rPr>
        <w:t>发 包 人：</w:t>
      </w:r>
      <w:r>
        <w:rPr>
          <w:rFonts w:hint="eastAsia" w:ascii="宋体" w:hAnsi="宋体"/>
          <w:color w:val="auto"/>
          <w:sz w:val="30"/>
          <w:szCs w:val="30"/>
          <w:highlight w:val="none"/>
          <w:u w:val="single"/>
        </w:rPr>
        <w:t xml:space="preserve">                                   </w:t>
      </w:r>
    </w:p>
    <w:p w14:paraId="0F6D99F4">
      <w:pPr>
        <w:rPr>
          <w:rFonts w:ascii="宋体" w:hAnsi="宋体"/>
          <w:color w:val="auto"/>
          <w:sz w:val="30"/>
          <w:szCs w:val="30"/>
          <w:highlight w:val="none"/>
        </w:rPr>
      </w:pPr>
    </w:p>
    <w:p w14:paraId="758558BB">
      <w:pPr>
        <w:ind w:firstLine="1350" w:firstLineChars="450"/>
        <w:rPr>
          <w:rFonts w:ascii="宋体" w:hAnsi="宋体"/>
          <w:color w:val="auto"/>
          <w:sz w:val="30"/>
          <w:szCs w:val="30"/>
          <w:highlight w:val="none"/>
          <w:u w:val="single"/>
        </w:rPr>
      </w:pPr>
      <w:r>
        <w:rPr>
          <w:rFonts w:hint="eastAsia" w:ascii="宋体" w:hAnsi="宋体"/>
          <w:color w:val="auto"/>
          <w:sz w:val="30"/>
          <w:szCs w:val="30"/>
          <w:highlight w:val="none"/>
        </w:rPr>
        <w:t>承 包 人：</w:t>
      </w:r>
      <w:r>
        <w:rPr>
          <w:rFonts w:hint="eastAsia" w:ascii="宋体" w:hAnsi="宋体"/>
          <w:color w:val="auto"/>
          <w:sz w:val="30"/>
          <w:szCs w:val="30"/>
          <w:highlight w:val="none"/>
          <w:u w:val="single"/>
        </w:rPr>
        <w:t xml:space="preserve">                                    </w:t>
      </w:r>
    </w:p>
    <w:p w14:paraId="0326CDE8">
      <w:pPr>
        <w:jc w:val="center"/>
        <w:rPr>
          <w:rFonts w:ascii="宋体" w:hAnsi="宋体"/>
          <w:color w:val="auto"/>
          <w:sz w:val="30"/>
          <w:szCs w:val="30"/>
          <w:highlight w:val="none"/>
        </w:rPr>
      </w:pPr>
    </w:p>
    <w:p w14:paraId="22303312">
      <w:pPr>
        <w:rPr>
          <w:rFonts w:hint="eastAsia" w:ascii="宋体" w:hAnsi="宋体"/>
          <w:color w:val="auto"/>
          <w:sz w:val="30"/>
          <w:szCs w:val="30"/>
          <w:highlight w:val="none"/>
        </w:rPr>
      </w:pPr>
    </w:p>
    <w:p w14:paraId="288866B5">
      <w:pPr>
        <w:rPr>
          <w:rFonts w:ascii="宋体" w:hAnsi="宋体"/>
          <w:color w:val="auto"/>
          <w:sz w:val="30"/>
          <w:szCs w:val="30"/>
          <w:highlight w:val="none"/>
        </w:rPr>
      </w:pPr>
    </w:p>
    <w:p w14:paraId="28235D9C">
      <w:pPr>
        <w:pStyle w:val="29"/>
        <w:rPr>
          <w:color w:val="auto"/>
        </w:rPr>
      </w:pPr>
    </w:p>
    <w:p w14:paraId="50F18969">
      <w:pPr>
        <w:pStyle w:val="29"/>
        <w:rPr>
          <w:rFonts w:ascii="宋体" w:hAnsi="宋体"/>
          <w:color w:val="auto"/>
          <w:sz w:val="30"/>
          <w:szCs w:val="30"/>
          <w:highlight w:val="none"/>
        </w:rPr>
      </w:pPr>
    </w:p>
    <w:p w14:paraId="70554258">
      <w:pPr>
        <w:pStyle w:val="29"/>
        <w:rPr>
          <w:rFonts w:ascii="宋体" w:hAnsi="宋体"/>
          <w:color w:val="auto"/>
          <w:sz w:val="30"/>
          <w:szCs w:val="30"/>
          <w:highlight w:val="none"/>
        </w:rPr>
      </w:pPr>
    </w:p>
    <w:p w14:paraId="50972170">
      <w:pPr>
        <w:keepNext w:val="0"/>
        <w:keepLines w:val="0"/>
        <w:pageBreakBefore w:val="0"/>
        <w:widowControl w:val="0"/>
        <w:kinsoku/>
        <w:overflowPunct/>
        <w:topLinePunct w:val="0"/>
        <w:autoSpaceDE/>
        <w:autoSpaceDN/>
        <w:bidi w:val="0"/>
        <w:spacing w:line="415" w:lineRule="auto"/>
        <w:textAlignment w:val="auto"/>
        <w:outlineLvl w:val="9"/>
        <w:rPr>
          <w:rFonts w:ascii="宋体" w:hAnsi="宋体" w:eastAsia="宋体"/>
          <w:b/>
          <w:bCs/>
          <w:color w:val="auto"/>
          <w:sz w:val="28"/>
          <w:highlight w:val="none"/>
        </w:rPr>
      </w:pPr>
      <w:bookmarkStart w:id="130" w:name="_Toc8245"/>
      <w:bookmarkStart w:id="131" w:name="_Toc29141"/>
      <w:r>
        <w:rPr>
          <w:rFonts w:ascii="宋体" w:hAnsi="宋体" w:eastAsia="宋体"/>
          <w:b/>
          <w:bCs/>
          <w:color w:val="auto"/>
          <w:sz w:val="28"/>
          <w:highlight w:val="none"/>
        </w:rPr>
        <w:t>第一部分 合同协议书</w:t>
      </w:r>
      <w:bookmarkEnd w:id="130"/>
      <w:bookmarkEnd w:id="131"/>
    </w:p>
    <w:p w14:paraId="69CC5774">
      <w:pPr>
        <w:keepNext w:val="0"/>
        <w:keepLines w:val="0"/>
        <w:pageBreakBefore w:val="0"/>
        <w:widowControl w:val="0"/>
        <w:kinsoku/>
        <w:wordWrap w:val="0"/>
        <w:overflowPunct/>
        <w:topLinePunct w:val="0"/>
        <w:autoSpaceDE/>
        <w:autoSpaceDN/>
        <w:bidi w:val="0"/>
        <w:snapToGrid w:val="0"/>
        <w:spacing w:line="420" w:lineRule="exact"/>
        <w:textAlignment w:val="auto"/>
        <w:outlineLvl w:val="9"/>
        <w:rPr>
          <w:color w:val="auto"/>
          <w:szCs w:val="21"/>
          <w:highlight w:val="none"/>
          <w:u w:val="single"/>
        </w:rPr>
      </w:pPr>
      <w:r>
        <w:rPr>
          <w:color w:val="auto"/>
          <w:szCs w:val="21"/>
          <w:highlight w:val="none"/>
        </w:rPr>
        <w:t>发包人（全称）：</w:t>
      </w:r>
      <w:r>
        <w:rPr>
          <w:color w:val="auto"/>
          <w:szCs w:val="21"/>
          <w:highlight w:val="none"/>
          <w:u w:val="single"/>
        </w:rPr>
        <w:t xml:space="preserve">   </w:t>
      </w:r>
      <w:r>
        <w:rPr>
          <w:rFonts w:hint="eastAsia"/>
          <w:color w:val="auto"/>
          <w:szCs w:val="21"/>
          <w:highlight w:val="none"/>
          <w:u w:val="single"/>
        </w:rPr>
        <w:t xml:space="preserve"> </w:t>
      </w:r>
      <w:r>
        <w:rPr>
          <w:color w:val="auto"/>
          <w:szCs w:val="21"/>
          <w:highlight w:val="none"/>
          <w:u w:val="single"/>
        </w:rPr>
        <w:t xml:space="preserve"> </w:t>
      </w:r>
      <w:r>
        <w:rPr>
          <w:rFonts w:hint="eastAsia"/>
          <w:color w:val="auto"/>
          <w:szCs w:val="21"/>
          <w:highlight w:val="none"/>
          <w:u w:val="single"/>
        </w:rPr>
        <w:t xml:space="preserve">                        </w:t>
      </w:r>
    </w:p>
    <w:p w14:paraId="7A1CECEB">
      <w:pPr>
        <w:keepNext w:val="0"/>
        <w:keepLines w:val="0"/>
        <w:pageBreakBefore w:val="0"/>
        <w:widowControl w:val="0"/>
        <w:kinsoku/>
        <w:wordWrap w:val="0"/>
        <w:overflowPunct/>
        <w:topLinePunct w:val="0"/>
        <w:autoSpaceDE/>
        <w:autoSpaceDN/>
        <w:bidi w:val="0"/>
        <w:snapToGrid w:val="0"/>
        <w:spacing w:after="156" w:afterLines="50" w:line="420" w:lineRule="exact"/>
        <w:textAlignment w:val="auto"/>
        <w:outlineLvl w:val="9"/>
        <w:rPr>
          <w:color w:val="auto"/>
          <w:szCs w:val="21"/>
          <w:highlight w:val="none"/>
          <w:u w:val="single"/>
        </w:rPr>
      </w:pPr>
      <w:r>
        <w:rPr>
          <w:color w:val="auto"/>
          <w:szCs w:val="21"/>
          <w:highlight w:val="none"/>
        </w:rPr>
        <w:t>承包人（全称）：</w:t>
      </w:r>
      <w:r>
        <w:rPr>
          <w:color w:val="auto"/>
          <w:szCs w:val="21"/>
          <w:highlight w:val="none"/>
          <w:u w:val="single"/>
        </w:rPr>
        <w:t xml:space="preserve">                 </w:t>
      </w:r>
      <w:r>
        <w:rPr>
          <w:rFonts w:hint="eastAsia"/>
          <w:color w:val="auto"/>
          <w:szCs w:val="21"/>
          <w:highlight w:val="none"/>
          <w:u w:val="single"/>
        </w:rPr>
        <w:t xml:space="preserve">            </w:t>
      </w:r>
    </w:p>
    <w:p w14:paraId="7F04F623">
      <w:pPr>
        <w:keepNext w:val="0"/>
        <w:keepLines w:val="0"/>
        <w:pageBreakBefore w:val="0"/>
        <w:widowControl w:val="0"/>
        <w:kinsoku/>
        <w:overflowPunct/>
        <w:topLinePunct w:val="0"/>
        <w:autoSpaceDE/>
        <w:autoSpaceDN/>
        <w:bidi w:val="0"/>
        <w:snapToGrid w:val="0"/>
        <w:spacing w:line="420" w:lineRule="exact"/>
        <w:ind w:firstLine="420" w:firstLineChars="200"/>
        <w:textAlignment w:val="auto"/>
        <w:outlineLvl w:val="9"/>
        <w:rPr>
          <w:rFonts w:ascii="宋体" w:hAnsi="宋体"/>
          <w:color w:val="auto"/>
          <w:szCs w:val="21"/>
          <w:highlight w:val="none"/>
        </w:rPr>
      </w:pPr>
      <w:r>
        <w:rPr>
          <w:color w:val="auto"/>
          <w:szCs w:val="21"/>
          <w:highlight w:val="none"/>
        </w:rPr>
        <w:t>根据《中华人民共和国</w:t>
      </w:r>
      <w:r>
        <w:rPr>
          <w:rFonts w:hint="eastAsia"/>
          <w:color w:val="auto"/>
          <w:szCs w:val="21"/>
          <w:highlight w:val="none"/>
          <w:lang w:val="en-US" w:eastAsia="zh-CN"/>
        </w:rPr>
        <w:t>民</w:t>
      </w:r>
      <w:r>
        <w:rPr>
          <w:rFonts w:ascii="宋体" w:hAnsi="宋体"/>
          <w:color w:val="auto"/>
          <w:szCs w:val="21"/>
          <w:highlight w:val="none"/>
        </w:rPr>
        <w:t>法</w:t>
      </w:r>
      <w:r>
        <w:rPr>
          <w:rFonts w:hint="eastAsia"/>
          <w:color w:val="auto"/>
          <w:szCs w:val="21"/>
          <w:highlight w:val="none"/>
          <w:lang w:val="en-US" w:eastAsia="zh-CN"/>
        </w:rPr>
        <w:t>典</w:t>
      </w:r>
      <w:r>
        <w:rPr>
          <w:rFonts w:ascii="宋体" w:hAnsi="宋体"/>
          <w:color w:val="auto"/>
          <w:szCs w:val="21"/>
          <w:highlight w:val="none"/>
        </w:rPr>
        <w:t>》、《中华人民共和国建筑法》及有关法律规定，遵循平等、自愿、公平和诚实信用的原则，双方就</w:t>
      </w:r>
      <w:r>
        <w:rPr>
          <w:rFonts w:hint="eastAsia" w:ascii="宋体" w:hAnsi="宋体"/>
          <w:color w:val="auto"/>
          <w:szCs w:val="21"/>
          <w:highlight w:val="none"/>
          <w:u w:val="single"/>
        </w:rPr>
        <w:t xml:space="preserve">                       </w:t>
      </w:r>
      <w:r>
        <w:rPr>
          <w:rFonts w:ascii="宋体" w:hAnsi="宋体"/>
          <w:color w:val="auto"/>
          <w:szCs w:val="21"/>
          <w:highlight w:val="none"/>
        </w:rPr>
        <w:t>工程施工及有关事项协商一致，共同达成如下协议：</w:t>
      </w:r>
    </w:p>
    <w:p w14:paraId="50F49F60">
      <w:pPr>
        <w:pStyle w:val="56"/>
        <w:keepNext w:val="0"/>
        <w:keepLines w:val="0"/>
        <w:pageBreakBefore w:val="0"/>
        <w:widowControl w:val="0"/>
        <w:kinsoku/>
        <w:wordWrap/>
        <w:overflowPunct/>
        <w:topLinePunct w:val="0"/>
        <w:autoSpaceDE/>
        <w:autoSpaceDN/>
        <w:bidi w:val="0"/>
        <w:adjustRightInd w:val="0"/>
        <w:snapToGrid w:val="0"/>
        <w:textAlignment w:val="auto"/>
        <w:outlineLvl w:val="9"/>
        <w:rPr>
          <w:rFonts w:hint="eastAsia" w:eastAsia="宋体" w:cs="宋体"/>
          <w:b/>
          <w:color w:val="auto"/>
          <w:highlight w:val="none"/>
        </w:rPr>
      </w:pPr>
      <w:bookmarkStart w:id="132" w:name="_Toc1623"/>
      <w:bookmarkStart w:id="133" w:name="_Toc29249"/>
      <w:r>
        <w:rPr>
          <w:b/>
          <w:color w:val="auto"/>
          <w:highlight w:val="none"/>
        </w:rPr>
        <w:t>一</w:t>
      </w:r>
      <w:r>
        <w:rPr>
          <w:rFonts w:hint="eastAsia" w:eastAsia="宋体" w:cs="宋体"/>
          <w:b/>
          <w:color w:val="auto"/>
          <w:highlight w:val="none"/>
        </w:rPr>
        <w:t>、工程概况</w:t>
      </w:r>
      <w:bookmarkEnd w:id="132"/>
      <w:bookmarkEnd w:id="133"/>
    </w:p>
    <w:p w14:paraId="2FAD7E30">
      <w:pPr>
        <w:keepNext w:val="0"/>
        <w:keepLines w:val="0"/>
        <w:pageBreakBefore w:val="0"/>
        <w:widowControl w:val="0"/>
        <w:kinsoku/>
        <w:wordWrap w:val="0"/>
        <w:overflowPunct/>
        <w:topLinePunct w:val="0"/>
        <w:autoSpaceDE/>
        <w:autoSpaceDN/>
        <w:bidi w:val="0"/>
        <w:snapToGrid w:val="0"/>
        <w:spacing w:line="420" w:lineRule="exact"/>
        <w:ind w:firstLine="420" w:firstLineChars="200"/>
        <w:textAlignment w:val="auto"/>
        <w:outlineLvl w:val="9"/>
        <w:rPr>
          <w:color w:val="auto"/>
          <w:szCs w:val="21"/>
          <w:highlight w:val="none"/>
          <w:u w:val="single"/>
        </w:rPr>
      </w:pPr>
      <w:r>
        <w:rPr>
          <w:bCs/>
          <w:color w:val="auto"/>
          <w:szCs w:val="21"/>
          <w:highlight w:val="none"/>
        </w:rPr>
        <w:t>1. 工程名称</w:t>
      </w:r>
      <w:r>
        <w:rPr>
          <w:color w:val="auto"/>
          <w:szCs w:val="21"/>
          <w:highlight w:val="none"/>
        </w:rPr>
        <w:t>：</w:t>
      </w:r>
      <w:r>
        <w:rPr>
          <w:rFonts w:hint="eastAsia"/>
          <w:color w:val="auto"/>
          <w:szCs w:val="21"/>
          <w:highlight w:val="none"/>
          <w:u w:val="single"/>
        </w:rPr>
        <w:t xml:space="preserve">                               </w:t>
      </w:r>
    </w:p>
    <w:p w14:paraId="5B2B84CC">
      <w:pPr>
        <w:keepNext w:val="0"/>
        <w:keepLines w:val="0"/>
        <w:pageBreakBefore w:val="0"/>
        <w:widowControl w:val="0"/>
        <w:kinsoku/>
        <w:wordWrap w:val="0"/>
        <w:overflowPunct/>
        <w:topLinePunct w:val="0"/>
        <w:autoSpaceDE/>
        <w:autoSpaceDN/>
        <w:bidi w:val="0"/>
        <w:snapToGrid w:val="0"/>
        <w:spacing w:line="420" w:lineRule="exact"/>
        <w:ind w:firstLine="420" w:firstLineChars="200"/>
        <w:textAlignment w:val="auto"/>
        <w:outlineLvl w:val="9"/>
        <w:rPr>
          <w:bCs/>
          <w:color w:val="auto"/>
          <w:szCs w:val="21"/>
          <w:highlight w:val="none"/>
        </w:rPr>
      </w:pPr>
      <w:r>
        <w:rPr>
          <w:bCs/>
          <w:color w:val="auto"/>
          <w:szCs w:val="21"/>
          <w:highlight w:val="none"/>
        </w:rPr>
        <w:t>2. 工程地点：</w:t>
      </w:r>
      <w:r>
        <w:rPr>
          <w:rFonts w:hint="eastAsia"/>
          <w:color w:val="auto"/>
          <w:szCs w:val="21"/>
          <w:highlight w:val="none"/>
          <w:u w:val="single"/>
        </w:rPr>
        <w:t xml:space="preserve">                               </w:t>
      </w:r>
    </w:p>
    <w:p w14:paraId="29804D69">
      <w:pPr>
        <w:keepNext w:val="0"/>
        <w:keepLines w:val="0"/>
        <w:pageBreakBefore w:val="0"/>
        <w:widowControl w:val="0"/>
        <w:kinsoku/>
        <w:overflowPunct/>
        <w:topLinePunct w:val="0"/>
        <w:autoSpaceDE/>
        <w:autoSpaceDN/>
        <w:bidi w:val="0"/>
        <w:snapToGrid w:val="0"/>
        <w:spacing w:line="420" w:lineRule="exact"/>
        <w:ind w:firstLine="420" w:firstLineChars="200"/>
        <w:jc w:val="left"/>
        <w:textAlignment w:val="auto"/>
        <w:outlineLvl w:val="9"/>
        <w:rPr>
          <w:bCs/>
          <w:color w:val="auto"/>
          <w:szCs w:val="21"/>
          <w:highlight w:val="none"/>
        </w:rPr>
      </w:pPr>
      <w:r>
        <w:rPr>
          <w:bCs/>
          <w:color w:val="auto"/>
          <w:szCs w:val="21"/>
          <w:highlight w:val="none"/>
        </w:rPr>
        <w:t>3. 工程立项批准文号：</w:t>
      </w:r>
      <w:r>
        <w:rPr>
          <w:rFonts w:hint="eastAsia"/>
          <w:bCs/>
          <w:color w:val="auto"/>
          <w:szCs w:val="21"/>
          <w:highlight w:val="none"/>
          <w:u w:val="single"/>
        </w:rPr>
        <w:t xml:space="preserve">                                  </w:t>
      </w:r>
      <w:r>
        <w:rPr>
          <w:bCs/>
          <w:color w:val="auto"/>
          <w:szCs w:val="21"/>
          <w:highlight w:val="none"/>
        </w:rPr>
        <w:t>。</w:t>
      </w:r>
    </w:p>
    <w:p w14:paraId="688AE93E">
      <w:pPr>
        <w:keepNext w:val="0"/>
        <w:keepLines w:val="0"/>
        <w:pageBreakBefore w:val="0"/>
        <w:widowControl w:val="0"/>
        <w:kinsoku/>
        <w:wordWrap w:val="0"/>
        <w:overflowPunct/>
        <w:topLinePunct w:val="0"/>
        <w:autoSpaceDE/>
        <w:autoSpaceDN/>
        <w:bidi w:val="0"/>
        <w:snapToGrid w:val="0"/>
        <w:spacing w:line="420" w:lineRule="exact"/>
        <w:ind w:firstLine="420" w:firstLineChars="200"/>
        <w:textAlignment w:val="auto"/>
        <w:outlineLvl w:val="9"/>
        <w:rPr>
          <w:bCs/>
          <w:color w:val="auto"/>
          <w:szCs w:val="21"/>
          <w:highlight w:val="none"/>
        </w:rPr>
      </w:pPr>
      <w:r>
        <w:rPr>
          <w:bCs/>
          <w:color w:val="auto"/>
          <w:szCs w:val="21"/>
          <w:highlight w:val="none"/>
        </w:rPr>
        <w:t>4. 资金来源：</w:t>
      </w:r>
      <w:r>
        <w:rPr>
          <w:rFonts w:hint="eastAsia"/>
          <w:color w:val="auto"/>
          <w:szCs w:val="21"/>
          <w:highlight w:val="none"/>
          <w:u w:val="single"/>
        </w:rPr>
        <w:t xml:space="preserve">   财政资金    </w:t>
      </w:r>
    </w:p>
    <w:p w14:paraId="450D01B5">
      <w:pPr>
        <w:keepNext w:val="0"/>
        <w:keepLines w:val="0"/>
        <w:pageBreakBefore w:val="0"/>
        <w:widowControl w:val="0"/>
        <w:kinsoku/>
        <w:overflowPunct/>
        <w:topLinePunct w:val="0"/>
        <w:autoSpaceDE/>
        <w:autoSpaceDN/>
        <w:bidi w:val="0"/>
        <w:snapToGrid w:val="0"/>
        <w:spacing w:line="420" w:lineRule="exact"/>
        <w:ind w:firstLine="420" w:firstLineChars="200"/>
        <w:textAlignment w:val="auto"/>
        <w:outlineLvl w:val="9"/>
        <w:rPr>
          <w:color w:val="auto"/>
          <w:szCs w:val="21"/>
          <w:highlight w:val="none"/>
        </w:rPr>
      </w:pPr>
      <w:r>
        <w:rPr>
          <w:rFonts w:hint="eastAsia"/>
          <w:bCs/>
          <w:color w:val="auto"/>
          <w:szCs w:val="21"/>
          <w:highlight w:val="none"/>
          <w:lang w:val="en-US" w:eastAsia="zh-CN"/>
        </w:rPr>
        <w:t>5</w:t>
      </w:r>
      <w:r>
        <w:rPr>
          <w:bCs/>
          <w:color w:val="auto"/>
          <w:szCs w:val="21"/>
          <w:highlight w:val="none"/>
        </w:rPr>
        <w:t>. 工程承包范围：</w:t>
      </w:r>
      <w:r>
        <w:rPr>
          <w:rFonts w:hint="eastAsia"/>
          <w:color w:val="auto"/>
          <w:szCs w:val="21"/>
          <w:highlight w:val="none"/>
          <w:u w:val="single"/>
        </w:rPr>
        <w:t xml:space="preserve">                                       </w:t>
      </w:r>
      <w:r>
        <w:rPr>
          <w:color w:val="auto"/>
          <w:szCs w:val="21"/>
          <w:highlight w:val="none"/>
        </w:rPr>
        <w:t>。</w:t>
      </w:r>
    </w:p>
    <w:p w14:paraId="453E53CC">
      <w:pPr>
        <w:pStyle w:val="56"/>
        <w:keepNext w:val="0"/>
        <w:keepLines w:val="0"/>
        <w:pageBreakBefore w:val="0"/>
        <w:widowControl w:val="0"/>
        <w:kinsoku/>
        <w:overflowPunct/>
        <w:topLinePunct w:val="0"/>
        <w:autoSpaceDE/>
        <w:autoSpaceDN/>
        <w:bidi w:val="0"/>
        <w:adjustRightInd w:val="0"/>
        <w:snapToGrid w:val="0"/>
        <w:ind w:firstLine="422"/>
        <w:textAlignment w:val="auto"/>
        <w:outlineLvl w:val="9"/>
        <w:rPr>
          <w:rFonts w:hint="eastAsia" w:eastAsia="宋体" w:cs="宋体"/>
          <w:b/>
          <w:color w:val="auto"/>
          <w:highlight w:val="none"/>
        </w:rPr>
      </w:pPr>
      <w:bookmarkStart w:id="134" w:name="_Toc9296"/>
      <w:bookmarkStart w:id="135" w:name="_Toc10129"/>
      <w:r>
        <w:rPr>
          <w:rFonts w:hint="eastAsia" w:eastAsia="宋体" w:cs="宋体"/>
          <w:b/>
          <w:color w:val="auto"/>
          <w:highlight w:val="none"/>
        </w:rPr>
        <w:t>二、合同工期</w:t>
      </w:r>
      <w:bookmarkEnd w:id="134"/>
      <w:bookmarkEnd w:id="135"/>
    </w:p>
    <w:p w14:paraId="1344E116">
      <w:pPr>
        <w:keepNext w:val="0"/>
        <w:keepLines w:val="0"/>
        <w:pageBreakBefore w:val="0"/>
        <w:widowControl w:val="0"/>
        <w:kinsoku/>
        <w:overflowPunct/>
        <w:topLinePunct w:val="0"/>
        <w:autoSpaceDE/>
        <w:autoSpaceDN/>
        <w:bidi w:val="0"/>
        <w:snapToGrid w:val="0"/>
        <w:spacing w:line="420" w:lineRule="exact"/>
        <w:ind w:firstLine="420" w:firstLineChars="200"/>
        <w:textAlignment w:val="auto"/>
        <w:outlineLvl w:val="9"/>
        <w:rPr>
          <w:color w:val="auto"/>
          <w:szCs w:val="21"/>
          <w:highlight w:val="none"/>
        </w:rPr>
      </w:pPr>
      <w:r>
        <w:rPr>
          <w:color w:val="auto"/>
          <w:szCs w:val="21"/>
          <w:highlight w:val="none"/>
        </w:rPr>
        <w:t>计划开工日期：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425D843B">
      <w:pPr>
        <w:keepNext w:val="0"/>
        <w:keepLines w:val="0"/>
        <w:pageBreakBefore w:val="0"/>
        <w:widowControl w:val="0"/>
        <w:kinsoku/>
        <w:overflowPunct/>
        <w:topLinePunct w:val="0"/>
        <w:autoSpaceDE/>
        <w:autoSpaceDN/>
        <w:bidi w:val="0"/>
        <w:snapToGrid w:val="0"/>
        <w:spacing w:line="420" w:lineRule="exact"/>
        <w:ind w:firstLine="420" w:firstLineChars="200"/>
        <w:textAlignment w:val="auto"/>
        <w:outlineLvl w:val="9"/>
        <w:rPr>
          <w:color w:val="auto"/>
          <w:szCs w:val="21"/>
          <w:highlight w:val="none"/>
        </w:rPr>
      </w:pPr>
      <w:r>
        <w:rPr>
          <w:color w:val="auto"/>
          <w:szCs w:val="21"/>
          <w:highlight w:val="none"/>
        </w:rPr>
        <w:t>计划竣工日期：</w:t>
      </w:r>
      <w:r>
        <w:rPr>
          <w:color w:val="auto"/>
          <w:szCs w:val="21"/>
          <w:highlight w:val="none"/>
          <w:u w:val="single"/>
        </w:rPr>
        <w:t xml:space="preserve">          </w:t>
      </w:r>
      <w:r>
        <w:rPr>
          <w:color w:val="auto"/>
          <w:szCs w:val="21"/>
          <w:highlight w:val="none"/>
        </w:rPr>
        <w:t>年</w:t>
      </w:r>
      <w:r>
        <w:rPr>
          <w:color w:val="auto"/>
          <w:szCs w:val="21"/>
          <w:highlight w:val="none"/>
          <w:u w:val="single"/>
        </w:rPr>
        <w:t xml:space="preserve">       </w:t>
      </w:r>
      <w:r>
        <w:rPr>
          <w:color w:val="auto"/>
          <w:szCs w:val="21"/>
          <w:highlight w:val="none"/>
        </w:rPr>
        <w:t>月</w:t>
      </w:r>
      <w:r>
        <w:rPr>
          <w:color w:val="auto"/>
          <w:szCs w:val="21"/>
          <w:highlight w:val="none"/>
          <w:u w:val="single"/>
        </w:rPr>
        <w:t xml:space="preserve">       </w:t>
      </w:r>
      <w:r>
        <w:rPr>
          <w:color w:val="auto"/>
          <w:szCs w:val="21"/>
          <w:highlight w:val="none"/>
        </w:rPr>
        <w:t>日。</w:t>
      </w:r>
    </w:p>
    <w:p w14:paraId="0BCF8838">
      <w:pPr>
        <w:keepNext w:val="0"/>
        <w:keepLines w:val="0"/>
        <w:pageBreakBefore w:val="0"/>
        <w:widowControl w:val="0"/>
        <w:kinsoku/>
        <w:overflowPunct/>
        <w:topLinePunct w:val="0"/>
        <w:autoSpaceDE/>
        <w:autoSpaceDN/>
        <w:bidi w:val="0"/>
        <w:snapToGrid w:val="0"/>
        <w:spacing w:line="420" w:lineRule="exact"/>
        <w:ind w:firstLine="420" w:firstLineChars="200"/>
        <w:textAlignment w:val="auto"/>
        <w:outlineLvl w:val="9"/>
        <w:rPr>
          <w:color w:val="auto"/>
          <w:szCs w:val="21"/>
          <w:highlight w:val="none"/>
        </w:rPr>
      </w:pPr>
      <w:r>
        <w:rPr>
          <w:color w:val="auto"/>
          <w:szCs w:val="21"/>
          <w:highlight w:val="none"/>
        </w:rPr>
        <w:t>工期总日历天数：</w:t>
      </w:r>
      <w:r>
        <w:rPr>
          <w:color w:val="auto"/>
          <w:szCs w:val="21"/>
          <w:highlight w:val="none"/>
          <w:u w:val="single"/>
        </w:rPr>
        <w:t xml:space="preserve">          </w:t>
      </w:r>
      <w:r>
        <w:rPr>
          <w:color w:val="auto"/>
          <w:szCs w:val="21"/>
          <w:highlight w:val="none"/>
        </w:rPr>
        <w:t>天。工期总日历天数与根据前述计划开竣工日期计算的工期天数不一致的，以工期总日历天数为准。</w:t>
      </w:r>
    </w:p>
    <w:p w14:paraId="61F26A65">
      <w:pPr>
        <w:pStyle w:val="56"/>
        <w:keepNext w:val="0"/>
        <w:keepLines w:val="0"/>
        <w:pageBreakBefore w:val="0"/>
        <w:widowControl w:val="0"/>
        <w:kinsoku/>
        <w:overflowPunct/>
        <w:topLinePunct w:val="0"/>
        <w:bidi w:val="0"/>
        <w:adjustRightInd w:val="0"/>
        <w:snapToGrid w:val="0"/>
        <w:ind w:firstLine="422"/>
        <w:textAlignment w:val="auto"/>
        <w:outlineLvl w:val="9"/>
        <w:rPr>
          <w:rFonts w:hint="eastAsia" w:eastAsia="宋体" w:cs="宋体"/>
          <w:b/>
          <w:color w:val="auto"/>
          <w:highlight w:val="none"/>
        </w:rPr>
      </w:pPr>
      <w:bookmarkStart w:id="136" w:name="_Toc15099"/>
      <w:bookmarkStart w:id="137" w:name="_Toc13271"/>
      <w:bookmarkStart w:id="138" w:name="_Toc64"/>
      <w:bookmarkStart w:id="139" w:name="_Toc20154"/>
      <w:r>
        <w:rPr>
          <w:rFonts w:hint="eastAsia" w:eastAsia="宋体" w:cs="宋体"/>
          <w:b/>
          <w:color w:val="auto"/>
          <w:highlight w:val="none"/>
        </w:rPr>
        <w:t>三、质量标准</w:t>
      </w:r>
      <w:bookmarkEnd w:id="136"/>
      <w:bookmarkEnd w:id="137"/>
      <w:bookmarkEnd w:id="138"/>
      <w:bookmarkEnd w:id="139"/>
    </w:p>
    <w:p w14:paraId="607CF10A">
      <w:pPr>
        <w:keepNext w:val="0"/>
        <w:keepLines w:val="0"/>
        <w:pageBreakBefore w:val="0"/>
        <w:widowControl w:val="0"/>
        <w:kinsoku/>
        <w:overflowPunct/>
        <w:topLinePunct w:val="0"/>
        <w:bidi w:val="0"/>
        <w:snapToGrid w:val="0"/>
        <w:spacing w:line="420" w:lineRule="exact"/>
        <w:ind w:firstLine="420" w:firstLineChars="200"/>
        <w:textAlignment w:val="auto"/>
        <w:outlineLvl w:val="9"/>
        <w:rPr>
          <w:color w:val="auto"/>
          <w:szCs w:val="21"/>
          <w:highlight w:val="none"/>
        </w:rPr>
      </w:pPr>
      <w:r>
        <w:rPr>
          <w:color w:val="auto"/>
          <w:szCs w:val="21"/>
          <w:highlight w:val="none"/>
        </w:rPr>
        <w:t>工程质量符合</w:t>
      </w:r>
      <w:r>
        <w:rPr>
          <w:color w:val="auto"/>
          <w:szCs w:val="21"/>
          <w:highlight w:val="none"/>
          <w:u w:val="single"/>
        </w:rPr>
        <w:t xml:space="preserve">   合格</w:t>
      </w:r>
      <w:r>
        <w:rPr>
          <w:rFonts w:hint="eastAsia"/>
          <w:color w:val="auto"/>
          <w:szCs w:val="21"/>
          <w:highlight w:val="none"/>
          <w:u w:val="single"/>
        </w:rPr>
        <w:t xml:space="preserve">   </w:t>
      </w:r>
      <w:r>
        <w:rPr>
          <w:color w:val="auto"/>
          <w:szCs w:val="21"/>
          <w:highlight w:val="none"/>
        </w:rPr>
        <w:t>标准。</w:t>
      </w:r>
    </w:p>
    <w:p w14:paraId="58A33DE0">
      <w:pPr>
        <w:pStyle w:val="56"/>
        <w:keepNext w:val="0"/>
        <w:keepLines w:val="0"/>
        <w:pageBreakBefore w:val="0"/>
        <w:widowControl w:val="0"/>
        <w:kinsoku/>
        <w:overflowPunct/>
        <w:topLinePunct w:val="0"/>
        <w:bidi w:val="0"/>
        <w:adjustRightInd w:val="0"/>
        <w:snapToGrid w:val="0"/>
        <w:ind w:firstLine="422"/>
        <w:textAlignment w:val="auto"/>
        <w:outlineLvl w:val="9"/>
        <w:rPr>
          <w:rFonts w:hint="eastAsia" w:eastAsia="宋体" w:cs="宋体"/>
          <w:b/>
          <w:color w:val="auto"/>
          <w:highlight w:val="none"/>
        </w:rPr>
      </w:pPr>
      <w:bookmarkStart w:id="140" w:name="_Toc10688"/>
      <w:bookmarkStart w:id="141" w:name="_Toc23186"/>
      <w:bookmarkStart w:id="142" w:name="_Toc5222"/>
      <w:bookmarkStart w:id="143" w:name="_Toc8752"/>
      <w:r>
        <w:rPr>
          <w:rFonts w:hint="eastAsia" w:eastAsia="宋体" w:cs="宋体"/>
          <w:b/>
          <w:color w:val="auto"/>
          <w:highlight w:val="none"/>
        </w:rPr>
        <w:t>四、签约合同价与合同价格形式</w:t>
      </w:r>
      <w:bookmarkEnd w:id="140"/>
      <w:bookmarkEnd w:id="141"/>
      <w:bookmarkEnd w:id="142"/>
      <w:bookmarkEnd w:id="143"/>
    </w:p>
    <w:p w14:paraId="6020AD45">
      <w:pPr>
        <w:keepNext w:val="0"/>
        <w:keepLines w:val="0"/>
        <w:pageBreakBefore w:val="0"/>
        <w:widowControl w:val="0"/>
        <w:kinsoku/>
        <w:overflowPunct/>
        <w:topLinePunct w:val="0"/>
        <w:bidi w:val="0"/>
        <w:snapToGrid w:val="0"/>
        <w:spacing w:line="420" w:lineRule="exact"/>
        <w:ind w:firstLine="420" w:firstLineChars="200"/>
        <w:textAlignment w:val="auto"/>
        <w:outlineLvl w:val="9"/>
        <w:rPr>
          <w:color w:val="auto"/>
          <w:szCs w:val="21"/>
          <w:highlight w:val="none"/>
        </w:rPr>
      </w:pPr>
      <w:r>
        <w:rPr>
          <w:color w:val="auto"/>
          <w:szCs w:val="21"/>
          <w:highlight w:val="none"/>
        </w:rPr>
        <w:t>1. 签约合同价为：</w:t>
      </w:r>
    </w:p>
    <w:p w14:paraId="6F8A1C76">
      <w:pPr>
        <w:keepNext w:val="0"/>
        <w:keepLines w:val="0"/>
        <w:pageBreakBefore w:val="0"/>
        <w:widowControl w:val="0"/>
        <w:kinsoku/>
        <w:overflowPunct/>
        <w:topLinePunct w:val="0"/>
        <w:bidi w:val="0"/>
        <w:snapToGrid w:val="0"/>
        <w:spacing w:line="420" w:lineRule="exact"/>
        <w:ind w:firstLine="1050" w:firstLineChars="500"/>
        <w:textAlignment w:val="auto"/>
        <w:outlineLvl w:val="9"/>
        <w:rPr>
          <w:color w:val="auto"/>
          <w:szCs w:val="21"/>
          <w:highlight w:val="none"/>
        </w:rPr>
      </w:pPr>
      <w:r>
        <w:rPr>
          <w:color w:val="auto"/>
          <w:szCs w:val="21"/>
          <w:highlight w:val="none"/>
        </w:rPr>
        <w:t>人民币（大写）</w:t>
      </w:r>
      <w:r>
        <w:rPr>
          <w:color w:val="auto"/>
          <w:szCs w:val="21"/>
          <w:highlight w:val="none"/>
          <w:u w:val="single"/>
        </w:rPr>
        <w:t xml:space="preserve">              </w:t>
      </w:r>
      <w:r>
        <w:rPr>
          <w:color w:val="auto"/>
          <w:szCs w:val="21"/>
          <w:highlight w:val="none"/>
        </w:rPr>
        <w:t>（¥</w:t>
      </w:r>
      <w:r>
        <w:rPr>
          <w:color w:val="auto"/>
          <w:szCs w:val="21"/>
          <w:highlight w:val="none"/>
          <w:u w:val="single"/>
        </w:rPr>
        <w:t xml:space="preserve">          </w:t>
      </w:r>
      <w:r>
        <w:rPr>
          <w:color w:val="auto"/>
          <w:szCs w:val="21"/>
          <w:highlight w:val="none"/>
        </w:rPr>
        <w:t>元）；</w:t>
      </w:r>
    </w:p>
    <w:p w14:paraId="44CDA4AD">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hint="eastAsia"/>
          <w:color w:val="auto"/>
          <w:szCs w:val="21"/>
          <w:highlight w:val="none"/>
        </w:rPr>
      </w:pPr>
      <w:r>
        <w:rPr>
          <w:color w:val="auto"/>
          <w:szCs w:val="21"/>
          <w:highlight w:val="none"/>
        </w:rPr>
        <w:t>其中：</w:t>
      </w:r>
    </w:p>
    <w:p w14:paraId="33A0E369">
      <w:pPr>
        <w:keepNext w:val="0"/>
        <w:keepLines w:val="0"/>
        <w:pageBreakBefore w:val="0"/>
        <w:widowControl w:val="0"/>
        <w:kinsoku/>
        <w:overflowPunct/>
        <w:topLinePunct w:val="0"/>
        <w:bidi w:val="0"/>
        <w:spacing w:line="360" w:lineRule="auto"/>
        <w:ind w:firstLine="420" w:firstLineChars="200"/>
        <w:textAlignment w:val="auto"/>
        <w:outlineLvl w:val="9"/>
        <w:rPr>
          <w:color w:val="auto"/>
          <w:szCs w:val="21"/>
          <w:highlight w:val="none"/>
        </w:rPr>
      </w:pPr>
      <w:r>
        <w:rPr>
          <w:rFonts w:hint="eastAsia" w:hAnsi="宋体"/>
          <w:color w:val="auto"/>
          <w:szCs w:val="21"/>
          <w:highlight w:val="none"/>
        </w:rPr>
        <w:t>（1）</w:t>
      </w:r>
      <w:r>
        <w:rPr>
          <w:rFonts w:hAnsi="宋体"/>
          <w:color w:val="auto"/>
          <w:szCs w:val="21"/>
          <w:highlight w:val="none"/>
        </w:rPr>
        <w:t>安全文明施工费：</w:t>
      </w:r>
    </w:p>
    <w:p w14:paraId="6E4D2E26">
      <w:pPr>
        <w:keepNext w:val="0"/>
        <w:keepLines w:val="0"/>
        <w:pageBreakBefore w:val="0"/>
        <w:widowControl w:val="0"/>
        <w:kinsoku/>
        <w:overflowPunct/>
        <w:topLinePunct w:val="0"/>
        <w:bidi w:val="0"/>
        <w:spacing w:line="360" w:lineRule="auto"/>
        <w:ind w:left="420" w:leftChars="200" w:firstLine="525" w:firstLineChars="250"/>
        <w:textAlignment w:val="auto"/>
        <w:outlineLvl w:val="9"/>
        <w:rPr>
          <w:rFonts w:hAnsi="宋体"/>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0B09330E">
      <w:pPr>
        <w:keepNext w:val="0"/>
        <w:keepLines w:val="0"/>
        <w:pageBreakBefore w:val="0"/>
        <w:widowControl w:val="0"/>
        <w:kinsoku/>
        <w:overflowPunct/>
        <w:topLinePunct w:val="0"/>
        <w:bidi w:val="0"/>
        <w:spacing w:line="360" w:lineRule="auto"/>
        <w:ind w:firstLine="420" w:firstLineChars="200"/>
        <w:textAlignment w:val="auto"/>
        <w:outlineLvl w:val="9"/>
        <w:rPr>
          <w:color w:val="auto"/>
          <w:szCs w:val="21"/>
          <w:highlight w:val="none"/>
        </w:rPr>
      </w:pPr>
      <w:r>
        <w:rPr>
          <w:rFonts w:hAnsi="宋体"/>
          <w:color w:val="auto"/>
          <w:szCs w:val="21"/>
          <w:highlight w:val="none"/>
        </w:rPr>
        <w:t>（</w:t>
      </w:r>
      <w:r>
        <w:rPr>
          <w:rFonts w:hint="eastAsia"/>
          <w:color w:val="auto"/>
          <w:szCs w:val="21"/>
          <w:highlight w:val="none"/>
          <w:lang w:val="en-US" w:eastAsia="zh-CN"/>
        </w:rPr>
        <w:t>2</w:t>
      </w:r>
      <w:r>
        <w:rPr>
          <w:rFonts w:hAnsi="宋体"/>
          <w:color w:val="auto"/>
          <w:szCs w:val="21"/>
          <w:highlight w:val="none"/>
        </w:rPr>
        <w:t>）材料和工程设备暂估价金额：</w:t>
      </w:r>
    </w:p>
    <w:p w14:paraId="680553AE">
      <w:pPr>
        <w:keepNext w:val="0"/>
        <w:keepLines w:val="0"/>
        <w:pageBreakBefore w:val="0"/>
        <w:widowControl w:val="0"/>
        <w:kinsoku/>
        <w:overflowPunct/>
        <w:topLinePunct w:val="0"/>
        <w:bidi w:val="0"/>
        <w:spacing w:line="360" w:lineRule="auto"/>
        <w:ind w:firstLine="945" w:firstLineChars="450"/>
        <w:textAlignment w:val="auto"/>
        <w:outlineLvl w:val="9"/>
        <w:rPr>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380149FA">
      <w:pPr>
        <w:keepNext w:val="0"/>
        <w:keepLines w:val="0"/>
        <w:pageBreakBefore w:val="0"/>
        <w:widowControl w:val="0"/>
        <w:kinsoku/>
        <w:overflowPunct/>
        <w:topLinePunct w:val="0"/>
        <w:bidi w:val="0"/>
        <w:spacing w:line="360" w:lineRule="auto"/>
        <w:ind w:firstLine="420" w:firstLineChars="200"/>
        <w:textAlignment w:val="auto"/>
        <w:outlineLvl w:val="9"/>
        <w:rPr>
          <w:color w:val="auto"/>
          <w:szCs w:val="21"/>
          <w:highlight w:val="none"/>
        </w:rPr>
      </w:pPr>
      <w:r>
        <w:rPr>
          <w:rFonts w:hAnsi="宋体"/>
          <w:color w:val="auto"/>
          <w:szCs w:val="21"/>
          <w:highlight w:val="none"/>
        </w:rPr>
        <w:t>（</w:t>
      </w:r>
      <w:r>
        <w:rPr>
          <w:rFonts w:hint="eastAsia"/>
          <w:color w:val="auto"/>
          <w:szCs w:val="21"/>
          <w:highlight w:val="none"/>
          <w:lang w:val="en-US" w:eastAsia="zh-CN"/>
        </w:rPr>
        <w:t>3</w:t>
      </w:r>
      <w:r>
        <w:rPr>
          <w:rFonts w:hAnsi="宋体"/>
          <w:color w:val="auto"/>
          <w:szCs w:val="21"/>
          <w:highlight w:val="none"/>
        </w:rPr>
        <w:t>）专业工程暂估价金额：</w:t>
      </w:r>
    </w:p>
    <w:p w14:paraId="5B98AD3A">
      <w:pPr>
        <w:keepNext w:val="0"/>
        <w:keepLines w:val="0"/>
        <w:pageBreakBefore w:val="0"/>
        <w:widowControl w:val="0"/>
        <w:kinsoku/>
        <w:overflowPunct/>
        <w:topLinePunct w:val="0"/>
        <w:bidi w:val="0"/>
        <w:spacing w:line="360" w:lineRule="auto"/>
        <w:ind w:firstLine="945" w:firstLineChars="450"/>
        <w:textAlignment w:val="auto"/>
        <w:outlineLvl w:val="9"/>
        <w:rPr>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5BBAA097">
      <w:pPr>
        <w:keepNext w:val="0"/>
        <w:keepLines w:val="0"/>
        <w:pageBreakBefore w:val="0"/>
        <w:widowControl w:val="0"/>
        <w:kinsoku/>
        <w:overflowPunct/>
        <w:topLinePunct w:val="0"/>
        <w:bidi w:val="0"/>
        <w:spacing w:line="360" w:lineRule="auto"/>
        <w:ind w:firstLine="420" w:firstLineChars="200"/>
        <w:textAlignment w:val="auto"/>
        <w:outlineLvl w:val="9"/>
        <w:rPr>
          <w:color w:val="auto"/>
          <w:szCs w:val="21"/>
          <w:highlight w:val="none"/>
        </w:rPr>
      </w:pPr>
      <w:r>
        <w:rPr>
          <w:rFonts w:hAnsi="宋体"/>
          <w:color w:val="auto"/>
          <w:szCs w:val="21"/>
          <w:highlight w:val="none"/>
        </w:rPr>
        <w:t>（</w:t>
      </w:r>
      <w:r>
        <w:rPr>
          <w:rFonts w:hint="eastAsia"/>
          <w:color w:val="auto"/>
          <w:szCs w:val="21"/>
          <w:highlight w:val="none"/>
          <w:lang w:val="en-US" w:eastAsia="zh-CN"/>
        </w:rPr>
        <w:t>4</w:t>
      </w:r>
      <w:r>
        <w:rPr>
          <w:rFonts w:hAnsi="宋体"/>
          <w:color w:val="auto"/>
          <w:szCs w:val="21"/>
          <w:highlight w:val="none"/>
        </w:rPr>
        <w:t>）暂列金额：</w:t>
      </w:r>
    </w:p>
    <w:p w14:paraId="352D9E49">
      <w:pPr>
        <w:keepNext w:val="0"/>
        <w:keepLines w:val="0"/>
        <w:pageBreakBefore w:val="0"/>
        <w:widowControl w:val="0"/>
        <w:kinsoku/>
        <w:overflowPunct/>
        <w:topLinePunct w:val="0"/>
        <w:bidi w:val="0"/>
        <w:spacing w:line="360" w:lineRule="auto"/>
        <w:ind w:firstLine="945" w:firstLineChars="450"/>
        <w:textAlignment w:val="auto"/>
        <w:outlineLvl w:val="9"/>
        <w:rPr>
          <w:color w:val="auto"/>
          <w:szCs w:val="21"/>
          <w:highlight w:val="none"/>
        </w:rPr>
      </w:pPr>
      <w:r>
        <w:rPr>
          <w:rFonts w:hAnsi="宋体"/>
          <w:color w:val="auto"/>
          <w:szCs w:val="21"/>
          <w:highlight w:val="none"/>
        </w:rPr>
        <w:t>人民币（大写）</w:t>
      </w:r>
      <w:r>
        <w:rPr>
          <w:color w:val="auto"/>
          <w:szCs w:val="21"/>
          <w:highlight w:val="none"/>
          <w:u w:val="single"/>
        </w:rPr>
        <w:t xml:space="preserve">              </w:t>
      </w:r>
      <w:r>
        <w:rPr>
          <w:color w:val="auto"/>
          <w:szCs w:val="21"/>
          <w:highlight w:val="none"/>
        </w:rPr>
        <w:t xml:space="preserve"> </w:t>
      </w:r>
      <w:r>
        <w:rPr>
          <w:rFonts w:hint="eastAsia"/>
          <w:color w:val="auto"/>
          <w:szCs w:val="21"/>
          <w:highlight w:val="none"/>
        </w:rPr>
        <w:t>（</w:t>
      </w:r>
      <w:r>
        <w:rPr>
          <w:color w:val="auto"/>
          <w:szCs w:val="21"/>
          <w:highlight w:val="none"/>
        </w:rPr>
        <w:t>¥</w:t>
      </w:r>
      <w:r>
        <w:rPr>
          <w:color w:val="auto"/>
          <w:szCs w:val="21"/>
          <w:highlight w:val="none"/>
          <w:u w:val="single"/>
        </w:rPr>
        <w:t xml:space="preserve">          </w:t>
      </w:r>
      <w:r>
        <w:rPr>
          <w:rFonts w:hAnsi="宋体"/>
          <w:color w:val="auto"/>
          <w:szCs w:val="21"/>
          <w:highlight w:val="none"/>
        </w:rPr>
        <w:t>元</w:t>
      </w:r>
      <w:r>
        <w:rPr>
          <w:rFonts w:hint="eastAsia"/>
          <w:color w:val="auto"/>
          <w:szCs w:val="21"/>
          <w:highlight w:val="none"/>
        </w:rPr>
        <w:t>）</w:t>
      </w:r>
      <w:r>
        <w:rPr>
          <w:rFonts w:hAnsi="宋体"/>
          <w:color w:val="auto"/>
          <w:szCs w:val="21"/>
          <w:highlight w:val="none"/>
        </w:rPr>
        <w:t>。</w:t>
      </w:r>
    </w:p>
    <w:p w14:paraId="1B23CCF4">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 xml:space="preserve">2. 合同价格形式： </w:t>
      </w:r>
      <w:r>
        <w:rPr>
          <w:rFonts w:ascii="宋体" w:hAnsi="宋体"/>
          <w:color w:val="auto"/>
          <w:szCs w:val="21"/>
          <w:highlight w:val="none"/>
          <w:u w:val="single"/>
        </w:rPr>
        <w:t xml:space="preserve">  固定单价</w:t>
      </w:r>
      <w:r>
        <w:rPr>
          <w:rFonts w:hint="eastAsia" w:ascii="宋体" w:hAnsi="宋体"/>
          <w:color w:val="auto"/>
          <w:szCs w:val="21"/>
          <w:highlight w:val="none"/>
          <w:u w:val="single"/>
        </w:rPr>
        <w:t xml:space="preserve">   </w:t>
      </w:r>
      <w:r>
        <w:rPr>
          <w:rFonts w:ascii="宋体" w:hAnsi="宋体"/>
          <w:color w:val="auto"/>
          <w:szCs w:val="21"/>
          <w:highlight w:val="none"/>
        </w:rPr>
        <w:t>。</w:t>
      </w:r>
    </w:p>
    <w:p w14:paraId="09581408">
      <w:pPr>
        <w:pStyle w:val="56"/>
        <w:keepNext w:val="0"/>
        <w:keepLines w:val="0"/>
        <w:pageBreakBefore w:val="0"/>
        <w:widowControl w:val="0"/>
        <w:kinsoku/>
        <w:overflowPunct/>
        <w:topLinePunct w:val="0"/>
        <w:bidi w:val="0"/>
        <w:adjustRightInd w:val="0"/>
        <w:snapToGrid w:val="0"/>
        <w:ind w:firstLine="422"/>
        <w:textAlignment w:val="auto"/>
        <w:outlineLvl w:val="9"/>
        <w:rPr>
          <w:rFonts w:hint="eastAsia" w:eastAsia="宋体" w:cs="宋体"/>
          <w:b/>
          <w:color w:val="auto"/>
          <w:highlight w:val="none"/>
        </w:rPr>
      </w:pPr>
      <w:bookmarkStart w:id="144" w:name="_Toc26196"/>
      <w:bookmarkStart w:id="145" w:name="_Toc11521"/>
      <w:bookmarkStart w:id="146" w:name="_Toc20643"/>
      <w:bookmarkStart w:id="147" w:name="_Toc21289"/>
      <w:r>
        <w:rPr>
          <w:rFonts w:hint="eastAsia" w:eastAsia="宋体" w:cs="宋体"/>
          <w:b/>
          <w:color w:val="auto"/>
          <w:highlight w:val="none"/>
        </w:rPr>
        <w:t>五、项目经理</w:t>
      </w:r>
      <w:bookmarkEnd w:id="144"/>
      <w:bookmarkEnd w:id="145"/>
      <w:bookmarkEnd w:id="146"/>
      <w:bookmarkEnd w:id="147"/>
    </w:p>
    <w:p w14:paraId="31600697">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承包人项目经理：</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rPr>
        <w:t>。</w:t>
      </w:r>
    </w:p>
    <w:p w14:paraId="120FAB82">
      <w:pPr>
        <w:pStyle w:val="56"/>
        <w:keepNext w:val="0"/>
        <w:keepLines w:val="0"/>
        <w:pageBreakBefore w:val="0"/>
        <w:widowControl w:val="0"/>
        <w:kinsoku/>
        <w:overflowPunct/>
        <w:topLinePunct w:val="0"/>
        <w:bidi w:val="0"/>
        <w:adjustRightInd w:val="0"/>
        <w:snapToGrid w:val="0"/>
        <w:ind w:firstLine="422"/>
        <w:textAlignment w:val="auto"/>
        <w:outlineLvl w:val="9"/>
        <w:rPr>
          <w:rFonts w:hint="eastAsia" w:eastAsia="宋体" w:cs="宋体"/>
          <w:b/>
          <w:color w:val="auto"/>
          <w:highlight w:val="none"/>
        </w:rPr>
      </w:pPr>
      <w:bookmarkStart w:id="148" w:name="_Toc10234"/>
      <w:bookmarkStart w:id="149" w:name="_Toc9147"/>
      <w:bookmarkStart w:id="150" w:name="_Toc11681"/>
      <w:bookmarkStart w:id="151" w:name="_Toc29883"/>
      <w:r>
        <w:rPr>
          <w:rFonts w:hint="eastAsia" w:eastAsia="宋体" w:cs="宋体"/>
          <w:b/>
          <w:color w:val="auto"/>
          <w:highlight w:val="none"/>
        </w:rPr>
        <w:t>六、合同文件构成</w:t>
      </w:r>
      <w:bookmarkEnd w:id="148"/>
      <w:bookmarkEnd w:id="149"/>
      <w:bookmarkEnd w:id="150"/>
      <w:bookmarkEnd w:id="151"/>
    </w:p>
    <w:p w14:paraId="4CEC84E0">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bCs/>
          <w:color w:val="auto"/>
          <w:szCs w:val="21"/>
          <w:highlight w:val="none"/>
        </w:rPr>
      </w:pPr>
      <w:r>
        <w:rPr>
          <w:rFonts w:ascii="宋体" w:hAnsi="宋体"/>
          <w:bCs/>
          <w:color w:val="auto"/>
          <w:szCs w:val="21"/>
          <w:highlight w:val="none"/>
        </w:rPr>
        <w:t>本协议书与下列文件一起构成合同文件：</w:t>
      </w:r>
    </w:p>
    <w:p w14:paraId="62374CAD">
      <w:pPr>
        <w:keepNext w:val="0"/>
        <w:keepLines w:val="0"/>
        <w:pageBreakBefore w:val="0"/>
        <w:widowControl w:val="0"/>
        <w:kinsoku/>
        <w:overflowPunct/>
        <w:topLinePunct w:val="0"/>
        <w:autoSpaceDE w:val="0"/>
        <w:autoSpaceDN w:val="0"/>
        <w:bidi w:val="0"/>
        <w:snapToGrid w:val="0"/>
        <w:spacing w:line="42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（1）成交通知书（如果有）；</w:t>
      </w:r>
    </w:p>
    <w:p w14:paraId="55F5C893">
      <w:pPr>
        <w:keepNext w:val="0"/>
        <w:keepLines w:val="0"/>
        <w:pageBreakBefore w:val="0"/>
        <w:widowControl w:val="0"/>
        <w:kinsoku/>
        <w:overflowPunct/>
        <w:topLinePunct w:val="0"/>
        <w:autoSpaceDE w:val="0"/>
        <w:autoSpaceDN w:val="0"/>
        <w:bidi w:val="0"/>
        <w:snapToGrid w:val="0"/>
        <w:spacing w:line="42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（2）</w:t>
      </w:r>
      <w:r>
        <w:rPr>
          <w:rFonts w:hint="eastAsia" w:ascii="宋体" w:hAnsi="宋体"/>
          <w:color w:val="auto"/>
          <w:szCs w:val="21"/>
          <w:highlight w:val="none"/>
          <w:lang w:eastAsia="zh-CN"/>
        </w:rPr>
        <w:t>磋商</w:t>
      </w:r>
      <w:r>
        <w:rPr>
          <w:rFonts w:ascii="宋体" w:hAnsi="宋体"/>
          <w:color w:val="auto"/>
          <w:szCs w:val="21"/>
          <w:highlight w:val="none"/>
        </w:rPr>
        <w:t xml:space="preserve">函及其附录（如果有）； </w:t>
      </w:r>
    </w:p>
    <w:p w14:paraId="39C0A42D">
      <w:pPr>
        <w:keepNext w:val="0"/>
        <w:keepLines w:val="0"/>
        <w:pageBreakBefore w:val="0"/>
        <w:widowControl w:val="0"/>
        <w:kinsoku/>
        <w:overflowPunct/>
        <w:topLinePunct w:val="0"/>
        <w:autoSpaceDE w:val="0"/>
        <w:autoSpaceDN w:val="0"/>
        <w:bidi w:val="0"/>
        <w:snapToGrid w:val="0"/>
        <w:spacing w:line="42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（3）专用合同条款及其附件；</w:t>
      </w:r>
    </w:p>
    <w:p w14:paraId="74A80E26">
      <w:pPr>
        <w:keepNext w:val="0"/>
        <w:keepLines w:val="0"/>
        <w:pageBreakBefore w:val="0"/>
        <w:widowControl w:val="0"/>
        <w:kinsoku/>
        <w:overflowPunct/>
        <w:topLinePunct w:val="0"/>
        <w:autoSpaceDE w:val="0"/>
        <w:autoSpaceDN w:val="0"/>
        <w:bidi w:val="0"/>
        <w:snapToGrid w:val="0"/>
        <w:spacing w:line="42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（4）通用合同条款；</w:t>
      </w:r>
    </w:p>
    <w:p w14:paraId="0816BACE">
      <w:pPr>
        <w:keepNext w:val="0"/>
        <w:keepLines w:val="0"/>
        <w:pageBreakBefore w:val="0"/>
        <w:widowControl w:val="0"/>
        <w:kinsoku/>
        <w:overflowPunct/>
        <w:topLinePunct w:val="0"/>
        <w:autoSpaceDE w:val="0"/>
        <w:autoSpaceDN w:val="0"/>
        <w:bidi w:val="0"/>
        <w:snapToGrid w:val="0"/>
        <w:spacing w:line="42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（5）技术标准和要求；</w:t>
      </w:r>
    </w:p>
    <w:p w14:paraId="0C22C866">
      <w:pPr>
        <w:keepNext w:val="0"/>
        <w:keepLines w:val="0"/>
        <w:pageBreakBefore w:val="0"/>
        <w:widowControl w:val="0"/>
        <w:kinsoku/>
        <w:overflowPunct/>
        <w:topLinePunct w:val="0"/>
        <w:autoSpaceDE w:val="0"/>
        <w:autoSpaceDN w:val="0"/>
        <w:bidi w:val="0"/>
        <w:snapToGrid w:val="0"/>
        <w:spacing w:line="42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 xml:space="preserve">（6）已标价工程量清单或预算书； </w:t>
      </w:r>
    </w:p>
    <w:p w14:paraId="72E968D1">
      <w:pPr>
        <w:keepNext w:val="0"/>
        <w:keepLines w:val="0"/>
        <w:pageBreakBefore w:val="0"/>
        <w:widowControl w:val="0"/>
        <w:kinsoku/>
        <w:overflowPunct/>
        <w:topLinePunct w:val="0"/>
        <w:autoSpaceDE w:val="0"/>
        <w:autoSpaceDN w:val="0"/>
        <w:bidi w:val="0"/>
        <w:snapToGrid w:val="0"/>
        <w:spacing w:line="42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（7）图纸；</w:t>
      </w:r>
    </w:p>
    <w:p w14:paraId="2309E6BE">
      <w:pPr>
        <w:keepNext w:val="0"/>
        <w:keepLines w:val="0"/>
        <w:pageBreakBefore w:val="0"/>
        <w:widowControl w:val="0"/>
        <w:kinsoku/>
        <w:overflowPunct/>
        <w:topLinePunct w:val="0"/>
        <w:autoSpaceDE w:val="0"/>
        <w:autoSpaceDN w:val="0"/>
        <w:bidi w:val="0"/>
        <w:snapToGrid w:val="0"/>
        <w:spacing w:line="42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（8）其他合同文件。</w:t>
      </w:r>
    </w:p>
    <w:p w14:paraId="155E3AD4">
      <w:pPr>
        <w:keepNext w:val="0"/>
        <w:keepLines w:val="0"/>
        <w:pageBreakBefore w:val="0"/>
        <w:widowControl w:val="0"/>
        <w:kinsoku/>
        <w:overflowPunct/>
        <w:topLinePunct w:val="0"/>
        <w:autoSpaceDE w:val="0"/>
        <w:autoSpaceDN w:val="0"/>
        <w:bidi w:val="0"/>
        <w:snapToGrid w:val="0"/>
        <w:spacing w:line="42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在合同订立及履行过程中形成的与合同有关的文件均构成合同文件组成部分。</w:t>
      </w:r>
    </w:p>
    <w:p w14:paraId="6B158486">
      <w:pPr>
        <w:keepNext w:val="0"/>
        <w:keepLines w:val="0"/>
        <w:pageBreakBefore w:val="0"/>
        <w:widowControl w:val="0"/>
        <w:kinsoku/>
        <w:overflowPunct/>
        <w:topLinePunct w:val="0"/>
        <w:autoSpaceDE w:val="0"/>
        <w:autoSpaceDN w:val="0"/>
        <w:bidi w:val="0"/>
        <w:snapToGrid w:val="0"/>
        <w:spacing w:line="42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上述各项合同文件包括合同当事人就该项合同文件所作出的补充和修改，属于同一类内容的文件，应以最新签署的为准。专用合同条款及其附件须经合同当事人签字或盖章。</w:t>
      </w:r>
    </w:p>
    <w:p w14:paraId="42C439C0">
      <w:pPr>
        <w:pStyle w:val="56"/>
        <w:keepNext w:val="0"/>
        <w:keepLines w:val="0"/>
        <w:pageBreakBefore w:val="0"/>
        <w:widowControl w:val="0"/>
        <w:kinsoku/>
        <w:overflowPunct/>
        <w:topLinePunct w:val="0"/>
        <w:bidi w:val="0"/>
        <w:adjustRightInd w:val="0"/>
        <w:snapToGrid w:val="0"/>
        <w:ind w:firstLine="422"/>
        <w:textAlignment w:val="auto"/>
        <w:outlineLvl w:val="9"/>
        <w:rPr>
          <w:rFonts w:hint="eastAsia" w:eastAsia="宋体" w:cs="宋体"/>
          <w:b/>
          <w:color w:val="auto"/>
          <w:highlight w:val="none"/>
        </w:rPr>
      </w:pPr>
      <w:bookmarkStart w:id="152" w:name="_Toc14578"/>
      <w:bookmarkStart w:id="153" w:name="_Toc8791"/>
      <w:bookmarkStart w:id="154" w:name="_Toc22927"/>
      <w:bookmarkStart w:id="155" w:name="_Toc32476"/>
      <w:r>
        <w:rPr>
          <w:rFonts w:hint="eastAsia" w:eastAsia="宋体" w:cs="宋体"/>
          <w:b/>
          <w:color w:val="auto"/>
          <w:highlight w:val="none"/>
        </w:rPr>
        <w:t>七、承诺</w:t>
      </w:r>
      <w:bookmarkEnd w:id="152"/>
      <w:bookmarkEnd w:id="153"/>
      <w:bookmarkEnd w:id="154"/>
      <w:bookmarkEnd w:id="155"/>
    </w:p>
    <w:p w14:paraId="6233ECBD">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bCs/>
          <w:color w:val="auto"/>
          <w:szCs w:val="21"/>
          <w:highlight w:val="none"/>
        </w:rPr>
      </w:pPr>
      <w:r>
        <w:rPr>
          <w:rFonts w:ascii="宋体" w:hAnsi="宋体"/>
          <w:bCs/>
          <w:color w:val="auto"/>
          <w:szCs w:val="21"/>
          <w:highlight w:val="none"/>
        </w:rPr>
        <w:t>1. 发包人承诺按照法律规定履行项目审批手续、筹集工程建设资金并按照合同约定的期限和方式支付合同价款。</w:t>
      </w:r>
    </w:p>
    <w:p w14:paraId="416146E4">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bCs/>
          <w:color w:val="auto"/>
          <w:szCs w:val="21"/>
          <w:highlight w:val="none"/>
        </w:rPr>
      </w:pPr>
      <w:r>
        <w:rPr>
          <w:rFonts w:ascii="宋体" w:hAnsi="宋体"/>
          <w:bCs/>
          <w:color w:val="auto"/>
          <w:szCs w:val="21"/>
          <w:highlight w:val="none"/>
        </w:rPr>
        <w:t>2. 承包人承诺按照法律规定及合同约定组织完成工程施工，确保工程质量和安全，不进行转包及违法分包，并在缺陷责任期及保修期内承担相应的工程维修责任。</w:t>
      </w:r>
    </w:p>
    <w:p w14:paraId="0C7C49AA">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bCs/>
          <w:color w:val="auto"/>
          <w:szCs w:val="21"/>
          <w:highlight w:val="none"/>
        </w:rPr>
      </w:pPr>
      <w:r>
        <w:rPr>
          <w:rFonts w:ascii="宋体" w:hAnsi="宋体"/>
          <w:bCs/>
          <w:color w:val="auto"/>
          <w:szCs w:val="21"/>
          <w:highlight w:val="none"/>
        </w:rPr>
        <w:t>3. 发包人和承包人通过招投标形式签订合同的，双方理解并承诺不再就同一工程另行签订与合同实质性内容相背离的协议。</w:t>
      </w:r>
    </w:p>
    <w:p w14:paraId="761B2DCE">
      <w:pPr>
        <w:pStyle w:val="56"/>
        <w:keepNext w:val="0"/>
        <w:keepLines w:val="0"/>
        <w:pageBreakBefore w:val="0"/>
        <w:widowControl w:val="0"/>
        <w:kinsoku/>
        <w:overflowPunct/>
        <w:topLinePunct w:val="0"/>
        <w:bidi w:val="0"/>
        <w:adjustRightInd w:val="0"/>
        <w:snapToGrid w:val="0"/>
        <w:ind w:firstLine="422"/>
        <w:textAlignment w:val="auto"/>
        <w:outlineLvl w:val="9"/>
        <w:rPr>
          <w:rFonts w:hint="eastAsia" w:eastAsia="宋体" w:cs="宋体"/>
          <w:b/>
          <w:color w:val="auto"/>
          <w:highlight w:val="none"/>
        </w:rPr>
      </w:pPr>
      <w:bookmarkStart w:id="156" w:name="_Toc30922"/>
      <w:bookmarkStart w:id="157" w:name="_Toc20660"/>
      <w:bookmarkStart w:id="158" w:name="_Toc9593"/>
      <w:bookmarkStart w:id="159" w:name="_Toc27840"/>
      <w:r>
        <w:rPr>
          <w:rFonts w:hint="eastAsia" w:eastAsia="宋体" w:cs="宋体"/>
          <w:b/>
          <w:color w:val="auto"/>
          <w:highlight w:val="none"/>
        </w:rPr>
        <w:t>八、词语含义</w:t>
      </w:r>
      <w:bookmarkEnd w:id="156"/>
      <w:bookmarkEnd w:id="157"/>
      <w:bookmarkEnd w:id="158"/>
      <w:bookmarkEnd w:id="159"/>
    </w:p>
    <w:p w14:paraId="260A2FE3">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bCs/>
          <w:color w:val="auto"/>
          <w:szCs w:val="21"/>
          <w:highlight w:val="none"/>
        </w:rPr>
      </w:pPr>
      <w:r>
        <w:rPr>
          <w:rFonts w:ascii="宋体" w:hAnsi="宋体"/>
          <w:bCs/>
          <w:color w:val="auto"/>
          <w:szCs w:val="21"/>
          <w:highlight w:val="none"/>
        </w:rPr>
        <w:t>本协议书中词语含义与第二部分通用合同条款中赋予的含义相同。</w:t>
      </w:r>
    </w:p>
    <w:p w14:paraId="3DF625FB">
      <w:pPr>
        <w:pStyle w:val="56"/>
        <w:keepNext w:val="0"/>
        <w:keepLines w:val="0"/>
        <w:pageBreakBefore w:val="0"/>
        <w:widowControl w:val="0"/>
        <w:kinsoku/>
        <w:overflowPunct/>
        <w:topLinePunct w:val="0"/>
        <w:bidi w:val="0"/>
        <w:adjustRightInd w:val="0"/>
        <w:snapToGrid w:val="0"/>
        <w:ind w:firstLine="422"/>
        <w:textAlignment w:val="auto"/>
        <w:outlineLvl w:val="9"/>
        <w:rPr>
          <w:rFonts w:hint="eastAsia" w:eastAsia="宋体" w:cs="宋体"/>
          <w:b/>
          <w:color w:val="auto"/>
          <w:highlight w:val="none"/>
        </w:rPr>
      </w:pPr>
      <w:bookmarkStart w:id="160" w:name="_Toc11693"/>
      <w:bookmarkStart w:id="161" w:name="_Toc4874"/>
      <w:bookmarkStart w:id="162" w:name="_Toc32430"/>
      <w:bookmarkStart w:id="163" w:name="_Toc4290"/>
      <w:r>
        <w:rPr>
          <w:rFonts w:hint="eastAsia" w:eastAsia="宋体" w:cs="宋体"/>
          <w:b/>
          <w:color w:val="auto"/>
          <w:highlight w:val="none"/>
        </w:rPr>
        <w:t>九、签订时间</w:t>
      </w:r>
      <w:bookmarkEnd w:id="160"/>
      <w:bookmarkEnd w:id="161"/>
      <w:bookmarkEnd w:id="162"/>
      <w:bookmarkEnd w:id="163"/>
    </w:p>
    <w:p w14:paraId="4F5F8E54">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bCs/>
          <w:color w:val="auto"/>
          <w:szCs w:val="21"/>
          <w:highlight w:val="none"/>
        </w:rPr>
      </w:pPr>
      <w:r>
        <w:rPr>
          <w:rFonts w:ascii="宋体" w:hAnsi="宋体"/>
          <w:bCs/>
          <w:color w:val="auto"/>
          <w:szCs w:val="21"/>
          <w:highlight w:val="none"/>
        </w:rPr>
        <w:t>本合同于</w:t>
      </w:r>
      <w:r>
        <w:rPr>
          <w:rFonts w:ascii="宋体" w:hAnsi="宋体"/>
          <w:bCs/>
          <w:color w:val="auto"/>
          <w:szCs w:val="21"/>
          <w:highlight w:val="none"/>
          <w:u w:val="single"/>
        </w:rPr>
        <w:t xml:space="preserve">         </w:t>
      </w:r>
      <w:r>
        <w:rPr>
          <w:rFonts w:ascii="宋体" w:hAnsi="宋体"/>
          <w:bCs/>
          <w:color w:val="auto"/>
          <w:szCs w:val="21"/>
          <w:highlight w:val="none"/>
        </w:rPr>
        <w:t>年</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月</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日签订。</w:t>
      </w:r>
    </w:p>
    <w:p w14:paraId="0FF82513">
      <w:pPr>
        <w:pStyle w:val="56"/>
        <w:keepNext w:val="0"/>
        <w:keepLines w:val="0"/>
        <w:pageBreakBefore w:val="0"/>
        <w:widowControl w:val="0"/>
        <w:kinsoku/>
        <w:overflowPunct/>
        <w:topLinePunct w:val="0"/>
        <w:bidi w:val="0"/>
        <w:adjustRightInd w:val="0"/>
        <w:snapToGrid w:val="0"/>
        <w:ind w:firstLine="422"/>
        <w:textAlignment w:val="auto"/>
        <w:outlineLvl w:val="9"/>
        <w:rPr>
          <w:rFonts w:hint="eastAsia" w:eastAsia="宋体" w:cs="宋体"/>
          <w:b/>
          <w:color w:val="auto"/>
          <w:highlight w:val="none"/>
        </w:rPr>
      </w:pPr>
      <w:bookmarkStart w:id="164" w:name="_Toc28085"/>
      <w:bookmarkStart w:id="165" w:name="_Toc21784"/>
      <w:bookmarkStart w:id="166" w:name="_Toc29462"/>
      <w:bookmarkStart w:id="167" w:name="_Toc29127"/>
      <w:r>
        <w:rPr>
          <w:rFonts w:hint="eastAsia" w:eastAsia="宋体" w:cs="宋体"/>
          <w:b/>
          <w:color w:val="auto"/>
          <w:highlight w:val="none"/>
        </w:rPr>
        <w:t>十、签订地点</w:t>
      </w:r>
      <w:bookmarkEnd w:id="164"/>
      <w:bookmarkEnd w:id="165"/>
      <w:bookmarkEnd w:id="166"/>
      <w:bookmarkEnd w:id="167"/>
    </w:p>
    <w:p w14:paraId="6052E0EF">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bCs/>
          <w:color w:val="auto"/>
          <w:szCs w:val="21"/>
          <w:highlight w:val="none"/>
        </w:rPr>
      </w:pPr>
      <w:r>
        <w:rPr>
          <w:rFonts w:ascii="宋体" w:hAnsi="宋体"/>
          <w:bCs/>
          <w:color w:val="auto"/>
          <w:szCs w:val="21"/>
          <w:highlight w:val="none"/>
        </w:rPr>
        <w:t>本合同在</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bCs/>
          <w:color w:val="auto"/>
          <w:szCs w:val="21"/>
          <w:highlight w:val="none"/>
        </w:rPr>
        <w:t>签订。</w:t>
      </w:r>
    </w:p>
    <w:p w14:paraId="77539899">
      <w:pPr>
        <w:keepNext w:val="0"/>
        <w:keepLines w:val="0"/>
        <w:pageBreakBefore w:val="0"/>
        <w:widowControl w:val="0"/>
        <w:kinsoku/>
        <w:overflowPunct/>
        <w:topLinePunct w:val="0"/>
        <w:bidi w:val="0"/>
        <w:snapToGrid w:val="0"/>
        <w:spacing w:line="420" w:lineRule="exact"/>
        <w:ind w:firstLine="422" w:firstLineChars="200"/>
        <w:textAlignment w:val="auto"/>
        <w:outlineLvl w:val="9"/>
        <w:rPr>
          <w:rFonts w:hint="eastAsia" w:ascii="宋体" w:hAnsi="宋体" w:cs="宋体"/>
          <w:b/>
          <w:color w:val="auto"/>
          <w:szCs w:val="21"/>
          <w:highlight w:val="none"/>
        </w:rPr>
      </w:pPr>
      <w:r>
        <w:rPr>
          <w:rFonts w:hint="eastAsia" w:ascii="宋体" w:hAnsi="宋体" w:cs="宋体"/>
          <w:b/>
          <w:color w:val="auto"/>
          <w:szCs w:val="21"/>
          <w:highlight w:val="none"/>
        </w:rPr>
        <w:t>十一、补充协议</w:t>
      </w:r>
    </w:p>
    <w:p w14:paraId="1857E64D">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bCs/>
          <w:color w:val="auto"/>
          <w:szCs w:val="21"/>
          <w:highlight w:val="none"/>
        </w:rPr>
      </w:pPr>
      <w:r>
        <w:rPr>
          <w:rFonts w:ascii="宋体" w:hAnsi="宋体"/>
          <w:bCs/>
          <w:color w:val="auto"/>
          <w:szCs w:val="21"/>
          <w:highlight w:val="none"/>
        </w:rPr>
        <w:t>合同未尽事宜，合同当事人另行签订补充协议，补充协议是合同的组成部分。</w:t>
      </w:r>
    </w:p>
    <w:p w14:paraId="6B4B9A66">
      <w:pPr>
        <w:keepNext w:val="0"/>
        <w:keepLines w:val="0"/>
        <w:pageBreakBefore w:val="0"/>
        <w:widowControl w:val="0"/>
        <w:kinsoku/>
        <w:overflowPunct/>
        <w:topLinePunct w:val="0"/>
        <w:bidi w:val="0"/>
        <w:snapToGrid w:val="0"/>
        <w:spacing w:line="420" w:lineRule="exact"/>
        <w:ind w:firstLine="422" w:firstLineChars="200"/>
        <w:textAlignment w:val="auto"/>
        <w:outlineLvl w:val="9"/>
        <w:rPr>
          <w:rFonts w:ascii="宋体" w:hAnsi="宋体"/>
          <w:b/>
          <w:color w:val="auto"/>
          <w:highlight w:val="none"/>
        </w:rPr>
      </w:pPr>
      <w:r>
        <w:rPr>
          <w:rFonts w:ascii="宋体" w:hAnsi="宋体"/>
          <w:b/>
          <w:color w:val="auto"/>
          <w:highlight w:val="none"/>
        </w:rPr>
        <w:t>十二、合同生效</w:t>
      </w:r>
    </w:p>
    <w:p w14:paraId="1257BB11">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bCs/>
          <w:color w:val="auto"/>
          <w:szCs w:val="21"/>
          <w:highlight w:val="none"/>
        </w:rPr>
      </w:pPr>
      <w:r>
        <w:rPr>
          <w:rFonts w:ascii="宋体" w:hAnsi="宋体"/>
          <w:bCs/>
          <w:color w:val="auto"/>
          <w:szCs w:val="21"/>
          <w:highlight w:val="none"/>
        </w:rPr>
        <w:t>本合同自</w:t>
      </w:r>
      <w:r>
        <w:rPr>
          <w:rFonts w:ascii="宋体" w:hAnsi="宋体"/>
          <w:bCs/>
          <w:color w:val="auto"/>
          <w:szCs w:val="21"/>
          <w:highlight w:val="none"/>
          <w:u w:val="single"/>
        </w:rPr>
        <w:t xml:space="preserve">   </w:t>
      </w:r>
      <w:r>
        <w:rPr>
          <w:rFonts w:hint="eastAsia" w:ascii="宋体" w:hAnsi="宋体"/>
          <w:bCs/>
          <w:color w:val="auto"/>
          <w:szCs w:val="21"/>
          <w:highlight w:val="none"/>
          <w:u w:val="single"/>
        </w:rPr>
        <w:t>双方签字盖章后</w:t>
      </w:r>
      <w:r>
        <w:rPr>
          <w:rFonts w:ascii="宋体" w:hAnsi="宋体"/>
          <w:bCs/>
          <w:color w:val="auto"/>
          <w:szCs w:val="21"/>
          <w:highlight w:val="none"/>
          <w:u w:val="single"/>
        </w:rPr>
        <w:t xml:space="preserve">  </w:t>
      </w:r>
      <w:r>
        <w:rPr>
          <w:rFonts w:ascii="宋体" w:hAnsi="宋体"/>
          <w:bCs/>
          <w:color w:val="auto"/>
          <w:szCs w:val="21"/>
          <w:highlight w:val="none"/>
        </w:rPr>
        <w:t>生效。</w:t>
      </w:r>
    </w:p>
    <w:p w14:paraId="63381FBE">
      <w:pPr>
        <w:pStyle w:val="56"/>
        <w:keepNext w:val="0"/>
        <w:keepLines w:val="0"/>
        <w:pageBreakBefore w:val="0"/>
        <w:widowControl w:val="0"/>
        <w:kinsoku/>
        <w:overflowPunct/>
        <w:topLinePunct w:val="0"/>
        <w:bidi w:val="0"/>
        <w:adjustRightInd w:val="0"/>
        <w:snapToGrid w:val="0"/>
        <w:ind w:firstLine="422"/>
        <w:textAlignment w:val="auto"/>
        <w:outlineLvl w:val="9"/>
        <w:rPr>
          <w:rFonts w:hint="eastAsia" w:eastAsia="宋体" w:cs="宋体"/>
          <w:b/>
          <w:color w:val="auto"/>
          <w:highlight w:val="none"/>
        </w:rPr>
      </w:pPr>
      <w:bookmarkStart w:id="168" w:name="_Toc12958"/>
      <w:bookmarkStart w:id="169" w:name="_Toc6356"/>
      <w:bookmarkStart w:id="170" w:name="_Toc23747"/>
      <w:bookmarkStart w:id="171" w:name="_Toc27569"/>
      <w:r>
        <w:rPr>
          <w:rFonts w:hint="eastAsia" w:eastAsia="宋体" w:cs="宋体"/>
          <w:b/>
          <w:color w:val="auto"/>
          <w:highlight w:val="none"/>
        </w:rPr>
        <w:t>十三、合同份数</w:t>
      </w:r>
      <w:bookmarkEnd w:id="168"/>
      <w:bookmarkEnd w:id="169"/>
      <w:bookmarkEnd w:id="170"/>
      <w:bookmarkEnd w:id="171"/>
    </w:p>
    <w:p w14:paraId="7535B6E9">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bCs/>
          <w:color w:val="auto"/>
          <w:szCs w:val="21"/>
          <w:highlight w:val="none"/>
        </w:rPr>
      </w:pPr>
      <w:r>
        <w:rPr>
          <w:rFonts w:ascii="宋体" w:hAnsi="宋体"/>
          <w:bCs/>
          <w:color w:val="auto"/>
          <w:szCs w:val="21"/>
          <w:highlight w:val="none"/>
        </w:rPr>
        <w:t>本合同一式</w:t>
      </w:r>
      <w:r>
        <w:rPr>
          <w:rFonts w:ascii="宋体" w:hAnsi="宋体"/>
          <w:bCs/>
          <w:color w:val="auto"/>
          <w:szCs w:val="21"/>
          <w:highlight w:val="none"/>
          <w:u w:val="single"/>
        </w:rPr>
        <w:t xml:space="preserve">    </w:t>
      </w:r>
      <w:r>
        <w:rPr>
          <w:rFonts w:ascii="宋体" w:hAnsi="宋体"/>
          <w:bCs/>
          <w:color w:val="auto"/>
          <w:szCs w:val="21"/>
          <w:highlight w:val="none"/>
        </w:rPr>
        <w:t>份，均具有同等法律效力，发包人执</w:t>
      </w:r>
      <w:r>
        <w:rPr>
          <w:rFonts w:ascii="宋体" w:hAnsi="宋体"/>
          <w:bCs/>
          <w:color w:val="auto"/>
          <w:szCs w:val="21"/>
          <w:highlight w:val="none"/>
          <w:u w:val="single"/>
        </w:rPr>
        <w:t xml:space="preserve">    </w:t>
      </w:r>
      <w:r>
        <w:rPr>
          <w:rFonts w:ascii="宋体" w:hAnsi="宋体"/>
          <w:bCs/>
          <w:color w:val="auto"/>
          <w:szCs w:val="21"/>
          <w:highlight w:val="none"/>
        </w:rPr>
        <w:t>份，承包人执</w:t>
      </w:r>
      <w:r>
        <w:rPr>
          <w:rFonts w:ascii="宋体" w:hAnsi="宋体"/>
          <w:bCs/>
          <w:color w:val="auto"/>
          <w:szCs w:val="21"/>
          <w:highlight w:val="none"/>
          <w:u w:val="single"/>
        </w:rPr>
        <w:t xml:space="preserve">    </w:t>
      </w:r>
      <w:r>
        <w:rPr>
          <w:rFonts w:ascii="宋体" w:hAnsi="宋体"/>
          <w:bCs/>
          <w:color w:val="auto"/>
          <w:szCs w:val="21"/>
          <w:highlight w:val="none"/>
        </w:rPr>
        <w:t>份。</w:t>
      </w:r>
    </w:p>
    <w:p w14:paraId="3A0F9505">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color w:val="auto"/>
          <w:szCs w:val="21"/>
          <w:highlight w:val="none"/>
        </w:rPr>
      </w:pPr>
    </w:p>
    <w:p w14:paraId="2E6CC505">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发包人：  （公章）                            承包人：  （公章）</w:t>
      </w:r>
    </w:p>
    <w:p w14:paraId="489FF3A9">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法定代表人或其</w:t>
      </w:r>
      <w:r>
        <w:rPr>
          <w:rFonts w:hint="eastAsia" w:ascii="宋体" w:hAnsi="宋体"/>
          <w:color w:val="auto"/>
          <w:szCs w:val="21"/>
          <w:highlight w:val="none"/>
        </w:rPr>
        <w:t>授权委托代理人</w:t>
      </w:r>
      <w:r>
        <w:rPr>
          <w:rFonts w:ascii="宋体" w:hAnsi="宋体"/>
          <w:color w:val="auto"/>
          <w:szCs w:val="21"/>
          <w:highlight w:val="none"/>
        </w:rPr>
        <w:t>：                法定代表人或其</w:t>
      </w:r>
      <w:r>
        <w:rPr>
          <w:rFonts w:hint="eastAsia" w:ascii="宋体" w:hAnsi="宋体"/>
          <w:color w:val="auto"/>
          <w:szCs w:val="21"/>
          <w:highlight w:val="none"/>
        </w:rPr>
        <w:t>授权委托代理人</w:t>
      </w:r>
      <w:r>
        <w:rPr>
          <w:rFonts w:ascii="宋体" w:hAnsi="宋体"/>
          <w:color w:val="auto"/>
          <w:szCs w:val="21"/>
          <w:highlight w:val="none"/>
        </w:rPr>
        <w:t>：</w:t>
      </w:r>
    </w:p>
    <w:p w14:paraId="178FED2D">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（签字）                                     （签字）</w:t>
      </w:r>
    </w:p>
    <w:p w14:paraId="472F762C">
      <w:pPr>
        <w:keepNext w:val="0"/>
        <w:keepLines w:val="0"/>
        <w:pageBreakBefore w:val="0"/>
        <w:widowControl w:val="0"/>
        <w:kinsoku/>
        <w:overflowPunct/>
        <w:topLinePunct w:val="0"/>
        <w:bidi w:val="0"/>
        <w:snapToGrid w:val="0"/>
        <w:spacing w:line="420" w:lineRule="exact"/>
        <w:ind w:firstLine="420" w:firstLineChars="200"/>
        <w:textAlignment w:val="auto"/>
        <w:outlineLvl w:val="9"/>
        <w:rPr>
          <w:rFonts w:ascii="宋体" w:hAnsi="宋体"/>
          <w:color w:val="auto"/>
          <w:szCs w:val="21"/>
          <w:highlight w:val="none"/>
          <w:u w:val="single"/>
        </w:rPr>
      </w:pPr>
    </w:p>
    <w:p w14:paraId="2B254157">
      <w:pPr>
        <w:keepNext w:val="0"/>
        <w:keepLines w:val="0"/>
        <w:pageBreakBefore w:val="0"/>
        <w:widowControl w:val="0"/>
        <w:tabs>
          <w:tab w:val="left" w:pos="4410"/>
        </w:tabs>
        <w:kinsoku/>
        <w:wordWrap w:val="0"/>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组织机构代码：</w:t>
      </w:r>
      <w:r>
        <w:rPr>
          <w:rFonts w:ascii="宋体" w:hAnsi="宋体"/>
          <w:bCs/>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 xml:space="preserve">    </w:t>
      </w:r>
      <w:r>
        <w:rPr>
          <w:rFonts w:ascii="宋体" w:hAnsi="宋体"/>
          <w:color w:val="auto"/>
          <w:szCs w:val="21"/>
          <w:highlight w:val="none"/>
        </w:rPr>
        <w:t xml:space="preserve"> 组织机构代码：</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p>
    <w:p w14:paraId="3B06021A">
      <w:pPr>
        <w:keepNext w:val="0"/>
        <w:keepLines w:val="0"/>
        <w:pageBreakBefore w:val="0"/>
        <w:widowControl w:val="0"/>
        <w:kinsoku/>
        <w:wordWrap w:val="0"/>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地  址：</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color w:val="auto"/>
          <w:szCs w:val="21"/>
          <w:highlight w:val="none"/>
        </w:rPr>
        <w:t xml:space="preserve">                 地  址：</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2DDBAD78">
      <w:pPr>
        <w:keepNext w:val="0"/>
        <w:keepLines w:val="0"/>
        <w:pageBreakBefore w:val="0"/>
        <w:widowControl w:val="0"/>
        <w:kinsoku/>
        <w:wordWrap w:val="0"/>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邮政编码：</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color w:val="auto"/>
          <w:szCs w:val="21"/>
          <w:highlight w:val="none"/>
        </w:rPr>
        <w:t xml:space="preserve">                 邮政编码：</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74384C34">
      <w:pPr>
        <w:keepNext w:val="0"/>
        <w:keepLines w:val="0"/>
        <w:pageBreakBefore w:val="0"/>
        <w:widowControl w:val="0"/>
        <w:kinsoku/>
        <w:wordWrap w:val="0"/>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法定代表人：</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color w:val="auto"/>
          <w:szCs w:val="21"/>
          <w:highlight w:val="none"/>
        </w:rPr>
        <w:t xml:space="preserve">                 法定代表人：</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4FFC0F84">
      <w:pPr>
        <w:keepNext w:val="0"/>
        <w:keepLines w:val="0"/>
        <w:pageBreakBefore w:val="0"/>
        <w:widowControl w:val="0"/>
        <w:kinsoku/>
        <w:wordWrap w:val="0"/>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hint="eastAsia" w:ascii="宋体" w:hAnsi="宋体"/>
          <w:color w:val="auto"/>
          <w:szCs w:val="21"/>
          <w:highlight w:val="none"/>
        </w:rPr>
        <w:t>授权委托代理人</w:t>
      </w:r>
      <w:r>
        <w:rPr>
          <w:rFonts w:ascii="宋体" w:hAnsi="宋体"/>
          <w:color w:val="auto"/>
          <w:szCs w:val="21"/>
          <w:highlight w:val="none"/>
        </w:rPr>
        <w:t>：</w:t>
      </w:r>
      <w:r>
        <w:rPr>
          <w:rFonts w:ascii="宋体" w:hAnsi="宋体"/>
          <w:bCs/>
          <w:color w:val="auto"/>
          <w:szCs w:val="21"/>
          <w:highlight w:val="none"/>
          <w:u w:val="single"/>
        </w:rPr>
        <w:t xml:space="preserve">             </w:t>
      </w:r>
      <w:r>
        <w:rPr>
          <w:rFonts w:ascii="宋体" w:hAnsi="宋体"/>
          <w:color w:val="auto"/>
          <w:szCs w:val="21"/>
          <w:highlight w:val="none"/>
        </w:rPr>
        <w:t xml:space="preserve">              </w:t>
      </w:r>
      <w:r>
        <w:rPr>
          <w:rFonts w:hint="eastAsia" w:ascii="宋体" w:hAnsi="宋体"/>
          <w:color w:val="auto"/>
          <w:szCs w:val="21"/>
          <w:highlight w:val="none"/>
        </w:rPr>
        <w:t xml:space="preserve"> </w:t>
      </w:r>
      <w:r>
        <w:rPr>
          <w:rFonts w:ascii="宋体" w:hAnsi="宋体"/>
          <w:color w:val="auto"/>
          <w:szCs w:val="21"/>
          <w:highlight w:val="none"/>
        </w:rPr>
        <w:t xml:space="preserve"> </w:t>
      </w:r>
      <w:r>
        <w:rPr>
          <w:rFonts w:hint="eastAsia" w:ascii="宋体" w:hAnsi="宋体"/>
          <w:color w:val="auto"/>
          <w:szCs w:val="21"/>
          <w:highlight w:val="none"/>
        </w:rPr>
        <w:t>授权委托代理人</w:t>
      </w:r>
      <w:r>
        <w:rPr>
          <w:rFonts w:ascii="宋体" w:hAnsi="宋体"/>
          <w:color w:val="auto"/>
          <w:szCs w:val="21"/>
          <w:highlight w:val="none"/>
        </w:rPr>
        <w:t>：</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p>
    <w:p w14:paraId="57DF6A38">
      <w:pPr>
        <w:keepNext w:val="0"/>
        <w:keepLines w:val="0"/>
        <w:pageBreakBefore w:val="0"/>
        <w:widowControl w:val="0"/>
        <w:kinsoku/>
        <w:wordWrap w:val="0"/>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电  话：</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color w:val="auto"/>
          <w:szCs w:val="21"/>
          <w:highlight w:val="none"/>
        </w:rPr>
        <w:t xml:space="preserve">                 电  话：</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6BCD6108">
      <w:pPr>
        <w:keepNext w:val="0"/>
        <w:keepLines w:val="0"/>
        <w:pageBreakBefore w:val="0"/>
        <w:widowControl w:val="0"/>
        <w:kinsoku/>
        <w:wordWrap w:val="0"/>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传  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color w:val="auto"/>
          <w:szCs w:val="21"/>
          <w:highlight w:val="none"/>
        </w:rPr>
        <w:t xml:space="preserve">                 传  真：</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44C25C4D">
      <w:pPr>
        <w:keepNext w:val="0"/>
        <w:keepLines w:val="0"/>
        <w:pageBreakBefore w:val="0"/>
        <w:widowControl w:val="0"/>
        <w:kinsoku/>
        <w:wordWrap w:val="0"/>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电子信箱：</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color w:val="auto"/>
          <w:szCs w:val="21"/>
          <w:highlight w:val="none"/>
        </w:rPr>
        <w:t xml:space="preserve">                 电子信箱：</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2664937B">
      <w:pPr>
        <w:keepNext w:val="0"/>
        <w:keepLines w:val="0"/>
        <w:pageBreakBefore w:val="0"/>
        <w:widowControl w:val="0"/>
        <w:kinsoku/>
        <w:wordWrap w:val="0"/>
        <w:overflowPunct/>
        <w:topLinePunct w:val="0"/>
        <w:bidi w:val="0"/>
        <w:snapToGrid w:val="0"/>
        <w:spacing w:line="420" w:lineRule="exact"/>
        <w:ind w:firstLine="420" w:firstLineChars="200"/>
        <w:textAlignment w:val="auto"/>
        <w:outlineLvl w:val="9"/>
        <w:rPr>
          <w:rFonts w:ascii="宋体" w:hAnsi="宋体"/>
          <w:color w:val="auto"/>
          <w:szCs w:val="21"/>
          <w:highlight w:val="none"/>
        </w:rPr>
      </w:pPr>
      <w:r>
        <w:rPr>
          <w:rFonts w:ascii="宋体" w:hAnsi="宋体"/>
          <w:color w:val="auto"/>
          <w:szCs w:val="21"/>
          <w:highlight w:val="none"/>
        </w:rPr>
        <w:t>开户银行：</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color w:val="auto"/>
          <w:szCs w:val="21"/>
          <w:highlight w:val="none"/>
        </w:rPr>
        <w:t xml:space="preserve">                开户银行：</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3FB978E1">
      <w:pPr>
        <w:keepNext w:val="0"/>
        <w:keepLines w:val="0"/>
        <w:pageBreakBefore w:val="0"/>
        <w:widowControl w:val="0"/>
        <w:kinsoku/>
        <w:wordWrap w:val="0"/>
        <w:overflowPunct/>
        <w:topLinePunct w:val="0"/>
        <w:bidi w:val="0"/>
        <w:snapToGrid w:val="0"/>
        <w:spacing w:line="420" w:lineRule="exact"/>
        <w:ind w:firstLine="420" w:firstLineChars="200"/>
        <w:jc w:val="left"/>
        <w:textAlignment w:val="auto"/>
        <w:outlineLvl w:val="9"/>
        <w:rPr>
          <w:rFonts w:hint="eastAsia" w:ascii="宋体" w:hAnsi="宋体"/>
          <w:b/>
          <w:bCs/>
          <w:color w:val="auto"/>
          <w:szCs w:val="21"/>
          <w:highlight w:val="none"/>
        </w:rPr>
      </w:pPr>
      <w:r>
        <w:rPr>
          <w:rFonts w:ascii="宋体" w:hAnsi="宋体"/>
          <w:color w:val="auto"/>
          <w:szCs w:val="21"/>
          <w:highlight w:val="none"/>
        </w:rPr>
        <w:t>账  号：</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bCs/>
          <w:color w:val="auto"/>
          <w:szCs w:val="21"/>
          <w:highlight w:val="none"/>
          <w:u w:val="single"/>
        </w:rPr>
        <w:t xml:space="preserve">        </w:t>
      </w:r>
      <w:r>
        <w:rPr>
          <w:rFonts w:ascii="宋体" w:hAnsi="宋体"/>
          <w:color w:val="auto"/>
          <w:szCs w:val="21"/>
          <w:highlight w:val="none"/>
        </w:rPr>
        <w:t xml:space="preserve">                账  号：</w:t>
      </w:r>
      <w:r>
        <w:rPr>
          <w:rFonts w:ascii="宋体" w:hAnsi="宋体"/>
          <w:bCs/>
          <w:color w:val="auto"/>
          <w:szCs w:val="21"/>
          <w:highlight w:val="none"/>
          <w:u w:val="single"/>
        </w:rPr>
        <w:t xml:space="preserve">              </w:t>
      </w:r>
      <w:r>
        <w:rPr>
          <w:rFonts w:hint="eastAsia" w:ascii="宋体" w:hAnsi="宋体"/>
          <w:bCs/>
          <w:color w:val="auto"/>
          <w:szCs w:val="21"/>
          <w:highlight w:val="none"/>
          <w:u w:val="single"/>
        </w:rPr>
        <w:t xml:space="preserve">        </w:t>
      </w:r>
    </w:p>
    <w:p w14:paraId="5379E4F7">
      <w:pPr>
        <w:keepNext w:val="0"/>
        <w:keepLines w:val="0"/>
        <w:pageBreakBefore w:val="0"/>
        <w:widowControl w:val="0"/>
        <w:kinsoku/>
        <w:overflowPunct/>
        <w:topLinePunct w:val="0"/>
        <w:bidi w:val="0"/>
        <w:snapToGrid w:val="0"/>
        <w:spacing w:line="420" w:lineRule="exact"/>
        <w:ind w:firstLine="420" w:firstLineChars="200"/>
        <w:jc w:val="left"/>
        <w:textAlignment w:val="auto"/>
        <w:outlineLvl w:val="9"/>
        <w:rPr>
          <w:rFonts w:hint="eastAsia" w:ascii="宋体" w:hAnsi="宋体"/>
          <w:bCs/>
          <w:color w:val="auto"/>
          <w:szCs w:val="21"/>
          <w:highlight w:val="none"/>
        </w:rPr>
      </w:pPr>
    </w:p>
    <w:p w14:paraId="60199F9F">
      <w:pPr>
        <w:keepNext w:val="0"/>
        <w:keepLines w:val="0"/>
        <w:pageBreakBefore w:val="0"/>
        <w:widowControl w:val="0"/>
        <w:kinsoku/>
        <w:overflowPunct/>
        <w:topLinePunct w:val="0"/>
        <w:bidi w:val="0"/>
        <w:snapToGrid w:val="0"/>
        <w:spacing w:line="420" w:lineRule="exact"/>
        <w:ind w:firstLine="420" w:firstLineChars="200"/>
        <w:jc w:val="left"/>
        <w:textAlignment w:val="auto"/>
        <w:outlineLvl w:val="9"/>
        <w:rPr>
          <w:rFonts w:hint="eastAsia" w:ascii="宋体" w:hAnsi="宋体"/>
          <w:bCs/>
          <w:color w:val="auto"/>
          <w:szCs w:val="21"/>
          <w:highlight w:val="none"/>
        </w:rPr>
      </w:pPr>
      <w:r>
        <w:rPr>
          <w:rFonts w:hint="eastAsia" w:ascii="宋体" w:hAnsi="宋体"/>
          <w:bCs/>
          <w:color w:val="auto"/>
          <w:szCs w:val="21"/>
          <w:highlight w:val="none"/>
        </w:rPr>
        <w:t>合同备案单位：</w:t>
      </w:r>
    </w:p>
    <w:p w14:paraId="7462DB26">
      <w:pPr>
        <w:keepNext w:val="0"/>
        <w:keepLines w:val="0"/>
        <w:pageBreakBefore w:val="0"/>
        <w:widowControl w:val="0"/>
        <w:kinsoku/>
        <w:overflowPunct/>
        <w:topLinePunct w:val="0"/>
        <w:bidi w:val="0"/>
        <w:snapToGrid w:val="0"/>
        <w:spacing w:line="420" w:lineRule="exact"/>
        <w:ind w:firstLine="420" w:firstLineChars="200"/>
        <w:jc w:val="left"/>
        <w:textAlignment w:val="auto"/>
        <w:outlineLvl w:val="9"/>
        <w:rPr>
          <w:rFonts w:hint="eastAsia" w:ascii="宋体" w:hAnsi="宋体"/>
          <w:bCs/>
          <w:color w:val="auto"/>
          <w:szCs w:val="21"/>
          <w:highlight w:val="none"/>
        </w:rPr>
      </w:pPr>
      <w:r>
        <w:rPr>
          <w:rFonts w:hint="eastAsia" w:ascii="宋体" w:hAnsi="宋体"/>
          <w:bCs/>
          <w:color w:val="auto"/>
          <w:szCs w:val="21"/>
          <w:highlight w:val="none"/>
        </w:rPr>
        <w:t>经办人：</w:t>
      </w:r>
    </w:p>
    <w:p w14:paraId="0C5129EA">
      <w:pPr>
        <w:keepNext w:val="0"/>
        <w:keepLines w:val="0"/>
        <w:pageBreakBefore w:val="0"/>
        <w:widowControl w:val="0"/>
        <w:kinsoku/>
        <w:overflowPunct/>
        <w:topLinePunct w:val="0"/>
        <w:bidi w:val="0"/>
        <w:snapToGrid w:val="0"/>
        <w:spacing w:line="420" w:lineRule="exact"/>
        <w:ind w:firstLine="420" w:firstLineChars="200"/>
        <w:jc w:val="left"/>
        <w:textAlignment w:val="auto"/>
        <w:outlineLvl w:val="9"/>
        <w:rPr>
          <w:rFonts w:hint="eastAsia" w:ascii="宋体" w:hAnsi="宋体"/>
          <w:bCs/>
          <w:color w:val="auto"/>
          <w:szCs w:val="21"/>
          <w:highlight w:val="none"/>
        </w:rPr>
      </w:pPr>
      <w:r>
        <w:rPr>
          <w:rFonts w:hint="eastAsia" w:ascii="宋体" w:hAnsi="宋体"/>
          <w:bCs/>
          <w:color w:val="auto"/>
          <w:szCs w:val="21"/>
          <w:highlight w:val="none"/>
        </w:rPr>
        <w:t>审核人：</w:t>
      </w:r>
    </w:p>
    <w:p w14:paraId="755B4BC8">
      <w:pPr>
        <w:keepNext w:val="0"/>
        <w:keepLines w:val="0"/>
        <w:pageBreakBefore w:val="0"/>
        <w:widowControl w:val="0"/>
        <w:kinsoku/>
        <w:overflowPunct/>
        <w:topLinePunct w:val="0"/>
        <w:bidi w:val="0"/>
        <w:snapToGrid w:val="0"/>
        <w:spacing w:line="420" w:lineRule="exact"/>
        <w:ind w:firstLine="420" w:firstLineChars="200"/>
        <w:jc w:val="left"/>
        <w:textAlignment w:val="auto"/>
        <w:outlineLvl w:val="9"/>
        <w:rPr>
          <w:rFonts w:ascii="宋体" w:hAnsi="宋体"/>
          <w:bCs/>
          <w:color w:val="auto"/>
          <w:szCs w:val="21"/>
          <w:highlight w:val="none"/>
        </w:rPr>
      </w:pPr>
      <w:r>
        <w:rPr>
          <w:rFonts w:hint="eastAsia" w:ascii="宋体" w:hAnsi="宋体"/>
          <w:bCs/>
          <w:color w:val="auto"/>
          <w:szCs w:val="21"/>
          <w:highlight w:val="none"/>
        </w:rPr>
        <w:t>负责人：</w:t>
      </w:r>
    </w:p>
    <w:p w14:paraId="61A726BD">
      <w:pPr>
        <w:keepNext w:val="0"/>
        <w:keepLines w:val="0"/>
        <w:pageBreakBefore w:val="0"/>
        <w:widowControl w:val="0"/>
        <w:kinsoku/>
        <w:overflowPunct/>
        <w:topLinePunct w:val="0"/>
        <w:bidi w:val="0"/>
        <w:jc w:val="center"/>
        <w:textAlignment w:val="auto"/>
        <w:outlineLvl w:val="9"/>
        <w:rPr>
          <w:rFonts w:ascii="宋体" w:hAnsi="宋体" w:eastAsia="宋体"/>
          <w:color w:val="auto"/>
          <w:sz w:val="28"/>
          <w:highlight w:val="none"/>
        </w:rPr>
      </w:pPr>
      <w:r>
        <w:rPr>
          <w:rFonts w:ascii="宋体" w:hAnsi="宋体"/>
          <w:bCs w:val="0"/>
          <w:color w:val="auto"/>
          <w:szCs w:val="21"/>
          <w:highlight w:val="none"/>
        </w:rPr>
        <w:br w:type="page"/>
      </w:r>
      <w:bookmarkStart w:id="172" w:name="_Toc11959"/>
      <w:bookmarkStart w:id="173" w:name="_Toc7961"/>
      <w:r>
        <w:rPr>
          <w:rFonts w:ascii="宋体" w:hAnsi="宋体" w:eastAsia="宋体"/>
          <w:color w:val="auto"/>
          <w:sz w:val="28"/>
          <w:highlight w:val="none"/>
        </w:rPr>
        <w:t>第二部分 通用合同条款</w:t>
      </w:r>
      <w:bookmarkEnd w:id="172"/>
      <w:bookmarkEnd w:id="173"/>
    </w:p>
    <w:p w14:paraId="76A0ACB3">
      <w:pPr>
        <w:pStyle w:val="56"/>
        <w:keepNext w:val="0"/>
        <w:keepLines w:val="0"/>
        <w:pageBreakBefore w:val="0"/>
        <w:widowControl w:val="0"/>
        <w:kinsoku/>
        <w:overflowPunct/>
        <w:topLinePunct w:val="0"/>
        <w:bidi w:val="0"/>
        <w:spacing w:before="156" w:beforeLines="50" w:after="156" w:afterLines="50" w:line="600" w:lineRule="exact"/>
        <w:ind w:firstLine="0" w:firstLineChars="0"/>
        <w:jc w:val="center"/>
        <w:textAlignment w:val="auto"/>
        <w:outlineLvl w:val="9"/>
        <w:rPr>
          <w:rFonts w:hint="eastAsia" w:eastAsia="宋体" w:cs="宋体"/>
          <w:b/>
          <w:bCs/>
          <w:color w:val="auto"/>
          <w:sz w:val="24"/>
          <w:szCs w:val="24"/>
          <w:highlight w:val="none"/>
        </w:rPr>
      </w:pPr>
      <w:r>
        <w:rPr>
          <w:rFonts w:hint="eastAsia" w:eastAsia="宋体" w:cs="宋体"/>
          <w:b/>
          <w:bCs/>
          <w:color w:val="auto"/>
          <w:sz w:val="24"/>
          <w:szCs w:val="24"/>
          <w:highlight w:val="none"/>
        </w:rPr>
        <w:t>采用《建设工程施工合同（示范文本）》（GF—2013—0201）。</w:t>
      </w:r>
    </w:p>
    <w:p w14:paraId="38E69267">
      <w:pPr>
        <w:keepNext w:val="0"/>
        <w:keepLines w:val="0"/>
        <w:pageBreakBefore w:val="0"/>
        <w:widowControl w:val="0"/>
        <w:kinsoku/>
        <w:overflowPunct/>
        <w:topLinePunct w:val="0"/>
        <w:bidi w:val="0"/>
        <w:jc w:val="center"/>
        <w:textAlignment w:val="auto"/>
        <w:outlineLvl w:val="9"/>
        <w:rPr>
          <w:rFonts w:ascii="宋体" w:hAnsi="宋体" w:eastAsia="宋体"/>
          <w:color w:val="auto"/>
          <w:sz w:val="28"/>
          <w:highlight w:val="none"/>
        </w:rPr>
      </w:pPr>
      <w:bookmarkStart w:id="174" w:name="_Toc19651"/>
      <w:bookmarkStart w:id="175" w:name="_Toc5158"/>
      <w:r>
        <w:rPr>
          <w:rFonts w:ascii="宋体" w:hAnsi="宋体" w:eastAsia="宋体"/>
          <w:color w:val="auto"/>
          <w:sz w:val="28"/>
          <w:highlight w:val="none"/>
        </w:rPr>
        <w:t>第三部分 专用合同条款</w:t>
      </w:r>
      <w:bookmarkEnd w:id="174"/>
      <w:bookmarkEnd w:id="175"/>
    </w:p>
    <w:p w14:paraId="191A66D2">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176" w:name="_Toc26630"/>
      <w:bookmarkStart w:id="177" w:name="_Toc9005"/>
      <w:bookmarkStart w:id="178" w:name="_Toc19848"/>
      <w:bookmarkStart w:id="179" w:name="_Toc21027"/>
      <w:r>
        <w:rPr>
          <w:rFonts w:hint="eastAsia" w:ascii="宋体" w:eastAsia="宋体" w:cs="宋体"/>
          <w:b/>
          <w:bCs/>
          <w:color w:val="auto"/>
          <w:highlight w:val="none"/>
        </w:rPr>
        <w:t>1. 一般约定</w:t>
      </w:r>
      <w:bookmarkEnd w:id="176"/>
      <w:bookmarkEnd w:id="177"/>
      <w:bookmarkEnd w:id="178"/>
      <w:bookmarkEnd w:id="179"/>
    </w:p>
    <w:p w14:paraId="4F216683">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180" w:name="_Toc3162"/>
      <w:bookmarkStart w:id="181" w:name="_Toc6537"/>
      <w:bookmarkStart w:id="182" w:name="_Toc31350"/>
      <w:bookmarkStart w:id="183" w:name="_Toc28873"/>
      <w:r>
        <w:rPr>
          <w:rFonts w:hint="eastAsia" w:ascii="宋体" w:eastAsia="宋体" w:cs="宋体"/>
          <w:b/>
          <w:bCs/>
          <w:color w:val="auto"/>
          <w:highlight w:val="none"/>
        </w:rPr>
        <w:t>1.1 词语定义</w:t>
      </w:r>
      <w:bookmarkEnd w:id="180"/>
      <w:bookmarkEnd w:id="181"/>
      <w:bookmarkEnd w:id="182"/>
      <w:bookmarkEnd w:id="183"/>
    </w:p>
    <w:p w14:paraId="6B44250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1.1.1合同</w:t>
      </w:r>
    </w:p>
    <w:p w14:paraId="43FE96D8">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u w:val="single"/>
        </w:rPr>
      </w:pPr>
      <w:r>
        <w:rPr>
          <w:rFonts w:hint="eastAsia" w:eastAsia="宋体" w:cs="宋体"/>
          <w:color w:val="auto"/>
          <w:kern w:val="0"/>
          <w:highlight w:val="none"/>
        </w:rPr>
        <w:t>1.1.1.10其他合同文件包括：</w:t>
      </w:r>
      <w:r>
        <w:rPr>
          <w:rFonts w:hint="eastAsia" w:eastAsia="宋体" w:cs="宋体"/>
          <w:color w:val="auto"/>
          <w:kern w:val="0"/>
          <w:highlight w:val="none"/>
          <w:u w:val="single"/>
        </w:rPr>
        <w:t xml:space="preserve">  </w:t>
      </w:r>
      <w:r>
        <w:rPr>
          <w:rFonts w:hint="eastAsia" w:eastAsia="宋体" w:cs="宋体"/>
          <w:color w:val="auto"/>
          <w:kern w:val="0"/>
          <w:highlight w:val="none"/>
          <w:u w:val="single"/>
          <w:lang w:eastAsia="zh-CN"/>
        </w:rPr>
        <w:t>磋商</w:t>
      </w:r>
      <w:r>
        <w:rPr>
          <w:rFonts w:hint="eastAsia" w:eastAsia="宋体" w:cs="宋体"/>
          <w:color w:val="auto"/>
          <w:kern w:val="0"/>
          <w:highlight w:val="none"/>
          <w:u w:val="single"/>
        </w:rPr>
        <w:t xml:space="preserve">文件及其附件，采购文件（含补充通知和答疑），履约保证金缴纳证明，农民工工资保证金缴纳证明；履行合同过程中双方法定代表人（或双方工地代表人）书面确认的对合同内容有实质性影响的会议纪要、签证、设计变更等资料  </w:t>
      </w:r>
      <w:r>
        <w:rPr>
          <w:rFonts w:hint="eastAsia" w:eastAsia="宋体" w:cs="宋体"/>
          <w:color w:val="auto"/>
          <w:kern w:val="0"/>
          <w:highlight w:val="none"/>
        </w:rPr>
        <w:t>。</w:t>
      </w:r>
    </w:p>
    <w:p w14:paraId="23FD1A9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1.1.2 合同当事人及其他相关方</w:t>
      </w:r>
    </w:p>
    <w:p w14:paraId="5357A35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1.1.2.4监理人：</w:t>
      </w:r>
    </w:p>
    <w:p w14:paraId="07E0E80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名    称：</w:t>
      </w:r>
      <w:r>
        <w:rPr>
          <w:rFonts w:hint="eastAsia" w:eastAsia="宋体" w:cs="宋体"/>
          <w:color w:val="auto"/>
          <w:highlight w:val="none"/>
          <w:u w:val="single"/>
        </w:rPr>
        <w:t xml:space="preserve">                                             </w:t>
      </w:r>
      <w:r>
        <w:rPr>
          <w:rFonts w:hint="eastAsia" w:eastAsia="宋体" w:cs="宋体"/>
          <w:color w:val="auto"/>
          <w:highlight w:val="none"/>
        </w:rPr>
        <w:t>；</w:t>
      </w:r>
    </w:p>
    <w:p w14:paraId="181C9B6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资质类别和等级：</w:t>
      </w:r>
      <w:r>
        <w:rPr>
          <w:rFonts w:hint="eastAsia" w:eastAsia="宋体" w:cs="宋体"/>
          <w:color w:val="auto"/>
          <w:highlight w:val="none"/>
          <w:u w:val="single"/>
        </w:rPr>
        <w:t xml:space="preserve">                                       </w:t>
      </w:r>
      <w:r>
        <w:rPr>
          <w:rFonts w:hint="eastAsia" w:eastAsia="宋体" w:cs="宋体"/>
          <w:color w:val="auto"/>
          <w:highlight w:val="none"/>
        </w:rPr>
        <w:t>；</w:t>
      </w:r>
    </w:p>
    <w:p w14:paraId="658E0BE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联系电话：</w:t>
      </w:r>
      <w:r>
        <w:rPr>
          <w:rFonts w:hint="eastAsia" w:eastAsia="宋体" w:cs="宋体"/>
          <w:color w:val="auto"/>
          <w:highlight w:val="none"/>
          <w:u w:val="single"/>
        </w:rPr>
        <w:t xml:space="preserve">                                             </w:t>
      </w:r>
      <w:r>
        <w:rPr>
          <w:rFonts w:hint="eastAsia" w:eastAsia="宋体" w:cs="宋体"/>
          <w:color w:val="auto"/>
          <w:highlight w:val="none"/>
        </w:rPr>
        <w:t>；</w:t>
      </w:r>
    </w:p>
    <w:p w14:paraId="56B47BD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电子信箱：</w:t>
      </w:r>
      <w:r>
        <w:rPr>
          <w:rFonts w:hint="eastAsia" w:eastAsia="宋体" w:cs="宋体"/>
          <w:color w:val="auto"/>
          <w:highlight w:val="none"/>
          <w:u w:val="single"/>
        </w:rPr>
        <w:t xml:space="preserve">                                             </w:t>
      </w:r>
      <w:r>
        <w:rPr>
          <w:rFonts w:hint="eastAsia" w:eastAsia="宋体" w:cs="宋体"/>
          <w:color w:val="auto"/>
          <w:highlight w:val="none"/>
        </w:rPr>
        <w:t>；</w:t>
      </w:r>
    </w:p>
    <w:p w14:paraId="3DD4C43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通信地址：</w:t>
      </w:r>
      <w:r>
        <w:rPr>
          <w:rFonts w:hint="eastAsia" w:eastAsia="宋体" w:cs="宋体"/>
          <w:color w:val="auto"/>
          <w:highlight w:val="none"/>
          <w:u w:val="single"/>
        </w:rPr>
        <w:t xml:space="preserve">                                             </w:t>
      </w:r>
      <w:r>
        <w:rPr>
          <w:rFonts w:hint="eastAsia" w:eastAsia="宋体" w:cs="宋体"/>
          <w:color w:val="auto"/>
          <w:highlight w:val="none"/>
        </w:rPr>
        <w:t>。</w:t>
      </w:r>
    </w:p>
    <w:p w14:paraId="2D5EB20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1.1.2.5 设计人：</w:t>
      </w:r>
    </w:p>
    <w:p w14:paraId="2E4E048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名    称：</w:t>
      </w:r>
      <w:r>
        <w:rPr>
          <w:rFonts w:hint="eastAsia" w:eastAsia="宋体" w:cs="宋体"/>
          <w:color w:val="auto"/>
          <w:highlight w:val="none"/>
          <w:u w:val="single"/>
        </w:rPr>
        <w:t xml:space="preserve">                                             </w:t>
      </w:r>
      <w:r>
        <w:rPr>
          <w:rFonts w:hint="eastAsia" w:eastAsia="宋体" w:cs="宋体"/>
          <w:color w:val="auto"/>
          <w:highlight w:val="none"/>
        </w:rPr>
        <w:t>；</w:t>
      </w:r>
    </w:p>
    <w:p w14:paraId="0EA2697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资质类别和等级：</w:t>
      </w:r>
      <w:r>
        <w:rPr>
          <w:rFonts w:hint="eastAsia" w:eastAsia="宋体" w:cs="宋体"/>
          <w:color w:val="auto"/>
          <w:highlight w:val="none"/>
          <w:u w:val="single"/>
        </w:rPr>
        <w:t xml:space="preserve">                                       </w:t>
      </w:r>
      <w:r>
        <w:rPr>
          <w:rFonts w:hint="eastAsia" w:eastAsia="宋体" w:cs="宋体"/>
          <w:color w:val="auto"/>
          <w:highlight w:val="none"/>
        </w:rPr>
        <w:t>；</w:t>
      </w:r>
    </w:p>
    <w:p w14:paraId="0CB17F0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联系电话：</w:t>
      </w:r>
      <w:r>
        <w:rPr>
          <w:rFonts w:hint="eastAsia" w:eastAsia="宋体" w:cs="宋体"/>
          <w:color w:val="auto"/>
          <w:highlight w:val="none"/>
          <w:u w:val="single"/>
        </w:rPr>
        <w:t xml:space="preserve">                                             </w:t>
      </w:r>
      <w:r>
        <w:rPr>
          <w:rFonts w:hint="eastAsia" w:eastAsia="宋体" w:cs="宋体"/>
          <w:color w:val="auto"/>
          <w:highlight w:val="none"/>
        </w:rPr>
        <w:t>；</w:t>
      </w:r>
    </w:p>
    <w:p w14:paraId="2B0829D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电子信箱：</w:t>
      </w:r>
      <w:r>
        <w:rPr>
          <w:rFonts w:hint="eastAsia" w:eastAsia="宋体" w:cs="宋体"/>
          <w:color w:val="auto"/>
          <w:highlight w:val="none"/>
          <w:u w:val="single"/>
        </w:rPr>
        <w:t xml:space="preserve">                                             </w:t>
      </w:r>
      <w:r>
        <w:rPr>
          <w:rFonts w:hint="eastAsia" w:eastAsia="宋体" w:cs="宋体"/>
          <w:color w:val="auto"/>
          <w:highlight w:val="none"/>
        </w:rPr>
        <w:t>；</w:t>
      </w:r>
    </w:p>
    <w:p w14:paraId="2997E92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通信地址：</w:t>
      </w:r>
      <w:r>
        <w:rPr>
          <w:rFonts w:hint="eastAsia" w:eastAsia="宋体" w:cs="宋体"/>
          <w:color w:val="auto"/>
          <w:highlight w:val="none"/>
          <w:u w:val="single"/>
        </w:rPr>
        <w:t xml:space="preserve">                                             </w:t>
      </w:r>
      <w:r>
        <w:rPr>
          <w:rFonts w:hint="eastAsia" w:eastAsia="宋体" w:cs="宋体"/>
          <w:color w:val="auto"/>
          <w:highlight w:val="none"/>
        </w:rPr>
        <w:t>。</w:t>
      </w:r>
    </w:p>
    <w:p w14:paraId="4B63458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1.1.3 工程和设备</w:t>
      </w:r>
    </w:p>
    <w:p w14:paraId="2EA0FFC7">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 xml:space="preserve">1.1.3.7 作为施工现场组成部分的其他场所包括： </w:t>
      </w:r>
      <w:r>
        <w:rPr>
          <w:rFonts w:hint="eastAsia" w:eastAsia="宋体" w:cs="宋体"/>
          <w:color w:val="auto"/>
          <w:highlight w:val="none"/>
          <w:u w:val="single"/>
        </w:rPr>
        <w:t xml:space="preserve">   工人宿舍、项目经理办公室、监理项目部、材料仓库等其他临时设施（详见施工平面图）   </w:t>
      </w:r>
      <w:r>
        <w:rPr>
          <w:rFonts w:hint="eastAsia" w:eastAsia="宋体" w:cs="宋体"/>
          <w:color w:val="auto"/>
          <w:highlight w:val="none"/>
        </w:rPr>
        <w:t xml:space="preserve">。 </w:t>
      </w:r>
    </w:p>
    <w:p w14:paraId="5455840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1.1.3.9 永久占地包括：</w:t>
      </w:r>
      <w:r>
        <w:rPr>
          <w:rFonts w:hint="eastAsia" w:eastAsia="宋体" w:cs="宋体"/>
          <w:color w:val="auto"/>
          <w:highlight w:val="none"/>
          <w:u w:val="single"/>
        </w:rPr>
        <w:t xml:space="preserve">  </w:t>
      </w:r>
      <w:r>
        <w:rPr>
          <w:rFonts w:hint="eastAsia" w:eastAsia="宋体" w:cs="宋体"/>
          <w:color w:val="auto"/>
          <w:kern w:val="0"/>
          <w:highlight w:val="none"/>
          <w:u w:val="single"/>
        </w:rPr>
        <w:t xml:space="preserve"> 依据设计图纸确定</w:t>
      </w:r>
      <w:r>
        <w:rPr>
          <w:rFonts w:hint="eastAsia" w:eastAsia="宋体" w:cs="宋体"/>
          <w:color w:val="auto"/>
          <w:highlight w:val="none"/>
          <w:u w:val="single"/>
        </w:rPr>
        <w:t xml:space="preserve">    </w:t>
      </w:r>
      <w:r>
        <w:rPr>
          <w:rFonts w:hint="eastAsia" w:eastAsia="宋体" w:cs="宋体"/>
          <w:color w:val="auto"/>
          <w:kern w:val="0"/>
          <w:highlight w:val="none"/>
        </w:rPr>
        <w:t>。</w:t>
      </w:r>
    </w:p>
    <w:p w14:paraId="1C5AF11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1.1.3.10 临时占地包括：</w:t>
      </w:r>
      <w:r>
        <w:rPr>
          <w:rFonts w:hint="eastAsia" w:eastAsia="宋体" w:cs="宋体"/>
          <w:color w:val="auto"/>
          <w:highlight w:val="none"/>
          <w:u w:val="single"/>
        </w:rPr>
        <w:t xml:space="preserve">  </w:t>
      </w:r>
      <w:r>
        <w:rPr>
          <w:rFonts w:hint="eastAsia" w:eastAsia="宋体" w:cs="宋体"/>
          <w:color w:val="auto"/>
          <w:kern w:val="0"/>
          <w:highlight w:val="none"/>
          <w:u w:val="single"/>
        </w:rPr>
        <w:t>工人宿舍、项目经理办公室、监理项目部、材料仓库等其他临时设施（详见施工平面图）</w:t>
      </w:r>
      <w:r>
        <w:rPr>
          <w:rFonts w:hint="eastAsia" w:eastAsia="宋体" w:cs="宋体"/>
          <w:color w:val="auto"/>
          <w:highlight w:val="none"/>
          <w:u w:val="single"/>
        </w:rPr>
        <w:t xml:space="preserve">    </w:t>
      </w:r>
      <w:r>
        <w:rPr>
          <w:rFonts w:hint="eastAsia" w:eastAsia="宋体" w:cs="宋体"/>
          <w:color w:val="auto"/>
          <w:kern w:val="0"/>
          <w:highlight w:val="none"/>
        </w:rPr>
        <w:t>。</w:t>
      </w:r>
    </w:p>
    <w:p w14:paraId="56515B30">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184" w:name="_Toc9683"/>
      <w:bookmarkStart w:id="185" w:name="_Toc29704"/>
      <w:bookmarkStart w:id="186" w:name="_Toc12592"/>
      <w:bookmarkStart w:id="187" w:name="_Toc22157"/>
      <w:r>
        <w:rPr>
          <w:rFonts w:hint="eastAsia" w:ascii="宋体" w:eastAsia="宋体" w:cs="宋体"/>
          <w:b/>
          <w:bCs/>
          <w:color w:val="auto"/>
          <w:highlight w:val="none"/>
        </w:rPr>
        <w:t>1.3法律</w:t>
      </w:r>
      <w:bookmarkEnd w:id="184"/>
      <w:bookmarkEnd w:id="185"/>
      <w:bookmarkEnd w:id="186"/>
      <w:bookmarkEnd w:id="187"/>
      <w:r>
        <w:rPr>
          <w:rFonts w:hint="eastAsia" w:ascii="宋体" w:eastAsia="宋体" w:cs="宋体"/>
          <w:b/>
          <w:bCs/>
          <w:color w:val="auto"/>
          <w:highlight w:val="none"/>
        </w:rPr>
        <w:t xml:space="preserve"> </w:t>
      </w:r>
    </w:p>
    <w:p w14:paraId="316A6B7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适用于合同的其他规范性文件：</w:t>
      </w:r>
      <w:r>
        <w:rPr>
          <w:rFonts w:hint="eastAsia" w:eastAsia="宋体" w:cs="宋体"/>
          <w:color w:val="auto"/>
          <w:highlight w:val="none"/>
          <w:u w:val="single"/>
        </w:rPr>
        <w:t xml:space="preserve">   工程所在地的政府及相关主管部门制定的规范性文件   </w:t>
      </w:r>
      <w:r>
        <w:rPr>
          <w:rFonts w:hint="eastAsia" w:eastAsia="宋体" w:cs="宋体"/>
          <w:color w:val="auto"/>
          <w:highlight w:val="none"/>
        </w:rPr>
        <w:t>。</w:t>
      </w:r>
    </w:p>
    <w:p w14:paraId="7C7EF528">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188" w:name="_Toc15790"/>
      <w:bookmarkStart w:id="189" w:name="_Toc10946"/>
      <w:bookmarkStart w:id="190" w:name="_Toc28860"/>
      <w:bookmarkStart w:id="191" w:name="_Toc15758"/>
      <w:r>
        <w:rPr>
          <w:rFonts w:hint="eastAsia" w:ascii="宋体" w:eastAsia="宋体" w:cs="宋体"/>
          <w:b/>
          <w:bCs/>
          <w:color w:val="auto"/>
          <w:highlight w:val="none"/>
        </w:rPr>
        <w:t>1.4 标准和规范</w:t>
      </w:r>
      <w:bookmarkEnd w:id="188"/>
      <w:bookmarkEnd w:id="189"/>
      <w:bookmarkEnd w:id="190"/>
      <w:bookmarkEnd w:id="191"/>
    </w:p>
    <w:p w14:paraId="32F35F0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1.4.1适用于工程的标准规范包括：</w:t>
      </w:r>
      <w:r>
        <w:rPr>
          <w:rFonts w:hint="eastAsia" w:eastAsia="宋体" w:cs="宋体"/>
          <w:color w:val="auto"/>
          <w:highlight w:val="none"/>
          <w:u w:val="single"/>
        </w:rPr>
        <w:t xml:space="preserve">   </w:t>
      </w:r>
      <w:r>
        <w:rPr>
          <w:rFonts w:hint="eastAsia" w:eastAsia="宋体" w:cs="宋体"/>
          <w:color w:val="auto"/>
          <w:kern w:val="0"/>
          <w:highlight w:val="none"/>
          <w:u w:val="single"/>
        </w:rPr>
        <w:t>国家现行的施工规范、验收规范、验收标准</w:t>
      </w:r>
      <w:r>
        <w:rPr>
          <w:rFonts w:hint="eastAsia" w:eastAsia="宋体" w:cs="宋体"/>
          <w:color w:val="auto"/>
          <w:highlight w:val="none"/>
          <w:u w:val="single"/>
        </w:rPr>
        <w:t xml:space="preserve">    </w:t>
      </w:r>
      <w:r>
        <w:rPr>
          <w:rFonts w:hint="eastAsia" w:eastAsia="宋体" w:cs="宋体"/>
          <w:color w:val="auto"/>
          <w:highlight w:val="none"/>
        </w:rPr>
        <w:t>。</w:t>
      </w:r>
    </w:p>
    <w:p w14:paraId="1215D1D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1.4.2 发包人提供国外标准、规范的名称：</w:t>
      </w:r>
      <w:r>
        <w:rPr>
          <w:rFonts w:hint="eastAsia" w:eastAsia="宋体" w:cs="宋体"/>
          <w:color w:val="auto"/>
          <w:highlight w:val="none"/>
          <w:u w:val="single"/>
        </w:rPr>
        <w:t xml:space="preserve">    无    </w:t>
      </w:r>
      <w:r>
        <w:rPr>
          <w:rFonts w:hint="eastAsia" w:eastAsia="宋体" w:cs="宋体"/>
          <w:color w:val="auto"/>
          <w:kern w:val="0"/>
          <w:highlight w:val="none"/>
        </w:rPr>
        <w:t>；</w:t>
      </w:r>
    </w:p>
    <w:p w14:paraId="3386CB3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发包人提供国外标准、规范的份数：</w:t>
      </w:r>
      <w:r>
        <w:rPr>
          <w:rFonts w:hint="eastAsia" w:eastAsia="宋体" w:cs="宋体"/>
          <w:color w:val="auto"/>
          <w:highlight w:val="none"/>
          <w:u w:val="single"/>
        </w:rPr>
        <w:t xml:space="preserve">       无      </w:t>
      </w:r>
      <w:r>
        <w:rPr>
          <w:rFonts w:hint="eastAsia" w:eastAsia="宋体" w:cs="宋体"/>
          <w:color w:val="auto"/>
          <w:kern w:val="0"/>
          <w:highlight w:val="none"/>
        </w:rPr>
        <w:t>；</w:t>
      </w:r>
    </w:p>
    <w:p w14:paraId="477049C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发包人提供国外标准、规范的名称：</w:t>
      </w:r>
      <w:r>
        <w:rPr>
          <w:rFonts w:hint="eastAsia" w:eastAsia="宋体" w:cs="宋体"/>
          <w:color w:val="auto"/>
          <w:highlight w:val="none"/>
          <w:u w:val="single"/>
        </w:rPr>
        <w:t xml:space="preserve">     无     </w:t>
      </w:r>
      <w:r>
        <w:rPr>
          <w:rFonts w:hint="eastAsia" w:eastAsia="宋体" w:cs="宋体"/>
          <w:color w:val="auto"/>
          <w:kern w:val="0"/>
          <w:highlight w:val="none"/>
        </w:rPr>
        <w:t>。</w:t>
      </w:r>
    </w:p>
    <w:p w14:paraId="49554D7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1.4.3发包人对工程的技术标准和功能要求的特殊要求：</w:t>
      </w:r>
      <w:r>
        <w:rPr>
          <w:rFonts w:hint="eastAsia" w:eastAsia="宋体" w:cs="宋体"/>
          <w:color w:val="auto"/>
          <w:highlight w:val="none"/>
          <w:u w:val="single"/>
        </w:rPr>
        <w:t xml:space="preserve">     无    </w:t>
      </w:r>
      <w:r>
        <w:rPr>
          <w:rFonts w:hint="eastAsia" w:eastAsia="宋体" w:cs="宋体"/>
          <w:color w:val="auto"/>
          <w:highlight w:val="none"/>
        </w:rPr>
        <w:t>。</w:t>
      </w:r>
    </w:p>
    <w:p w14:paraId="53CD22A5">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192" w:name="_Toc21371"/>
      <w:bookmarkStart w:id="193" w:name="_Toc13903"/>
      <w:bookmarkStart w:id="194" w:name="_Toc29218"/>
      <w:bookmarkStart w:id="195" w:name="_Toc30496"/>
      <w:r>
        <w:rPr>
          <w:rFonts w:hint="eastAsia" w:ascii="宋体" w:eastAsia="宋体" w:cs="宋体"/>
          <w:b/>
          <w:bCs/>
          <w:color w:val="auto"/>
          <w:highlight w:val="none"/>
        </w:rPr>
        <w:t>1.5 合同文件的优先顺序</w:t>
      </w:r>
      <w:bookmarkEnd w:id="192"/>
      <w:bookmarkEnd w:id="193"/>
      <w:bookmarkEnd w:id="194"/>
      <w:bookmarkEnd w:id="195"/>
    </w:p>
    <w:p w14:paraId="014780D2">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eastAsia="宋体" w:cs="宋体"/>
          <w:color w:val="auto"/>
          <w:highlight w:val="none"/>
        </w:rPr>
        <w:t>合同文件组成及优先顺序为：</w:t>
      </w:r>
    </w:p>
    <w:p w14:paraId="156F1A78">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hint="eastAsia" w:eastAsia="宋体" w:cs="宋体"/>
          <w:color w:val="auto"/>
          <w:highlight w:val="none"/>
        </w:rPr>
        <w:t>（1）合同协议书；</w:t>
      </w:r>
    </w:p>
    <w:p w14:paraId="395370DC">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eastAsia="宋体" w:cs="宋体"/>
          <w:color w:val="auto"/>
          <w:highlight w:val="none"/>
        </w:rPr>
        <w:t>（</w:t>
      </w:r>
      <w:r>
        <w:rPr>
          <w:rFonts w:hint="eastAsia" w:eastAsia="宋体" w:cs="宋体"/>
          <w:color w:val="auto"/>
          <w:highlight w:val="none"/>
        </w:rPr>
        <w:t>2</w:t>
      </w:r>
      <w:r>
        <w:rPr>
          <w:rFonts w:eastAsia="宋体" w:cs="宋体"/>
          <w:color w:val="auto"/>
          <w:highlight w:val="none"/>
        </w:rPr>
        <w:t>）成交通知书；</w:t>
      </w:r>
    </w:p>
    <w:p w14:paraId="36621205">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eastAsia="宋体" w:cs="宋体"/>
          <w:color w:val="auto"/>
          <w:highlight w:val="none"/>
        </w:rPr>
        <w:t>（</w:t>
      </w:r>
      <w:r>
        <w:rPr>
          <w:rFonts w:hint="eastAsia" w:eastAsia="宋体" w:cs="宋体"/>
          <w:color w:val="auto"/>
          <w:highlight w:val="none"/>
        </w:rPr>
        <w:t>3</w:t>
      </w:r>
      <w:r>
        <w:rPr>
          <w:rFonts w:eastAsia="宋体" w:cs="宋体"/>
          <w:color w:val="auto"/>
          <w:highlight w:val="none"/>
        </w:rPr>
        <w:t>）</w:t>
      </w:r>
      <w:r>
        <w:rPr>
          <w:rFonts w:hint="eastAsia" w:eastAsia="宋体" w:cs="宋体"/>
          <w:color w:val="auto"/>
          <w:highlight w:val="none"/>
          <w:lang w:eastAsia="zh-CN"/>
        </w:rPr>
        <w:t>磋商</w:t>
      </w:r>
      <w:r>
        <w:rPr>
          <w:rFonts w:eastAsia="宋体" w:cs="宋体"/>
          <w:color w:val="auto"/>
          <w:highlight w:val="none"/>
        </w:rPr>
        <w:t>函及其附录</w:t>
      </w:r>
      <w:r>
        <w:rPr>
          <w:rFonts w:hint="eastAsia" w:eastAsia="宋体" w:cs="宋体"/>
          <w:color w:val="auto"/>
          <w:highlight w:val="none"/>
        </w:rPr>
        <w:t>；</w:t>
      </w:r>
    </w:p>
    <w:p w14:paraId="059E9777">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eastAsia="宋体" w:cs="宋体"/>
          <w:color w:val="auto"/>
          <w:highlight w:val="none"/>
        </w:rPr>
        <w:t>（</w:t>
      </w:r>
      <w:r>
        <w:rPr>
          <w:rFonts w:hint="eastAsia" w:eastAsia="宋体" w:cs="宋体"/>
          <w:color w:val="auto"/>
          <w:highlight w:val="none"/>
        </w:rPr>
        <w:t>4</w:t>
      </w:r>
      <w:r>
        <w:rPr>
          <w:rFonts w:eastAsia="宋体" w:cs="宋体"/>
          <w:color w:val="auto"/>
          <w:highlight w:val="none"/>
        </w:rPr>
        <w:t>）专用合同条款及其附件；</w:t>
      </w:r>
    </w:p>
    <w:p w14:paraId="6105644B">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eastAsia="宋体" w:cs="宋体"/>
          <w:color w:val="auto"/>
          <w:highlight w:val="none"/>
        </w:rPr>
        <w:t>（</w:t>
      </w:r>
      <w:r>
        <w:rPr>
          <w:rFonts w:hint="eastAsia" w:eastAsia="宋体" w:cs="宋体"/>
          <w:color w:val="auto"/>
          <w:highlight w:val="none"/>
        </w:rPr>
        <w:t>5</w:t>
      </w:r>
      <w:r>
        <w:rPr>
          <w:rFonts w:eastAsia="宋体" w:cs="宋体"/>
          <w:color w:val="auto"/>
          <w:highlight w:val="none"/>
        </w:rPr>
        <w:t>）通用合同条款；</w:t>
      </w:r>
    </w:p>
    <w:p w14:paraId="4DF7F39B">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eastAsia="宋体" w:cs="宋体"/>
          <w:color w:val="auto"/>
          <w:highlight w:val="none"/>
        </w:rPr>
        <w:t>（</w:t>
      </w:r>
      <w:r>
        <w:rPr>
          <w:rFonts w:hint="eastAsia" w:eastAsia="宋体" w:cs="宋体"/>
          <w:color w:val="auto"/>
          <w:highlight w:val="none"/>
        </w:rPr>
        <w:t>6</w:t>
      </w:r>
      <w:r>
        <w:rPr>
          <w:rFonts w:eastAsia="宋体" w:cs="宋体"/>
          <w:color w:val="auto"/>
          <w:highlight w:val="none"/>
        </w:rPr>
        <w:t>）技术标准和要求；</w:t>
      </w:r>
    </w:p>
    <w:p w14:paraId="2F5A2695">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eastAsia="宋体" w:cs="宋体"/>
          <w:color w:val="auto"/>
          <w:highlight w:val="none"/>
        </w:rPr>
        <w:t>（</w:t>
      </w:r>
      <w:r>
        <w:rPr>
          <w:rFonts w:hint="eastAsia" w:eastAsia="宋体" w:cs="宋体"/>
          <w:color w:val="auto"/>
          <w:highlight w:val="none"/>
        </w:rPr>
        <w:t>7</w:t>
      </w:r>
      <w:r>
        <w:rPr>
          <w:rFonts w:eastAsia="宋体" w:cs="宋体"/>
          <w:color w:val="auto"/>
          <w:highlight w:val="none"/>
        </w:rPr>
        <w:t>）已标价工程量清单或预算书；</w:t>
      </w:r>
    </w:p>
    <w:p w14:paraId="24B80E0F">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eastAsia="宋体" w:cs="宋体"/>
          <w:color w:val="auto"/>
          <w:highlight w:val="none"/>
        </w:rPr>
        <w:t>（</w:t>
      </w:r>
      <w:r>
        <w:rPr>
          <w:rFonts w:hint="eastAsia" w:eastAsia="宋体" w:cs="宋体"/>
          <w:color w:val="auto"/>
          <w:highlight w:val="none"/>
        </w:rPr>
        <w:t>8</w:t>
      </w:r>
      <w:r>
        <w:rPr>
          <w:rFonts w:eastAsia="宋体" w:cs="宋体"/>
          <w:color w:val="auto"/>
          <w:highlight w:val="none"/>
        </w:rPr>
        <w:t>）图纸；</w:t>
      </w:r>
    </w:p>
    <w:p w14:paraId="5CE35330">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eastAsia="宋体" w:cs="宋体"/>
          <w:color w:val="auto"/>
          <w:highlight w:val="none"/>
        </w:rPr>
        <w:t>（</w:t>
      </w:r>
      <w:r>
        <w:rPr>
          <w:rFonts w:hint="eastAsia" w:eastAsia="宋体" w:cs="宋体"/>
          <w:color w:val="auto"/>
          <w:highlight w:val="none"/>
        </w:rPr>
        <w:t>9</w:t>
      </w:r>
      <w:r>
        <w:rPr>
          <w:rFonts w:eastAsia="宋体" w:cs="宋体"/>
          <w:color w:val="auto"/>
          <w:highlight w:val="none"/>
        </w:rPr>
        <w:t>）其他合同文件。</w:t>
      </w:r>
    </w:p>
    <w:p w14:paraId="71C26217">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hint="eastAsia" w:eastAsia="宋体" w:cs="宋体"/>
          <w:color w:val="auto"/>
          <w:highlight w:val="none"/>
        </w:rPr>
        <w:t>（10）《</w:t>
      </w:r>
      <w:r>
        <w:rPr>
          <w:rFonts w:eastAsia="宋体" w:cs="宋体"/>
          <w:color w:val="auto"/>
          <w:highlight w:val="none"/>
        </w:rPr>
        <w:t>建设工程工程量清单计价规范（GB5050-2013）</w:t>
      </w:r>
      <w:r>
        <w:rPr>
          <w:rFonts w:hint="eastAsia" w:eastAsia="宋体" w:cs="宋体"/>
          <w:color w:val="auto"/>
          <w:highlight w:val="none"/>
        </w:rPr>
        <w:t>》及其</w:t>
      </w:r>
      <w:r>
        <w:rPr>
          <w:rFonts w:eastAsia="宋体" w:cs="宋体"/>
          <w:color w:val="auto"/>
          <w:highlight w:val="none"/>
        </w:rPr>
        <w:t>广西实施细则</w:t>
      </w:r>
      <w:r>
        <w:rPr>
          <w:rFonts w:hint="eastAsia" w:eastAsia="宋体" w:cs="宋体"/>
          <w:color w:val="auto"/>
          <w:highlight w:val="none"/>
        </w:rPr>
        <w:t>及《关于建筑业实施营业税改征增值税后广西壮族自治区建设工程计价依据调整的通知》（桂建标〔2016〕17号）、《</w:t>
      </w:r>
      <w:r>
        <w:rPr>
          <w:rFonts w:eastAsia="宋体" w:cs="宋体"/>
          <w:color w:val="auto"/>
          <w:highlight w:val="none"/>
        </w:rPr>
        <w:t>建设工程工程量清单计</w:t>
      </w:r>
      <w:r>
        <w:rPr>
          <w:rFonts w:hint="eastAsia" w:eastAsia="宋体" w:cs="宋体"/>
          <w:color w:val="auto"/>
          <w:highlight w:val="none"/>
        </w:rPr>
        <w:t>算</w:t>
      </w:r>
      <w:r>
        <w:rPr>
          <w:rFonts w:eastAsia="宋体" w:cs="宋体"/>
          <w:color w:val="auto"/>
          <w:highlight w:val="none"/>
        </w:rPr>
        <w:t>规范（GB5</w:t>
      </w:r>
      <w:r>
        <w:rPr>
          <w:rFonts w:hint="eastAsia" w:eastAsia="宋体" w:cs="宋体"/>
          <w:color w:val="auto"/>
          <w:highlight w:val="none"/>
        </w:rPr>
        <w:t>854~50862</w:t>
      </w:r>
      <w:r>
        <w:rPr>
          <w:rFonts w:eastAsia="宋体" w:cs="宋体"/>
          <w:color w:val="auto"/>
          <w:highlight w:val="none"/>
        </w:rPr>
        <w:t>-2013）</w:t>
      </w:r>
      <w:r>
        <w:rPr>
          <w:rFonts w:hint="eastAsia" w:eastAsia="宋体" w:cs="宋体"/>
          <w:color w:val="auto"/>
          <w:highlight w:val="none"/>
        </w:rPr>
        <w:t>》及其</w:t>
      </w:r>
      <w:r>
        <w:rPr>
          <w:rFonts w:eastAsia="宋体" w:cs="宋体"/>
          <w:color w:val="auto"/>
          <w:highlight w:val="none"/>
        </w:rPr>
        <w:t>广西实施细则</w:t>
      </w:r>
      <w:r>
        <w:rPr>
          <w:rFonts w:hint="eastAsia" w:eastAsia="宋体" w:cs="宋体"/>
          <w:color w:val="auto"/>
          <w:highlight w:val="none"/>
        </w:rPr>
        <w:t>（修订本）</w:t>
      </w:r>
      <w:r>
        <w:rPr>
          <w:rFonts w:eastAsia="宋体" w:cs="宋体"/>
          <w:color w:val="auto"/>
          <w:highlight w:val="none"/>
        </w:rPr>
        <w:t>。</w:t>
      </w:r>
    </w:p>
    <w:p w14:paraId="66DBD782">
      <w:pPr>
        <w:pStyle w:val="56"/>
        <w:keepNext w:val="0"/>
        <w:keepLines w:val="0"/>
        <w:pageBreakBefore w:val="0"/>
        <w:widowControl w:val="0"/>
        <w:kinsoku/>
        <w:overflowPunct/>
        <w:topLinePunct w:val="0"/>
        <w:bidi w:val="0"/>
        <w:spacing w:line="400" w:lineRule="exact"/>
        <w:textAlignment w:val="auto"/>
        <w:outlineLvl w:val="9"/>
        <w:rPr>
          <w:rFonts w:eastAsia="宋体" w:cs="宋体"/>
          <w:color w:val="auto"/>
          <w:highlight w:val="none"/>
        </w:rPr>
      </w:pPr>
      <w:r>
        <w:rPr>
          <w:rFonts w:eastAsia="宋体" w:cs="宋体"/>
          <w:color w:val="auto"/>
          <w:highlight w:val="none"/>
        </w:rPr>
        <w:t>说明：</w:t>
      </w:r>
      <w:r>
        <w:rPr>
          <w:rFonts w:hint="eastAsia" w:eastAsia="宋体" w:cs="宋体"/>
          <w:color w:val="auto"/>
          <w:highlight w:val="none"/>
        </w:rPr>
        <w:t>（6）、（7）</w:t>
      </w:r>
      <w:r>
        <w:rPr>
          <w:rFonts w:eastAsia="宋体" w:cs="宋体"/>
          <w:color w:val="auto"/>
          <w:highlight w:val="none"/>
        </w:rPr>
        <w:t>、</w:t>
      </w:r>
      <w:r>
        <w:rPr>
          <w:rFonts w:hint="eastAsia" w:eastAsia="宋体" w:cs="宋体"/>
          <w:color w:val="auto"/>
          <w:highlight w:val="none"/>
        </w:rPr>
        <w:t>（8）</w:t>
      </w:r>
      <w:r>
        <w:rPr>
          <w:rFonts w:eastAsia="宋体" w:cs="宋体"/>
          <w:color w:val="auto"/>
          <w:highlight w:val="none"/>
        </w:rPr>
        <w:t>、</w:t>
      </w:r>
      <w:r>
        <w:rPr>
          <w:rFonts w:hint="eastAsia" w:eastAsia="宋体" w:cs="宋体"/>
          <w:color w:val="auto"/>
          <w:highlight w:val="none"/>
        </w:rPr>
        <w:t>（9）</w:t>
      </w:r>
      <w:r>
        <w:rPr>
          <w:rFonts w:eastAsia="宋体" w:cs="宋体"/>
          <w:color w:val="auto"/>
          <w:highlight w:val="none"/>
        </w:rPr>
        <w:t>填空内容分别限于技术标准和要求、图纸、已标价工程量清单</w:t>
      </w:r>
      <w:r>
        <w:rPr>
          <w:rFonts w:hint="eastAsia" w:eastAsia="宋体" w:cs="宋体"/>
          <w:color w:val="auto"/>
          <w:highlight w:val="none"/>
        </w:rPr>
        <w:t>或预算书、</w:t>
      </w:r>
      <w:r>
        <w:rPr>
          <w:rFonts w:eastAsia="宋体" w:cs="宋体"/>
          <w:color w:val="auto"/>
          <w:highlight w:val="none"/>
        </w:rPr>
        <w:t>其他合同文件</w:t>
      </w:r>
      <w:r>
        <w:rPr>
          <w:rFonts w:hint="eastAsia" w:eastAsia="宋体" w:cs="宋体"/>
          <w:color w:val="auto"/>
          <w:highlight w:val="none"/>
        </w:rPr>
        <w:t>四</w:t>
      </w:r>
      <w:r>
        <w:rPr>
          <w:rFonts w:eastAsia="宋体" w:cs="宋体"/>
          <w:color w:val="auto"/>
          <w:highlight w:val="none"/>
        </w:rPr>
        <w:t>者之一</w:t>
      </w:r>
      <w:r>
        <w:rPr>
          <w:rFonts w:hint="eastAsia" w:eastAsia="宋体" w:cs="宋体"/>
          <w:color w:val="auto"/>
          <w:highlight w:val="none"/>
        </w:rPr>
        <w:t>，其优先顺序可根据采取的不同合同方式由双方约定</w:t>
      </w:r>
      <w:r>
        <w:rPr>
          <w:rFonts w:eastAsia="宋体" w:cs="宋体"/>
          <w:color w:val="auto"/>
          <w:highlight w:val="none"/>
        </w:rPr>
        <w:t>。</w:t>
      </w:r>
    </w:p>
    <w:p w14:paraId="3E5F2EEB">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color w:val="auto"/>
          <w:highlight w:val="none"/>
        </w:rPr>
      </w:pPr>
      <w:bookmarkStart w:id="196" w:name="_Toc14445"/>
      <w:bookmarkStart w:id="197" w:name="_Toc14037"/>
      <w:bookmarkStart w:id="198" w:name="_Toc3907"/>
      <w:bookmarkStart w:id="199" w:name="_Toc7851"/>
      <w:r>
        <w:rPr>
          <w:rFonts w:hint="eastAsia" w:ascii="宋体" w:eastAsia="宋体" w:cs="宋体"/>
          <w:b/>
          <w:bCs/>
          <w:color w:val="auto"/>
          <w:highlight w:val="none"/>
        </w:rPr>
        <w:t>1.6 图纸和承包人文件</w:t>
      </w:r>
      <w:bookmarkEnd w:id="196"/>
      <w:bookmarkEnd w:id="197"/>
      <w:bookmarkEnd w:id="198"/>
      <w:bookmarkEnd w:id="199"/>
      <w:r>
        <w:rPr>
          <w:rFonts w:hint="eastAsia" w:ascii="宋体" w:eastAsia="宋体" w:cs="宋体"/>
          <w:color w:val="auto"/>
          <w:highlight w:val="none"/>
        </w:rPr>
        <w:tab/>
      </w:r>
    </w:p>
    <w:p w14:paraId="17D5E7C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1.6.1 图纸的提供</w:t>
      </w:r>
    </w:p>
    <w:p w14:paraId="4697DF87">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发包人向承包人提供图纸的期限：</w:t>
      </w:r>
      <w:r>
        <w:rPr>
          <w:rFonts w:hint="eastAsia" w:eastAsia="宋体" w:cs="宋体"/>
          <w:color w:val="auto"/>
          <w:highlight w:val="none"/>
          <w:u w:val="single"/>
        </w:rPr>
        <w:t xml:space="preserve">   </w:t>
      </w:r>
      <w:r>
        <w:rPr>
          <w:rFonts w:hint="eastAsia" w:eastAsia="宋体" w:cs="宋体"/>
          <w:color w:val="auto"/>
          <w:highlight w:val="none"/>
          <w:u w:val="single"/>
          <w:lang w:val="en-US" w:eastAsia="zh-CN"/>
        </w:rPr>
        <w:t xml:space="preserve"> 签订合同时约定     </w:t>
      </w:r>
      <w:r>
        <w:rPr>
          <w:rFonts w:hint="eastAsia" w:eastAsia="宋体" w:cs="宋体"/>
          <w:color w:val="auto"/>
          <w:highlight w:val="none"/>
          <w:u w:val="single"/>
        </w:rPr>
        <w:t xml:space="preserve">  </w:t>
      </w:r>
      <w:r>
        <w:rPr>
          <w:rFonts w:hint="eastAsia" w:eastAsia="宋体" w:cs="宋体"/>
          <w:color w:val="auto"/>
          <w:highlight w:val="none"/>
        </w:rPr>
        <w:t>；</w:t>
      </w:r>
    </w:p>
    <w:p w14:paraId="7AB3736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发包人向承包人提供图纸的数量：</w:t>
      </w:r>
      <w:r>
        <w:rPr>
          <w:rFonts w:hint="eastAsia" w:eastAsia="宋体" w:cs="宋体"/>
          <w:color w:val="auto"/>
          <w:highlight w:val="none"/>
          <w:u w:val="single"/>
        </w:rPr>
        <w:t xml:space="preserve">  </w:t>
      </w:r>
      <w:r>
        <w:rPr>
          <w:rFonts w:hint="eastAsia" w:eastAsia="宋体" w:cs="宋体"/>
          <w:color w:val="auto"/>
          <w:kern w:val="0"/>
          <w:highlight w:val="none"/>
          <w:u w:val="single"/>
        </w:rPr>
        <w:t xml:space="preserve"> </w:t>
      </w:r>
      <w:r>
        <w:rPr>
          <w:rFonts w:hint="eastAsia" w:eastAsia="宋体" w:cs="宋体"/>
          <w:color w:val="auto"/>
          <w:highlight w:val="none"/>
          <w:u w:val="single"/>
          <w:lang w:val="en-US" w:eastAsia="zh-CN"/>
        </w:rPr>
        <w:t xml:space="preserve"> 签订合同时约定            </w:t>
      </w:r>
      <w:r>
        <w:rPr>
          <w:rFonts w:hint="eastAsia" w:eastAsia="宋体" w:cs="宋体"/>
          <w:color w:val="auto"/>
          <w:highlight w:val="none"/>
          <w:u w:val="single"/>
        </w:rPr>
        <w:t xml:space="preserve">  </w:t>
      </w:r>
      <w:r>
        <w:rPr>
          <w:rFonts w:hint="eastAsia" w:eastAsia="宋体" w:cs="宋体"/>
          <w:color w:val="auto"/>
          <w:highlight w:val="none"/>
        </w:rPr>
        <w:t>；</w:t>
      </w:r>
    </w:p>
    <w:p w14:paraId="6F3343C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发包人向承包人提供图纸的内容：</w:t>
      </w:r>
      <w:r>
        <w:rPr>
          <w:rFonts w:hint="eastAsia" w:eastAsia="宋体" w:cs="宋体"/>
          <w:color w:val="auto"/>
          <w:highlight w:val="none"/>
          <w:u w:val="single"/>
        </w:rPr>
        <w:t xml:space="preserve">  </w:t>
      </w:r>
      <w:r>
        <w:rPr>
          <w:rFonts w:hint="eastAsia" w:eastAsia="宋体" w:cs="宋体"/>
          <w:color w:val="auto"/>
          <w:kern w:val="0"/>
          <w:highlight w:val="none"/>
          <w:u w:val="single"/>
        </w:rPr>
        <w:t xml:space="preserve">  本合同发包内容中的全部图纸</w:t>
      </w:r>
      <w:r>
        <w:rPr>
          <w:rFonts w:hint="eastAsia" w:eastAsia="宋体" w:cs="宋体"/>
          <w:color w:val="auto"/>
          <w:highlight w:val="none"/>
          <w:u w:val="single"/>
        </w:rPr>
        <w:t xml:space="preserve">   </w:t>
      </w:r>
      <w:r>
        <w:rPr>
          <w:rFonts w:hint="eastAsia" w:eastAsia="宋体" w:cs="宋体"/>
          <w:color w:val="auto"/>
          <w:highlight w:val="none"/>
        </w:rPr>
        <w:t>。</w:t>
      </w:r>
    </w:p>
    <w:p w14:paraId="6F4C046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1.6.4 承包人文件</w:t>
      </w:r>
    </w:p>
    <w:p w14:paraId="298BD66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承包人提供的文件的期限为：</w:t>
      </w:r>
      <w:r>
        <w:rPr>
          <w:rFonts w:hint="eastAsia" w:eastAsia="宋体" w:cs="宋体"/>
          <w:color w:val="auto"/>
          <w:highlight w:val="none"/>
          <w:u w:val="single"/>
        </w:rPr>
        <w:t xml:space="preserve">  </w:t>
      </w:r>
      <w:r>
        <w:rPr>
          <w:rFonts w:hint="eastAsia" w:eastAsia="宋体" w:cs="宋体"/>
          <w:color w:val="auto"/>
          <w:highlight w:val="none"/>
          <w:u w:val="single"/>
          <w:lang w:val="en-US" w:eastAsia="zh-CN"/>
        </w:rPr>
        <w:t xml:space="preserve">    签订合同时约定      </w:t>
      </w:r>
      <w:r>
        <w:rPr>
          <w:rFonts w:hint="eastAsia" w:eastAsia="宋体" w:cs="宋体"/>
          <w:color w:val="auto"/>
          <w:highlight w:val="none"/>
          <w:u w:val="single"/>
        </w:rPr>
        <w:t xml:space="preserve">  </w:t>
      </w:r>
      <w:r>
        <w:rPr>
          <w:rFonts w:hint="eastAsia" w:eastAsia="宋体" w:cs="宋体"/>
          <w:color w:val="auto"/>
          <w:highlight w:val="none"/>
        </w:rPr>
        <w:t>；</w:t>
      </w:r>
    </w:p>
    <w:p w14:paraId="20000EC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承包人提供的文件的数量为：</w:t>
      </w:r>
      <w:r>
        <w:rPr>
          <w:rFonts w:hint="eastAsia" w:eastAsia="宋体" w:cs="宋体"/>
          <w:color w:val="auto"/>
          <w:highlight w:val="none"/>
          <w:u w:val="single"/>
        </w:rPr>
        <w:t xml:space="preserve">  按实提供    </w:t>
      </w:r>
      <w:r>
        <w:rPr>
          <w:rFonts w:hint="eastAsia" w:eastAsia="宋体" w:cs="宋体"/>
          <w:color w:val="auto"/>
          <w:highlight w:val="none"/>
        </w:rPr>
        <w:t>；</w:t>
      </w:r>
    </w:p>
    <w:p w14:paraId="01D97D0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承包人提供的文件的形式为：</w:t>
      </w:r>
      <w:r>
        <w:rPr>
          <w:rFonts w:hint="eastAsia" w:eastAsia="宋体" w:cs="宋体"/>
          <w:color w:val="auto"/>
          <w:highlight w:val="none"/>
          <w:u w:val="single"/>
        </w:rPr>
        <w:t xml:space="preserve">  书面形式   </w:t>
      </w:r>
      <w:r>
        <w:rPr>
          <w:rFonts w:hint="eastAsia" w:eastAsia="宋体" w:cs="宋体"/>
          <w:color w:val="auto"/>
          <w:highlight w:val="none"/>
        </w:rPr>
        <w:t>；</w:t>
      </w:r>
    </w:p>
    <w:p w14:paraId="672C065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发包人审批承包人文件的期限：</w:t>
      </w:r>
      <w:r>
        <w:rPr>
          <w:rFonts w:hint="eastAsia" w:eastAsia="宋体" w:cs="宋体"/>
          <w:color w:val="auto"/>
          <w:highlight w:val="none"/>
          <w:u w:val="single"/>
        </w:rPr>
        <w:t xml:space="preserve">  </w:t>
      </w:r>
      <w:r>
        <w:rPr>
          <w:rFonts w:hint="eastAsia" w:eastAsia="宋体" w:cs="宋体"/>
          <w:color w:val="auto"/>
          <w:highlight w:val="none"/>
          <w:u w:val="single"/>
          <w:lang w:val="en-US" w:eastAsia="zh-CN"/>
        </w:rPr>
        <w:t xml:space="preserve">          </w:t>
      </w:r>
      <w:r>
        <w:rPr>
          <w:rFonts w:hint="eastAsia" w:eastAsia="宋体" w:cs="宋体"/>
          <w:color w:val="auto"/>
          <w:highlight w:val="none"/>
          <w:u w:val="single"/>
        </w:rPr>
        <w:t xml:space="preserve">   </w:t>
      </w:r>
      <w:r>
        <w:rPr>
          <w:rFonts w:hint="eastAsia" w:eastAsia="宋体" w:cs="宋体"/>
          <w:color w:val="auto"/>
          <w:highlight w:val="none"/>
        </w:rPr>
        <w:t>。</w:t>
      </w:r>
    </w:p>
    <w:p w14:paraId="54EBD2B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1.6.5 现场图纸准备</w:t>
      </w:r>
    </w:p>
    <w:p w14:paraId="5698351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关于现场图纸准备的约定：</w:t>
      </w:r>
      <w:r>
        <w:rPr>
          <w:rFonts w:hint="eastAsia" w:eastAsia="宋体" w:cs="宋体"/>
          <w:color w:val="auto"/>
          <w:highlight w:val="none"/>
          <w:u w:val="single"/>
        </w:rPr>
        <w:t xml:space="preserve">  </w:t>
      </w:r>
      <w:r>
        <w:rPr>
          <w:rFonts w:hint="eastAsia" w:eastAsia="宋体" w:cs="宋体"/>
          <w:color w:val="auto"/>
          <w:kern w:val="0"/>
          <w:highlight w:val="none"/>
          <w:u w:val="single"/>
        </w:rPr>
        <w:t>执行通用条款</w:t>
      </w:r>
      <w:r>
        <w:rPr>
          <w:rFonts w:hint="eastAsia" w:eastAsia="宋体" w:cs="宋体"/>
          <w:color w:val="auto"/>
          <w:highlight w:val="none"/>
          <w:u w:val="single"/>
        </w:rPr>
        <w:t xml:space="preserve">  </w:t>
      </w:r>
      <w:r>
        <w:rPr>
          <w:rFonts w:hint="eastAsia" w:eastAsia="宋体" w:cs="宋体"/>
          <w:color w:val="auto"/>
          <w:highlight w:val="none"/>
        </w:rPr>
        <w:t>。</w:t>
      </w:r>
    </w:p>
    <w:p w14:paraId="4D0EE07C">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00" w:name="_Toc26104"/>
      <w:bookmarkStart w:id="201" w:name="_Toc28566"/>
      <w:bookmarkStart w:id="202" w:name="_Toc6970"/>
      <w:bookmarkStart w:id="203" w:name="_Toc6640"/>
      <w:r>
        <w:rPr>
          <w:rFonts w:hint="eastAsia" w:ascii="宋体" w:eastAsia="宋体" w:cs="宋体"/>
          <w:b/>
          <w:bCs/>
          <w:color w:val="auto"/>
          <w:highlight w:val="none"/>
        </w:rPr>
        <w:t>1.7 联络</w:t>
      </w:r>
      <w:bookmarkEnd w:id="200"/>
      <w:bookmarkEnd w:id="201"/>
      <w:bookmarkEnd w:id="202"/>
      <w:bookmarkEnd w:id="203"/>
    </w:p>
    <w:p w14:paraId="24093677">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1.7.1发包人和承包人应当在</w:t>
      </w:r>
      <w:r>
        <w:rPr>
          <w:rFonts w:hint="eastAsia" w:eastAsia="宋体" w:cs="宋体"/>
          <w:color w:val="auto"/>
          <w:highlight w:val="none"/>
          <w:u w:val="single"/>
          <w:lang w:val="en-US" w:eastAsia="zh-CN"/>
        </w:rPr>
        <w:t xml:space="preserve">  </w:t>
      </w:r>
      <w:r>
        <w:rPr>
          <w:rFonts w:hint="eastAsia" w:eastAsia="宋体" w:cs="宋体"/>
          <w:color w:val="auto"/>
          <w:kern w:val="0"/>
          <w:highlight w:val="none"/>
        </w:rPr>
        <w:t>天内将与合同有关的通知、批准、证明、证书、指示、指令、要求、请求、同意、意见、确定和决定等书面函件送达对方当事人。</w:t>
      </w:r>
    </w:p>
    <w:p w14:paraId="49B04550">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ascii="宋体" w:hAnsi="宋体"/>
          <w:color w:val="auto"/>
          <w:szCs w:val="21"/>
          <w:highlight w:val="none"/>
        </w:rPr>
        <w:t>1.7.2 发包人接收文件的地点：</w:t>
      </w:r>
      <w:r>
        <w:rPr>
          <w:rFonts w:hint="eastAsia" w:ascii="宋体" w:hAnsi="宋体"/>
          <w:color w:val="auto"/>
          <w:szCs w:val="21"/>
          <w:highlight w:val="none"/>
          <w:u w:val="single"/>
        </w:rPr>
        <w:t xml:space="preserve">  签订合同时约定  </w:t>
      </w:r>
      <w:r>
        <w:rPr>
          <w:rFonts w:ascii="宋体" w:hAnsi="宋体"/>
          <w:color w:val="auto"/>
          <w:szCs w:val="21"/>
          <w:highlight w:val="none"/>
        </w:rPr>
        <w:t>；</w:t>
      </w:r>
    </w:p>
    <w:p w14:paraId="7E63E21D">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hint="eastAsia" w:ascii="宋体" w:hAnsi="宋体"/>
          <w:color w:val="auto"/>
          <w:szCs w:val="21"/>
          <w:highlight w:val="none"/>
        </w:rPr>
        <w:t>发包人指定的接收人为：</w:t>
      </w:r>
      <w:r>
        <w:rPr>
          <w:rFonts w:hint="eastAsia" w:ascii="宋体" w:hAnsi="宋体"/>
          <w:color w:val="auto"/>
          <w:szCs w:val="21"/>
          <w:highlight w:val="none"/>
          <w:u w:val="single"/>
        </w:rPr>
        <w:t xml:space="preserve">  签订合同时约定  </w:t>
      </w:r>
      <w:r>
        <w:rPr>
          <w:rFonts w:hint="eastAsia" w:ascii="宋体" w:hAnsi="宋体"/>
          <w:color w:val="auto"/>
          <w:szCs w:val="21"/>
          <w:highlight w:val="none"/>
        </w:rPr>
        <w:t>。</w:t>
      </w:r>
    </w:p>
    <w:p w14:paraId="76B8B9C4">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hint="eastAsia" w:ascii="宋体" w:hAnsi="宋体"/>
          <w:color w:val="auto"/>
          <w:szCs w:val="21"/>
          <w:highlight w:val="none"/>
        </w:rPr>
        <w:t>承包人接收文件的地点：</w:t>
      </w:r>
      <w:r>
        <w:rPr>
          <w:rFonts w:hint="eastAsia" w:ascii="宋体" w:hAnsi="宋体"/>
          <w:color w:val="auto"/>
          <w:szCs w:val="21"/>
          <w:highlight w:val="none"/>
          <w:u w:val="single"/>
        </w:rPr>
        <w:t xml:space="preserve">  项目所在地承包人项目部  </w:t>
      </w:r>
      <w:r>
        <w:rPr>
          <w:rFonts w:hint="eastAsia" w:ascii="宋体" w:hAnsi="宋体"/>
          <w:color w:val="auto"/>
          <w:szCs w:val="21"/>
          <w:highlight w:val="none"/>
        </w:rPr>
        <w:t>；</w:t>
      </w:r>
    </w:p>
    <w:p w14:paraId="34C156B4">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hint="eastAsia" w:ascii="宋体" w:hAnsi="宋体"/>
          <w:color w:val="auto"/>
          <w:szCs w:val="21"/>
          <w:highlight w:val="none"/>
        </w:rPr>
        <w:t>承包人指定的接收人为：</w:t>
      </w:r>
      <w:r>
        <w:rPr>
          <w:rFonts w:hint="eastAsia" w:ascii="宋体" w:hAnsi="宋体"/>
          <w:color w:val="auto"/>
          <w:szCs w:val="21"/>
          <w:highlight w:val="none"/>
          <w:u w:val="single"/>
        </w:rPr>
        <w:t xml:space="preserve">  承包人项目经理  </w:t>
      </w:r>
      <w:r>
        <w:rPr>
          <w:rFonts w:hint="eastAsia" w:ascii="宋体" w:hAnsi="宋体"/>
          <w:color w:val="auto"/>
          <w:szCs w:val="21"/>
          <w:highlight w:val="none"/>
        </w:rPr>
        <w:t>。</w:t>
      </w:r>
    </w:p>
    <w:p w14:paraId="79DE2339">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hint="eastAsia" w:ascii="宋体" w:hAnsi="宋体"/>
          <w:color w:val="auto"/>
          <w:szCs w:val="21"/>
          <w:highlight w:val="none"/>
        </w:rPr>
        <w:t>监理人接收文件的地点：</w:t>
      </w:r>
      <w:r>
        <w:rPr>
          <w:rFonts w:hint="eastAsia" w:ascii="宋体" w:hAnsi="宋体"/>
          <w:color w:val="auto"/>
          <w:szCs w:val="21"/>
          <w:highlight w:val="none"/>
          <w:u w:val="single"/>
        </w:rPr>
        <w:t xml:space="preserve">  项目所在地监理人办公室  </w:t>
      </w:r>
      <w:r>
        <w:rPr>
          <w:rFonts w:hint="eastAsia" w:ascii="宋体" w:hAnsi="宋体"/>
          <w:color w:val="auto"/>
          <w:szCs w:val="21"/>
          <w:highlight w:val="none"/>
        </w:rPr>
        <w:t>；</w:t>
      </w:r>
    </w:p>
    <w:p w14:paraId="4DFEE521">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hint="eastAsia" w:ascii="宋体" w:hAnsi="宋体"/>
          <w:color w:val="auto"/>
          <w:szCs w:val="21"/>
          <w:highlight w:val="none"/>
        </w:rPr>
        <w:t>监理人指定的接收人为：</w:t>
      </w:r>
      <w:r>
        <w:rPr>
          <w:rFonts w:hint="eastAsia" w:ascii="宋体" w:hAnsi="宋体"/>
          <w:color w:val="auto"/>
          <w:szCs w:val="21"/>
          <w:highlight w:val="none"/>
          <w:u w:val="single"/>
        </w:rPr>
        <w:t xml:space="preserve">  总监理工程师  </w:t>
      </w:r>
      <w:r>
        <w:rPr>
          <w:rFonts w:hint="eastAsia" w:ascii="宋体" w:hAnsi="宋体"/>
          <w:color w:val="auto"/>
          <w:szCs w:val="21"/>
          <w:highlight w:val="none"/>
        </w:rPr>
        <w:t>。</w:t>
      </w:r>
    </w:p>
    <w:p w14:paraId="400F9E2D">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04" w:name="_Toc14265"/>
      <w:bookmarkStart w:id="205" w:name="_Toc18056"/>
      <w:bookmarkStart w:id="206" w:name="_Toc5225"/>
      <w:bookmarkStart w:id="207" w:name="_Toc28632"/>
      <w:r>
        <w:rPr>
          <w:rFonts w:hint="eastAsia" w:ascii="宋体" w:eastAsia="宋体" w:cs="宋体"/>
          <w:b/>
          <w:bCs/>
          <w:color w:val="auto"/>
          <w:highlight w:val="none"/>
        </w:rPr>
        <w:t>1.10 交通运输</w:t>
      </w:r>
      <w:bookmarkEnd w:id="204"/>
      <w:bookmarkEnd w:id="205"/>
      <w:bookmarkEnd w:id="206"/>
      <w:bookmarkEnd w:id="207"/>
    </w:p>
    <w:p w14:paraId="4C758F2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1.10.1 出入现场的权利</w:t>
      </w:r>
    </w:p>
    <w:p w14:paraId="03988DF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关于出入现场的权利的约定：</w:t>
      </w:r>
      <w:r>
        <w:rPr>
          <w:rFonts w:hint="eastAsia" w:eastAsia="宋体" w:cs="宋体"/>
          <w:color w:val="auto"/>
          <w:highlight w:val="none"/>
          <w:u w:val="single"/>
        </w:rPr>
        <w:t xml:space="preserve"> </w:t>
      </w:r>
      <w:r>
        <w:rPr>
          <w:rFonts w:hint="eastAsia" w:eastAsia="宋体" w:cs="宋体"/>
          <w:color w:val="auto"/>
          <w:kern w:val="0"/>
          <w:highlight w:val="none"/>
          <w:u w:val="single"/>
        </w:rPr>
        <w:t xml:space="preserve"> 由承包人按发包人要求负责取得出入施工现场所需的批准手续和全部权利，以及取得因施工所需修建道路、桥梁以及其他基础设施的权利，并承担相关手续费用和建设费用</w:t>
      </w:r>
      <w:r>
        <w:rPr>
          <w:rFonts w:hint="eastAsia" w:eastAsia="宋体" w:cs="宋体"/>
          <w:color w:val="auto"/>
          <w:highlight w:val="none"/>
          <w:u w:val="single"/>
        </w:rPr>
        <w:t xml:space="preserve">    </w:t>
      </w:r>
      <w:r>
        <w:rPr>
          <w:rFonts w:hint="eastAsia" w:eastAsia="宋体" w:cs="宋体"/>
          <w:color w:val="auto"/>
          <w:highlight w:val="none"/>
        </w:rPr>
        <w:t>。</w:t>
      </w:r>
    </w:p>
    <w:p w14:paraId="2D74CDC7">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1.10.3 场内交通</w:t>
      </w:r>
    </w:p>
    <w:p w14:paraId="346BA116">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关于场外交通和场内交通的边界的约定：</w:t>
      </w:r>
      <w:r>
        <w:rPr>
          <w:rFonts w:hint="eastAsia" w:ascii="宋体" w:hAnsi="宋体"/>
          <w:color w:val="auto"/>
          <w:szCs w:val="21"/>
          <w:highlight w:val="none"/>
          <w:u w:val="single"/>
        </w:rPr>
        <w:t xml:space="preserve">  以建筑红线为界  </w:t>
      </w:r>
      <w:r>
        <w:rPr>
          <w:rFonts w:ascii="宋体" w:hAnsi="宋体"/>
          <w:color w:val="auto"/>
          <w:szCs w:val="21"/>
          <w:highlight w:val="none"/>
        </w:rPr>
        <w:t>。</w:t>
      </w:r>
    </w:p>
    <w:p w14:paraId="2702C0A7">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关于发包人向承包人免费提供满足工程施工需要的场内道路和交通设施的约定：</w:t>
      </w:r>
      <w:r>
        <w:rPr>
          <w:rFonts w:hint="eastAsia" w:ascii="宋体" w:hAnsi="宋体"/>
          <w:color w:val="auto"/>
          <w:szCs w:val="21"/>
          <w:highlight w:val="none"/>
          <w:u w:val="single"/>
        </w:rPr>
        <w:t xml:space="preserve">  施工现场内临时道路由承包人负责建设并承担相关费用  </w:t>
      </w:r>
      <w:r>
        <w:rPr>
          <w:rFonts w:ascii="宋体" w:hAnsi="宋体"/>
          <w:color w:val="auto"/>
          <w:szCs w:val="21"/>
          <w:highlight w:val="none"/>
        </w:rPr>
        <w:t>。</w:t>
      </w:r>
    </w:p>
    <w:p w14:paraId="1194C2A0">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1.10.4</w:t>
      </w:r>
      <w:r>
        <w:rPr>
          <w:rFonts w:hint="eastAsia" w:ascii="宋体" w:hAnsi="宋体"/>
          <w:color w:val="auto"/>
          <w:szCs w:val="21"/>
          <w:highlight w:val="none"/>
        </w:rPr>
        <w:t xml:space="preserve"> </w:t>
      </w:r>
      <w:r>
        <w:rPr>
          <w:rFonts w:ascii="宋体" w:hAnsi="宋体"/>
          <w:color w:val="auto"/>
          <w:szCs w:val="21"/>
          <w:highlight w:val="none"/>
        </w:rPr>
        <w:t>超大件和超重件的运输</w:t>
      </w:r>
    </w:p>
    <w:p w14:paraId="1029C1ED">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u w:val="single"/>
        </w:rPr>
      </w:pPr>
      <w:r>
        <w:rPr>
          <w:rFonts w:ascii="宋体" w:hAnsi="宋体"/>
          <w:color w:val="auto"/>
          <w:szCs w:val="21"/>
          <w:highlight w:val="none"/>
        </w:rPr>
        <w:t>运输超大件或超重件所需的道路和桥梁临时加固改造费用和其他有关费用由</w:t>
      </w:r>
      <w:r>
        <w:rPr>
          <w:rFonts w:hint="eastAsia" w:ascii="宋体" w:hAnsi="宋体"/>
          <w:color w:val="auto"/>
          <w:szCs w:val="21"/>
          <w:highlight w:val="none"/>
          <w:u w:val="single"/>
        </w:rPr>
        <w:t xml:space="preserve"> </w:t>
      </w:r>
      <w:r>
        <w:rPr>
          <w:rFonts w:hint="eastAsia" w:ascii="宋体" w:hAnsi="宋体"/>
          <w:color w:val="auto"/>
          <w:szCs w:val="21"/>
          <w:highlight w:val="none"/>
          <w:u w:val="single"/>
          <w:lang w:val="en-US" w:eastAsia="zh-CN"/>
        </w:rPr>
        <w:t>发包人</w:t>
      </w:r>
      <w:r>
        <w:rPr>
          <w:rFonts w:hint="eastAsia" w:ascii="宋体" w:hAnsi="宋体"/>
          <w:color w:val="auto"/>
          <w:szCs w:val="21"/>
          <w:highlight w:val="none"/>
          <w:u w:val="single"/>
        </w:rPr>
        <w:t xml:space="preserve"> </w:t>
      </w:r>
      <w:r>
        <w:rPr>
          <w:rFonts w:ascii="宋体" w:hAnsi="宋体"/>
          <w:color w:val="auto"/>
          <w:szCs w:val="21"/>
          <w:highlight w:val="none"/>
        </w:rPr>
        <w:t>承担。</w:t>
      </w:r>
    </w:p>
    <w:p w14:paraId="64DE781F">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08" w:name="_Toc29497"/>
      <w:bookmarkStart w:id="209" w:name="_Toc26406"/>
      <w:bookmarkStart w:id="210" w:name="_Toc9504"/>
      <w:bookmarkStart w:id="211" w:name="_Toc19898"/>
      <w:r>
        <w:rPr>
          <w:rFonts w:hint="eastAsia" w:ascii="宋体" w:eastAsia="宋体" w:cs="宋体"/>
          <w:b/>
          <w:bCs/>
          <w:color w:val="auto"/>
          <w:highlight w:val="none"/>
        </w:rPr>
        <w:t>1.11 知识产权</w:t>
      </w:r>
      <w:bookmarkEnd w:id="208"/>
      <w:bookmarkEnd w:id="209"/>
      <w:bookmarkEnd w:id="210"/>
      <w:bookmarkEnd w:id="211"/>
    </w:p>
    <w:p w14:paraId="522A8A7E">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ascii="宋体" w:hAnsi="宋体"/>
          <w:color w:val="auto"/>
          <w:szCs w:val="21"/>
          <w:highlight w:val="none"/>
        </w:rPr>
        <w:t>1.11.1</w:t>
      </w:r>
      <w:r>
        <w:rPr>
          <w:rFonts w:hint="eastAsia" w:ascii="宋体" w:hAnsi="宋体"/>
          <w:color w:val="auto"/>
          <w:szCs w:val="21"/>
          <w:highlight w:val="none"/>
        </w:rPr>
        <w:t xml:space="preserve"> </w:t>
      </w:r>
      <w:r>
        <w:rPr>
          <w:rFonts w:ascii="宋体" w:hAnsi="宋体"/>
          <w:color w:val="auto"/>
          <w:szCs w:val="21"/>
          <w:highlight w:val="none"/>
        </w:rPr>
        <w:t>关于发包人提供给承包人的图纸、发包人为实施工程自行编制或委托编制的技术规范以及反映发包人关于合同要求或其他类似性质的文件的著作权的归属</w:t>
      </w:r>
      <w:r>
        <w:rPr>
          <w:rFonts w:hint="eastAsia" w:ascii="宋体" w:hAnsi="宋体"/>
          <w:color w:val="auto"/>
          <w:szCs w:val="21"/>
          <w:highlight w:val="none"/>
        </w:rPr>
        <w:t>：</w:t>
      </w:r>
      <w:r>
        <w:rPr>
          <w:rFonts w:hint="eastAsia" w:ascii="宋体" w:hAnsi="宋体"/>
          <w:color w:val="auto"/>
          <w:szCs w:val="21"/>
          <w:highlight w:val="none"/>
          <w:u w:val="single"/>
        </w:rPr>
        <w:t xml:space="preserve">  归属发包人所有，承包人不得向其他人转借、出售或泄露与本项目有关的上述文件资料情况  </w:t>
      </w:r>
      <w:r>
        <w:rPr>
          <w:rFonts w:ascii="宋体" w:hAnsi="宋体"/>
          <w:color w:val="auto"/>
          <w:szCs w:val="21"/>
          <w:highlight w:val="none"/>
        </w:rPr>
        <w:t>。</w:t>
      </w:r>
    </w:p>
    <w:p w14:paraId="092D474C">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ascii="宋体" w:hAnsi="宋体"/>
          <w:color w:val="auto"/>
          <w:szCs w:val="21"/>
          <w:highlight w:val="none"/>
        </w:rPr>
        <w:t>关于发包人提供的上述文件的使用限制的要求：</w:t>
      </w:r>
      <w:r>
        <w:rPr>
          <w:rFonts w:hint="eastAsia" w:ascii="宋体" w:hAnsi="宋体"/>
          <w:color w:val="auto"/>
          <w:szCs w:val="21"/>
          <w:highlight w:val="none"/>
          <w:u w:val="single"/>
        </w:rPr>
        <w:t xml:space="preserve">  仅使用于本项目的建设  </w:t>
      </w:r>
      <w:r>
        <w:rPr>
          <w:rFonts w:ascii="宋体" w:hAnsi="宋体"/>
          <w:color w:val="auto"/>
          <w:szCs w:val="21"/>
          <w:highlight w:val="none"/>
        </w:rPr>
        <w:t>。</w:t>
      </w:r>
    </w:p>
    <w:p w14:paraId="0767DF11">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ascii="宋体" w:hAnsi="宋体"/>
          <w:color w:val="auto"/>
          <w:szCs w:val="21"/>
          <w:highlight w:val="none"/>
        </w:rPr>
        <w:t>1.11.2 关于承包人为实施工程所编制文件的著作权的归属：</w:t>
      </w:r>
      <w:r>
        <w:rPr>
          <w:rFonts w:hint="eastAsia" w:ascii="宋体" w:hAnsi="宋体"/>
          <w:color w:val="auto"/>
          <w:szCs w:val="21"/>
          <w:highlight w:val="none"/>
          <w:u w:val="single"/>
        </w:rPr>
        <w:t xml:space="preserve">  按通用合同条款执行  </w:t>
      </w:r>
      <w:r>
        <w:rPr>
          <w:rFonts w:ascii="宋体" w:hAnsi="宋体"/>
          <w:color w:val="auto"/>
          <w:szCs w:val="21"/>
          <w:highlight w:val="none"/>
        </w:rPr>
        <w:t>。</w:t>
      </w:r>
    </w:p>
    <w:p w14:paraId="53205580">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u w:val="single"/>
        </w:rPr>
      </w:pPr>
      <w:r>
        <w:rPr>
          <w:rFonts w:ascii="宋体" w:hAnsi="宋体"/>
          <w:color w:val="auto"/>
          <w:szCs w:val="21"/>
          <w:highlight w:val="none"/>
        </w:rPr>
        <w:t>关于承包人提供的上述文件的使用限制的要求：</w:t>
      </w:r>
      <w:r>
        <w:rPr>
          <w:rFonts w:hint="eastAsia" w:ascii="宋体" w:hAnsi="宋体"/>
          <w:color w:val="auto"/>
          <w:szCs w:val="21"/>
          <w:highlight w:val="none"/>
          <w:u w:val="single"/>
        </w:rPr>
        <w:t xml:space="preserve">  按通用合同条款执行  </w:t>
      </w:r>
      <w:r>
        <w:rPr>
          <w:rFonts w:ascii="宋体" w:hAnsi="宋体"/>
          <w:color w:val="auto"/>
          <w:szCs w:val="21"/>
          <w:highlight w:val="none"/>
        </w:rPr>
        <w:t>。</w:t>
      </w:r>
    </w:p>
    <w:p w14:paraId="3D7BE702">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ascii="宋体" w:hAnsi="宋体"/>
          <w:color w:val="auto"/>
          <w:szCs w:val="21"/>
          <w:highlight w:val="none"/>
        </w:rPr>
        <w:t>1.11.4 承包人在施工过程中所采用的专利、专有技术、技术秘密的使用费的承担方式：</w:t>
      </w:r>
      <w:r>
        <w:rPr>
          <w:rFonts w:hint="eastAsia" w:ascii="宋体" w:hAnsi="宋体"/>
          <w:color w:val="auto"/>
          <w:szCs w:val="21"/>
          <w:highlight w:val="none"/>
          <w:u w:val="single"/>
        </w:rPr>
        <w:t>由承包人承担，已包含在签约合同价中，发包人不再另行支付</w:t>
      </w:r>
      <w:r>
        <w:rPr>
          <w:rFonts w:ascii="宋体" w:hAnsi="宋体"/>
          <w:color w:val="auto"/>
          <w:szCs w:val="21"/>
          <w:highlight w:val="none"/>
        </w:rPr>
        <w:t>。</w:t>
      </w:r>
    </w:p>
    <w:p w14:paraId="27FFD3BA">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12" w:name="_Toc27819"/>
      <w:bookmarkStart w:id="213" w:name="_Toc25664"/>
      <w:bookmarkStart w:id="214" w:name="_Toc32474"/>
      <w:bookmarkStart w:id="215" w:name="_Toc11602"/>
      <w:r>
        <w:rPr>
          <w:rFonts w:hint="eastAsia" w:ascii="宋体" w:eastAsia="宋体" w:cs="宋体"/>
          <w:b/>
          <w:bCs/>
          <w:color w:val="auto"/>
          <w:highlight w:val="none"/>
        </w:rPr>
        <w:t>1.13工程量清单错误的修正</w:t>
      </w:r>
      <w:bookmarkEnd w:id="212"/>
      <w:bookmarkEnd w:id="213"/>
      <w:bookmarkEnd w:id="214"/>
      <w:bookmarkEnd w:id="215"/>
    </w:p>
    <w:p w14:paraId="05DEDB02">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ascii="宋体" w:hAnsi="宋体"/>
          <w:color w:val="auto"/>
          <w:szCs w:val="21"/>
          <w:highlight w:val="none"/>
        </w:rPr>
        <w:t>出现工程量清单工程量偏差时，是否调整合同价格：</w:t>
      </w:r>
      <w:r>
        <w:rPr>
          <w:rFonts w:hint="eastAsia" w:ascii="宋体" w:hAnsi="宋体"/>
          <w:color w:val="auto"/>
          <w:szCs w:val="21"/>
          <w:highlight w:val="none"/>
          <w:u w:val="single"/>
        </w:rPr>
        <w:t xml:space="preserve">  合同履行期间，由于招标工程量清单缺项、漏项，新增分部分项工程清单项目的，按照以下规定确定单价，并调整合同价格：（1）合同中已有适用于变更工程的价格，按合同已有的价格变更合同价款；（2）合同中只有类似于变更工程的价格，可以参照类似价格变更合同价款；（3）合同中没有适用或类似于变更工程的价格，则有定额的套定额计算（土石方工程除外），并乘以下浮系数（中标价/经财政部门审定的招标上限控制价）计算，其中材料价格有信息价的按施工期间的信息价进行计算，</w:t>
      </w:r>
      <w:r>
        <w:rPr>
          <w:rFonts w:hint="eastAsia" w:ascii="宋体" w:hAnsi="宋体"/>
          <w:color w:val="auto"/>
          <w:szCs w:val="21"/>
          <w:highlight w:val="none"/>
          <w:u w:val="single"/>
          <w:lang w:val="en-US" w:eastAsia="zh-CN"/>
        </w:rPr>
        <w:t>青砖，青瓦，文物类木材，红方砖及</w:t>
      </w:r>
      <w:r>
        <w:rPr>
          <w:rFonts w:hint="eastAsia" w:ascii="宋体" w:hAnsi="宋体"/>
          <w:color w:val="auto"/>
          <w:szCs w:val="21"/>
          <w:highlight w:val="none"/>
          <w:u w:val="single"/>
        </w:rPr>
        <w:t>无信息的按市场价；无定额可套的，根据市场价格协商；新增项目的单价必须经财政部门审定。</w:t>
      </w:r>
    </w:p>
    <w:p w14:paraId="146AD5EB">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u w:val="single"/>
        </w:rPr>
      </w:pPr>
      <w:r>
        <w:rPr>
          <w:rFonts w:ascii="宋体" w:hAnsi="宋体"/>
          <w:color w:val="auto"/>
          <w:szCs w:val="21"/>
          <w:highlight w:val="none"/>
        </w:rPr>
        <w:t>允许调整合同价格的工程量偏差范围及其调整办法：</w:t>
      </w:r>
      <w:r>
        <w:rPr>
          <w:rFonts w:hint="eastAsia" w:ascii="宋体" w:hAnsi="宋体"/>
          <w:color w:val="auto"/>
          <w:szCs w:val="21"/>
          <w:highlight w:val="none"/>
          <w:u w:val="single"/>
        </w:rPr>
        <w:t xml:space="preserve">  不允许调整  </w:t>
      </w:r>
      <w:r>
        <w:rPr>
          <w:rFonts w:hint="eastAsia" w:ascii="宋体" w:hAnsi="宋体"/>
          <w:color w:val="auto"/>
          <w:szCs w:val="21"/>
          <w:highlight w:val="none"/>
        </w:rPr>
        <w:t>。</w:t>
      </w:r>
    </w:p>
    <w:p w14:paraId="11A164B3">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16" w:name="_Toc5879"/>
      <w:bookmarkStart w:id="217" w:name="_Toc31991"/>
      <w:bookmarkStart w:id="218" w:name="_Toc7807"/>
      <w:bookmarkStart w:id="219" w:name="_Toc6218"/>
      <w:r>
        <w:rPr>
          <w:rFonts w:hint="eastAsia" w:ascii="宋体" w:eastAsia="宋体" w:cs="宋体"/>
          <w:b/>
          <w:bCs/>
          <w:color w:val="auto"/>
          <w:highlight w:val="none"/>
        </w:rPr>
        <w:t>2. 发包人</w:t>
      </w:r>
      <w:bookmarkEnd w:id="216"/>
      <w:bookmarkEnd w:id="217"/>
      <w:bookmarkEnd w:id="218"/>
      <w:bookmarkEnd w:id="219"/>
    </w:p>
    <w:p w14:paraId="36B11B57">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20" w:name="_Toc9376"/>
      <w:bookmarkStart w:id="221" w:name="_Toc8203"/>
      <w:bookmarkStart w:id="222" w:name="_Toc6567"/>
      <w:bookmarkStart w:id="223" w:name="_Toc17431"/>
      <w:r>
        <w:rPr>
          <w:rFonts w:hint="eastAsia" w:ascii="宋体" w:eastAsia="宋体" w:cs="宋体"/>
          <w:b/>
          <w:bCs/>
          <w:color w:val="auto"/>
          <w:highlight w:val="none"/>
        </w:rPr>
        <w:t>2.2 发包人代表</w:t>
      </w:r>
      <w:bookmarkEnd w:id="220"/>
      <w:bookmarkEnd w:id="221"/>
      <w:bookmarkEnd w:id="222"/>
      <w:bookmarkEnd w:id="223"/>
    </w:p>
    <w:p w14:paraId="05FA786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发包人代表：</w:t>
      </w:r>
    </w:p>
    <w:p w14:paraId="5B6FAC7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姓    名：</w:t>
      </w:r>
      <w:r>
        <w:rPr>
          <w:rFonts w:hint="eastAsia" w:eastAsia="宋体" w:cs="宋体"/>
          <w:color w:val="auto"/>
          <w:highlight w:val="none"/>
          <w:u w:val="single"/>
        </w:rPr>
        <w:t xml:space="preserve">                                       </w:t>
      </w:r>
      <w:r>
        <w:rPr>
          <w:rFonts w:hint="eastAsia" w:eastAsia="宋体" w:cs="宋体"/>
          <w:color w:val="auto"/>
          <w:highlight w:val="none"/>
        </w:rPr>
        <w:t>；</w:t>
      </w:r>
    </w:p>
    <w:p w14:paraId="3F6081F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身份证号：</w:t>
      </w:r>
      <w:r>
        <w:rPr>
          <w:rFonts w:hint="eastAsia" w:eastAsia="宋体" w:cs="宋体"/>
          <w:color w:val="auto"/>
          <w:highlight w:val="none"/>
          <w:u w:val="single"/>
        </w:rPr>
        <w:t xml:space="preserve">                                       </w:t>
      </w:r>
      <w:r>
        <w:rPr>
          <w:rFonts w:hint="eastAsia" w:eastAsia="宋体" w:cs="宋体"/>
          <w:color w:val="auto"/>
          <w:highlight w:val="none"/>
        </w:rPr>
        <w:t>；</w:t>
      </w:r>
    </w:p>
    <w:p w14:paraId="64E353D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职    务：</w:t>
      </w:r>
      <w:r>
        <w:rPr>
          <w:rFonts w:hint="eastAsia" w:eastAsia="宋体" w:cs="宋体"/>
          <w:color w:val="auto"/>
          <w:highlight w:val="none"/>
          <w:u w:val="single"/>
        </w:rPr>
        <w:t xml:space="preserve">                                       </w:t>
      </w:r>
      <w:r>
        <w:rPr>
          <w:rFonts w:hint="eastAsia" w:eastAsia="宋体" w:cs="宋体"/>
          <w:color w:val="auto"/>
          <w:highlight w:val="none"/>
        </w:rPr>
        <w:t>；</w:t>
      </w:r>
    </w:p>
    <w:p w14:paraId="5BB1E99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联系电话：</w:t>
      </w:r>
      <w:r>
        <w:rPr>
          <w:rFonts w:hint="eastAsia" w:eastAsia="宋体" w:cs="宋体"/>
          <w:color w:val="auto"/>
          <w:highlight w:val="none"/>
          <w:u w:val="single"/>
        </w:rPr>
        <w:t xml:space="preserve">                                       </w:t>
      </w:r>
      <w:r>
        <w:rPr>
          <w:rFonts w:hint="eastAsia" w:eastAsia="宋体" w:cs="宋体"/>
          <w:color w:val="auto"/>
          <w:highlight w:val="none"/>
        </w:rPr>
        <w:t>；</w:t>
      </w:r>
    </w:p>
    <w:p w14:paraId="27CC5F1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电子信箱：</w:t>
      </w:r>
      <w:r>
        <w:rPr>
          <w:rFonts w:hint="eastAsia" w:eastAsia="宋体" w:cs="宋体"/>
          <w:color w:val="auto"/>
          <w:highlight w:val="none"/>
          <w:u w:val="single"/>
        </w:rPr>
        <w:t xml:space="preserve">                                       </w:t>
      </w:r>
      <w:r>
        <w:rPr>
          <w:rFonts w:hint="eastAsia" w:eastAsia="宋体" w:cs="宋体"/>
          <w:color w:val="auto"/>
          <w:highlight w:val="none"/>
        </w:rPr>
        <w:t>；</w:t>
      </w:r>
    </w:p>
    <w:p w14:paraId="7D85405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通信地址：</w:t>
      </w:r>
      <w:r>
        <w:rPr>
          <w:rFonts w:hint="eastAsia" w:eastAsia="宋体" w:cs="宋体"/>
          <w:color w:val="auto"/>
          <w:highlight w:val="none"/>
          <w:u w:val="single"/>
        </w:rPr>
        <w:t xml:space="preserve">                                        </w:t>
      </w:r>
      <w:r>
        <w:rPr>
          <w:rFonts w:hint="eastAsia" w:eastAsia="宋体" w:cs="宋体"/>
          <w:color w:val="auto"/>
          <w:highlight w:val="none"/>
        </w:rPr>
        <w:t>。</w:t>
      </w:r>
    </w:p>
    <w:p w14:paraId="0EF15FA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发包人对发包人代表的授权范围如下：</w:t>
      </w:r>
      <w:r>
        <w:rPr>
          <w:rFonts w:hint="eastAsia" w:eastAsia="宋体" w:cs="宋体"/>
          <w:color w:val="auto"/>
          <w:highlight w:val="none"/>
          <w:u w:val="single"/>
        </w:rPr>
        <w:t xml:space="preserve">以发包人签署予发包人代表的授权委托书的授权范围为准 </w:t>
      </w:r>
      <w:r>
        <w:rPr>
          <w:rFonts w:hint="eastAsia" w:eastAsia="宋体" w:cs="宋体"/>
          <w:color w:val="auto"/>
          <w:highlight w:val="none"/>
        </w:rPr>
        <w:t>。</w:t>
      </w:r>
    </w:p>
    <w:p w14:paraId="16B7A55C">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24" w:name="_Toc31672"/>
      <w:bookmarkStart w:id="225" w:name="_Toc30892"/>
      <w:bookmarkStart w:id="226" w:name="_Toc13439"/>
      <w:bookmarkStart w:id="227" w:name="_Toc10226"/>
      <w:r>
        <w:rPr>
          <w:rFonts w:hint="eastAsia" w:ascii="宋体" w:eastAsia="宋体" w:cs="宋体"/>
          <w:b/>
          <w:bCs/>
          <w:color w:val="auto"/>
          <w:highlight w:val="none"/>
        </w:rPr>
        <w:t>2.4 施工现场、施工条件和基础资料的提供</w:t>
      </w:r>
      <w:bookmarkEnd w:id="224"/>
      <w:bookmarkEnd w:id="225"/>
      <w:bookmarkEnd w:id="226"/>
      <w:bookmarkEnd w:id="227"/>
    </w:p>
    <w:p w14:paraId="005D154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2.4.1 提供施工现场</w:t>
      </w:r>
    </w:p>
    <w:p w14:paraId="06490EC7">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关于发包人移交施工现场的期限要求：</w:t>
      </w:r>
      <w:r>
        <w:rPr>
          <w:rFonts w:hint="eastAsia" w:eastAsia="宋体" w:cs="宋体"/>
          <w:color w:val="auto"/>
          <w:kern w:val="0"/>
          <w:highlight w:val="none"/>
          <w:u w:val="single"/>
        </w:rPr>
        <w:t>按通用合同条款执行</w:t>
      </w:r>
      <w:r>
        <w:rPr>
          <w:rFonts w:hint="eastAsia" w:eastAsia="宋体" w:cs="宋体"/>
          <w:color w:val="auto"/>
          <w:highlight w:val="none"/>
        </w:rPr>
        <w:t>。</w:t>
      </w:r>
    </w:p>
    <w:p w14:paraId="6BD3D59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2.4.2 提供施工条件</w:t>
      </w:r>
    </w:p>
    <w:p w14:paraId="3CBBA19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highlight w:val="none"/>
        </w:rPr>
        <w:t>关于发包人应负责提供施工所需要的条件，包括：</w:t>
      </w:r>
      <w:r>
        <w:rPr>
          <w:rFonts w:hint="eastAsia" w:eastAsia="宋体" w:cs="宋体"/>
          <w:color w:val="auto"/>
          <w:kern w:val="0"/>
          <w:highlight w:val="none"/>
          <w:u w:val="single"/>
        </w:rPr>
        <w:t xml:space="preserve">     负责完成工程的前期工作，包括项目立项审批、拆迁、安置、补偿、旧房拆除、管网迁改（通讯、电力等管线）等。施工所需电接点和水接点由发包人和承包人根据现场实际情况双方协商，接点至施工现场段管道/管线、计量设备由承包人自行解决，电讯线路的开通由承包人自行解决并承担费用；承包人使用的水、电、通讯费用由承包人负责。若供电部门的原因造成停电，承包人必须自行解决施工用电，费用由承包人负责          </w:t>
      </w:r>
      <w:r>
        <w:rPr>
          <w:rFonts w:hint="eastAsia" w:eastAsia="宋体" w:cs="宋体"/>
          <w:color w:val="auto"/>
          <w:kern w:val="0"/>
          <w:highlight w:val="none"/>
        </w:rPr>
        <w:t>。</w:t>
      </w:r>
    </w:p>
    <w:p w14:paraId="00033646">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28" w:name="_Toc31322"/>
      <w:bookmarkStart w:id="229" w:name="_Toc13360"/>
      <w:bookmarkStart w:id="230" w:name="_Toc23905"/>
      <w:bookmarkStart w:id="231" w:name="_Toc13153"/>
      <w:r>
        <w:rPr>
          <w:rFonts w:hint="eastAsia" w:ascii="宋体" w:eastAsia="宋体" w:cs="宋体"/>
          <w:b/>
          <w:bCs/>
          <w:color w:val="auto"/>
          <w:highlight w:val="none"/>
        </w:rPr>
        <w:t>2.5 资金来源证明及支付担保</w:t>
      </w:r>
      <w:bookmarkEnd w:id="228"/>
      <w:bookmarkEnd w:id="229"/>
      <w:bookmarkEnd w:id="230"/>
      <w:bookmarkEnd w:id="231"/>
    </w:p>
    <w:p w14:paraId="54F4D542">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ascii="宋体" w:hAnsi="宋体"/>
          <w:color w:val="auto"/>
          <w:szCs w:val="21"/>
          <w:highlight w:val="none"/>
        </w:rPr>
        <w:t>发包人提供资金来源证明的期限要求：</w:t>
      </w:r>
      <w:r>
        <w:rPr>
          <w:rFonts w:hint="eastAsia" w:ascii="宋体" w:hAnsi="宋体"/>
          <w:color w:val="auto"/>
          <w:szCs w:val="21"/>
          <w:highlight w:val="none"/>
          <w:u w:val="single"/>
        </w:rPr>
        <w:t xml:space="preserve">  否  </w:t>
      </w:r>
      <w:r>
        <w:rPr>
          <w:rFonts w:ascii="宋体" w:hAnsi="宋体"/>
          <w:color w:val="auto"/>
          <w:szCs w:val="21"/>
          <w:highlight w:val="none"/>
        </w:rPr>
        <w:t>。</w:t>
      </w:r>
    </w:p>
    <w:p w14:paraId="40854394">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ascii="宋体" w:hAnsi="宋体"/>
          <w:color w:val="auto"/>
          <w:szCs w:val="21"/>
          <w:highlight w:val="none"/>
        </w:rPr>
        <w:t>发包人是否提供支付担保：</w:t>
      </w:r>
      <w:r>
        <w:rPr>
          <w:rFonts w:hint="eastAsia" w:ascii="宋体" w:hAnsi="宋体"/>
          <w:color w:val="auto"/>
          <w:szCs w:val="21"/>
          <w:highlight w:val="none"/>
          <w:u w:val="single"/>
        </w:rPr>
        <w:t xml:space="preserve">  否  </w:t>
      </w:r>
      <w:r>
        <w:rPr>
          <w:rFonts w:ascii="宋体" w:hAnsi="宋体"/>
          <w:color w:val="auto"/>
          <w:szCs w:val="21"/>
          <w:highlight w:val="none"/>
        </w:rPr>
        <w:t>。</w:t>
      </w:r>
    </w:p>
    <w:p w14:paraId="2AEB03C1">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ascii="宋体" w:hAnsi="宋体"/>
          <w:color w:val="auto"/>
          <w:szCs w:val="21"/>
          <w:highlight w:val="none"/>
        </w:rPr>
        <w:t>发包人提供支付担保的形式：</w:t>
      </w:r>
      <w:r>
        <w:rPr>
          <w:rFonts w:hint="eastAsia" w:ascii="宋体" w:hAnsi="宋体"/>
          <w:color w:val="auto"/>
          <w:szCs w:val="21"/>
          <w:highlight w:val="none"/>
          <w:u w:val="single"/>
        </w:rPr>
        <w:t xml:space="preserve">  否  </w:t>
      </w:r>
      <w:r>
        <w:rPr>
          <w:rFonts w:ascii="宋体" w:hAnsi="宋体"/>
          <w:color w:val="auto"/>
          <w:szCs w:val="21"/>
          <w:highlight w:val="none"/>
        </w:rPr>
        <w:t>。</w:t>
      </w:r>
    </w:p>
    <w:p w14:paraId="58AFBBC3">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32" w:name="_Toc8956"/>
      <w:bookmarkStart w:id="233" w:name="_Toc11768"/>
      <w:bookmarkStart w:id="234" w:name="_Toc1767"/>
      <w:bookmarkStart w:id="235" w:name="_Toc24602"/>
      <w:r>
        <w:rPr>
          <w:rFonts w:hint="eastAsia" w:ascii="宋体" w:eastAsia="宋体" w:cs="宋体"/>
          <w:b/>
          <w:bCs/>
          <w:color w:val="auto"/>
          <w:highlight w:val="none"/>
        </w:rPr>
        <w:t>3. 承包人</w:t>
      </w:r>
      <w:bookmarkEnd w:id="232"/>
      <w:bookmarkEnd w:id="233"/>
      <w:bookmarkEnd w:id="234"/>
      <w:bookmarkEnd w:id="235"/>
    </w:p>
    <w:p w14:paraId="3C587897">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36" w:name="_Toc24045"/>
      <w:bookmarkStart w:id="237" w:name="_Toc20672"/>
      <w:bookmarkStart w:id="238" w:name="_Toc21715"/>
      <w:bookmarkStart w:id="239" w:name="_Toc27279"/>
      <w:r>
        <w:rPr>
          <w:rFonts w:hint="eastAsia" w:ascii="宋体" w:eastAsia="宋体" w:cs="宋体"/>
          <w:b/>
          <w:bCs/>
          <w:color w:val="auto"/>
          <w:highlight w:val="none"/>
        </w:rPr>
        <w:t>3.1 承包人的一般义务</w:t>
      </w:r>
      <w:bookmarkEnd w:id="236"/>
      <w:bookmarkEnd w:id="237"/>
      <w:bookmarkEnd w:id="238"/>
      <w:bookmarkEnd w:id="239"/>
    </w:p>
    <w:p w14:paraId="1855BE6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（9）</w:t>
      </w:r>
      <w:r>
        <w:rPr>
          <w:rFonts w:hint="eastAsia" w:eastAsia="宋体" w:cs="宋体"/>
          <w:color w:val="auto"/>
          <w:highlight w:val="none"/>
        </w:rPr>
        <w:t>承包人提交的竣工资料的内容：</w:t>
      </w:r>
      <w:r>
        <w:rPr>
          <w:rFonts w:hint="eastAsia" w:eastAsia="宋体" w:cs="宋体"/>
          <w:color w:val="auto"/>
          <w:kern w:val="0"/>
          <w:highlight w:val="none"/>
          <w:u w:val="single"/>
        </w:rPr>
        <w:t xml:space="preserve">   工程施工技术资料、工程质量资料、工程检验评定资料、竣工图，项目所在地建设主管部门规定的其他应交资料    </w:t>
      </w:r>
      <w:r>
        <w:rPr>
          <w:rFonts w:hint="eastAsia" w:eastAsia="宋体" w:cs="宋体"/>
          <w:color w:val="auto"/>
          <w:kern w:val="0"/>
          <w:highlight w:val="none"/>
        </w:rPr>
        <w:t>。</w:t>
      </w:r>
    </w:p>
    <w:p w14:paraId="17565D7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承包人需要提交的竣工资料套数：</w:t>
      </w:r>
      <w:r>
        <w:rPr>
          <w:rFonts w:hint="eastAsia" w:eastAsia="宋体" w:cs="宋体"/>
          <w:color w:val="auto"/>
          <w:highlight w:val="none"/>
          <w:u w:val="single"/>
        </w:rPr>
        <w:t xml:space="preserve">   </w:t>
      </w:r>
      <w:r>
        <w:rPr>
          <w:rFonts w:hint="eastAsia" w:eastAsia="宋体" w:cs="宋体"/>
          <w:color w:val="auto"/>
          <w:highlight w:val="none"/>
          <w:u w:val="single"/>
          <w:lang w:val="en-US" w:eastAsia="zh-CN"/>
        </w:rPr>
        <w:t xml:space="preserve">   </w:t>
      </w:r>
      <w:r>
        <w:rPr>
          <w:rFonts w:hint="eastAsia" w:eastAsia="宋体" w:cs="宋体"/>
          <w:color w:val="auto"/>
          <w:highlight w:val="none"/>
          <w:u w:val="single"/>
        </w:rPr>
        <w:t xml:space="preserve">  </w:t>
      </w:r>
      <w:r>
        <w:rPr>
          <w:rFonts w:hint="eastAsia" w:eastAsia="宋体" w:cs="宋体"/>
          <w:color w:val="auto"/>
          <w:highlight w:val="none"/>
        </w:rPr>
        <w:t>。</w:t>
      </w:r>
    </w:p>
    <w:p w14:paraId="2570A4F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承包人提交的竣工资料的费用承担：</w:t>
      </w:r>
      <w:r>
        <w:rPr>
          <w:rFonts w:hint="eastAsia" w:eastAsia="宋体" w:cs="宋体"/>
          <w:color w:val="auto"/>
          <w:highlight w:val="none"/>
          <w:u w:val="single"/>
        </w:rPr>
        <w:t xml:space="preserve">    </w:t>
      </w:r>
      <w:r>
        <w:rPr>
          <w:rFonts w:hint="eastAsia" w:eastAsia="宋体" w:cs="宋体"/>
          <w:color w:val="auto"/>
          <w:kern w:val="0"/>
          <w:highlight w:val="none"/>
          <w:u w:val="single"/>
        </w:rPr>
        <w:t xml:space="preserve">由承包人承担   </w:t>
      </w:r>
      <w:r>
        <w:rPr>
          <w:rFonts w:hint="eastAsia" w:eastAsia="宋体" w:cs="宋体"/>
          <w:color w:val="auto"/>
          <w:highlight w:val="none"/>
          <w:u w:val="single"/>
        </w:rPr>
        <w:t xml:space="preserve"> </w:t>
      </w:r>
      <w:r>
        <w:rPr>
          <w:rFonts w:hint="eastAsia" w:eastAsia="宋体" w:cs="宋体"/>
          <w:color w:val="auto"/>
          <w:highlight w:val="none"/>
        </w:rPr>
        <w:t>。</w:t>
      </w:r>
    </w:p>
    <w:p w14:paraId="3984FCF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承包人提交的竣工资料移交时间：</w:t>
      </w:r>
      <w:r>
        <w:rPr>
          <w:rFonts w:hint="eastAsia" w:eastAsia="宋体" w:cs="宋体"/>
          <w:color w:val="auto"/>
          <w:highlight w:val="none"/>
          <w:u w:val="single"/>
        </w:rPr>
        <w:t xml:space="preserve">    </w:t>
      </w:r>
      <w:r>
        <w:rPr>
          <w:rFonts w:hint="eastAsia" w:eastAsia="宋体" w:cs="宋体"/>
          <w:color w:val="auto"/>
          <w:highlight w:val="none"/>
          <w:u w:val="single"/>
          <w:lang w:val="en-US" w:eastAsia="zh-CN"/>
        </w:rPr>
        <w:t xml:space="preserve">                </w:t>
      </w:r>
      <w:r>
        <w:rPr>
          <w:rFonts w:hint="eastAsia" w:eastAsia="宋体" w:cs="宋体"/>
          <w:color w:val="auto"/>
          <w:highlight w:val="none"/>
          <w:u w:val="single"/>
        </w:rPr>
        <w:t xml:space="preserve">  </w:t>
      </w:r>
      <w:r>
        <w:rPr>
          <w:rFonts w:hint="eastAsia" w:eastAsia="宋体" w:cs="宋体"/>
          <w:color w:val="auto"/>
          <w:highlight w:val="none"/>
        </w:rPr>
        <w:t>。</w:t>
      </w:r>
    </w:p>
    <w:p w14:paraId="5B84548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承包人提交的竣工资料形式要求：</w:t>
      </w:r>
      <w:r>
        <w:rPr>
          <w:rFonts w:hint="eastAsia" w:eastAsia="宋体" w:cs="宋体"/>
          <w:color w:val="auto"/>
          <w:highlight w:val="none"/>
          <w:u w:val="single"/>
        </w:rPr>
        <w:t xml:space="preserve">  </w:t>
      </w:r>
      <w:r>
        <w:rPr>
          <w:rFonts w:hint="eastAsia" w:eastAsia="宋体" w:cs="宋体"/>
          <w:color w:val="auto"/>
          <w:highlight w:val="none"/>
          <w:u w:val="single"/>
          <w:lang w:val="en-US" w:eastAsia="zh-CN"/>
        </w:rPr>
        <w:t xml:space="preserve">            </w:t>
      </w:r>
      <w:r>
        <w:rPr>
          <w:rFonts w:hint="eastAsia" w:eastAsia="宋体" w:cs="宋体"/>
          <w:color w:val="auto"/>
          <w:highlight w:val="none"/>
          <w:u w:val="single"/>
        </w:rPr>
        <w:t xml:space="preserve">   </w:t>
      </w:r>
      <w:r>
        <w:rPr>
          <w:rFonts w:hint="eastAsia" w:eastAsia="宋体" w:cs="宋体"/>
          <w:color w:val="auto"/>
          <w:highlight w:val="none"/>
        </w:rPr>
        <w:t>。</w:t>
      </w:r>
    </w:p>
    <w:p w14:paraId="749C5CF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（10）承包人应履行的其他义务：</w:t>
      </w:r>
      <w:r>
        <w:rPr>
          <w:rFonts w:hint="eastAsia" w:eastAsia="宋体" w:cs="宋体"/>
          <w:color w:val="auto"/>
          <w:kern w:val="0"/>
          <w:highlight w:val="none"/>
          <w:u w:val="single"/>
        </w:rPr>
        <w:t xml:space="preserve">                      </w:t>
      </w:r>
      <w:r>
        <w:rPr>
          <w:rFonts w:hint="eastAsia" w:eastAsia="宋体" w:cs="宋体"/>
          <w:color w:val="auto"/>
          <w:kern w:val="0"/>
          <w:highlight w:val="none"/>
        </w:rPr>
        <w:t>。</w:t>
      </w:r>
    </w:p>
    <w:p w14:paraId="66D8C54F">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40" w:name="_Toc22338"/>
      <w:bookmarkStart w:id="241" w:name="_Toc26280"/>
      <w:bookmarkStart w:id="242" w:name="_Toc26439"/>
      <w:bookmarkStart w:id="243" w:name="_Toc397"/>
      <w:r>
        <w:rPr>
          <w:rFonts w:hint="eastAsia" w:ascii="宋体" w:eastAsia="宋体" w:cs="宋体"/>
          <w:b/>
          <w:bCs/>
          <w:color w:val="auto"/>
          <w:highlight w:val="none"/>
        </w:rPr>
        <w:t>3.2 项目经理</w:t>
      </w:r>
      <w:bookmarkEnd w:id="240"/>
      <w:bookmarkEnd w:id="241"/>
      <w:bookmarkEnd w:id="242"/>
      <w:bookmarkEnd w:id="243"/>
    </w:p>
    <w:p w14:paraId="345E6DD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 xml:space="preserve">3.2.1 </w:t>
      </w:r>
      <w:r>
        <w:rPr>
          <w:rFonts w:hint="eastAsia" w:eastAsia="宋体" w:cs="宋体"/>
          <w:color w:val="auto"/>
          <w:highlight w:val="none"/>
        </w:rPr>
        <w:t>项目经理：</w:t>
      </w:r>
    </w:p>
    <w:p w14:paraId="6921BC2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姓    名：</w:t>
      </w:r>
      <w:r>
        <w:rPr>
          <w:rFonts w:hint="eastAsia" w:eastAsia="宋体" w:cs="宋体"/>
          <w:color w:val="auto"/>
          <w:highlight w:val="none"/>
          <w:u w:val="single"/>
        </w:rPr>
        <w:t xml:space="preserve">                               </w:t>
      </w:r>
      <w:r>
        <w:rPr>
          <w:rFonts w:hint="eastAsia" w:eastAsia="宋体" w:cs="宋体"/>
          <w:color w:val="auto"/>
          <w:highlight w:val="none"/>
        </w:rPr>
        <w:t>；</w:t>
      </w:r>
    </w:p>
    <w:p w14:paraId="20D2784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身份证号：</w:t>
      </w:r>
      <w:r>
        <w:rPr>
          <w:rFonts w:hint="eastAsia" w:eastAsia="宋体" w:cs="宋体"/>
          <w:color w:val="auto"/>
          <w:highlight w:val="none"/>
          <w:u w:val="single"/>
        </w:rPr>
        <w:t xml:space="preserve">                               </w:t>
      </w:r>
      <w:r>
        <w:rPr>
          <w:rFonts w:hint="eastAsia" w:eastAsia="宋体" w:cs="宋体"/>
          <w:color w:val="auto"/>
          <w:highlight w:val="none"/>
        </w:rPr>
        <w:t>；</w:t>
      </w:r>
    </w:p>
    <w:p w14:paraId="49688D9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建造师执业资格等级：</w:t>
      </w:r>
      <w:r>
        <w:rPr>
          <w:rFonts w:hint="eastAsia" w:eastAsia="宋体" w:cs="宋体"/>
          <w:color w:val="auto"/>
          <w:highlight w:val="none"/>
          <w:u w:val="single"/>
        </w:rPr>
        <w:t xml:space="preserve">                               </w:t>
      </w:r>
      <w:r>
        <w:rPr>
          <w:rFonts w:hint="eastAsia" w:eastAsia="宋体" w:cs="宋体"/>
          <w:color w:val="auto"/>
          <w:highlight w:val="none"/>
        </w:rPr>
        <w:t>；</w:t>
      </w:r>
    </w:p>
    <w:p w14:paraId="788DA60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建造师注册证书号：</w:t>
      </w:r>
      <w:r>
        <w:rPr>
          <w:rFonts w:hint="eastAsia" w:eastAsia="宋体" w:cs="宋体"/>
          <w:color w:val="auto"/>
          <w:highlight w:val="none"/>
          <w:u w:val="single"/>
        </w:rPr>
        <w:t xml:space="preserve">                               </w:t>
      </w:r>
      <w:r>
        <w:rPr>
          <w:rFonts w:hint="eastAsia" w:eastAsia="宋体" w:cs="宋体"/>
          <w:color w:val="auto"/>
          <w:highlight w:val="none"/>
        </w:rPr>
        <w:t>；</w:t>
      </w:r>
    </w:p>
    <w:p w14:paraId="2553418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建造师执业印章号：</w:t>
      </w:r>
      <w:r>
        <w:rPr>
          <w:rFonts w:hint="eastAsia" w:eastAsia="宋体" w:cs="宋体"/>
          <w:color w:val="auto"/>
          <w:highlight w:val="none"/>
          <w:u w:val="single"/>
        </w:rPr>
        <w:t xml:space="preserve">                               </w:t>
      </w:r>
      <w:r>
        <w:rPr>
          <w:rFonts w:hint="eastAsia" w:eastAsia="宋体" w:cs="宋体"/>
          <w:color w:val="auto"/>
          <w:highlight w:val="none"/>
        </w:rPr>
        <w:t>；</w:t>
      </w:r>
    </w:p>
    <w:p w14:paraId="7D283B6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安全生产考核合格证书号：</w:t>
      </w:r>
      <w:r>
        <w:rPr>
          <w:rFonts w:hint="eastAsia" w:eastAsia="宋体" w:cs="宋体"/>
          <w:color w:val="auto"/>
          <w:highlight w:val="none"/>
          <w:u w:val="single"/>
        </w:rPr>
        <w:t xml:space="preserve">                               </w:t>
      </w:r>
      <w:r>
        <w:rPr>
          <w:rFonts w:hint="eastAsia" w:eastAsia="宋体" w:cs="宋体"/>
          <w:color w:val="auto"/>
          <w:highlight w:val="none"/>
        </w:rPr>
        <w:t>；</w:t>
      </w:r>
    </w:p>
    <w:p w14:paraId="2332B66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联系电话：</w:t>
      </w:r>
      <w:r>
        <w:rPr>
          <w:rFonts w:hint="eastAsia" w:eastAsia="宋体" w:cs="宋体"/>
          <w:color w:val="auto"/>
          <w:highlight w:val="none"/>
          <w:u w:val="single"/>
        </w:rPr>
        <w:t xml:space="preserve">                               </w:t>
      </w:r>
      <w:r>
        <w:rPr>
          <w:rFonts w:hint="eastAsia" w:eastAsia="宋体" w:cs="宋体"/>
          <w:color w:val="auto"/>
          <w:highlight w:val="none"/>
        </w:rPr>
        <w:t>；</w:t>
      </w:r>
    </w:p>
    <w:p w14:paraId="5E88AEE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电子信箱：</w:t>
      </w:r>
      <w:r>
        <w:rPr>
          <w:rFonts w:hint="eastAsia" w:eastAsia="宋体" w:cs="宋体"/>
          <w:color w:val="auto"/>
          <w:highlight w:val="none"/>
          <w:u w:val="single"/>
        </w:rPr>
        <w:t xml:space="preserve">                               </w:t>
      </w:r>
      <w:r>
        <w:rPr>
          <w:rFonts w:hint="eastAsia" w:eastAsia="宋体" w:cs="宋体"/>
          <w:color w:val="auto"/>
          <w:highlight w:val="none"/>
        </w:rPr>
        <w:t>；</w:t>
      </w:r>
    </w:p>
    <w:p w14:paraId="62CB802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通信地址：</w:t>
      </w:r>
      <w:r>
        <w:rPr>
          <w:rFonts w:hint="eastAsia" w:eastAsia="宋体" w:cs="宋体"/>
          <w:color w:val="auto"/>
          <w:highlight w:val="none"/>
          <w:u w:val="single"/>
        </w:rPr>
        <w:t xml:space="preserve">                               </w:t>
      </w:r>
      <w:r>
        <w:rPr>
          <w:rFonts w:hint="eastAsia" w:eastAsia="宋体" w:cs="宋体"/>
          <w:color w:val="auto"/>
          <w:highlight w:val="none"/>
        </w:rPr>
        <w:t>；</w:t>
      </w:r>
    </w:p>
    <w:p w14:paraId="5611F28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承包人对项目经理的授权范围如下：</w:t>
      </w:r>
      <w:r>
        <w:rPr>
          <w:rFonts w:hint="eastAsia" w:eastAsia="宋体" w:cs="宋体"/>
          <w:color w:val="auto"/>
          <w:highlight w:val="none"/>
          <w:u w:val="single"/>
        </w:rPr>
        <w:t xml:space="preserve">   仅限于本项目施工过程的施工管理和签署经过单位审核与本项目相关的资料，不得代表单位借款和赊购材料，在未取得单位的书面授权时，不得代表单位签订任何文件资料　</w:t>
      </w:r>
      <w:r>
        <w:rPr>
          <w:rFonts w:hint="eastAsia" w:eastAsia="宋体" w:cs="宋体"/>
          <w:color w:val="auto"/>
          <w:highlight w:val="none"/>
        </w:rPr>
        <w:t>。</w:t>
      </w:r>
    </w:p>
    <w:p w14:paraId="63CF9A6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u w:val="single"/>
        </w:rPr>
      </w:pPr>
      <w:r>
        <w:rPr>
          <w:rFonts w:hint="eastAsia" w:eastAsia="宋体" w:cs="宋体"/>
          <w:color w:val="auto"/>
          <w:kern w:val="0"/>
          <w:highlight w:val="none"/>
        </w:rPr>
        <w:t>关于项目经理每月在施工现场的时间要求：</w:t>
      </w:r>
      <w:r>
        <w:rPr>
          <w:rFonts w:hint="eastAsia" w:eastAsia="宋体" w:cs="宋体"/>
          <w:color w:val="auto"/>
          <w:highlight w:val="none"/>
          <w:u w:val="single"/>
        </w:rPr>
        <w:t>项目经理每月在岗带班时间不得少于当月施工时间的80%</w:t>
      </w:r>
      <w:r>
        <w:rPr>
          <w:rFonts w:hint="eastAsia" w:eastAsia="宋体" w:cs="宋体"/>
          <w:color w:val="auto"/>
          <w:kern w:val="0"/>
          <w:highlight w:val="none"/>
          <w:u w:val="single"/>
        </w:rPr>
        <w:t>，</w:t>
      </w:r>
      <w:r>
        <w:rPr>
          <w:rFonts w:hint="eastAsia" w:eastAsia="宋体" w:cs="宋体"/>
          <w:color w:val="auto"/>
          <w:kern w:val="0"/>
          <w:highlight w:val="none"/>
          <w:u w:val="single"/>
          <w:lang w:eastAsia="zh-CN"/>
        </w:rPr>
        <w:t>磋商</w:t>
      </w:r>
      <w:r>
        <w:rPr>
          <w:rFonts w:hint="eastAsia" w:eastAsia="宋体" w:cs="宋体"/>
          <w:color w:val="auto"/>
          <w:kern w:val="0"/>
          <w:highlight w:val="none"/>
          <w:u w:val="single"/>
        </w:rPr>
        <w:t>文件有承诺高于此要求的，按</w:t>
      </w:r>
      <w:r>
        <w:rPr>
          <w:rFonts w:hint="eastAsia" w:eastAsia="宋体" w:cs="宋体"/>
          <w:color w:val="auto"/>
          <w:kern w:val="0"/>
          <w:highlight w:val="none"/>
          <w:u w:val="single"/>
          <w:lang w:eastAsia="zh-CN"/>
        </w:rPr>
        <w:t>磋商</w:t>
      </w:r>
      <w:r>
        <w:rPr>
          <w:rFonts w:hint="eastAsia" w:eastAsia="宋体" w:cs="宋体"/>
          <w:color w:val="auto"/>
          <w:kern w:val="0"/>
          <w:highlight w:val="none"/>
          <w:u w:val="single"/>
        </w:rPr>
        <w:t>文件执行。</w:t>
      </w:r>
    </w:p>
    <w:p w14:paraId="426D845D">
      <w:pPr>
        <w:keepNext w:val="0"/>
        <w:keepLines w:val="0"/>
        <w:pageBreakBefore w:val="0"/>
        <w:widowControl w:val="0"/>
        <w:kinsoku/>
        <w:overflowPunct/>
        <w:topLinePunct w:val="0"/>
        <w:bidi w:val="0"/>
        <w:spacing w:line="360" w:lineRule="auto"/>
        <w:ind w:firstLine="420" w:firstLineChars="200"/>
        <w:textAlignment w:val="auto"/>
        <w:outlineLvl w:val="9"/>
        <w:rPr>
          <w:rFonts w:hint="eastAsia" w:ascii="宋体" w:hAnsi="宋体"/>
          <w:color w:val="auto"/>
          <w:szCs w:val="21"/>
          <w:highlight w:val="none"/>
        </w:rPr>
      </w:pPr>
      <w:r>
        <w:rPr>
          <w:rFonts w:ascii="宋体" w:hAnsi="宋体"/>
          <w:color w:val="auto"/>
          <w:szCs w:val="21"/>
          <w:highlight w:val="none"/>
        </w:rPr>
        <w:t>承包人未提交劳动合同，以及没有为项目经理缴纳社会保险证明的违约责任：</w:t>
      </w:r>
      <w:r>
        <w:rPr>
          <w:rFonts w:hint="eastAsia" w:ascii="宋体" w:hAnsi="宋体"/>
          <w:color w:val="auto"/>
          <w:szCs w:val="21"/>
          <w:highlight w:val="none"/>
          <w:u w:val="single"/>
        </w:rPr>
        <w:t xml:space="preserve">  处以3万元罚款（该罚款在履约保证金中扣除），责令限期提交劳动合同并补缴社会保险  </w:t>
      </w:r>
      <w:r>
        <w:rPr>
          <w:rFonts w:ascii="宋体" w:hAnsi="宋体"/>
          <w:color w:val="auto"/>
          <w:szCs w:val="21"/>
          <w:highlight w:val="none"/>
        </w:rPr>
        <w:t>。</w:t>
      </w:r>
    </w:p>
    <w:p w14:paraId="7C686C6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kern w:val="0"/>
          <w:highlight w:val="none"/>
        </w:rPr>
        <w:t>项目经理未经批准，擅自离开施工现场的违约责任：</w:t>
      </w:r>
      <w:r>
        <w:rPr>
          <w:rFonts w:hint="eastAsia" w:eastAsia="宋体" w:cs="宋体"/>
          <w:color w:val="auto"/>
          <w:highlight w:val="none"/>
          <w:u w:val="single"/>
        </w:rPr>
        <w:t xml:space="preserve">项目经理每月在岗带班时间不得少于当月施工时间的80%。未经发包人同意或正当理由，项目经理每月在岗带班时间少于当月施工时间80%的，少在岗带班一天，发包人有权处违约金2000元/日（人民币）  </w:t>
      </w:r>
      <w:r>
        <w:rPr>
          <w:rFonts w:hint="eastAsia" w:eastAsia="宋体" w:cs="宋体"/>
          <w:color w:val="auto"/>
          <w:highlight w:val="none"/>
        </w:rPr>
        <w:t>。</w:t>
      </w:r>
    </w:p>
    <w:p w14:paraId="4AA3D83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3.2.3 承包人擅自更换项目经理的违约责任：</w:t>
      </w:r>
      <w:r>
        <w:rPr>
          <w:rFonts w:hint="eastAsia" w:eastAsia="宋体" w:cs="宋体"/>
          <w:color w:val="auto"/>
          <w:highlight w:val="none"/>
          <w:u w:val="single"/>
        </w:rPr>
        <w:t>承包人项目经理必须与承包人</w:t>
      </w:r>
      <w:r>
        <w:rPr>
          <w:rFonts w:hint="eastAsia" w:eastAsia="宋体" w:cs="宋体"/>
          <w:color w:val="auto"/>
          <w:highlight w:val="none"/>
          <w:u w:val="single"/>
          <w:lang w:eastAsia="zh-CN"/>
        </w:rPr>
        <w:t>磋商</w:t>
      </w:r>
      <w:r>
        <w:rPr>
          <w:rFonts w:hint="eastAsia" w:eastAsia="宋体" w:cs="宋体"/>
          <w:color w:val="auto"/>
          <w:highlight w:val="none"/>
          <w:u w:val="single"/>
        </w:rPr>
        <w:t>时所承诺的人员一致，并在（开工日期）前到任。在监理人向承包人颁发竣工证明材料前，项目经理不得同时兼任其他任何项目的项目经理</w:t>
      </w:r>
      <w:r>
        <w:rPr>
          <w:rFonts w:hint="eastAsia" w:eastAsia="宋体" w:cs="宋体"/>
          <w:color w:val="auto"/>
          <w:kern w:val="0"/>
          <w:highlight w:val="none"/>
          <w:u w:val="single"/>
        </w:rPr>
        <w:t>（符合桂建管</w:t>
      </w:r>
      <w:r>
        <w:rPr>
          <w:rFonts w:hint="eastAsia" w:eastAsia="宋体" w:cs="宋体"/>
          <w:color w:val="auto"/>
          <w:highlight w:val="none"/>
          <w:u w:val="single"/>
        </w:rPr>
        <w:t>﹝2013﹞</w:t>
      </w:r>
      <w:r>
        <w:rPr>
          <w:rFonts w:hint="eastAsia" w:eastAsia="宋体" w:cs="宋体"/>
          <w:color w:val="auto"/>
          <w:kern w:val="0"/>
          <w:highlight w:val="none"/>
          <w:u w:val="single"/>
        </w:rPr>
        <w:t>17号和</w:t>
      </w:r>
      <w:r>
        <w:rPr>
          <w:rFonts w:hint="eastAsia" w:eastAsia="宋体" w:cs="宋体"/>
          <w:color w:val="auto"/>
          <w:highlight w:val="none"/>
          <w:u w:val="single"/>
        </w:rPr>
        <w:t>桂建管﹝2014﹞25号</w:t>
      </w:r>
      <w:r>
        <w:rPr>
          <w:rFonts w:hint="eastAsia" w:eastAsia="宋体" w:cs="宋体"/>
          <w:color w:val="auto"/>
          <w:kern w:val="0"/>
          <w:highlight w:val="none"/>
          <w:u w:val="single"/>
        </w:rPr>
        <w:t>文除外）</w:t>
      </w:r>
      <w:r>
        <w:rPr>
          <w:rFonts w:hint="eastAsia" w:eastAsia="宋体" w:cs="宋体"/>
          <w:color w:val="auto"/>
          <w:highlight w:val="none"/>
          <w:u w:val="single"/>
        </w:rPr>
        <w:t>。未经发包人书面同意，承包人擅自更换项目经理的视为违约，违约金处3000元/人•次（人民币）</w:t>
      </w:r>
      <w:r>
        <w:rPr>
          <w:rFonts w:hint="eastAsia" w:eastAsia="宋体" w:cs="宋体"/>
          <w:color w:val="auto"/>
          <w:highlight w:val="none"/>
        </w:rPr>
        <w:t>。</w:t>
      </w:r>
    </w:p>
    <w:p w14:paraId="5330742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3.2.4 承包人无正当理由拒绝更换项目经理的违约责任：</w:t>
      </w:r>
      <w:r>
        <w:rPr>
          <w:rFonts w:hint="eastAsia" w:eastAsia="宋体" w:cs="宋体"/>
          <w:color w:val="auto"/>
          <w:highlight w:val="none"/>
          <w:u w:val="single"/>
        </w:rPr>
        <w:t>因承包人项目经理不称职，发包人要求调换而未及时调换的，视为承包人违约，必须向发包人交纳处罚金3000元/人•次（人民币）</w:t>
      </w:r>
      <w:r>
        <w:rPr>
          <w:rFonts w:hint="eastAsia" w:eastAsia="宋体" w:cs="宋体"/>
          <w:color w:val="auto"/>
          <w:highlight w:val="none"/>
        </w:rPr>
        <w:t>。</w:t>
      </w:r>
    </w:p>
    <w:p w14:paraId="15D5C99B">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44" w:name="_Toc29017"/>
      <w:bookmarkStart w:id="245" w:name="_Toc26703"/>
      <w:bookmarkStart w:id="246" w:name="_Toc27682"/>
      <w:bookmarkStart w:id="247" w:name="_Toc29743"/>
      <w:r>
        <w:rPr>
          <w:rFonts w:hint="eastAsia" w:ascii="宋体" w:eastAsia="宋体" w:cs="宋体"/>
          <w:b/>
          <w:bCs/>
          <w:color w:val="auto"/>
          <w:highlight w:val="none"/>
        </w:rPr>
        <w:t>3.3 承包人人员</w:t>
      </w:r>
      <w:bookmarkEnd w:id="244"/>
      <w:bookmarkEnd w:id="245"/>
      <w:bookmarkEnd w:id="246"/>
      <w:bookmarkEnd w:id="247"/>
    </w:p>
    <w:p w14:paraId="4F5A9D98">
      <w:pPr>
        <w:pStyle w:val="56"/>
        <w:keepNext w:val="0"/>
        <w:keepLines w:val="0"/>
        <w:pageBreakBefore w:val="0"/>
        <w:widowControl w:val="0"/>
        <w:kinsoku/>
        <w:overflowPunct/>
        <w:topLinePunct w:val="0"/>
        <w:bidi w:val="0"/>
        <w:spacing w:line="400" w:lineRule="exact"/>
        <w:textAlignment w:val="auto"/>
        <w:outlineLvl w:val="9"/>
        <w:rPr>
          <w:rFonts w:hint="eastAsia" w:cs="宋体"/>
          <w:color w:val="auto"/>
          <w:highlight w:val="none"/>
        </w:rPr>
      </w:pPr>
      <w:r>
        <w:rPr>
          <w:rFonts w:hint="eastAsia" w:eastAsia="宋体" w:cs="宋体"/>
          <w:color w:val="auto"/>
          <w:highlight w:val="none"/>
        </w:rPr>
        <w:t>3.3.1 承包人提交项目管理机构及施工现场管理人员安排报告的期限：</w:t>
      </w:r>
      <w:r>
        <w:rPr>
          <w:rFonts w:hint="eastAsia" w:eastAsia="宋体" w:cs="宋体"/>
          <w:color w:val="auto"/>
          <w:highlight w:val="none"/>
          <w:u w:val="single"/>
        </w:rPr>
        <w:t>开工时间前7天日。项目管理机构的主要人员必须是</w:t>
      </w:r>
      <w:r>
        <w:rPr>
          <w:rFonts w:hint="eastAsia" w:eastAsia="宋体" w:cs="宋体"/>
          <w:color w:val="auto"/>
          <w:highlight w:val="none"/>
          <w:u w:val="single"/>
          <w:lang w:eastAsia="zh-CN"/>
        </w:rPr>
        <w:t>磋商</w:t>
      </w:r>
      <w:r>
        <w:rPr>
          <w:rFonts w:hint="eastAsia" w:eastAsia="宋体" w:cs="宋体"/>
          <w:color w:val="auto"/>
          <w:highlight w:val="none"/>
          <w:u w:val="single"/>
        </w:rPr>
        <w:t>文件中确认的人员，施工之后不能更换，确需更换人员的，更换后的人员相关资质及业绩、职称等要求不得低于采购文件最低要求，且须向发包人提出申请，并提供相关证明材料，经业主同意后方可换人</w:t>
      </w:r>
      <w:r>
        <w:rPr>
          <w:rFonts w:hint="eastAsia" w:cs="宋体"/>
          <w:color w:val="auto"/>
          <w:highlight w:val="none"/>
        </w:rPr>
        <w:t>。</w:t>
      </w:r>
    </w:p>
    <w:p w14:paraId="1D712CD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3.3.3 承包人无正当理由拒绝撤换主要施工管理人员的违约责任：</w:t>
      </w:r>
      <w:r>
        <w:rPr>
          <w:rFonts w:hint="eastAsia" w:eastAsia="宋体" w:cs="宋体"/>
          <w:color w:val="auto"/>
          <w:highlight w:val="none"/>
          <w:u w:val="single"/>
        </w:rPr>
        <w:t>因承包人主要施工管理人员不称职，发包人要求调换而无正当理由拒绝撤换或未及时调换的，视为承包人违约，必须向发包人交纳处罚金，处罚标准：技术负责人2000元/人•次（人民币）；专业工程师2000元/人•次（人民币）</w:t>
      </w:r>
      <w:r>
        <w:rPr>
          <w:rFonts w:hint="eastAsia" w:eastAsia="宋体" w:cs="宋体"/>
          <w:color w:val="auto"/>
          <w:highlight w:val="none"/>
        </w:rPr>
        <w:t>。</w:t>
      </w:r>
    </w:p>
    <w:p w14:paraId="670D7448">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3.3.4 承包人主要施工管理人员离开施工现场的批准要求：</w:t>
      </w:r>
      <w:r>
        <w:rPr>
          <w:rFonts w:hint="eastAsia" w:eastAsia="宋体" w:cs="宋体"/>
          <w:color w:val="auto"/>
          <w:kern w:val="0"/>
          <w:highlight w:val="none"/>
          <w:u w:val="single"/>
        </w:rPr>
        <w:t>由总监理工程师批准，发包人认可后方可离开</w:t>
      </w:r>
      <w:r>
        <w:rPr>
          <w:rFonts w:hint="eastAsia" w:eastAsia="宋体" w:cs="宋体"/>
          <w:color w:val="auto"/>
          <w:highlight w:val="none"/>
        </w:rPr>
        <w:t>。</w:t>
      </w:r>
    </w:p>
    <w:p w14:paraId="529F569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3.3.5 承包人擅自更换主要施工管理人员的违约责任：</w:t>
      </w:r>
      <w:r>
        <w:rPr>
          <w:rFonts w:hint="eastAsia" w:eastAsia="宋体" w:cs="宋体"/>
          <w:color w:val="auto"/>
          <w:highlight w:val="none"/>
          <w:u w:val="single"/>
        </w:rPr>
        <w:t>项目技术负责人、专职安全员及其承诺的其它在场管理人员未经发包人书面同意不准擅自更换，擅自更换项目技术负责人处2000元/人•次（人民币）违约金；擅自更换专职安全员处2000元/人•次（人民币）违约金；擅自更换其它在场管理人员处1000元/人•次（人民币）违约金</w:t>
      </w:r>
      <w:r>
        <w:rPr>
          <w:rFonts w:hint="eastAsia" w:eastAsia="宋体" w:cs="宋体"/>
          <w:color w:val="auto"/>
          <w:highlight w:val="none"/>
        </w:rPr>
        <w:t>。</w:t>
      </w:r>
    </w:p>
    <w:p w14:paraId="4C0980A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承包人主要施工管理人员擅自离开施工现场的违约责任：</w:t>
      </w:r>
      <w:r>
        <w:rPr>
          <w:rFonts w:hint="eastAsia" w:eastAsia="宋体" w:cs="宋体"/>
          <w:color w:val="auto"/>
          <w:highlight w:val="none"/>
          <w:u w:val="single"/>
        </w:rPr>
        <w:t>未经发包人同意，项目技术负责人擅自离岗的，视为承包人违约，发包人有权处违约金1000元/人•次（人民币）；未经发包人同意，专职安全员擅自离岗的，视为承包人违约，发包人有权处违约金1000元/人•次（人民币）；其它在场管理人员擅自离岗的，视为承包人违约，发包人有权处违约金500元/人•次（人民币）</w:t>
      </w:r>
      <w:r>
        <w:rPr>
          <w:rFonts w:hint="eastAsia" w:eastAsia="宋体" w:cs="宋体"/>
          <w:color w:val="auto"/>
          <w:highlight w:val="none"/>
        </w:rPr>
        <w:t>。</w:t>
      </w:r>
    </w:p>
    <w:p w14:paraId="4C23FF69">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48" w:name="_Toc5452"/>
      <w:bookmarkStart w:id="249" w:name="_Toc15379"/>
      <w:bookmarkStart w:id="250" w:name="_Toc16337"/>
      <w:bookmarkStart w:id="251" w:name="_Toc19591"/>
      <w:r>
        <w:rPr>
          <w:rFonts w:hint="eastAsia" w:ascii="宋体" w:eastAsia="宋体" w:cs="宋体"/>
          <w:b/>
          <w:bCs/>
          <w:color w:val="auto"/>
          <w:highlight w:val="none"/>
        </w:rPr>
        <w:t>3.5 分包</w:t>
      </w:r>
      <w:bookmarkEnd w:id="248"/>
      <w:bookmarkEnd w:id="249"/>
      <w:bookmarkEnd w:id="250"/>
      <w:bookmarkEnd w:id="251"/>
    </w:p>
    <w:p w14:paraId="2430A567">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rPr>
      </w:pPr>
      <w:r>
        <w:rPr>
          <w:rFonts w:ascii="宋体" w:hAnsi="宋体"/>
          <w:color w:val="auto"/>
          <w:szCs w:val="21"/>
          <w:highlight w:val="none"/>
        </w:rPr>
        <w:t>3.5.1 分包的一般约定</w:t>
      </w:r>
    </w:p>
    <w:p w14:paraId="355A3D32">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禁止分包的工程包括：</w:t>
      </w:r>
      <w:r>
        <w:rPr>
          <w:rFonts w:hint="eastAsia" w:ascii="宋体" w:hAnsi="宋体"/>
          <w:color w:val="auto"/>
          <w:szCs w:val="21"/>
          <w:highlight w:val="none"/>
          <w:u w:val="single"/>
        </w:rPr>
        <w:t xml:space="preserve">  本项目禁止分包  </w:t>
      </w:r>
      <w:r>
        <w:rPr>
          <w:rFonts w:ascii="宋体" w:hAnsi="宋体"/>
          <w:color w:val="auto"/>
          <w:szCs w:val="21"/>
          <w:highlight w:val="none"/>
        </w:rPr>
        <w:t>。</w:t>
      </w:r>
    </w:p>
    <w:p w14:paraId="20B4A524">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主体结构、关键性工作的范围：</w:t>
      </w:r>
      <w:r>
        <w:rPr>
          <w:rFonts w:hint="eastAsia" w:ascii="宋体" w:hAnsi="宋体"/>
          <w:color w:val="auto"/>
          <w:szCs w:val="21"/>
          <w:highlight w:val="none"/>
          <w:u w:val="single"/>
        </w:rPr>
        <w:t xml:space="preserve">  无  </w:t>
      </w:r>
      <w:r>
        <w:rPr>
          <w:rFonts w:ascii="宋体" w:hAnsi="宋体"/>
          <w:color w:val="auto"/>
          <w:szCs w:val="21"/>
          <w:highlight w:val="none"/>
        </w:rPr>
        <w:t>。</w:t>
      </w:r>
    </w:p>
    <w:p w14:paraId="3ADE0F33">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3.5.2</w:t>
      </w:r>
      <w:r>
        <w:rPr>
          <w:rFonts w:hint="eastAsia" w:ascii="宋体" w:hAnsi="宋体"/>
          <w:color w:val="auto"/>
          <w:szCs w:val="21"/>
          <w:highlight w:val="none"/>
        </w:rPr>
        <w:t xml:space="preserve"> </w:t>
      </w:r>
      <w:r>
        <w:rPr>
          <w:rFonts w:ascii="宋体" w:hAnsi="宋体"/>
          <w:color w:val="auto"/>
          <w:szCs w:val="21"/>
          <w:highlight w:val="none"/>
        </w:rPr>
        <w:t>分包的确定</w:t>
      </w:r>
    </w:p>
    <w:p w14:paraId="1277CECC">
      <w:pPr>
        <w:keepNext w:val="0"/>
        <w:keepLines w:val="0"/>
        <w:pageBreakBefore w:val="0"/>
        <w:widowControl w:val="0"/>
        <w:kinsoku/>
        <w:overflowPunct/>
        <w:topLinePunct w:val="0"/>
        <w:bidi w:val="0"/>
        <w:spacing w:line="360" w:lineRule="auto"/>
        <w:ind w:firstLine="420" w:firstLineChars="200"/>
        <w:textAlignment w:val="auto"/>
        <w:outlineLvl w:val="9"/>
        <w:rPr>
          <w:rFonts w:ascii="宋体" w:hAnsi="宋体"/>
          <w:color w:val="auto"/>
          <w:szCs w:val="21"/>
          <w:highlight w:val="none"/>
          <w:u w:val="single"/>
        </w:rPr>
      </w:pPr>
      <w:r>
        <w:rPr>
          <w:rFonts w:ascii="宋体" w:hAnsi="宋体"/>
          <w:color w:val="auto"/>
          <w:szCs w:val="21"/>
          <w:highlight w:val="none"/>
        </w:rPr>
        <w:t>允许分包的专业工程包括：</w:t>
      </w:r>
      <w:r>
        <w:rPr>
          <w:rFonts w:hint="eastAsia" w:ascii="宋体" w:hAnsi="宋体"/>
          <w:color w:val="auto"/>
          <w:szCs w:val="21"/>
          <w:highlight w:val="none"/>
          <w:u w:val="single"/>
        </w:rPr>
        <w:t xml:space="preserve">  无  </w:t>
      </w:r>
      <w:r>
        <w:rPr>
          <w:rFonts w:ascii="宋体" w:hAnsi="宋体"/>
          <w:color w:val="auto"/>
          <w:szCs w:val="21"/>
          <w:highlight w:val="none"/>
        </w:rPr>
        <w:t>。</w:t>
      </w:r>
    </w:p>
    <w:p w14:paraId="0DCE5DA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其他关于分包的约定：</w:t>
      </w:r>
    </w:p>
    <w:p w14:paraId="32F09D6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除前款约定的分包内容外，经过发包人和监理人同意，承包人可以将其他非主体、非关键性工作分包给第三人，但分包人应当经过发包人和监理人审批。发包人和监理人有权拒绝承包人的分包请求和承包人选择。</w:t>
      </w:r>
    </w:p>
    <w:p w14:paraId="4CD48FF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（2）在相关分包合同签订并报送有关建设行政主管部门备案后7天内，承包人应当将一份副本提交给监理人，承包人应保障分包工作不得再次分包。</w:t>
      </w:r>
    </w:p>
    <w:p w14:paraId="5351C13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（3）未经承包人和监理人审批同意的分包工程和分包人，承包人有权拒绝验收分包工程和支付相应款项，由此引起的发包人费用增加和(或)延误的工期由发包人承担。</w:t>
      </w:r>
    </w:p>
    <w:p w14:paraId="5CD3063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（4）承包人有以下情况之一者，发包人有权解除合同，并视情况扣除其履约保证金：</w:t>
      </w:r>
    </w:p>
    <w:p w14:paraId="78194DA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①个人承包工程，包括本人单位及外单位人员承包，发包人不承认其个人拥有任何资质等级及营业许可资格。没收全部履约保证金。</w:t>
      </w:r>
    </w:p>
    <w:p w14:paraId="34BA70C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②几个人联合承包工程，就地组织暗分包队伍，不具备完成本工程的技术、机械能力，被发包人判定为没有能力履行的承包人。没收全部履约保证金。</w:t>
      </w:r>
    </w:p>
    <w:p w14:paraId="112A580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③就地转包全部的工程，以谋取高额转让费、管理费的承包人。没收全部履约保证金。</w:t>
      </w:r>
    </w:p>
    <w:p w14:paraId="7B78E467">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④承包人有部分分包现象（其中包括冒充承包人下属单位的挂勾单位，凭口头协议参与施工的分包人及其他暗分包个体户），一经发现核实，发包人将采取驱逐该暗分包人措施。没收全部履约保证金。</w:t>
      </w:r>
    </w:p>
    <w:p w14:paraId="394A219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3.5.4 分包合同价款</w:t>
      </w:r>
    </w:p>
    <w:p w14:paraId="523E2A8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关于分包合同价款支付的约定：</w:t>
      </w:r>
      <w:r>
        <w:rPr>
          <w:rFonts w:hint="eastAsia" w:eastAsia="宋体" w:cs="宋体"/>
          <w:color w:val="auto"/>
          <w:highlight w:val="none"/>
          <w:u w:val="single"/>
        </w:rPr>
        <w:t>包工程价款由承包人与分包人（包括专业分包人）结算。发包人未经承包人同意不得以任何形式向分包人（包括专业分包人）支付相关分包合同项下的任何工程款项。因发包人未经承包人同意直接向分包人（包括专业分包人）支付相关分包合同项下的任何工程款项而影响承包人工作的，所造成的承包人费用增加和（或）延误的工期由发包人承担。</w:t>
      </w:r>
    </w:p>
    <w:p w14:paraId="280779C9">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52" w:name="_Toc21300"/>
      <w:bookmarkStart w:id="253" w:name="_Toc10598"/>
      <w:bookmarkStart w:id="254" w:name="_Toc27512"/>
      <w:bookmarkStart w:id="255" w:name="_Toc12882"/>
      <w:r>
        <w:rPr>
          <w:rFonts w:hint="eastAsia" w:ascii="宋体" w:eastAsia="宋体" w:cs="宋体"/>
          <w:b/>
          <w:bCs/>
          <w:color w:val="auto"/>
          <w:highlight w:val="none"/>
        </w:rPr>
        <w:t>3.6 工程照管与成品、半成品保护</w:t>
      </w:r>
      <w:bookmarkEnd w:id="252"/>
      <w:bookmarkEnd w:id="253"/>
      <w:bookmarkEnd w:id="254"/>
      <w:bookmarkEnd w:id="255"/>
    </w:p>
    <w:p w14:paraId="6FEC0BF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u w:val="single"/>
        </w:rPr>
      </w:pPr>
      <w:r>
        <w:rPr>
          <w:rFonts w:hint="eastAsia" w:eastAsia="宋体" w:cs="宋体"/>
          <w:color w:val="auto"/>
          <w:kern w:val="0"/>
          <w:highlight w:val="none"/>
        </w:rPr>
        <w:t>承包人负责照管工程及工程相关的材料、工程设备的起始时间：</w:t>
      </w:r>
      <w:r>
        <w:rPr>
          <w:rFonts w:hint="eastAsia" w:eastAsia="宋体" w:cs="宋体"/>
          <w:color w:val="auto"/>
          <w:kern w:val="0"/>
          <w:highlight w:val="none"/>
          <w:u w:val="single"/>
        </w:rPr>
        <w:t xml:space="preserve">  设备、人员进场至验收交付使用前由承包人负责保修，无其他特殊要求的，费用由承包人承担  </w:t>
      </w:r>
      <w:r>
        <w:rPr>
          <w:rFonts w:hint="eastAsia" w:eastAsia="宋体" w:cs="宋体"/>
          <w:color w:val="auto"/>
          <w:kern w:val="0"/>
          <w:highlight w:val="none"/>
        </w:rPr>
        <w:t>。</w:t>
      </w:r>
    </w:p>
    <w:p w14:paraId="3F884E33">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56" w:name="_Toc32101"/>
      <w:bookmarkStart w:id="257" w:name="_Toc25083"/>
      <w:bookmarkStart w:id="258" w:name="_Toc30672"/>
      <w:bookmarkStart w:id="259" w:name="_Toc21694"/>
      <w:r>
        <w:rPr>
          <w:rFonts w:hint="eastAsia" w:ascii="宋体" w:eastAsia="宋体" w:cs="宋体"/>
          <w:b/>
          <w:bCs/>
          <w:color w:val="auto"/>
          <w:highlight w:val="none"/>
        </w:rPr>
        <w:t>3.7 履约担保</w:t>
      </w:r>
      <w:bookmarkEnd w:id="256"/>
      <w:bookmarkEnd w:id="257"/>
      <w:bookmarkEnd w:id="258"/>
      <w:bookmarkEnd w:id="259"/>
    </w:p>
    <w:p w14:paraId="7147858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承包人是否提供履约担保：</w:t>
      </w:r>
      <w:r>
        <w:rPr>
          <w:rFonts w:hint="eastAsia" w:eastAsia="宋体" w:cs="宋体"/>
          <w:color w:val="auto"/>
          <w:highlight w:val="none"/>
          <w:lang w:val="en-US" w:eastAsia="zh-CN"/>
        </w:rPr>
        <w:t>不</w:t>
      </w:r>
      <w:r>
        <w:rPr>
          <w:rFonts w:hint="eastAsia" w:eastAsia="宋体" w:cs="宋体"/>
          <w:color w:val="auto"/>
          <w:highlight w:val="none"/>
          <w:u w:val="single"/>
        </w:rPr>
        <w:t>提供</w:t>
      </w:r>
      <w:r>
        <w:rPr>
          <w:rFonts w:hint="eastAsia" w:eastAsia="宋体" w:cs="宋体"/>
          <w:color w:val="auto"/>
          <w:highlight w:val="none"/>
        </w:rPr>
        <w:t>。</w:t>
      </w:r>
    </w:p>
    <w:p w14:paraId="3BB934CF">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60" w:name="_Toc32765"/>
      <w:bookmarkStart w:id="261" w:name="_Toc15417"/>
      <w:bookmarkStart w:id="262" w:name="_Toc9925"/>
      <w:bookmarkStart w:id="263" w:name="_Toc32751"/>
      <w:r>
        <w:rPr>
          <w:rFonts w:hint="eastAsia" w:ascii="宋体" w:eastAsia="宋体" w:cs="宋体"/>
          <w:b/>
          <w:bCs/>
          <w:color w:val="auto"/>
          <w:highlight w:val="none"/>
        </w:rPr>
        <w:t>4. 监理人</w:t>
      </w:r>
      <w:bookmarkEnd w:id="260"/>
      <w:bookmarkEnd w:id="261"/>
      <w:bookmarkEnd w:id="262"/>
      <w:bookmarkEnd w:id="263"/>
    </w:p>
    <w:p w14:paraId="6CEB9FCB">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64" w:name="_Toc26152"/>
      <w:bookmarkStart w:id="265" w:name="_Toc8378"/>
      <w:bookmarkStart w:id="266" w:name="_Toc18484"/>
      <w:bookmarkStart w:id="267" w:name="_Toc25929"/>
      <w:r>
        <w:rPr>
          <w:rFonts w:hint="eastAsia" w:ascii="宋体" w:eastAsia="宋体" w:cs="宋体"/>
          <w:b/>
          <w:bCs/>
          <w:color w:val="auto"/>
          <w:highlight w:val="none"/>
        </w:rPr>
        <w:t>4.1监理人的一般规定</w:t>
      </w:r>
      <w:bookmarkEnd w:id="264"/>
      <w:bookmarkEnd w:id="265"/>
      <w:bookmarkEnd w:id="266"/>
      <w:bookmarkEnd w:id="267"/>
    </w:p>
    <w:p w14:paraId="040972F1">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关于监理人的监理内容：</w:t>
      </w:r>
      <w:r>
        <w:rPr>
          <w:rFonts w:hint="eastAsia" w:ascii="宋体" w:hAnsi="宋体"/>
          <w:color w:val="auto"/>
          <w:szCs w:val="21"/>
          <w:highlight w:val="none"/>
          <w:u w:val="single"/>
        </w:rPr>
        <w:t xml:space="preserve">  按本工程的监理合同中的有关条款  </w:t>
      </w:r>
      <w:r>
        <w:rPr>
          <w:rFonts w:ascii="宋体" w:hAnsi="宋体"/>
          <w:color w:val="auto"/>
          <w:szCs w:val="21"/>
          <w:highlight w:val="none"/>
        </w:rPr>
        <w:t>。</w:t>
      </w:r>
    </w:p>
    <w:p w14:paraId="29B4CFFB">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关于监理人的监理权限：</w:t>
      </w:r>
      <w:r>
        <w:rPr>
          <w:rFonts w:hint="eastAsia" w:ascii="宋体" w:hAnsi="宋体"/>
          <w:color w:val="auto"/>
          <w:szCs w:val="21"/>
          <w:highlight w:val="none"/>
          <w:u w:val="single"/>
        </w:rPr>
        <w:t xml:space="preserve">  按本工程的监理合同中的有关条款  </w:t>
      </w:r>
      <w:r>
        <w:rPr>
          <w:rFonts w:ascii="宋体" w:hAnsi="宋体"/>
          <w:color w:val="auto"/>
          <w:szCs w:val="21"/>
          <w:highlight w:val="none"/>
        </w:rPr>
        <w:t xml:space="preserve">。 </w:t>
      </w:r>
    </w:p>
    <w:p w14:paraId="7DB2A8C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关于监理人在施工现场的办公场所、生活场所的提供和费用承担的约定：</w:t>
      </w:r>
      <w:r>
        <w:rPr>
          <w:rFonts w:hint="eastAsia" w:eastAsia="宋体" w:cs="宋体"/>
          <w:color w:val="auto"/>
          <w:kern w:val="0"/>
          <w:highlight w:val="none"/>
          <w:u w:val="single"/>
        </w:rPr>
        <w:t>承包人免费提供</w:t>
      </w:r>
      <w:r>
        <w:rPr>
          <w:rFonts w:hint="eastAsia" w:eastAsia="宋体" w:cs="宋体"/>
          <w:color w:val="auto"/>
          <w:highlight w:val="none"/>
        </w:rPr>
        <w:t>。</w:t>
      </w:r>
    </w:p>
    <w:p w14:paraId="353EB6E0">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68" w:name="_Toc28080"/>
      <w:bookmarkStart w:id="269" w:name="_Toc4103"/>
      <w:bookmarkStart w:id="270" w:name="_Toc2254"/>
      <w:bookmarkStart w:id="271" w:name="_Toc10883"/>
      <w:r>
        <w:rPr>
          <w:rFonts w:hint="eastAsia" w:ascii="宋体" w:eastAsia="宋体" w:cs="宋体"/>
          <w:b/>
          <w:bCs/>
          <w:color w:val="auto"/>
          <w:highlight w:val="none"/>
        </w:rPr>
        <w:t>4.2 监理人员</w:t>
      </w:r>
      <w:bookmarkEnd w:id="268"/>
      <w:bookmarkEnd w:id="269"/>
      <w:bookmarkEnd w:id="270"/>
      <w:bookmarkEnd w:id="271"/>
    </w:p>
    <w:p w14:paraId="01E0A9B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总监理工程师：</w:t>
      </w:r>
    </w:p>
    <w:p w14:paraId="1B32F8D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姓    名：</w:t>
      </w:r>
      <w:r>
        <w:rPr>
          <w:rFonts w:hint="eastAsia" w:eastAsia="宋体" w:cs="宋体"/>
          <w:color w:val="auto"/>
          <w:highlight w:val="none"/>
          <w:u w:val="single"/>
        </w:rPr>
        <w:t xml:space="preserve">                               </w:t>
      </w:r>
      <w:r>
        <w:rPr>
          <w:rFonts w:hint="eastAsia" w:eastAsia="宋体" w:cs="宋体"/>
          <w:color w:val="auto"/>
          <w:highlight w:val="none"/>
        </w:rPr>
        <w:t>；</w:t>
      </w:r>
    </w:p>
    <w:p w14:paraId="1F332DC8">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职    务：</w:t>
      </w:r>
      <w:r>
        <w:rPr>
          <w:rFonts w:hint="eastAsia" w:eastAsia="宋体" w:cs="宋体"/>
          <w:color w:val="auto"/>
          <w:highlight w:val="none"/>
          <w:u w:val="single"/>
        </w:rPr>
        <w:t>   </w:t>
      </w:r>
      <w:r>
        <w:rPr>
          <w:rFonts w:hint="eastAsia" w:eastAsia="宋体" w:cs="宋体"/>
          <w:color w:val="auto"/>
          <w:highlight w:val="none"/>
        </w:rPr>
        <w:t>；</w:t>
      </w:r>
    </w:p>
    <w:p w14:paraId="799E5F4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监理工程师执业资格证书号：</w:t>
      </w:r>
      <w:r>
        <w:rPr>
          <w:rFonts w:hint="eastAsia" w:eastAsia="宋体" w:cs="宋体"/>
          <w:color w:val="auto"/>
          <w:highlight w:val="none"/>
          <w:u w:val="single"/>
        </w:rPr>
        <w:t> </w:t>
      </w:r>
      <w:r>
        <w:rPr>
          <w:rFonts w:hint="eastAsia" w:eastAsia="宋体" w:cs="宋体"/>
          <w:color w:val="auto"/>
          <w:highlight w:val="none"/>
        </w:rPr>
        <w:t>；</w:t>
      </w:r>
    </w:p>
    <w:p w14:paraId="055F305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联系电话：</w:t>
      </w:r>
      <w:r>
        <w:rPr>
          <w:rFonts w:hint="eastAsia" w:eastAsia="宋体" w:cs="宋体"/>
          <w:color w:val="auto"/>
          <w:highlight w:val="none"/>
          <w:u w:val="single"/>
        </w:rPr>
        <w:t>   </w:t>
      </w:r>
      <w:r>
        <w:rPr>
          <w:rFonts w:hint="eastAsia" w:eastAsia="宋体" w:cs="宋体"/>
          <w:color w:val="auto"/>
          <w:highlight w:val="none"/>
        </w:rPr>
        <w:t>；</w:t>
      </w:r>
    </w:p>
    <w:p w14:paraId="3E2F4E7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电子信箱：</w:t>
      </w:r>
      <w:r>
        <w:rPr>
          <w:rFonts w:hint="eastAsia" w:eastAsia="宋体" w:cs="宋体"/>
          <w:color w:val="auto"/>
          <w:highlight w:val="none"/>
          <w:u w:val="single"/>
        </w:rPr>
        <w:t>   </w:t>
      </w:r>
      <w:r>
        <w:rPr>
          <w:rFonts w:hint="eastAsia" w:eastAsia="宋体" w:cs="宋体"/>
          <w:color w:val="auto"/>
          <w:highlight w:val="none"/>
        </w:rPr>
        <w:t>；</w:t>
      </w:r>
    </w:p>
    <w:p w14:paraId="028B309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通信地址：</w:t>
      </w:r>
      <w:r>
        <w:rPr>
          <w:rFonts w:hint="eastAsia" w:eastAsia="宋体" w:cs="宋体"/>
          <w:color w:val="auto"/>
          <w:highlight w:val="none"/>
          <w:u w:val="single"/>
        </w:rPr>
        <w:t>   </w:t>
      </w:r>
      <w:r>
        <w:rPr>
          <w:rFonts w:hint="eastAsia" w:eastAsia="宋体" w:cs="宋体"/>
          <w:color w:val="auto"/>
          <w:highlight w:val="none"/>
        </w:rPr>
        <w:t>；</w:t>
      </w:r>
    </w:p>
    <w:p w14:paraId="33DD453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关于监理人的其他约定：</w:t>
      </w:r>
      <w:r>
        <w:rPr>
          <w:rFonts w:hint="eastAsia" w:eastAsia="宋体" w:cs="宋体"/>
          <w:color w:val="auto"/>
          <w:highlight w:val="none"/>
          <w:u w:val="single"/>
        </w:rPr>
        <w:t>   </w:t>
      </w:r>
      <w:r>
        <w:rPr>
          <w:rFonts w:hint="eastAsia" w:eastAsia="宋体" w:cs="宋体"/>
          <w:color w:val="auto"/>
          <w:highlight w:val="none"/>
        </w:rPr>
        <w:t>。</w:t>
      </w:r>
    </w:p>
    <w:p w14:paraId="743EBC5B">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72" w:name="_Toc8076"/>
      <w:bookmarkStart w:id="273" w:name="_Toc8754"/>
      <w:bookmarkStart w:id="274" w:name="_Toc25283"/>
      <w:bookmarkStart w:id="275" w:name="_Toc18097"/>
      <w:r>
        <w:rPr>
          <w:rFonts w:hint="eastAsia" w:ascii="宋体" w:eastAsia="宋体" w:cs="宋体"/>
          <w:b/>
          <w:bCs/>
          <w:color w:val="auto"/>
          <w:highlight w:val="none"/>
        </w:rPr>
        <w:t>4.4 商定或确定</w:t>
      </w:r>
      <w:bookmarkEnd w:id="272"/>
      <w:bookmarkEnd w:id="273"/>
      <w:bookmarkEnd w:id="274"/>
      <w:bookmarkEnd w:id="275"/>
    </w:p>
    <w:p w14:paraId="5512FCF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在发包人和承包人不能通过协商达成一致意见时，发包人授权监理人对以下事项进行确定：</w:t>
      </w:r>
    </w:p>
    <w:p w14:paraId="71C6654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w:t>
      </w:r>
      <w:r>
        <w:rPr>
          <w:rFonts w:hint="eastAsia" w:eastAsia="宋体" w:cs="宋体"/>
          <w:color w:val="auto"/>
          <w:highlight w:val="none"/>
          <w:u w:val="single"/>
        </w:rPr>
        <w:t xml:space="preserve">        无                         </w:t>
      </w:r>
      <w:r>
        <w:rPr>
          <w:rFonts w:hint="eastAsia" w:eastAsia="宋体" w:cs="宋体"/>
          <w:color w:val="auto"/>
          <w:highlight w:val="none"/>
        </w:rPr>
        <w:t>；</w:t>
      </w:r>
    </w:p>
    <w:p w14:paraId="09BB7E6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（2）</w:t>
      </w:r>
      <w:r>
        <w:rPr>
          <w:rFonts w:hint="eastAsia" w:eastAsia="宋体" w:cs="宋体"/>
          <w:color w:val="auto"/>
          <w:highlight w:val="none"/>
          <w:u w:val="single"/>
        </w:rPr>
        <w:t xml:space="preserve">                                   </w:t>
      </w:r>
      <w:r>
        <w:rPr>
          <w:rFonts w:hint="eastAsia" w:eastAsia="宋体" w:cs="宋体"/>
          <w:color w:val="auto"/>
          <w:highlight w:val="none"/>
        </w:rPr>
        <w:t>；</w:t>
      </w:r>
    </w:p>
    <w:p w14:paraId="52B8658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（3）</w:t>
      </w:r>
      <w:r>
        <w:rPr>
          <w:rFonts w:hint="eastAsia" w:eastAsia="宋体" w:cs="宋体"/>
          <w:color w:val="auto"/>
          <w:highlight w:val="none"/>
          <w:u w:val="single"/>
        </w:rPr>
        <w:t xml:space="preserve">                                   </w:t>
      </w:r>
      <w:r>
        <w:rPr>
          <w:rFonts w:hint="eastAsia" w:eastAsia="宋体" w:cs="宋体"/>
          <w:color w:val="auto"/>
          <w:highlight w:val="none"/>
        </w:rPr>
        <w:t>。</w:t>
      </w:r>
    </w:p>
    <w:p w14:paraId="554B925E">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76" w:name="_Toc2320"/>
      <w:bookmarkStart w:id="277" w:name="_Toc21070"/>
      <w:bookmarkStart w:id="278" w:name="_Toc32540"/>
      <w:bookmarkStart w:id="279" w:name="_Toc18434"/>
      <w:r>
        <w:rPr>
          <w:rFonts w:hint="eastAsia" w:ascii="宋体" w:eastAsia="宋体" w:cs="宋体"/>
          <w:b/>
          <w:bCs/>
          <w:color w:val="auto"/>
          <w:highlight w:val="none"/>
        </w:rPr>
        <w:t>5. 工程质量</w:t>
      </w:r>
      <w:bookmarkEnd w:id="276"/>
      <w:bookmarkEnd w:id="277"/>
      <w:bookmarkEnd w:id="278"/>
      <w:bookmarkEnd w:id="279"/>
    </w:p>
    <w:p w14:paraId="1E51C750">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80" w:name="_Toc18221"/>
      <w:bookmarkStart w:id="281" w:name="_Toc11455"/>
      <w:bookmarkStart w:id="282" w:name="_Toc31558"/>
      <w:bookmarkStart w:id="283" w:name="_Toc31067"/>
      <w:r>
        <w:rPr>
          <w:rFonts w:hint="eastAsia" w:ascii="宋体" w:eastAsia="宋体" w:cs="宋体"/>
          <w:b/>
          <w:bCs/>
          <w:color w:val="auto"/>
          <w:highlight w:val="none"/>
        </w:rPr>
        <w:t>5.1 质量要求</w:t>
      </w:r>
      <w:bookmarkEnd w:id="280"/>
      <w:bookmarkEnd w:id="281"/>
      <w:bookmarkEnd w:id="282"/>
      <w:bookmarkEnd w:id="283"/>
    </w:p>
    <w:p w14:paraId="116D512A">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u w:val="single"/>
        </w:rPr>
      </w:pPr>
      <w:r>
        <w:rPr>
          <w:rFonts w:ascii="宋体" w:hAnsi="宋体"/>
          <w:color w:val="auto"/>
          <w:szCs w:val="21"/>
          <w:highlight w:val="none"/>
        </w:rPr>
        <w:t>5.1.1 特殊质量标准和要求：</w:t>
      </w:r>
      <w:r>
        <w:rPr>
          <w:rFonts w:hint="eastAsia" w:ascii="宋体" w:hAnsi="宋体"/>
          <w:color w:val="auto"/>
          <w:szCs w:val="21"/>
          <w:highlight w:val="none"/>
          <w:u w:val="single"/>
        </w:rPr>
        <w:t xml:space="preserve">  无  </w:t>
      </w:r>
      <w:r>
        <w:rPr>
          <w:rFonts w:ascii="宋体" w:hAnsi="宋体"/>
          <w:color w:val="auto"/>
          <w:szCs w:val="21"/>
          <w:highlight w:val="none"/>
        </w:rPr>
        <w:t>。</w:t>
      </w:r>
    </w:p>
    <w:p w14:paraId="6C147B0E">
      <w:pPr>
        <w:keepNext w:val="0"/>
        <w:keepLines w:val="0"/>
        <w:pageBreakBefore w:val="0"/>
        <w:widowControl w:val="0"/>
        <w:kinsoku/>
        <w:overflowPunct/>
        <w:topLinePunct w:val="0"/>
        <w:bidi w:val="0"/>
        <w:spacing w:line="360" w:lineRule="auto"/>
        <w:ind w:firstLine="420" w:firstLineChars="200"/>
        <w:jc w:val="left"/>
        <w:textAlignment w:val="auto"/>
        <w:outlineLvl w:val="9"/>
        <w:rPr>
          <w:rFonts w:hint="eastAsia" w:ascii="宋体" w:hAnsi="宋体"/>
          <w:color w:val="auto"/>
          <w:szCs w:val="21"/>
          <w:highlight w:val="none"/>
        </w:rPr>
      </w:pPr>
      <w:r>
        <w:rPr>
          <w:rFonts w:ascii="宋体" w:hAnsi="宋体"/>
          <w:color w:val="auto"/>
          <w:szCs w:val="21"/>
          <w:highlight w:val="none"/>
        </w:rPr>
        <w:t>关于工程奖项的约定：</w:t>
      </w:r>
      <w:r>
        <w:rPr>
          <w:rFonts w:hint="eastAsia" w:ascii="宋体" w:hAnsi="宋体"/>
          <w:color w:val="auto"/>
          <w:szCs w:val="21"/>
          <w:highlight w:val="none"/>
          <w:u w:val="single"/>
        </w:rPr>
        <w:t xml:space="preserve">  无  </w:t>
      </w:r>
      <w:r>
        <w:rPr>
          <w:rFonts w:ascii="宋体" w:hAnsi="宋体"/>
          <w:color w:val="auto"/>
          <w:szCs w:val="21"/>
          <w:highlight w:val="none"/>
        </w:rPr>
        <w:t>。</w:t>
      </w:r>
    </w:p>
    <w:p w14:paraId="463688F0">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84" w:name="_Toc728"/>
      <w:bookmarkStart w:id="285" w:name="_Toc22482"/>
      <w:bookmarkStart w:id="286" w:name="_Toc11745"/>
      <w:bookmarkStart w:id="287" w:name="_Toc29257"/>
      <w:r>
        <w:rPr>
          <w:rFonts w:hint="eastAsia" w:ascii="宋体" w:eastAsia="宋体" w:cs="宋体"/>
          <w:b/>
          <w:bCs/>
          <w:color w:val="auto"/>
          <w:highlight w:val="none"/>
        </w:rPr>
        <w:t>5.3 隐蔽工程检查</w:t>
      </w:r>
      <w:bookmarkEnd w:id="284"/>
      <w:bookmarkEnd w:id="285"/>
      <w:bookmarkEnd w:id="286"/>
      <w:bookmarkEnd w:id="287"/>
    </w:p>
    <w:p w14:paraId="245D0977">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s="宋体"/>
          <w:color w:val="auto"/>
          <w:kern w:val="2"/>
          <w:szCs w:val="21"/>
          <w:highlight w:val="none"/>
        </w:rPr>
      </w:pPr>
      <w:r>
        <w:rPr>
          <w:rFonts w:ascii="宋体" w:hAnsi="宋体" w:cs="宋体"/>
          <w:color w:val="auto"/>
          <w:kern w:val="2"/>
          <w:szCs w:val="21"/>
          <w:highlight w:val="none"/>
        </w:rPr>
        <w:t>5.3.2承包人提前通知监理人隐蔽工程检查的期限的约定：工程隐蔽或中间验收前12小时以书面形式通知发包人和监理工程师验收的内容、时间、地点，承包人准备验收记录单（最好是印制的表格）由双方签证。验收合格，承包人可进行隐蔽和继续施工；验收不合格，双方商订时限内修改后按上述循序重新验收。</w:t>
      </w:r>
    </w:p>
    <w:p w14:paraId="0C97FF7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监理人不能按时进行检查时，应提前</w:t>
      </w:r>
      <w:r>
        <w:rPr>
          <w:rFonts w:hint="eastAsia" w:eastAsia="宋体" w:cs="宋体"/>
          <w:color w:val="auto"/>
          <w:highlight w:val="none"/>
          <w:u w:val="single"/>
        </w:rPr>
        <w:t xml:space="preserve">  </w:t>
      </w:r>
      <w:r>
        <w:rPr>
          <w:rFonts w:hint="eastAsia" w:eastAsia="宋体" w:cs="宋体"/>
          <w:color w:val="auto"/>
          <w:highlight w:val="none"/>
          <w:u w:val="single"/>
          <w:lang w:val="en-US" w:eastAsia="zh-CN"/>
        </w:rPr>
        <w:t xml:space="preserve"> </w:t>
      </w:r>
      <w:r>
        <w:rPr>
          <w:rFonts w:hint="eastAsia" w:eastAsia="宋体" w:cs="宋体"/>
          <w:color w:val="auto"/>
          <w:highlight w:val="none"/>
          <w:u w:val="single"/>
        </w:rPr>
        <w:t xml:space="preserve"> </w:t>
      </w:r>
      <w:r>
        <w:rPr>
          <w:rFonts w:hint="eastAsia" w:eastAsia="宋体" w:cs="宋体"/>
          <w:color w:val="auto"/>
          <w:highlight w:val="none"/>
        </w:rPr>
        <w:t>小时提交书面延期要求。</w:t>
      </w:r>
    </w:p>
    <w:p w14:paraId="6D06D7A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关于延期最长不得超过：</w:t>
      </w:r>
      <w:r>
        <w:rPr>
          <w:rFonts w:hint="eastAsia" w:eastAsia="宋体" w:cs="宋体"/>
          <w:color w:val="auto"/>
          <w:highlight w:val="none"/>
          <w:u w:val="single"/>
          <w:lang w:val="en-US" w:eastAsia="zh-CN"/>
        </w:rPr>
        <w:t xml:space="preserve">    </w:t>
      </w:r>
      <w:r>
        <w:rPr>
          <w:rFonts w:hint="eastAsia" w:eastAsia="宋体" w:cs="宋体"/>
          <w:color w:val="auto"/>
          <w:highlight w:val="none"/>
        </w:rPr>
        <w:t>小时。</w:t>
      </w:r>
    </w:p>
    <w:p w14:paraId="221AB5A2">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88" w:name="_Toc18383"/>
      <w:bookmarkStart w:id="289" w:name="_Toc6843"/>
      <w:bookmarkStart w:id="290" w:name="_Toc2932"/>
      <w:bookmarkStart w:id="291" w:name="_Toc12246"/>
      <w:r>
        <w:rPr>
          <w:rFonts w:hint="eastAsia" w:ascii="宋体" w:eastAsia="宋体" w:cs="宋体"/>
          <w:b/>
          <w:bCs/>
          <w:color w:val="auto"/>
          <w:highlight w:val="none"/>
        </w:rPr>
        <w:t>6. 安全文明施工与环境保护</w:t>
      </w:r>
      <w:bookmarkEnd w:id="288"/>
      <w:bookmarkEnd w:id="289"/>
      <w:bookmarkEnd w:id="290"/>
      <w:bookmarkEnd w:id="291"/>
    </w:p>
    <w:p w14:paraId="6A248CA6">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92" w:name="_Toc31874"/>
      <w:bookmarkStart w:id="293" w:name="_Toc9688"/>
      <w:bookmarkStart w:id="294" w:name="_Toc4252"/>
      <w:bookmarkStart w:id="295" w:name="_Toc24219"/>
      <w:r>
        <w:rPr>
          <w:rFonts w:hint="eastAsia" w:ascii="宋体" w:eastAsia="宋体" w:cs="宋体"/>
          <w:b/>
          <w:bCs/>
          <w:color w:val="auto"/>
          <w:highlight w:val="none"/>
        </w:rPr>
        <w:t>6.1安全文明施工</w:t>
      </w:r>
      <w:bookmarkEnd w:id="292"/>
      <w:bookmarkEnd w:id="293"/>
      <w:bookmarkEnd w:id="294"/>
      <w:bookmarkEnd w:id="295"/>
    </w:p>
    <w:p w14:paraId="446A839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6.1.1 项目安全生产的达标目标及相应事项的约定：</w:t>
      </w:r>
      <w:r>
        <w:rPr>
          <w:rFonts w:hint="eastAsia" w:eastAsia="宋体" w:cs="宋体"/>
          <w:color w:val="auto"/>
          <w:kern w:val="0"/>
          <w:highlight w:val="none"/>
          <w:u w:val="single"/>
        </w:rPr>
        <w:t>要求达到《建筑施工安全检查标准》（JGJ59-2011）的标准和符合《广西壮族自治区建设工程安全文明施工费使用管理细则》（桂建质【2015】16号文）的要求</w:t>
      </w:r>
      <w:r>
        <w:rPr>
          <w:rFonts w:hint="eastAsia" w:eastAsia="宋体" w:cs="宋体"/>
          <w:color w:val="auto"/>
          <w:highlight w:val="none"/>
        </w:rPr>
        <w:t>。</w:t>
      </w:r>
    </w:p>
    <w:p w14:paraId="674D80DC">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关于</w:t>
      </w:r>
      <w:r>
        <w:rPr>
          <w:rFonts w:hint="eastAsia" w:ascii="宋体" w:hAnsi="宋体"/>
          <w:color w:val="auto"/>
          <w:szCs w:val="21"/>
          <w:highlight w:val="none"/>
        </w:rPr>
        <w:t>安全文明施工</w:t>
      </w:r>
      <w:r>
        <w:rPr>
          <w:rFonts w:ascii="宋体" w:hAnsi="宋体"/>
          <w:color w:val="auto"/>
          <w:szCs w:val="21"/>
          <w:highlight w:val="none"/>
        </w:rPr>
        <w:t>奖项的约定：</w:t>
      </w:r>
      <w:r>
        <w:rPr>
          <w:rFonts w:hint="eastAsia" w:ascii="宋体" w:hAnsi="宋体"/>
          <w:color w:val="auto"/>
          <w:szCs w:val="21"/>
          <w:highlight w:val="none"/>
          <w:u w:val="single"/>
        </w:rPr>
        <w:t xml:space="preserve">  无  </w:t>
      </w:r>
      <w:r>
        <w:rPr>
          <w:rFonts w:ascii="宋体" w:hAnsi="宋体"/>
          <w:color w:val="auto"/>
          <w:szCs w:val="21"/>
          <w:highlight w:val="none"/>
        </w:rPr>
        <w:t>。</w:t>
      </w:r>
    </w:p>
    <w:p w14:paraId="21CDC2C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6.1.4 关于治安保卫的特别约定：</w:t>
      </w:r>
      <w:r>
        <w:rPr>
          <w:rFonts w:hint="eastAsia" w:eastAsia="宋体" w:cs="宋体"/>
          <w:color w:val="auto"/>
          <w:highlight w:val="none"/>
          <w:u w:val="single"/>
        </w:rPr>
        <w:t>承包人应承担施工安全保卫工作及非夜间施工照明的责任，承包人应采取一切合理的预防措施，防止人员伤亡、财产损失事故，费用由承包人承担。承包人生活设施及施工场应自费配备消防设备，防止火灾发生。</w:t>
      </w:r>
    </w:p>
    <w:p w14:paraId="5D06935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关于编制施工场地治安管理计划的约定：</w:t>
      </w:r>
      <w:r>
        <w:rPr>
          <w:rFonts w:hint="eastAsia" w:eastAsia="宋体" w:cs="宋体"/>
          <w:color w:val="auto"/>
          <w:kern w:val="0"/>
          <w:highlight w:val="none"/>
          <w:u w:val="single"/>
        </w:rPr>
        <w:t xml:space="preserve">   开工前3天提供  </w:t>
      </w:r>
      <w:r>
        <w:rPr>
          <w:rFonts w:hint="eastAsia" w:eastAsia="宋体" w:cs="宋体"/>
          <w:color w:val="auto"/>
          <w:highlight w:val="none"/>
        </w:rPr>
        <w:t>。</w:t>
      </w:r>
    </w:p>
    <w:p w14:paraId="40749F0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6.1.5 文明施工</w:t>
      </w:r>
    </w:p>
    <w:p w14:paraId="30430C2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合同当事人对文明施工的要求：</w:t>
      </w:r>
      <w:r>
        <w:rPr>
          <w:rFonts w:hint="eastAsia" w:eastAsia="宋体" w:cs="宋体"/>
          <w:color w:val="auto"/>
          <w:kern w:val="0"/>
          <w:highlight w:val="none"/>
          <w:u w:val="single"/>
        </w:rPr>
        <w:t>要求达到《建筑施工现场环境与卫生标准》（JGJ146-2004）的标准和符合《广西壮族自治区建设工程安全文明施工费使用管理细则》（桂建质【2015】16号文）的要求</w:t>
      </w:r>
      <w:r>
        <w:rPr>
          <w:rFonts w:hint="eastAsia" w:eastAsia="宋体" w:cs="宋体"/>
          <w:color w:val="auto"/>
          <w:highlight w:val="none"/>
        </w:rPr>
        <w:t>。</w:t>
      </w:r>
    </w:p>
    <w:p w14:paraId="6130470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6.1.6 关于安全文明施工费支付比例和支付期限的约定：</w:t>
      </w:r>
    </w:p>
    <w:p w14:paraId="7FD9BD53">
      <w:pPr>
        <w:keepNext w:val="0"/>
        <w:keepLines w:val="0"/>
        <w:pageBreakBefore w:val="0"/>
        <w:widowControl w:val="0"/>
        <w:kinsoku/>
        <w:overflowPunct/>
        <w:topLinePunct w:val="0"/>
        <w:autoSpaceDE w:val="0"/>
        <w:autoSpaceDN w:val="0"/>
        <w:bidi w:val="0"/>
        <w:spacing w:line="360" w:lineRule="auto"/>
        <w:ind w:firstLine="420" w:firstLineChars="200"/>
        <w:jc w:val="left"/>
        <w:textAlignment w:val="auto"/>
        <w:outlineLvl w:val="9"/>
        <w:rPr>
          <w:rFonts w:ascii="宋体" w:hAnsi="宋体"/>
          <w:color w:val="auto"/>
          <w:szCs w:val="21"/>
          <w:highlight w:val="none"/>
        </w:rPr>
      </w:pPr>
      <w:r>
        <w:rPr>
          <w:rFonts w:hint="eastAsia" w:ascii="宋体" w:hAnsi="宋体"/>
          <w:color w:val="auto"/>
          <w:szCs w:val="21"/>
          <w:highlight w:val="none"/>
        </w:rPr>
        <w:t>（1）</w:t>
      </w:r>
      <w:r>
        <w:rPr>
          <w:rFonts w:ascii="宋体" w:hAnsi="宋体"/>
          <w:color w:val="auto"/>
          <w:szCs w:val="21"/>
          <w:highlight w:val="none"/>
        </w:rPr>
        <w:t>本合同价款已包含安全文明施工费</w:t>
      </w:r>
      <w:r>
        <w:rPr>
          <w:rFonts w:ascii="宋体" w:hAnsi="宋体"/>
          <w:color w:val="auto"/>
          <w:szCs w:val="21"/>
          <w:highlight w:val="none"/>
          <w:u w:val="single"/>
        </w:rPr>
        <w:t xml:space="preserve">    </w:t>
      </w:r>
      <w:r>
        <w:rPr>
          <w:rFonts w:hint="eastAsia" w:ascii="宋体" w:hAnsi="宋体"/>
          <w:color w:val="auto"/>
          <w:szCs w:val="21"/>
          <w:highlight w:val="none"/>
          <w:u w:val="single"/>
        </w:rPr>
        <w:t xml:space="preserve">     </w:t>
      </w:r>
      <w:r>
        <w:rPr>
          <w:rFonts w:ascii="宋体" w:hAnsi="宋体"/>
          <w:color w:val="auto"/>
          <w:szCs w:val="21"/>
          <w:highlight w:val="none"/>
          <w:u w:val="single"/>
        </w:rPr>
        <w:t xml:space="preserve">  </w:t>
      </w:r>
      <w:r>
        <w:rPr>
          <w:rFonts w:ascii="宋体" w:hAnsi="宋体"/>
          <w:color w:val="auto"/>
          <w:szCs w:val="21"/>
          <w:highlight w:val="none"/>
        </w:rPr>
        <w:t>元</w:t>
      </w:r>
      <w:r>
        <w:rPr>
          <w:rFonts w:hint="eastAsia" w:ascii="宋体" w:hAnsi="宋体"/>
          <w:color w:val="auto"/>
          <w:szCs w:val="21"/>
          <w:highlight w:val="none"/>
        </w:rPr>
        <w:t>。</w:t>
      </w:r>
    </w:p>
    <w:p w14:paraId="605A52D4">
      <w:pPr>
        <w:keepNext w:val="0"/>
        <w:keepLines w:val="0"/>
        <w:pageBreakBefore w:val="0"/>
        <w:widowControl w:val="0"/>
        <w:kinsoku/>
        <w:overflowPunct/>
        <w:topLinePunct w:val="0"/>
        <w:autoSpaceDE w:val="0"/>
        <w:autoSpaceDN w:val="0"/>
        <w:bidi w:val="0"/>
        <w:spacing w:line="360" w:lineRule="auto"/>
        <w:ind w:firstLine="420" w:firstLineChars="200"/>
        <w:jc w:val="left"/>
        <w:textAlignment w:val="auto"/>
        <w:outlineLvl w:val="9"/>
        <w:rPr>
          <w:rFonts w:hint="eastAsia" w:ascii="宋体" w:hAnsi="宋体"/>
          <w:color w:val="auto"/>
          <w:szCs w:val="21"/>
          <w:highlight w:val="none"/>
        </w:rPr>
      </w:pPr>
      <w:r>
        <w:rPr>
          <w:rFonts w:hint="eastAsia" w:ascii="宋体" w:hAnsi="宋体"/>
          <w:color w:val="auto"/>
          <w:szCs w:val="21"/>
          <w:highlight w:val="none"/>
        </w:rPr>
        <w:t>（</w:t>
      </w:r>
      <w:r>
        <w:rPr>
          <w:rFonts w:hint="eastAsia" w:ascii="宋体" w:hAnsi="宋体"/>
          <w:color w:val="auto"/>
          <w:szCs w:val="21"/>
          <w:highlight w:val="none"/>
          <w:lang w:val="en-US" w:eastAsia="zh-CN"/>
        </w:rPr>
        <w:t>2</w:t>
      </w:r>
      <w:r>
        <w:rPr>
          <w:rFonts w:hint="eastAsia" w:ascii="宋体" w:hAnsi="宋体"/>
          <w:color w:val="auto"/>
          <w:szCs w:val="21"/>
          <w:highlight w:val="none"/>
        </w:rPr>
        <w:t>）支付约定：</w:t>
      </w:r>
      <w:r>
        <w:rPr>
          <w:rFonts w:hint="eastAsia" w:ascii="宋体" w:hAnsi="宋体"/>
          <w:color w:val="auto"/>
          <w:szCs w:val="21"/>
          <w:highlight w:val="none"/>
          <w:u w:val="single"/>
        </w:rPr>
        <w:t xml:space="preserve">  纳入合同价格支付    </w:t>
      </w:r>
      <w:r>
        <w:rPr>
          <w:rFonts w:ascii="宋体" w:hAnsi="宋体"/>
          <w:color w:val="auto"/>
          <w:szCs w:val="21"/>
          <w:highlight w:val="none"/>
        </w:rPr>
        <w:t>。</w:t>
      </w:r>
    </w:p>
    <w:p w14:paraId="51D6B0D0">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296" w:name="_Toc12358"/>
      <w:bookmarkStart w:id="297" w:name="_Toc14087"/>
      <w:bookmarkStart w:id="298" w:name="_Toc4015"/>
      <w:bookmarkStart w:id="299" w:name="_Toc27234"/>
      <w:r>
        <w:rPr>
          <w:rFonts w:hint="eastAsia" w:ascii="宋体" w:eastAsia="宋体" w:cs="宋体"/>
          <w:b/>
          <w:bCs/>
          <w:color w:val="auto"/>
          <w:highlight w:val="none"/>
        </w:rPr>
        <w:t>6.3 环境保护</w:t>
      </w:r>
      <w:bookmarkEnd w:id="296"/>
      <w:bookmarkEnd w:id="297"/>
      <w:bookmarkEnd w:id="298"/>
      <w:bookmarkEnd w:id="299"/>
    </w:p>
    <w:p w14:paraId="76FB27A0">
      <w:pPr>
        <w:keepNext w:val="0"/>
        <w:keepLines w:val="0"/>
        <w:pageBreakBefore w:val="0"/>
        <w:widowControl w:val="0"/>
        <w:kinsoku/>
        <w:overflowPunct/>
        <w:topLinePunct w:val="0"/>
        <w:autoSpaceDE w:val="0"/>
        <w:autoSpaceDN w:val="0"/>
        <w:bidi w:val="0"/>
        <w:spacing w:line="360" w:lineRule="auto"/>
        <w:ind w:firstLine="420" w:firstLineChars="200"/>
        <w:jc w:val="left"/>
        <w:textAlignment w:val="auto"/>
        <w:outlineLvl w:val="9"/>
        <w:rPr>
          <w:rFonts w:hint="eastAsia" w:ascii="宋体" w:hAnsi="宋体"/>
          <w:color w:val="auto"/>
          <w:szCs w:val="21"/>
          <w:highlight w:val="none"/>
          <w:u w:val="single"/>
        </w:rPr>
      </w:pPr>
      <w:r>
        <w:rPr>
          <w:rFonts w:hint="eastAsia" w:ascii="宋体" w:hAnsi="宋体"/>
          <w:color w:val="auto"/>
          <w:szCs w:val="21"/>
          <w:highlight w:val="none"/>
          <w:u w:val="single"/>
        </w:rPr>
        <w:t>因施工需要，经发包人批准，由承包人办理有关施工场地交通、环卫和施工噪音管理等手续，费用由承包人负责。</w:t>
      </w:r>
    </w:p>
    <w:p w14:paraId="12E76C9A">
      <w:pPr>
        <w:keepNext w:val="0"/>
        <w:keepLines w:val="0"/>
        <w:pageBreakBefore w:val="0"/>
        <w:widowControl w:val="0"/>
        <w:kinsoku/>
        <w:overflowPunct/>
        <w:topLinePunct w:val="0"/>
        <w:autoSpaceDE w:val="0"/>
        <w:autoSpaceDN w:val="0"/>
        <w:bidi w:val="0"/>
        <w:spacing w:line="360" w:lineRule="auto"/>
        <w:ind w:firstLine="420" w:firstLineChars="200"/>
        <w:jc w:val="left"/>
        <w:textAlignment w:val="auto"/>
        <w:outlineLvl w:val="9"/>
        <w:rPr>
          <w:rFonts w:ascii="宋体" w:hAnsi="宋体"/>
          <w:color w:val="auto"/>
          <w:szCs w:val="21"/>
          <w:highlight w:val="none"/>
          <w:u w:val="single"/>
        </w:rPr>
      </w:pPr>
      <w:r>
        <w:rPr>
          <w:rFonts w:hint="eastAsia" w:ascii="宋体" w:hAnsi="宋体"/>
          <w:color w:val="auto"/>
          <w:szCs w:val="21"/>
          <w:highlight w:val="none"/>
          <w:u w:val="single"/>
        </w:rPr>
        <w:t>经过城市道路的施工车辆，必须按交警、城管、运输等部门相关规定执行。由于施工车辆造成的道路、环境等污染，其责任和费用均由承包人承担。</w:t>
      </w:r>
    </w:p>
    <w:p w14:paraId="2C77A3D0">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00" w:name="_Toc7371"/>
      <w:bookmarkStart w:id="301" w:name="_Toc2511"/>
      <w:bookmarkStart w:id="302" w:name="_Toc26130"/>
      <w:bookmarkStart w:id="303" w:name="_Toc8325"/>
      <w:r>
        <w:rPr>
          <w:rFonts w:hint="eastAsia" w:ascii="宋体" w:eastAsia="宋体" w:cs="宋体"/>
          <w:b/>
          <w:bCs/>
          <w:color w:val="auto"/>
          <w:highlight w:val="none"/>
        </w:rPr>
        <w:t>7. 工期和进度</w:t>
      </w:r>
      <w:bookmarkEnd w:id="300"/>
      <w:bookmarkEnd w:id="301"/>
      <w:bookmarkEnd w:id="302"/>
      <w:bookmarkEnd w:id="303"/>
    </w:p>
    <w:p w14:paraId="25B2D07A">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04" w:name="_Toc12424"/>
      <w:bookmarkStart w:id="305" w:name="_Toc10853"/>
      <w:bookmarkStart w:id="306" w:name="_Toc7842"/>
      <w:bookmarkStart w:id="307" w:name="_Toc27071"/>
      <w:r>
        <w:rPr>
          <w:rFonts w:hint="eastAsia" w:ascii="宋体" w:eastAsia="宋体" w:cs="宋体"/>
          <w:b/>
          <w:bCs/>
          <w:color w:val="auto"/>
          <w:highlight w:val="none"/>
        </w:rPr>
        <w:t>7.1 施工组织设计</w:t>
      </w:r>
      <w:bookmarkEnd w:id="304"/>
      <w:bookmarkEnd w:id="305"/>
      <w:bookmarkEnd w:id="306"/>
      <w:bookmarkEnd w:id="307"/>
    </w:p>
    <w:p w14:paraId="340FCFE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highlight w:val="none"/>
        </w:rPr>
        <w:t>7.1.1 合</w:t>
      </w:r>
      <w:r>
        <w:rPr>
          <w:rFonts w:hint="eastAsia" w:eastAsia="宋体" w:cs="宋体"/>
          <w:color w:val="auto"/>
          <w:kern w:val="0"/>
          <w:highlight w:val="none"/>
        </w:rPr>
        <w:t>同当事人约定的施工组织设计应包括的其他内容：</w:t>
      </w:r>
      <w:r>
        <w:rPr>
          <w:rFonts w:hint="eastAsia" w:eastAsia="宋体" w:cs="宋体"/>
          <w:color w:val="auto"/>
          <w:kern w:val="0"/>
          <w:highlight w:val="none"/>
          <w:u w:val="single"/>
        </w:rPr>
        <w:t>按采购文件约定，采购文件无约定的按通用条款或双方另行约定</w:t>
      </w:r>
      <w:r>
        <w:rPr>
          <w:rFonts w:hint="eastAsia" w:eastAsia="宋体" w:cs="宋体"/>
          <w:color w:val="auto"/>
          <w:highlight w:val="none"/>
        </w:rPr>
        <w:t>。</w:t>
      </w:r>
    </w:p>
    <w:p w14:paraId="235F2D7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highlight w:val="none"/>
        </w:rPr>
        <w:t xml:space="preserve">7.1.2 </w:t>
      </w:r>
      <w:r>
        <w:rPr>
          <w:rFonts w:hint="eastAsia" w:eastAsia="宋体" w:cs="宋体"/>
          <w:color w:val="auto"/>
          <w:kern w:val="0"/>
          <w:highlight w:val="none"/>
        </w:rPr>
        <w:t>施工组织设计的提交和修改</w:t>
      </w:r>
    </w:p>
    <w:p w14:paraId="6117B60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承包人提交详细施工组织设计的期限的约定：</w:t>
      </w:r>
      <w:r>
        <w:rPr>
          <w:rFonts w:hint="eastAsia" w:eastAsia="宋体" w:cs="宋体"/>
          <w:color w:val="auto"/>
          <w:kern w:val="0"/>
          <w:highlight w:val="none"/>
          <w:u w:val="single"/>
        </w:rPr>
        <w:t xml:space="preserve">  </w:t>
      </w:r>
      <w:r>
        <w:rPr>
          <w:rFonts w:hint="eastAsia" w:eastAsia="宋体" w:cs="宋体"/>
          <w:color w:val="auto"/>
          <w:kern w:val="0"/>
          <w:highlight w:val="none"/>
          <w:u w:val="single"/>
          <w:lang w:val="en-US" w:eastAsia="zh-CN"/>
        </w:rPr>
        <w:t xml:space="preserve">   </w:t>
      </w:r>
      <w:r>
        <w:rPr>
          <w:rFonts w:hint="eastAsia" w:eastAsia="宋体" w:cs="宋体"/>
          <w:color w:val="auto"/>
          <w:kern w:val="0"/>
          <w:highlight w:val="none"/>
          <w:u w:val="single"/>
        </w:rPr>
        <w:t xml:space="preserve">  </w:t>
      </w:r>
      <w:r>
        <w:rPr>
          <w:rFonts w:hint="eastAsia" w:eastAsia="宋体" w:cs="宋体"/>
          <w:color w:val="auto"/>
          <w:highlight w:val="none"/>
        </w:rPr>
        <w:t>。</w:t>
      </w:r>
    </w:p>
    <w:p w14:paraId="17A18DF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发包人和监理人在收到详细的施工组织设计后确认或提出修改意见的期限：</w:t>
      </w:r>
      <w:r>
        <w:rPr>
          <w:rFonts w:hint="eastAsia" w:eastAsia="宋体" w:cs="宋体"/>
          <w:color w:val="auto"/>
          <w:kern w:val="0"/>
          <w:highlight w:val="none"/>
          <w:u w:val="single"/>
        </w:rPr>
        <w:t xml:space="preserve">  </w:t>
      </w:r>
      <w:r>
        <w:rPr>
          <w:rFonts w:hint="eastAsia" w:eastAsia="宋体" w:cs="宋体"/>
          <w:color w:val="auto"/>
          <w:kern w:val="0"/>
          <w:highlight w:val="none"/>
          <w:u w:val="single"/>
          <w:lang w:val="en-US" w:eastAsia="zh-CN"/>
        </w:rPr>
        <w:t xml:space="preserve">    </w:t>
      </w:r>
      <w:r>
        <w:rPr>
          <w:rFonts w:hint="eastAsia" w:eastAsia="宋体" w:cs="宋体"/>
          <w:color w:val="auto"/>
          <w:kern w:val="0"/>
          <w:highlight w:val="none"/>
          <w:u w:val="single"/>
        </w:rPr>
        <w:t xml:space="preserve"> </w:t>
      </w:r>
      <w:r>
        <w:rPr>
          <w:rFonts w:hint="eastAsia" w:eastAsia="宋体" w:cs="宋体"/>
          <w:color w:val="auto"/>
          <w:highlight w:val="none"/>
        </w:rPr>
        <w:t>。</w:t>
      </w:r>
    </w:p>
    <w:p w14:paraId="0424548E">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08" w:name="_Toc15723"/>
      <w:bookmarkStart w:id="309" w:name="_Toc12247"/>
      <w:bookmarkStart w:id="310" w:name="_Toc26914"/>
      <w:bookmarkStart w:id="311" w:name="_Toc15386"/>
      <w:r>
        <w:rPr>
          <w:rFonts w:hint="eastAsia" w:ascii="宋体" w:eastAsia="宋体" w:cs="宋体"/>
          <w:b/>
          <w:bCs/>
          <w:color w:val="auto"/>
          <w:highlight w:val="none"/>
        </w:rPr>
        <w:t>7.2 施工进度计划</w:t>
      </w:r>
      <w:bookmarkEnd w:id="308"/>
      <w:bookmarkEnd w:id="309"/>
      <w:bookmarkEnd w:id="310"/>
      <w:bookmarkEnd w:id="311"/>
    </w:p>
    <w:p w14:paraId="7777DC9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7.2.2 施工进度计划的修订</w:t>
      </w:r>
    </w:p>
    <w:p w14:paraId="3F48D5E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发包人和监理人在收到修订的施工进度计划后确认或提出修改意见的期限：</w:t>
      </w:r>
      <w:r>
        <w:rPr>
          <w:rFonts w:hint="eastAsia" w:eastAsia="宋体" w:cs="宋体"/>
          <w:color w:val="auto"/>
          <w:kern w:val="0"/>
          <w:highlight w:val="none"/>
          <w:u w:val="single"/>
        </w:rPr>
        <w:t xml:space="preserve">  </w:t>
      </w:r>
      <w:r>
        <w:rPr>
          <w:rFonts w:hint="eastAsia" w:eastAsia="宋体" w:cs="宋体"/>
          <w:color w:val="auto"/>
          <w:kern w:val="0"/>
          <w:highlight w:val="none"/>
          <w:u w:val="single"/>
          <w:lang w:val="en-US" w:eastAsia="zh-CN"/>
        </w:rPr>
        <w:t xml:space="preserve">      </w:t>
      </w:r>
      <w:r>
        <w:rPr>
          <w:rFonts w:hint="eastAsia" w:eastAsia="宋体" w:cs="宋体"/>
          <w:color w:val="auto"/>
          <w:kern w:val="0"/>
          <w:highlight w:val="none"/>
          <w:u w:val="single"/>
        </w:rPr>
        <w:t xml:space="preserve"> </w:t>
      </w:r>
      <w:r>
        <w:rPr>
          <w:rFonts w:hint="eastAsia" w:eastAsia="宋体" w:cs="宋体"/>
          <w:color w:val="auto"/>
          <w:highlight w:val="none"/>
        </w:rPr>
        <w:t>。</w:t>
      </w:r>
    </w:p>
    <w:p w14:paraId="6D51F0FB">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12" w:name="_Toc1420"/>
      <w:bookmarkStart w:id="313" w:name="_Toc4101"/>
      <w:bookmarkStart w:id="314" w:name="_Toc267"/>
      <w:bookmarkStart w:id="315" w:name="_Toc7930"/>
      <w:r>
        <w:rPr>
          <w:rFonts w:hint="eastAsia" w:ascii="宋体" w:eastAsia="宋体" w:cs="宋体"/>
          <w:b/>
          <w:bCs/>
          <w:color w:val="auto"/>
          <w:highlight w:val="none"/>
        </w:rPr>
        <w:t>7.3 开工</w:t>
      </w:r>
      <w:bookmarkEnd w:id="312"/>
      <w:bookmarkEnd w:id="313"/>
      <w:bookmarkEnd w:id="314"/>
      <w:bookmarkEnd w:id="315"/>
    </w:p>
    <w:p w14:paraId="38705EE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7.3.1 开工准备</w:t>
      </w:r>
    </w:p>
    <w:p w14:paraId="364D54A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关于承包人提交</w:t>
      </w:r>
      <w:r>
        <w:rPr>
          <w:rFonts w:hint="eastAsia" w:eastAsia="宋体" w:cs="宋体"/>
          <w:color w:val="auto"/>
          <w:kern w:val="0"/>
          <w:highlight w:val="none"/>
        </w:rPr>
        <w:t>工程开工报审表的期限：</w:t>
      </w:r>
      <w:r>
        <w:rPr>
          <w:rFonts w:hint="eastAsia" w:eastAsia="宋体" w:cs="宋体"/>
          <w:color w:val="auto"/>
          <w:kern w:val="0"/>
          <w:highlight w:val="none"/>
          <w:u w:val="single"/>
        </w:rPr>
        <w:t>执行通用条款</w:t>
      </w:r>
      <w:r>
        <w:rPr>
          <w:rFonts w:hint="eastAsia" w:eastAsia="宋体" w:cs="宋体"/>
          <w:color w:val="auto"/>
          <w:highlight w:val="none"/>
        </w:rPr>
        <w:t>。</w:t>
      </w:r>
    </w:p>
    <w:p w14:paraId="70624CA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关于发包人应完成的其他开工准备工作及期限：</w:t>
      </w:r>
      <w:r>
        <w:rPr>
          <w:rFonts w:hint="eastAsia" w:eastAsia="宋体" w:cs="宋体"/>
          <w:color w:val="auto"/>
          <w:kern w:val="0"/>
          <w:highlight w:val="none"/>
          <w:u w:val="single"/>
        </w:rPr>
        <w:t>执行通用条款</w:t>
      </w:r>
      <w:r>
        <w:rPr>
          <w:rFonts w:hint="eastAsia" w:eastAsia="宋体" w:cs="宋体"/>
          <w:color w:val="auto"/>
          <w:highlight w:val="none"/>
        </w:rPr>
        <w:t>。</w:t>
      </w:r>
    </w:p>
    <w:p w14:paraId="58C7542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关于承包人应完成的其他开工准备工作及期限：</w:t>
      </w:r>
      <w:r>
        <w:rPr>
          <w:rFonts w:hint="eastAsia" w:eastAsia="宋体" w:cs="宋体"/>
          <w:color w:val="auto"/>
          <w:kern w:val="0"/>
          <w:highlight w:val="none"/>
          <w:u w:val="single"/>
        </w:rPr>
        <w:t>执行通用条款</w:t>
      </w:r>
      <w:r>
        <w:rPr>
          <w:rFonts w:hint="eastAsia" w:eastAsia="宋体" w:cs="宋体"/>
          <w:color w:val="auto"/>
          <w:highlight w:val="none"/>
        </w:rPr>
        <w:t>。</w:t>
      </w:r>
    </w:p>
    <w:p w14:paraId="65C141C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7.3.2开工通知</w:t>
      </w:r>
    </w:p>
    <w:p w14:paraId="4086284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因发包人原因造成监理人未能在计划开工日期之日起</w:t>
      </w:r>
      <w:r>
        <w:rPr>
          <w:rFonts w:hint="eastAsia" w:eastAsia="宋体" w:cs="宋体"/>
          <w:color w:val="auto"/>
          <w:highlight w:val="none"/>
          <w:u w:val="single"/>
        </w:rPr>
        <w:t xml:space="preserve"> 90 </w:t>
      </w:r>
      <w:r>
        <w:rPr>
          <w:rFonts w:hint="eastAsia" w:eastAsia="宋体" w:cs="宋体"/>
          <w:color w:val="auto"/>
          <w:highlight w:val="none"/>
        </w:rPr>
        <w:t>天内发出开工通知的，承包人有权提出价格调整要求，或者解除合同。</w:t>
      </w:r>
    </w:p>
    <w:p w14:paraId="438C5437">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16" w:name="_Toc27680"/>
      <w:bookmarkStart w:id="317" w:name="_Toc20957"/>
      <w:bookmarkStart w:id="318" w:name="_Toc10756"/>
      <w:bookmarkStart w:id="319" w:name="_Toc652"/>
      <w:r>
        <w:rPr>
          <w:rFonts w:hint="eastAsia" w:ascii="宋体" w:eastAsia="宋体" w:cs="宋体"/>
          <w:b/>
          <w:bCs/>
          <w:color w:val="auto"/>
          <w:highlight w:val="none"/>
        </w:rPr>
        <w:t>7.4 测量放线</w:t>
      </w:r>
      <w:bookmarkEnd w:id="316"/>
      <w:bookmarkEnd w:id="317"/>
      <w:bookmarkEnd w:id="318"/>
      <w:bookmarkEnd w:id="319"/>
    </w:p>
    <w:p w14:paraId="3352865E">
      <w:pPr>
        <w:pStyle w:val="56"/>
        <w:keepNext w:val="0"/>
        <w:keepLines w:val="0"/>
        <w:pageBreakBefore w:val="0"/>
        <w:widowControl w:val="0"/>
        <w:kinsoku/>
        <w:overflowPunct/>
        <w:topLinePunct w:val="0"/>
        <w:bidi w:val="0"/>
        <w:spacing w:line="400" w:lineRule="exact"/>
        <w:jc w:val="left"/>
        <w:textAlignment w:val="auto"/>
        <w:outlineLvl w:val="9"/>
        <w:rPr>
          <w:rFonts w:hint="eastAsia" w:eastAsia="宋体" w:cs="宋体"/>
          <w:color w:val="auto"/>
          <w:highlight w:val="none"/>
          <w:u w:val="single"/>
        </w:rPr>
      </w:pPr>
      <w:r>
        <w:rPr>
          <w:rFonts w:hint="eastAsia" w:eastAsia="宋体" w:cs="宋体"/>
          <w:color w:val="auto"/>
          <w:highlight w:val="none"/>
        </w:rPr>
        <w:t>7.4.1发包人通过监理人向承包人提供测量基准点、基准线和水准点及其书面资料的期限：</w:t>
      </w:r>
      <w:r>
        <w:rPr>
          <w:rFonts w:hint="eastAsia" w:eastAsia="宋体" w:cs="宋体"/>
          <w:color w:val="auto"/>
          <w:kern w:val="0"/>
          <w:highlight w:val="none"/>
          <w:u w:val="single"/>
        </w:rPr>
        <w:t>执行通用条款</w:t>
      </w:r>
      <w:r>
        <w:rPr>
          <w:rFonts w:hint="eastAsia" w:eastAsia="宋体" w:cs="宋体"/>
          <w:color w:val="auto"/>
          <w:highlight w:val="none"/>
        </w:rPr>
        <w:t>。</w:t>
      </w:r>
    </w:p>
    <w:p w14:paraId="4C6CD3D5">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20" w:name="_Toc5089"/>
      <w:bookmarkStart w:id="321" w:name="_Toc21946"/>
      <w:bookmarkStart w:id="322" w:name="_Toc10913"/>
      <w:bookmarkStart w:id="323" w:name="_Toc23823"/>
      <w:r>
        <w:rPr>
          <w:rFonts w:hint="eastAsia" w:ascii="宋体" w:eastAsia="宋体" w:cs="宋体"/>
          <w:b/>
          <w:bCs/>
          <w:color w:val="auto"/>
          <w:highlight w:val="none"/>
        </w:rPr>
        <w:t>7.5 工期延误</w:t>
      </w:r>
      <w:bookmarkEnd w:id="320"/>
      <w:bookmarkEnd w:id="321"/>
      <w:bookmarkEnd w:id="322"/>
      <w:bookmarkEnd w:id="323"/>
    </w:p>
    <w:p w14:paraId="3155F82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bookmarkStart w:id="324" w:name="_Toc6185"/>
      <w:bookmarkStart w:id="325" w:name="_Toc2284"/>
      <w:bookmarkStart w:id="326" w:name="_Toc16383"/>
      <w:bookmarkStart w:id="327" w:name="_Toc18671"/>
      <w:r>
        <w:rPr>
          <w:rFonts w:hint="eastAsia" w:eastAsia="宋体" w:cs="宋体"/>
          <w:color w:val="auto"/>
          <w:highlight w:val="none"/>
        </w:rPr>
        <w:t>7.5.1 因发包人原因导致工期延误</w:t>
      </w:r>
      <w:bookmarkEnd w:id="324"/>
      <w:bookmarkEnd w:id="325"/>
      <w:bookmarkEnd w:id="326"/>
      <w:bookmarkEnd w:id="327"/>
    </w:p>
    <w:p w14:paraId="59C496D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（7）因发包人原因导致工期延误的其他情形：</w:t>
      </w:r>
      <w:r>
        <w:rPr>
          <w:rFonts w:hint="eastAsia" w:eastAsia="宋体" w:cs="宋体"/>
          <w:color w:val="auto"/>
          <w:kern w:val="0"/>
          <w:highlight w:val="none"/>
          <w:u w:val="single"/>
        </w:rPr>
        <w:t>①重大图纸变更影响关健线路工序施工；②施工期间如因停电、停水连续8小时以上或一周内间歇性停水、停电累计8小时（含8小时）影响正常施工的。③政府指令性停工。④在施工过程中遇到地下障碍物、溶洞、岩石、文物或地下管线的。⑤因发包人未能及时确认变更价格或甲供材料提供延误的。⑥非承包人的责任造成的工期延误其他情形</w:t>
      </w:r>
      <w:r>
        <w:rPr>
          <w:rFonts w:hint="eastAsia" w:eastAsia="宋体" w:cs="宋体"/>
          <w:color w:val="auto"/>
          <w:highlight w:val="none"/>
        </w:rPr>
        <w:t>。</w:t>
      </w:r>
    </w:p>
    <w:p w14:paraId="6E5F7AA7">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7.5.2 因承包人原因导致工期延误</w:t>
      </w:r>
    </w:p>
    <w:p w14:paraId="76A6792C">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双方约定经监理工程师确认，工期相应顺延的情况：</w:t>
      </w:r>
      <w:r>
        <w:rPr>
          <w:rFonts w:hint="eastAsia" w:ascii="宋体" w:hAnsi="宋体"/>
          <w:color w:val="auto"/>
          <w:szCs w:val="21"/>
          <w:highlight w:val="none"/>
          <w:u w:val="single"/>
        </w:rPr>
        <w:t xml:space="preserve">  因发包人原因或不可抗力或不利物质条件造成的工期顺延，其他因承包人原因造成的工期不得相应顺延  </w:t>
      </w:r>
      <w:r>
        <w:rPr>
          <w:rFonts w:ascii="宋体" w:hAnsi="宋体"/>
          <w:color w:val="auto"/>
          <w:szCs w:val="21"/>
          <w:highlight w:val="none"/>
        </w:rPr>
        <w:t>。</w:t>
      </w:r>
    </w:p>
    <w:p w14:paraId="02A29BA8">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因承包人原因造成工期延误，逾期竣工违约金的计算方法为：</w:t>
      </w:r>
      <w:r>
        <w:rPr>
          <w:rFonts w:hint="eastAsia" w:eastAsia="宋体" w:cs="宋体"/>
          <w:color w:val="auto"/>
          <w:highlight w:val="none"/>
          <w:u w:val="single"/>
        </w:rPr>
        <w:t xml:space="preserve">非上述原因，承包人不能按合同约定的时间竣工，承包人应承担违约责任。应向发包人支付误期赔偿费（每天赔偿金额为合同价款扣除建安劳保费、发包人材料价款、暂估专业工程、暂列金额后的的万分之四），误期时间从规定竣工日期起直到全部工程或相应部分工程竣工验收各方签章日期之间的天数（扣除发包人批准顺延的工期）。发包人可从应向承包人支付的任何金额中扣除此项赔款费或其他方式收回此款，此赔偿款的支付并不能解除承包人应完成工程的责任或合同规定的其他责任。 </w:t>
      </w:r>
    </w:p>
    <w:p w14:paraId="76AA1D5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因承包人原因造成工期延误，逾期竣工违约金的上限：</w:t>
      </w:r>
      <w:r>
        <w:rPr>
          <w:rFonts w:hint="eastAsia" w:eastAsia="宋体" w:cs="宋体"/>
          <w:color w:val="auto"/>
          <w:highlight w:val="none"/>
          <w:u w:val="single"/>
        </w:rPr>
        <w:t>合同价的5%</w:t>
      </w:r>
      <w:r>
        <w:rPr>
          <w:rFonts w:hint="eastAsia" w:eastAsia="宋体" w:cs="宋体"/>
          <w:color w:val="auto"/>
          <w:highlight w:val="none"/>
        </w:rPr>
        <w:t>。</w:t>
      </w:r>
    </w:p>
    <w:p w14:paraId="72C7E192">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28" w:name="_Toc30877"/>
      <w:bookmarkStart w:id="329" w:name="_Toc7670"/>
      <w:bookmarkStart w:id="330" w:name="_Toc1299"/>
      <w:bookmarkStart w:id="331" w:name="_Toc5080"/>
      <w:r>
        <w:rPr>
          <w:rFonts w:hint="eastAsia" w:ascii="宋体" w:eastAsia="宋体" w:cs="宋体"/>
          <w:b/>
          <w:bCs/>
          <w:color w:val="auto"/>
          <w:highlight w:val="none"/>
        </w:rPr>
        <w:t>7.6 不利物质条件</w:t>
      </w:r>
      <w:bookmarkEnd w:id="328"/>
      <w:bookmarkEnd w:id="329"/>
      <w:bookmarkEnd w:id="330"/>
      <w:bookmarkEnd w:id="331"/>
    </w:p>
    <w:p w14:paraId="26BD131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不利物质条件的其他情形和有关约定：</w:t>
      </w:r>
      <w:r>
        <w:rPr>
          <w:rFonts w:hint="eastAsia" w:eastAsia="宋体" w:cs="宋体"/>
          <w:color w:val="auto"/>
          <w:highlight w:val="none"/>
          <w:u w:val="single"/>
        </w:rPr>
        <w:t xml:space="preserve">  无  </w:t>
      </w:r>
      <w:r>
        <w:rPr>
          <w:rFonts w:hint="eastAsia" w:eastAsia="宋体" w:cs="宋体"/>
          <w:color w:val="auto"/>
          <w:highlight w:val="none"/>
        </w:rPr>
        <w:t>。</w:t>
      </w:r>
    </w:p>
    <w:p w14:paraId="2159F756">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32" w:name="_Toc8000"/>
      <w:bookmarkStart w:id="333" w:name="_Toc5850"/>
      <w:bookmarkStart w:id="334" w:name="_Toc14780"/>
      <w:bookmarkStart w:id="335" w:name="_Toc23750"/>
      <w:r>
        <w:rPr>
          <w:rFonts w:hint="eastAsia" w:ascii="宋体" w:eastAsia="宋体" w:cs="宋体"/>
          <w:b/>
          <w:bCs/>
          <w:color w:val="auto"/>
          <w:highlight w:val="none"/>
        </w:rPr>
        <w:t>7.7异常恶劣的气候条件</w:t>
      </w:r>
      <w:bookmarkEnd w:id="332"/>
      <w:bookmarkEnd w:id="333"/>
      <w:bookmarkEnd w:id="334"/>
      <w:bookmarkEnd w:id="335"/>
    </w:p>
    <w:p w14:paraId="6509DC8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发包人和承包人同意以下情形视为异常恶劣的气候条件：</w:t>
      </w:r>
    </w:p>
    <w:p w14:paraId="41852E5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w:t>
      </w:r>
      <w:r>
        <w:rPr>
          <w:rFonts w:hint="eastAsia" w:eastAsia="宋体" w:cs="宋体"/>
          <w:color w:val="auto"/>
          <w:highlight w:val="none"/>
          <w:u w:val="single"/>
        </w:rPr>
        <w:t xml:space="preserve">            双方另行确定                   </w:t>
      </w:r>
      <w:r>
        <w:rPr>
          <w:rFonts w:hint="eastAsia" w:eastAsia="宋体" w:cs="宋体"/>
          <w:color w:val="auto"/>
          <w:highlight w:val="none"/>
        </w:rPr>
        <w:t>；</w:t>
      </w:r>
    </w:p>
    <w:p w14:paraId="77D780E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（2）</w:t>
      </w:r>
      <w:r>
        <w:rPr>
          <w:rFonts w:hint="eastAsia" w:eastAsia="宋体" w:cs="宋体"/>
          <w:color w:val="auto"/>
          <w:highlight w:val="none"/>
          <w:u w:val="single"/>
        </w:rPr>
        <w:t xml:space="preserve">                                          </w:t>
      </w:r>
      <w:r>
        <w:rPr>
          <w:rFonts w:hint="eastAsia" w:eastAsia="宋体" w:cs="宋体"/>
          <w:color w:val="auto"/>
          <w:highlight w:val="none"/>
        </w:rPr>
        <w:t>；</w:t>
      </w:r>
    </w:p>
    <w:p w14:paraId="34AD59E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（3）</w:t>
      </w:r>
      <w:r>
        <w:rPr>
          <w:rFonts w:hint="eastAsia" w:eastAsia="宋体" w:cs="宋体"/>
          <w:color w:val="auto"/>
          <w:highlight w:val="none"/>
          <w:u w:val="single"/>
        </w:rPr>
        <w:t xml:space="preserve">                                          </w:t>
      </w:r>
      <w:r>
        <w:rPr>
          <w:rFonts w:hint="eastAsia" w:eastAsia="宋体" w:cs="宋体"/>
          <w:color w:val="auto"/>
          <w:highlight w:val="none"/>
        </w:rPr>
        <w:t>。</w:t>
      </w:r>
    </w:p>
    <w:p w14:paraId="2EA6D1C5">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36" w:name="_Toc15989"/>
      <w:bookmarkStart w:id="337" w:name="_Toc32572"/>
      <w:bookmarkStart w:id="338" w:name="_Toc5570"/>
      <w:bookmarkStart w:id="339" w:name="_Toc25504"/>
      <w:r>
        <w:rPr>
          <w:rFonts w:hint="eastAsia" w:ascii="宋体" w:eastAsia="宋体" w:cs="宋体"/>
          <w:b/>
          <w:bCs/>
          <w:color w:val="auto"/>
          <w:highlight w:val="none"/>
        </w:rPr>
        <w:t>7.9 提前竣工的奖励</w:t>
      </w:r>
      <w:bookmarkEnd w:id="336"/>
      <w:bookmarkEnd w:id="337"/>
      <w:bookmarkEnd w:id="338"/>
      <w:bookmarkEnd w:id="339"/>
    </w:p>
    <w:p w14:paraId="43BD7845">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7.9.2提前竣工</w:t>
      </w:r>
      <w:r>
        <w:rPr>
          <w:rFonts w:hint="eastAsia" w:ascii="宋体" w:hAnsi="宋体"/>
          <w:color w:val="auto"/>
          <w:szCs w:val="21"/>
          <w:highlight w:val="none"/>
        </w:rPr>
        <w:t>（赶工）增加费</w:t>
      </w:r>
      <w:r>
        <w:rPr>
          <w:rFonts w:ascii="宋体" w:hAnsi="宋体"/>
          <w:color w:val="auto"/>
          <w:szCs w:val="21"/>
          <w:highlight w:val="none"/>
        </w:rPr>
        <w:t>的</w:t>
      </w:r>
      <w:r>
        <w:rPr>
          <w:rFonts w:hint="eastAsia" w:ascii="宋体" w:hAnsi="宋体"/>
          <w:color w:val="auto"/>
          <w:szCs w:val="21"/>
          <w:highlight w:val="none"/>
        </w:rPr>
        <w:t>计算方法</w:t>
      </w:r>
      <w:r>
        <w:rPr>
          <w:rFonts w:ascii="宋体" w:hAnsi="宋体"/>
          <w:color w:val="auto"/>
          <w:szCs w:val="21"/>
          <w:highlight w:val="none"/>
        </w:rPr>
        <w:t>：</w:t>
      </w:r>
      <w:r>
        <w:rPr>
          <w:rFonts w:hint="eastAsia" w:ascii="宋体" w:hAnsi="宋体"/>
          <w:color w:val="auto"/>
          <w:szCs w:val="21"/>
          <w:highlight w:val="none"/>
          <w:u w:val="single"/>
        </w:rPr>
        <w:t xml:space="preserve">  </w:t>
      </w:r>
      <w:r>
        <w:rPr>
          <w:rFonts w:ascii="宋体" w:hAnsi="宋体"/>
          <w:color w:val="auto"/>
          <w:szCs w:val="21"/>
          <w:highlight w:val="none"/>
          <w:u w:val="single"/>
        </w:rPr>
        <w:t>无</w:t>
      </w:r>
      <w:r>
        <w:rPr>
          <w:rFonts w:hint="eastAsia" w:ascii="宋体" w:hAnsi="宋体"/>
          <w:color w:val="auto"/>
          <w:szCs w:val="21"/>
          <w:highlight w:val="none"/>
          <w:u w:val="single"/>
        </w:rPr>
        <w:t xml:space="preserve">  </w:t>
      </w:r>
      <w:r>
        <w:rPr>
          <w:rFonts w:ascii="宋体" w:hAnsi="宋体"/>
          <w:color w:val="auto"/>
          <w:szCs w:val="21"/>
          <w:highlight w:val="none"/>
        </w:rPr>
        <w:t>。</w:t>
      </w:r>
    </w:p>
    <w:p w14:paraId="6E6C15B9">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40" w:name="_Toc24918"/>
      <w:bookmarkStart w:id="341" w:name="_Toc17057"/>
      <w:bookmarkStart w:id="342" w:name="_Toc19594"/>
      <w:bookmarkStart w:id="343" w:name="_Toc25153"/>
      <w:r>
        <w:rPr>
          <w:rFonts w:hint="eastAsia" w:ascii="宋体" w:eastAsia="宋体" w:cs="宋体"/>
          <w:b/>
          <w:bCs/>
          <w:color w:val="auto"/>
          <w:highlight w:val="none"/>
        </w:rPr>
        <w:t>8. 材料与设备</w:t>
      </w:r>
      <w:bookmarkEnd w:id="340"/>
      <w:bookmarkEnd w:id="341"/>
      <w:bookmarkEnd w:id="342"/>
      <w:bookmarkEnd w:id="343"/>
    </w:p>
    <w:p w14:paraId="23FD4DBB">
      <w:pPr>
        <w:pStyle w:val="58"/>
        <w:keepNext w:val="0"/>
        <w:keepLines w:val="0"/>
        <w:pageBreakBefore w:val="0"/>
        <w:widowControl w:val="0"/>
        <w:kinsoku/>
        <w:overflowPunct/>
        <w:topLinePunct w:val="0"/>
        <w:bidi w:val="0"/>
        <w:spacing w:before="0" w:after="0" w:line="400" w:lineRule="exact"/>
        <w:textAlignment w:val="auto"/>
        <w:outlineLvl w:val="9"/>
        <w:rPr>
          <w:rFonts w:ascii="宋体" w:eastAsia="宋体" w:cs="宋体"/>
          <w:b/>
          <w:bCs/>
          <w:color w:val="auto"/>
          <w:highlight w:val="none"/>
        </w:rPr>
      </w:pPr>
      <w:bookmarkStart w:id="344" w:name="_Toc11355"/>
      <w:bookmarkStart w:id="345" w:name="_Toc27813"/>
      <w:bookmarkStart w:id="346" w:name="_Toc323"/>
      <w:bookmarkStart w:id="347" w:name="_Toc29361"/>
      <w:r>
        <w:rPr>
          <w:rFonts w:ascii="宋体" w:eastAsia="宋体" w:cs="宋体"/>
          <w:b/>
          <w:bCs/>
          <w:color w:val="auto"/>
          <w:highlight w:val="none"/>
        </w:rPr>
        <w:t>8.2</w:t>
      </w:r>
      <w:r>
        <w:rPr>
          <w:rFonts w:hint="eastAsia" w:ascii="宋体" w:eastAsia="宋体" w:cs="宋体"/>
          <w:b/>
          <w:bCs/>
          <w:color w:val="auto"/>
          <w:highlight w:val="none"/>
        </w:rPr>
        <w:t xml:space="preserve"> </w:t>
      </w:r>
      <w:r>
        <w:rPr>
          <w:rFonts w:ascii="宋体" w:eastAsia="宋体" w:cs="宋体"/>
          <w:b/>
          <w:bCs/>
          <w:color w:val="auto"/>
          <w:highlight w:val="none"/>
        </w:rPr>
        <w:t>承包人采购材料与工程设备</w:t>
      </w:r>
      <w:bookmarkEnd w:id="344"/>
      <w:bookmarkEnd w:id="345"/>
      <w:bookmarkEnd w:id="346"/>
      <w:bookmarkEnd w:id="347"/>
    </w:p>
    <w:p w14:paraId="0816171A">
      <w:pPr>
        <w:keepNext w:val="0"/>
        <w:keepLines w:val="0"/>
        <w:pageBreakBefore w:val="0"/>
        <w:widowControl w:val="0"/>
        <w:kinsoku/>
        <w:overflowPunct/>
        <w:topLinePunct w:val="0"/>
        <w:autoSpaceDE w:val="0"/>
        <w:autoSpaceDN w:val="0"/>
        <w:bidi w:val="0"/>
        <w:spacing w:line="360" w:lineRule="auto"/>
        <w:ind w:firstLine="420" w:firstLineChars="200"/>
        <w:jc w:val="left"/>
        <w:textAlignment w:val="auto"/>
        <w:outlineLvl w:val="9"/>
        <w:rPr>
          <w:rFonts w:hint="eastAsia"/>
          <w:color w:val="auto"/>
          <w:highlight w:val="none"/>
        </w:rPr>
      </w:pPr>
      <w:r>
        <w:rPr>
          <w:color w:val="auto"/>
          <w:highlight w:val="none"/>
        </w:rPr>
        <w:t>除</w:t>
      </w:r>
      <w:r>
        <w:rPr>
          <w:rFonts w:hint="eastAsia"/>
          <w:color w:val="auto"/>
          <w:highlight w:val="none"/>
        </w:rPr>
        <w:t>已标价工程量清单</w:t>
      </w:r>
      <w:r>
        <w:rPr>
          <w:color w:val="auto"/>
          <w:highlight w:val="none"/>
        </w:rPr>
        <w:t>《发包人</w:t>
      </w:r>
      <w:r>
        <w:rPr>
          <w:rFonts w:hint="eastAsia"/>
          <w:color w:val="auto"/>
          <w:highlight w:val="none"/>
        </w:rPr>
        <w:t>提供主要</w:t>
      </w:r>
      <w:r>
        <w:rPr>
          <w:color w:val="auto"/>
          <w:highlight w:val="none"/>
        </w:rPr>
        <w:t>材料</w:t>
      </w:r>
      <w:r>
        <w:rPr>
          <w:rFonts w:hint="eastAsia"/>
          <w:color w:val="auto"/>
          <w:highlight w:val="none"/>
        </w:rPr>
        <w:t>和工程</w:t>
      </w:r>
      <w:r>
        <w:rPr>
          <w:color w:val="auto"/>
          <w:highlight w:val="none"/>
        </w:rPr>
        <w:t>设备一览表》</w:t>
      </w:r>
      <w:r>
        <w:rPr>
          <w:rFonts w:hint="eastAsia"/>
          <w:color w:val="auto"/>
          <w:highlight w:val="none"/>
        </w:rPr>
        <w:t>（表-21）</w:t>
      </w:r>
      <w:r>
        <w:rPr>
          <w:color w:val="auto"/>
          <w:highlight w:val="none"/>
        </w:rPr>
        <w:t>中明确的材料、工程设备外，由承包人负责材料和工程设备的采购、运输和保管。</w:t>
      </w:r>
      <w:r>
        <w:rPr>
          <w:rFonts w:hint="eastAsia"/>
          <w:color w:val="auto"/>
          <w:highlight w:val="none"/>
        </w:rPr>
        <w:t>《</w:t>
      </w:r>
      <w:r>
        <w:rPr>
          <w:color w:val="auto"/>
          <w:highlight w:val="none"/>
        </w:rPr>
        <w:t>承包人提供主要材料和工程设备一览表</w:t>
      </w:r>
      <w:r>
        <w:rPr>
          <w:rFonts w:hint="eastAsia"/>
          <w:color w:val="auto"/>
          <w:highlight w:val="none"/>
        </w:rPr>
        <w:t>》（表-22）见已标价工程量清单。</w:t>
      </w:r>
    </w:p>
    <w:p w14:paraId="43E6AE34">
      <w:pPr>
        <w:keepNext w:val="0"/>
        <w:keepLines w:val="0"/>
        <w:pageBreakBefore w:val="0"/>
        <w:widowControl w:val="0"/>
        <w:kinsoku/>
        <w:overflowPunct/>
        <w:topLinePunct w:val="0"/>
        <w:autoSpaceDE w:val="0"/>
        <w:autoSpaceDN w:val="0"/>
        <w:bidi w:val="0"/>
        <w:spacing w:line="360" w:lineRule="auto"/>
        <w:ind w:firstLine="420" w:firstLineChars="200"/>
        <w:jc w:val="left"/>
        <w:textAlignment w:val="auto"/>
        <w:outlineLvl w:val="9"/>
        <w:rPr>
          <w:color w:val="auto"/>
          <w:szCs w:val="21"/>
          <w:highlight w:val="none"/>
        </w:rPr>
      </w:pPr>
      <w:r>
        <w:rPr>
          <w:rFonts w:hint="eastAsia"/>
          <w:color w:val="auto"/>
          <w:szCs w:val="21"/>
          <w:highlight w:val="none"/>
        </w:rPr>
        <w:t>对发包人在招标时有“参照或相当于**品牌、级别”约定的材料或设备，承包人采购时必须按类似于或优于所约定品牌、等级进行采购，施工期间该部分材料或设备如未超过招标约定的风险幅度的，结算时按</w:t>
      </w:r>
      <w:r>
        <w:rPr>
          <w:rFonts w:hint="eastAsia"/>
          <w:color w:val="auto"/>
          <w:szCs w:val="21"/>
          <w:highlight w:val="none"/>
          <w:lang w:eastAsia="zh-CN"/>
        </w:rPr>
        <w:t>磋商</w:t>
      </w:r>
      <w:r>
        <w:rPr>
          <w:rFonts w:hint="eastAsia"/>
          <w:color w:val="auto"/>
          <w:szCs w:val="21"/>
          <w:highlight w:val="none"/>
        </w:rPr>
        <w:t>单价支付，不得调整。</w:t>
      </w:r>
    </w:p>
    <w:p w14:paraId="315460C7">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48" w:name="_Toc17561"/>
      <w:bookmarkStart w:id="349" w:name="_Toc20113"/>
      <w:bookmarkStart w:id="350" w:name="_Toc10969"/>
      <w:bookmarkStart w:id="351" w:name="_Toc7453"/>
      <w:r>
        <w:rPr>
          <w:rFonts w:hint="eastAsia" w:ascii="宋体" w:eastAsia="宋体" w:cs="宋体"/>
          <w:b/>
          <w:bCs/>
          <w:color w:val="auto"/>
          <w:highlight w:val="none"/>
        </w:rPr>
        <w:t>8.4材料与工程设备的保管与使用</w:t>
      </w:r>
      <w:bookmarkEnd w:id="348"/>
      <w:bookmarkEnd w:id="349"/>
      <w:bookmarkEnd w:id="350"/>
      <w:bookmarkEnd w:id="351"/>
    </w:p>
    <w:p w14:paraId="4CF2993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8.4.1发包人供应的材料设备的保管费用的承担：</w:t>
      </w:r>
      <w:r>
        <w:rPr>
          <w:rFonts w:hint="eastAsia" w:eastAsia="宋体" w:cs="宋体"/>
          <w:color w:val="auto"/>
          <w:kern w:val="0"/>
          <w:highlight w:val="none"/>
          <w:u w:val="single"/>
        </w:rPr>
        <w:t>由承包人承担</w:t>
      </w:r>
      <w:r>
        <w:rPr>
          <w:rFonts w:hint="eastAsia" w:eastAsia="宋体" w:cs="宋体"/>
          <w:color w:val="auto"/>
          <w:highlight w:val="none"/>
        </w:rPr>
        <w:t>。</w:t>
      </w:r>
    </w:p>
    <w:p w14:paraId="27203CBC">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52" w:name="_Toc28455"/>
      <w:bookmarkStart w:id="353" w:name="_Toc18508"/>
      <w:bookmarkStart w:id="354" w:name="_Toc11180"/>
      <w:bookmarkStart w:id="355" w:name="_Toc10677"/>
      <w:r>
        <w:rPr>
          <w:rFonts w:hint="eastAsia" w:ascii="宋体" w:eastAsia="宋体" w:cs="宋体"/>
          <w:b/>
          <w:bCs/>
          <w:color w:val="auto"/>
          <w:highlight w:val="none"/>
        </w:rPr>
        <w:t>8.6 样品</w:t>
      </w:r>
      <w:bookmarkEnd w:id="352"/>
      <w:bookmarkEnd w:id="353"/>
      <w:bookmarkEnd w:id="354"/>
      <w:bookmarkEnd w:id="355"/>
    </w:p>
    <w:p w14:paraId="6151EE3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8.6.1</w:t>
      </w:r>
      <w:r>
        <w:rPr>
          <w:rFonts w:hint="eastAsia" w:eastAsia="宋体" w:cs="宋体"/>
          <w:color w:val="auto"/>
          <w:kern w:val="0"/>
          <w:highlight w:val="none"/>
        </w:rPr>
        <w:tab/>
      </w:r>
      <w:r>
        <w:rPr>
          <w:rFonts w:hint="eastAsia" w:eastAsia="宋体" w:cs="宋体"/>
          <w:color w:val="auto"/>
          <w:kern w:val="0"/>
          <w:highlight w:val="none"/>
        </w:rPr>
        <w:t>样品的报送与封存</w:t>
      </w:r>
    </w:p>
    <w:p w14:paraId="3EE76CA6">
      <w:pPr>
        <w:pStyle w:val="58"/>
        <w:keepNext w:val="0"/>
        <w:keepLines w:val="0"/>
        <w:pageBreakBefore w:val="0"/>
        <w:widowControl w:val="0"/>
        <w:kinsoku/>
        <w:overflowPunct/>
        <w:topLinePunct w:val="0"/>
        <w:bidi w:val="0"/>
        <w:spacing w:before="0" w:after="0" w:line="400" w:lineRule="exact"/>
        <w:ind w:firstLine="420" w:firstLineChars="200"/>
        <w:textAlignment w:val="auto"/>
        <w:outlineLvl w:val="9"/>
        <w:rPr>
          <w:rFonts w:hint="eastAsia" w:eastAsia="宋体" w:cs="宋体"/>
          <w:color w:val="auto"/>
          <w:highlight w:val="none"/>
          <w:u w:val="single"/>
        </w:rPr>
      </w:pPr>
      <w:bookmarkStart w:id="356" w:name="_Toc12763"/>
      <w:bookmarkStart w:id="357" w:name="_Toc26906"/>
      <w:bookmarkStart w:id="358" w:name="_Toc12354"/>
      <w:bookmarkStart w:id="359" w:name="_Toc8284"/>
      <w:r>
        <w:rPr>
          <w:rFonts w:hint="eastAsia" w:eastAsia="宋体" w:cs="宋体"/>
          <w:color w:val="auto"/>
          <w:highlight w:val="none"/>
        </w:rPr>
        <w:t>需要承包人报送样品的材料或工程设备，样品的种类、名称、规格、数量要求：</w:t>
      </w:r>
      <w:r>
        <w:rPr>
          <w:rFonts w:hint="eastAsia" w:eastAsia="宋体" w:cs="宋体"/>
          <w:color w:val="auto"/>
          <w:highlight w:val="none"/>
          <w:u w:val="single"/>
        </w:rPr>
        <w:t>主要材料涉及品种、款式、颜色等方面内容的，承包人应提交准备合格的材料样品送发包人选定 。</w:t>
      </w:r>
      <w:bookmarkEnd w:id="356"/>
      <w:bookmarkEnd w:id="357"/>
      <w:bookmarkEnd w:id="358"/>
      <w:bookmarkEnd w:id="359"/>
    </w:p>
    <w:p w14:paraId="187F7F0D">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60" w:name="_Toc18793"/>
      <w:bookmarkStart w:id="361" w:name="_Toc17563"/>
      <w:bookmarkStart w:id="362" w:name="_Toc1845"/>
      <w:bookmarkStart w:id="363" w:name="_Toc1301"/>
      <w:r>
        <w:rPr>
          <w:rFonts w:hint="eastAsia" w:ascii="宋体" w:eastAsia="宋体" w:cs="宋体"/>
          <w:b/>
          <w:bCs/>
          <w:color w:val="auto"/>
          <w:highlight w:val="none"/>
        </w:rPr>
        <w:t>8.8 施工设备和临时设施</w:t>
      </w:r>
      <w:bookmarkEnd w:id="360"/>
      <w:bookmarkEnd w:id="361"/>
      <w:bookmarkEnd w:id="362"/>
      <w:bookmarkEnd w:id="363"/>
    </w:p>
    <w:p w14:paraId="1072BB1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8.8.1 承包人提供的施工设备和临时设施</w:t>
      </w:r>
    </w:p>
    <w:p w14:paraId="64EBD5A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除专用合同条款另有约定的其他独立承包人和监理人指示的他人提供条件外，承包人运入施工场地的所有施工设备以及在施工场地建设的临时设施仅限于用于合同工程。</w:t>
      </w:r>
    </w:p>
    <w:p w14:paraId="645CEED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 xml:space="preserve">关于修建临时设施费用承担的约定： </w:t>
      </w:r>
    </w:p>
    <w:p w14:paraId="2C744A2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u w:val="single"/>
        </w:rPr>
        <w:t>①承包人的临时用地（含项目部驻地等）租用费（含拆迁补偿）、临时用地的环保、恢复、临时用地的青苗补偿及地面附着物拆除等费用均由承包人负责，以上费用在</w:t>
      </w:r>
      <w:r>
        <w:rPr>
          <w:rFonts w:hint="eastAsia" w:eastAsia="宋体" w:cs="宋体"/>
          <w:color w:val="auto"/>
          <w:highlight w:val="none"/>
          <w:u w:val="single"/>
          <w:lang w:eastAsia="zh-CN"/>
        </w:rPr>
        <w:t>磋商</w:t>
      </w:r>
      <w:r>
        <w:rPr>
          <w:rFonts w:hint="eastAsia" w:eastAsia="宋体" w:cs="宋体"/>
          <w:color w:val="auto"/>
          <w:highlight w:val="none"/>
          <w:u w:val="single"/>
        </w:rPr>
        <w:t>报价中综合考虑。</w:t>
      </w:r>
    </w:p>
    <w:p w14:paraId="6184031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u w:val="single"/>
        </w:rPr>
        <w:t>②承包人负责合同实施期间其合同段内临时交通道路（含场内外连接公共交通道路）和交通设施的修建、维修、养护和交通管理工作，并承担一切费用。</w:t>
      </w:r>
    </w:p>
    <w:p w14:paraId="4236EA4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u w:val="single"/>
        </w:rPr>
        <w:t>③承包人修建的临时道路和交通设施，应免费提供给发包人、监理工程师和其他合同段的承包人使用，如共同使用的路基损坏严重，发包人或监理工程师将负责通知有关承包人共同出资修复，若使用频率相差悬殊，则按比例分摊。</w:t>
      </w:r>
    </w:p>
    <w:p w14:paraId="2D5311ED">
      <w:pPr>
        <w:keepNext w:val="0"/>
        <w:keepLines w:val="0"/>
        <w:pageBreakBefore w:val="0"/>
        <w:widowControl w:val="0"/>
        <w:kinsoku/>
        <w:overflowPunct/>
        <w:topLinePunct w:val="0"/>
        <w:autoSpaceDE w:val="0"/>
        <w:autoSpaceDN w:val="0"/>
        <w:bidi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8.8.2 发包人提供的施工设备和临时设施</w:t>
      </w:r>
    </w:p>
    <w:p w14:paraId="6BE49990">
      <w:pPr>
        <w:keepNext w:val="0"/>
        <w:keepLines w:val="0"/>
        <w:pageBreakBefore w:val="0"/>
        <w:widowControl w:val="0"/>
        <w:kinsoku/>
        <w:overflowPunct/>
        <w:topLinePunct w:val="0"/>
        <w:autoSpaceDE w:val="0"/>
        <w:autoSpaceDN w:val="0"/>
        <w:bidi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发包人提供的施工设备和临时设施：</w:t>
      </w:r>
      <w:r>
        <w:rPr>
          <w:rFonts w:hint="eastAsia" w:ascii="宋体" w:hAnsi="宋体" w:cs="宋体"/>
          <w:color w:val="auto"/>
          <w:szCs w:val="21"/>
          <w:highlight w:val="none"/>
          <w:u w:val="single"/>
        </w:rPr>
        <w:t xml:space="preserve">  场外连接公共交通超过1000米之外的临时交通道路  </w:t>
      </w:r>
      <w:r>
        <w:rPr>
          <w:rFonts w:hint="eastAsia" w:ascii="宋体" w:hAnsi="宋体" w:cs="宋体"/>
          <w:color w:val="auto"/>
          <w:szCs w:val="21"/>
          <w:highlight w:val="none"/>
        </w:rPr>
        <w:t>。</w:t>
      </w:r>
    </w:p>
    <w:p w14:paraId="3D371007">
      <w:pPr>
        <w:keepNext w:val="0"/>
        <w:keepLines w:val="0"/>
        <w:pageBreakBefore w:val="0"/>
        <w:widowControl w:val="0"/>
        <w:kinsoku/>
        <w:overflowPunct/>
        <w:topLinePunct w:val="0"/>
        <w:autoSpaceDE w:val="0"/>
        <w:autoSpaceDN w:val="0"/>
        <w:bidi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发包人提供的施工设备和临时设施的运行、维护、拆除、清运费用的承担人：</w:t>
      </w:r>
      <w:r>
        <w:rPr>
          <w:rFonts w:hint="eastAsia" w:ascii="宋体" w:hAnsi="宋体" w:cs="宋体"/>
          <w:color w:val="auto"/>
          <w:szCs w:val="21"/>
          <w:highlight w:val="none"/>
          <w:u w:val="single"/>
        </w:rPr>
        <w:t xml:space="preserve">  承包人  </w:t>
      </w:r>
      <w:r>
        <w:rPr>
          <w:rFonts w:hint="eastAsia" w:ascii="宋体" w:hAnsi="宋体" w:cs="宋体"/>
          <w:color w:val="auto"/>
          <w:szCs w:val="21"/>
          <w:highlight w:val="none"/>
        </w:rPr>
        <w:t>。</w:t>
      </w:r>
    </w:p>
    <w:p w14:paraId="6B12A5CE">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64" w:name="_Toc28453"/>
      <w:bookmarkStart w:id="365" w:name="_Toc12157"/>
      <w:bookmarkStart w:id="366" w:name="_Toc32709"/>
      <w:bookmarkStart w:id="367" w:name="_Toc13472"/>
      <w:r>
        <w:rPr>
          <w:rFonts w:hint="eastAsia" w:ascii="宋体" w:eastAsia="宋体" w:cs="宋体"/>
          <w:b/>
          <w:bCs/>
          <w:color w:val="auto"/>
          <w:highlight w:val="none"/>
        </w:rPr>
        <w:t>9. 试验与检验</w:t>
      </w:r>
      <w:bookmarkEnd w:id="364"/>
      <w:bookmarkEnd w:id="365"/>
      <w:bookmarkEnd w:id="366"/>
      <w:bookmarkEnd w:id="367"/>
    </w:p>
    <w:p w14:paraId="260D8707">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68" w:name="_Toc21783"/>
      <w:bookmarkStart w:id="369" w:name="_Toc15034"/>
      <w:bookmarkStart w:id="370" w:name="_Toc13399"/>
      <w:bookmarkStart w:id="371" w:name="_Toc10247"/>
      <w:r>
        <w:rPr>
          <w:rFonts w:hint="eastAsia" w:ascii="宋体" w:eastAsia="宋体" w:cs="宋体"/>
          <w:b/>
          <w:bCs/>
          <w:color w:val="auto"/>
          <w:highlight w:val="none"/>
        </w:rPr>
        <w:t>9.1试验设备与试验人员</w:t>
      </w:r>
      <w:bookmarkEnd w:id="368"/>
      <w:bookmarkEnd w:id="369"/>
      <w:bookmarkEnd w:id="370"/>
      <w:bookmarkEnd w:id="371"/>
    </w:p>
    <w:p w14:paraId="4B017BC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9.1.2 试验设备</w:t>
      </w:r>
    </w:p>
    <w:p w14:paraId="3B464D3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施工现场需要配置的试验场所：</w:t>
      </w:r>
      <w:r>
        <w:rPr>
          <w:rFonts w:hint="eastAsia" w:eastAsia="宋体" w:cs="宋体"/>
          <w:color w:val="auto"/>
          <w:highlight w:val="none"/>
          <w:u w:val="single"/>
        </w:rPr>
        <w:t xml:space="preserve">  </w:t>
      </w:r>
      <w:r>
        <w:rPr>
          <w:rFonts w:hint="eastAsia" w:eastAsia="宋体" w:cs="宋体"/>
          <w:color w:val="auto"/>
          <w:kern w:val="0"/>
          <w:highlight w:val="none"/>
          <w:u w:val="single"/>
        </w:rPr>
        <w:t>按有关规定执行</w:t>
      </w:r>
      <w:r>
        <w:rPr>
          <w:rFonts w:hint="eastAsia" w:eastAsia="宋体" w:cs="宋体"/>
          <w:color w:val="auto"/>
          <w:highlight w:val="none"/>
          <w:u w:val="single"/>
        </w:rPr>
        <w:t xml:space="preserve">   </w:t>
      </w:r>
      <w:r>
        <w:rPr>
          <w:rFonts w:hint="eastAsia" w:eastAsia="宋体" w:cs="宋体"/>
          <w:color w:val="auto"/>
          <w:highlight w:val="none"/>
        </w:rPr>
        <w:t xml:space="preserve">。 </w:t>
      </w:r>
    </w:p>
    <w:p w14:paraId="07F2DBB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施工现场需要配备的试验设备：</w:t>
      </w:r>
      <w:r>
        <w:rPr>
          <w:rFonts w:hint="eastAsia" w:eastAsia="宋体" w:cs="宋体"/>
          <w:color w:val="auto"/>
          <w:highlight w:val="none"/>
          <w:u w:val="single"/>
        </w:rPr>
        <w:t xml:space="preserve">  </w:t>
      </w:r>
      <w:r>
        <w:rPr>
          <w:rFonts w:hint="eastAsia" w:eastAsia="宋体" w:cs="宋体"/>
          <w:color w:val="auto"/>
          <w:kern w:val="0"/>
          <w:highlight w:val="none"/>
          <w:u w:val="single"/>
        </w:rPr>
        <w:t>按有关规定执行</w:t>
      </w:r>
      <w:r>
        <w:rPr>
          <w:rFonts w:hint="eastAsia" w:eastAsia="宋体" w:cs="宋体"/>
          <w:color w:val="auto"/>
          <w:highlight w:val="none"/>
          <w:u w:val="single"/>
        </w:rPr>
        <w:t xml:space="preserve">   </w:t>
      </w:r>
      <w:r>
        <w:rPr>
          <w:rFonts w:hint="eastAsia" w:eastAsia="宋体" w:cs="宋体"/>
          <w:color w:val="auto"/>
          <w:highlight w:val="none"/>
        </w:rPr>
        <w:t>。</w:t>
      </w:r>
    </w:p>
    <w:p w14:paraId="3998778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施工现场需要具备的其他试验条件：</w:t>
      </w:r>
      <w:r>
        <w:rPr>
          <w:rFonts w:hint="eastAsia" w:eastAsia="宋体" w:cs="宋体"/>
          <w:color w:val="auto"/>
          <w:highlight w:val="none"/>
          <w:u w:val="single"/>
        </w:rPr>
        <w:t xml:space="preserve">  按有关规定执行   </w:t>
      </w:r>
      <w:r>
        <w:rPr>
          <w:rFonts w:hint="eastAsia" w:eastAsia="宋体" w:cs="宋体"/>
          <w:color w:val="auto"/>
          <w:highlight w:val="none"/>
        </w:rPr>
        <w:t>。</w:t>
      </w:r>
    </w:p>
    <w:p w14:paraId="198757A8">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72" w:name="_Toc14429"/>
      <w:bookmarkStart w:id="373" w:name="_Toc12895"/>
      <w:bookmarkStart w:id="374" w:name="_Toc32705"/>
      <w:bookmarkStart w:id="375" w:name="_Toc21896"/>
      <w:r>
        <w:rPr>
          <w:rFonts w:hint="eastAsia" w:ascii="宋体" w:eastAsia="宋体" w:cs="宋体"/>
          <w:b/>
          <w:bCs/>
          <w:color w:val="auto"/>
          <w:highlight w:val="none"/>
        </w:rPr>
        <w:t>9.4 现场工艺试验</w:t>
      </w:r>
      <w:bookmarkEnd w:id="372"/>
      <w:bookmarkEnd w:id="373"/>
      <w:bookmarkEnd w:id="374"/>
      <w:bookmarkEnd w:id="375"/>
      <w:r>
        <w:rPr>
          <w:rFonts w:hint="eastAsia" w:ascii="宋体" w:eastAsia="宋体" w:cs="宋体"/>
          <w:b/>
          <w:bCs/>
          <w:color w:val="auto"/>
          <w:highlight w:val="none"/>
        </w:rPr>
        <w:t xml:space="preserve"> </w:t>
      </w:r>
    </w:p>
    <w:p w14:paraId="5B06540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现场工艺试验的有关约定：</w:t>
      </w:r>
      <w:r>
        <w:rPr>
          <w:rFonts w:hint="eastAsia" w:eastAsia="宋体" w:cs="宋体"/>
          <w:color w:val="auto"/>
          <w:highlight w:val="none"/>
          <w:u w:val="single"/>
        </w:rPr>
        <w:t xml:space="preserve">  </w:t>
      </w:r>
      <w:r>
        <w:rPr>
          <w:rFonts w:hint="eastAsia" w:eastAsia="宋体" w:cs="宋体"/>
          <w:color w:val="auto"/>
          <w:kern w:val="0"/>
          <w:highlight w:val="none"/>
          <w:u w:val="single"/>
        </w:rPr>
        <w:t>按有关规定执行</w:t>
      </w:r>
      <w:r>
        <w:rPr>
          <w:rFonts w:hint="eastAsia" w:eastAsia="宋体" w:cs="宋体"/>
          <w:color w:val="auto"/>
          <w:highlight w:val="none"/>
          <w:u w:val="single"/>
        </w:rPr>
        <w:t xml:space="preserve">    </w:t>
      </w:r>
      <w:r>
        <w:rPr>
          <w:rFonts w:hint="eastAsia" w:eastAsia="宋体" w:cs="宋体"/>
          <w:color w:val="auto"/>
          <w:highlight w:val="none"/>
        </w:rPr>
        <w:t>。</w:t>
      </w:r>
    </w:p>
    <w:p w14:paraId="300A10E7">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76" w:name="_Toc28092"/>
      <w:bookmarkStart w:id="377" w:name="_Toc12474"/>
      <w:bookmarkStart w:id="378" w:name="_Toc14681"/>
      <w:bookmarkStart w:id="379" w:name="_Toc22150"/>
      <w:r>
        <w:rPr>
          <w:rFonts w:hint="eastAsia" w:ascii="宋体" w:eastAsia="宋体" w:cs="宋体"/>
          <w:b/>
          <w:bCs/>
          <w:color w:val="auto"/>
          <w:highlight w:val="none"/>
        </w:rPr>
        <w:t>9.5 检验费用</w:t>
      </w:r>
      <w:bookmarkEnd w:id="376"/>
      <w:bookmarkEnd w:id="377"/>
      <w:bookmarkEnd w:id="378"/>
      <w:bookmarkEnd w:id="379"/>
    </w:p>
    <w:p w14:paraId="4AFC3BB8">
      <w:pPr>
        <w:keepNext w:val="0"/>
        <w:keepLines w:val="0"/>
        <w:pageBreakBefore w:val="0"/>
        <w:widowControl w:val="0"/>
        <w:kinsoku/>
        <w:overflowPunct/>
        <w:topLinePunct w:val="0"/>
        <w:bidi w:val="0"/>
        <w:spacing w:line="400" w:lineRule="exact"/>
        <w:ind w:firstLine="420" w:firstLineChars="2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根据《建设工程质量检测管理办法》（建设部令第141号）以及</w:t>
      </w:r>
      <w:r>
        <w:rPr>
          <w:rFonts w:hint="eastAsia" w:ascii="宋体" w:hAnsi="宋体" w:cs="宋体"/>
          <w:bCs/>
          <w:color w:val="auto"/>
          <w:szCs w:val="21"/>
          <w:highlight w:val="none"/>
        </w:rPr>
        <w:t>《广西壮族自治区建设工程质量检测管理规定》（桂建管〔2013〕11号）</w:t>
      </w:r>
      <w:r>
        <w:rPr>
          <w:rFonts w:hint="eastAsia" w:ascii="宋体" w:hAnsi="宋体" w:cs="宋体"/>
          <w:color w:val="auto"/>
          <w:szCs w:val="21"/>
          <w:highlight w:val="none"/>
        </w:rPr>
        <w:t>规定，工程质量检测业务由采购人委托有相应资质的检测机构检测。费用从采购人的项目建设经费中支出并直接支付给检测机构，不计入合同价款内。</w:t>
      </w:r>
    </w:p>
    <w:p w14:paraId="7BEEBE7A">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80" w:name="_Toc7449"/>
      <w:bookmarkStart w:id="381" w:name="_Toc14241"/>
      <w:bookmarkStart w:id="382" w:name="_Toc16691"/>
      <w:bookmarkStart w:id="383" w:name="_Toc14527"/>
      <w:r>
        <w:rPr>
          <w:rFonts w:hint="eastAsia" w:ascii="宋体" w:eastAsia="宋体" w:cs="宋体"/>
          <w:b/>
          <w:bCs/>
          <w:color w:val="auto"/>
          <w:highlight w:val="none"/>
        </w:rPr>
        <w:t>10. 变更</w:t>
      </w:r>
      <w:bookmarkEnd w:id="380"/>
      <w:bookmarkEnd w:id="381"/>
      <w:bookmarkEnd w:id="382"/>
      <w:bookmarkEnd w:id="383"/>
    </w:p>
    <w:p w14:paraId="5088A542">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84" w:name="_Toc13190"/>
      <w:bookmarkStart w:id="385" w:name="_Toc30869"/>
      <w:bookmarkStart w:id="386" w:name="_Toc18154"/>
      <w:bookmarkStart w:id="387" w:name="_Toc16015"/>
      <w:r>
        <w:rPr>
          <w:rFonts w:hint="eastAsia" w:ascii="宋体" w:eastAsia="宋体" w:cs="宋体"/>
          <w:b/>
          <w:bCs/>
          <w:color w:val="auto"/>
          <w:highlight w:val="none"/>
        </w:rPr>
        <w:t>10.1变更的范围</w:t>
      </w:r>
      <w:bookmarkEnd w:id="384"/>
      <w:bookmarkEnd w:id="385"/>
      <w:bookmarkEnd w:id="386"/>
      <w:bookmarkEnd w:id="387"/>
    </w:p>
    <w:p w14:paraId="1CFE7B2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关于变更的范围的约定：</w:t>
      </w:r>
      <w:r>
        <w:rPr>
          <w:rFonts w:hint="eastAsia" w:eastAsia="宋体" w:cs="宋体"/>
          <w:color w:val="auto"/>
          <w:highlight w:val="none"/>
          <w:u w:val="single"/>
        </w:rPr>
        <w:t xml:space="preserve">  </w:t>
      </w:r>
      <w:r>
        <w:rPr>
          <w:rFonts w:hint="eastAsia" w:eastAsia="宋体" w:cs="宋体"/>
          <w:color w:val="auto"/>
          <w:kern w:val="0"/>
          <w:highlight w:val="none"/>
          <w:u w:val="single"/>
        </w:rPr>
        <w:t>执行通用条款</w:t>
      </w:r>
      <w:r>
        <w:rPr>
          <w:rFonts w:hint="eastAsia" w:eastAsia="宋体" w:cs="宋体"/>
          <w:color w:val="auto"/>
          <w:highlight w:val="none"/>
          <w:u w:val="single"/>
        </w:rPr>
        <w:t xml:space="preserve">  </w:t>
      </w:r>
      <w:r>
        <w:rPr>
          <w:rFonts w:hint="eastAsia" w:eastAsia="宋体" w:cs="宋体"/>
          <w:color w:val="auto"/>
          <w:highlight w:val="none"/>
        </w:rPr>
        <w:t>。</w:t>
      </w:r>
    </w:p>
    <w:p w14:paraId="7361DA7A">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88" w:name="_Toc13773"/>
      <w:bookmarkStart w:id="389" w:name="_Toc30280"/>
      <w:bookmarkStart w:id="390" w:name="_Toc21362"/>
      <w:bookmarkStart w:id="391" w:name="_Toc11345"/>
      <w:r>
        <w:rPr>
          <w:rFonts w:hint="eastAsia" w:ascii="宋体" w:eastAsia="宋体" w:cs="宋体"/>
          <w:b/>
          <w:bCs/>
          <w:color w:val="auto"/>
          <w:highlight w:val="none"/>
        </w:rPr>
        <w:t>10.3 变更程序</w:t>
      </w:r>
      <w:bookmarkEnd w:id="388"/>
      <w:bookmarkEnd w:id="389"/>
      <w:bookmarkEnd w:id="390"/>
      <w:bookmarkEnd w:id="391"/>
    </w:p>
    <w:p w14:paraId="32D9FF38">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bCs/>
          <w:color w:val="auto"/>
          <w:highlight w:val="none"/>
        </w:rPr>
      </w:pPr>
      <w:r>
        <w:rPr>
          <w:rFonts w:hint="eastAsia" w:eastAsia="宋体" w:cs="宋体"/>
          <w:bCs/>
          <w:color w:val="auto"/>
          <w:highlight w:val="none"/>
        </w:rPr>
        <w:t>10.3.1 国有投资项目：</w:t>
      </w:r>
    </w:p>
    <w:p w14:paraId="1D09B8C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bCs/>
          <w:color w:val="auto"/>
          <w:highlight w:val="none"/>
        </w:rPr>
      </w:pPr>
      <w:r>
        <w:rPr>
          <w:rFonts w:hint="eastAsia" w:eastAsia="宋体" w:cs="宋体"/>
          <w:bCs/>
          <w:color w:val="auto"/>
          <w:highlight w:val="none"/>
        </w:rPr>
        <w:t>⑴设计变更和工程签证，按各市政府或相关部门的规定办理。属不可抗力（自然灾害、突发事件等）造成变更的，按特事特办原则予以办理。</w:t>
      </w:r>
    </w:p>
    <w:p w14:paraId="7771EB3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bCs/>
          <w:color w:val="auto"/>
          <w:highlight w:val="none"/>
        </w:rPr>
      </w:pPr>
      <w:r>
        <w:rPr>
          <w:rFonts w:hint="eastAsia" w:eastAsia="宋体" w:cs="宋体"/>
          <w:bCs/>
          <w:color w:val="auto"/>
          <w:highlight w:val="none"/>
        </w:rPr>
        <w:t>⑵建设单位在实施项目过程中，若发生单价变动，由建设单位、监理单位、施工单位及其他相关单位共同商定并签字确认。</w:t>
      </w:r>
    </w:p>
    <w:p w14:paraId="751D8E3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bCs/>
          <w:color w:val="auto"/>
          <w:highlight w:val="none"/>
        </w:rPr>
      </w:pPr>
      <w:r>
        <w:rPr>
          <w:rFonts w:hint="eastAsia" w:eastAsia="宋体" w:cs="宋体"/>
          <w:bCs/>
          <w:color w:val="auto"/>
          <w:highlight w:val="none"/>
        </w:rPr>
        <w:t>⑶ 当合同规定的合同价款调整情况发生后，承包人未在规定时间内通知发包人，或者未在规定时间内提出调整报告，发包人可以根据有关资料，决定是否调整和调整的金额，并书面通知承包人。</w:t>
      </w:r>
    </w:p>
    <w:p w14:paraId="0EB8BB6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bCs/>
          <w:color w:val="auto"/>
          <w:highlight w:val="none"/>
        </w:rPr>
      </w:pPr>
      <w:r>
        <w:rPr>
          <w:rFonts w:hint="eastAsia" w:eastAsia="宋体" w:cs="宋体"/>
          <w:bCs/>
          <w:color w:val="auto"/>
          <w:highlight w:val="none"/>
        </w:rPr>
        <w:t xml:space="preserve">10.3.2 非国有投资项目： </w:t>
      </w:r>
      <w:r>
        <w:rPr>
          <w:rFonts w:hint="eastAsia" w:eastAsia="宋体" w:cs="宋体"/>
          <w:bCs/>
          <w:color w:val="auto"/>
          <w:highlight w:val="none"/>
          <w:u w:val="single"/>
        </w:rPr>
        <w:t xml:space="preserve">                            　                  </w:t>
      </w:r>
      <w:r>
        <w:rPr>
          <w:rFonts w:hint="eastAsia" w:eastAsia="宋体" w:cs="宋体"/>
          <w:bCs/>
          <w:color w:val="auto"/>
          <w:highlight w:val="none"/>
        </w:rPr>
        <w:t>。</w:t>
      </w:r>
    </w:p>
    <w:p w14:paraId="04A48CC8">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92" w:name="_Toc12654"/>
      <w:bookmarkStart w:id="393" w:name="_Toc25092"/>
      <w:bookmarkStart w:id="394" w:name="_Toc19054"/>
      <w:bookmarkStart w:id="395" w:name="_Toc10749"/>
      <w:r>
        <w:rPr>
          <w:rFonts w:hint="eastAsia" w:ascii="宋体" w:eastAsia="宋体" w:cs="宋体"/>
          <w:b/>
          <w:bCs/>
          <w:color w:val="auto"/>
          <w:highlight w:val="none"/>
        </w:rPr>
        <w:t>10.4 变更估价</w:t>
      </w:r>
      <w:bookmarkEnd w:id="392"/>
      <w:bookmarkEnd w:id="393"/>
      <w:bookmarkEnd w:id="394"/>
      <w:bookmarkEnd w:id="395"/>
    </w:p>
    <w:p w14:paraId="7DA33408">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 xml:space="preserve">10.4.1 变更估价原则 </w:t>
      </w:r>
    </w:p>
    <w:p w14:paraId="499474B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lang w:eastAsia="zh-CN"/>
        </w:rPr>
      </w:pPr>
      <w:r>
        <w:rPr>
          <w:rFonts w:hint="eastAsia" w:eastAsia="宋体" w:cs="宋体"/>
          <w:color w:val="auto"/>
          <w:highlight w:val="none"/>
        </w:rPr>
        <w:t>关于变更估价的约定:</w:t>
      </w:r>
      <w:r>
        <w:rPr>
          <w:rFonts w:hint="eastAsia" w:eastAsia="宋体" w:cs="宋体"/>
          <w:color w:val="auto"/>
          <w:highlight w:val="none"/>
          <w:u w:val="single"/>
        </w:rPr>
        <w:t xml:space="preserve">  因设计变更、相关签证引起工程项目、工程量任何变化的，变更合同价款按下列方法进行：（1）合同中已有相同清单项目的，按合同该清单项目价格进行计算；（2）合同中只有类似清单项目的，参照该类似清单项目价格进行计算；（3）合同中没有适用或类似清单项目的价格计算方法：有定额的套定额（土石方工程除外），并乘以下浮系数（中标价/经财政部门审定的招标上限控制价）计算，其中材料价格有信息价的按施工期间的信息价进行计算，</w:t>
      </w:r>
      <w:r>
        <w:rPr>
          <w:rFonts w:hint="eastAsia" w:ascii="宋体" w:hAnsi="宋体"/>
          <w:color w:val="auto"/>
          <w:szCs w:val="21"/>
          <w:highlight w:val="none"/>
          <w:u w:val="single"/>
          <w:lang w:val="en-US" w:eastAsia="zh-CN"/>
        </w:rPr>
        <w:t>青砖，青瓦，文物类木材，红方砖及</w:t>
      </w:r>
      <w:r>
        <w:rPr>
          <w:rFonts w:hint="eastAsia" w:eastAsia="宋体" w:cs="宋体"/>
          <w:color w:val="auto"/>
          <w:highlight w:val="none"/>
          <w:u w:val="single"/>
        </w:rPr>
        <w:t>无信息的按市场价；无定额可套的，根据市场价格协商确定综合价格</w:t>
      </w:r>
      <w:r>
        <w:rPr>
          <w:rFonts w:hint="eastAsia" w:eastAsia="宋体" w:cs="宋体"/>
          <w:color w:val="auto"/>
          <w:highlight w:val="none"/>
          <w:u w:val="single"/>
          <w:lang w:eastAsia="zh-CN"/>
        </w:rPr>
        <w:t>。</w:t>
      </w:r>
    </w:p>
    <w:p w14:paraId="2B945F92">
      <w:pPr>
        <w:keepNext w:val="0"/>
        <w:keepLines w:val="0"/>
        <w:pageBreakBefore w:val="0"/>
        <w:widowControl w:val="0"/>
        <w:kinsoku/>
        <w:overflowPunct/>
        <w:topLinePunct w:val="0"/>
        <w:bidi w:val="0"/>
        <w:spacing w:line="360" w:lineRule="auto"/>
        <w:ind w:firstLine="420" w:firstLineChars="200"/>
        <w:jc w:val="left"/>
        <w:textAlignment w:val="auto"/>
        <w:outlineLvl w:val="9"/>
        <w:rPr>
          <w:rFonts w:hint="eastAsia"/>
          <w:color w:val="auto"/>
          <w:szCs w:val="21"/>
          <w:highlight w:val="none"/>
          <w:u w:val="single"/>
        </w:rPr>
      </w:pPr>
      <w:r>
        <w:rPr>
          <w:rFonts w:hint="eastAsia"/>
          <w:color w:val="auto"/>
          <w:szCs w:val="21"/>
          <w:highlight w:val="none"/>
          <w:u w:val="single"/>
        </w:rPr>
        <w:t>工程变更导致实际完成的变更工程量与已标价清单或预算书中列明的该项目工程量有偏差时，其综合单价的确定按专用条款“1.13工程量清单错误的修正”执行。</w:t>
      </w:r>
    </w:p>
    <w:p w14:paraId="11DC6633">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396" w:name="_Toc11464"/>
      <w:bookmarkStart w:id="397" w:name="_Toc2065"/>
      <w:bookmarkStart w:id="398" w:name="_Toc29998"/>
      <w:bookmarkStart w:id="399" w:name="_Toc19986"/>
      <w:r>
        <w:rPr>
          <w:rFonts w:hint="eastAsia" w:ascii="宋体" w:eastAsia="宋体" w:cs="宋体"/>
          <w:b/>
          <w:bCs/>
          <w:color w:val="auto"/>
          <w:highlight w:val="none"/>
        </w:rPr>
        <w:t>10.5承包人的合理化建议</w:t>
      </w:r>
      <w:bookmarkEnd w:id="396"/>
      <w:bookmarkEnd w:id="397"/>
      <w:bookmarkEnd w:id="398"/>
      <w:bookmarkEnd w:id="399"/>
    </w:p>
    <w:p w14:paraId="5DE3732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监理人审查承包人合理化建议的期限：</w:t>
      </w:r>
      <w:r>
        <w:rPr>
          <w:rFonts w:hint="eastAsia" w:eastAsia="宋体" w:cs="宋体"/>
          <w:color w:val="auto"/>
          <w:kern w:val="0"/>
          <w:highlight w:val="none"/>
          <w:u w:val="single"/>
        </w:rPr>
        <w:t>执行通用条款</w:t>
      </w:r>
      <w:r>
        <w:rPr>
          <w:rFonts w:hint="eastAsia" w:eastAsia="宋体" w:cs="宋体"/>
          <w:color w:val="auto"/>
          <w:highlight w:val="none"/>
        </w:rPr>
        <w:t>。</w:t>
      </w:r>
    </w:p>
    <w:p w14:paraId="03B6660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发包人审批承包人合理化建议的期限：</w:t>
      </w:r>
      <w:r>
        <w:rPr>
          <w:rFonts w:hint="eastAsia" w:eastAsia="宋体" w:cs="宋体"/>
          <w:color w:val="auto"/>
          <w:kern w:val="0"/>
          <w:highlight w:val="none"/>
          <w:u w:val="single"/>
        </w:rPr>
        <w:t>执行通用条款</w:t>
      </w:r>
      <w:r>
        <w:rPr>
          <w:rFonts w:hint="eastAsia" w:eastAsia="宋体" w:cs="宋体"/>
          <w:color w:val="auto"/>
          <w:highlight w:val="none"/>
        </w:rPr>
        <w:t>。</w:t>
      </w:r>
    </w:p>
    <w:p w14:paraId="37679AE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承包人提出的合理化建议降低了合同价格或者提高了工程经济效益的奖励的方法和金额为：</w:t>
      </w:r>
      <w:r>
        <w:rPr>
          <w:rFonts w:hint="eastAsia" w:eastAsia="宋体" w:cs="宋体"/>
          <w:color w:val="auto"/>
          <w:highlight w:val="none"/>
          <w:u w:val="single"/>
        </w:rPr>
        <w:t>无</w:t>
      </w:r>
      <w:r>
        <w:rPr>
          <w:rFonts w:hint="eastAsia" w:eastAsia="宋体" w:cs="宋体"/>
          <w:color w:val="auto"/>
          <w:highlight w:val="none"/>
        </w:rPr>
        <w:t>。</w:t>
      </w:r>
    </w:p>
    <w:p w14:paraId="3857E25A">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00" w:name="_Toc6024"/>
      <w:bookmarkStart w:id="401" w:name="_Toc17246"/>
      <w:bookmarkStart w:id="402" w:name="_Toc1096"/>
      <w:bookmarkStart w:id="403" w:name="_Toc3352"/>
      <w:r>
        <w:rPr>
          <w:rFonts w:hint="eastAsia" w:ascii="宋体" w:eastAsia="宋体" w:cs="宋体"/>
          <w:b/>
          <w:bCs/>
          <w:color w:val="auto"/>
          <w:highlight w:val="none"/>
        </w:rPr>
        <w:t>10.7 暂估价</w:t>
      </w:r>
      <w:bookmarkEnd w:id="400"/>
      <w:bookmarkEnd w:id="401"/>
      <w:bookmarkEnd w:id="402"/>
      <w:bookmarkEnd w:id="403"/>
    </w:p>
    <w:p w14:paraId="08F6F4A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bookmarkStart w:id="404" w:name="_Toc16409"/>
      <w:bookmarkStart w:id="405" w:name="_Toc28018"/>
      <w:bookmarkStart w:id="406" w:name="_Toc16525"/>
      <w:bookmarkStart w:id="407" w:name="_Toc23997"/>
      <w:r>
        <w:rPr>
          <w:rFonts w:hint="eastAsia" w:eastAsia="宋体" w:cs="宋体"/>
          <w:color w:val="auto"/>
          <w:kern w:val="0"/>
          <w:highlight w:val="none"/>
        </w:rPr>
        <w:t>暂估价材料和工程设备的明细详见已标价工程量清单《材料（工程设备）暂估价格及调整表》（表12-2）和《专业工程暂估价表》（表12-3）。</w:t>
      </w:r>
      <w:bookmarkEnd w:id="404"/>
      <w:bookmarkEnd w:id="405"/>
      <w:bookmarkEnd w:id="406"/>
      <w:bookmarkEnd w:id="407"/>
    </w:p>
    <w:p w14:paraId="7157EF5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bookmarkStart w:id="408" w:name="_Toc27818"/>
      <w:bookmarkStart w:id="409" w:name="_Toc24006"/>
      <w:bookmarkStart w:id="410" w:name="_Toc20028"/>
      <w:bookmarkStart w:id="411" w:name="_Toc16381"/>
      <w:r>
        <w:rPr>
          <w:rFonts w:hint="eastAsia" w:eastAsia="宋体" w:cs="宋体"/>
          <w:color w:val="auto"/>
          <w:highlight w:val="none"/>
        </w:rPr>
        <w:t>10.7.1 依法必须招标的暂估价项目</w:t>
      </w:r>
      <w:bookmarkEnd w:id="408"/>
      <w:bookmarkEnd w:id="409"/>
      <w:bookmarkEnd w:id="410"/>
      <w:bookmarkEnd w:id="411"/>
    </w:p>
    <w:p w14:paraId="7C67439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0000FF"/>
          <w:highlight w:val="none"/>
        </w:rPr>
        <w:t>对于依法必须招标的暂估价项目的确认和批准采取第</w:t>
      </w:r>
      <w:r>
        <w:rPr>
          <w:rFonts w:hint="eastAsia" w:eastAsia="宋体" w:cs="宋体"/>
          <w:color w:val="0000FF"/>
          <w:highlight w:val="none"/>
          <w:u w:val="single"/>
        </w:rPr>
        <w:t xml:space="preserve">  1  </w:t>
      </w:r>
      <w:r>
        <w:rPr>
          <w:rFonts w:hint="eastAsia" w:eastAsia="宋体" w:cs="宋体"/>
          <w:color w:val="0000FF"/>
          <w:highlight w:val="none"/>
        </w:rPr>
        <w:t>种方式确定。</w:t>
      </w:r>
    </w:p>
    <w:p w14:paraId="17ED952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10.7.2 不属于依法必须招标的暂估价项目</w:t>
      </w:r>
    </w:p>
    <w:p w14:paraId="448E53C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对于不属于依法必须招标的暂估价项目的确认和批准采取第</w:t>
      </w:r>
      <w:r>
        <w:rPr>
          <w:rFonts w:hint="eastAsia" w:eastAsia="宋体" w:cs="宋体"/>
          <w:color w:val="auto"/>
          <w:highlight w:val="none"/>
          <w:u w:val="single"/>
        </w:rPr>
        <w:t>2</w:t>
      </w:r>
      <w:r>
        <w:rPr>
          <w:rFonts w:hint="eastAsia" w:eastAsia="宋体" w:cs="宋体"/>
          <w:color w:val="auto"/>
          <w:highlight w:val="none"/>
        </w:rPr>
        <w:t>种方式确定。</w:t>
      </w:r>
    </w:p>
    <w:p w14:paraId="353AFF0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highlight w:val="none"/>
        </w:rPr>
        <w:t>第3种方式：</w:t>
      </w:r>
      <w:r>
        <w:rPr>
          <w:rFonts w:hint="eastAsia" w:eastAsia="宋体" w:cs="宋体"/>
          <w:color w:val="auto"/>
          <w:kern w:val="0"/>
          <w:highlight w:val="none"/>
        </w:rPr>
        <w:t>承包人直接实施的暂估价项目</w:t>
      </w:r>
    </w:p>
    <w:p w14:paraId="2C1A70C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承包人直接实施的暂估价项目的约定：</w:t>
      </w:r>
      <w:r>
        <w:rPr>
          <w:rFonts w:hint="eastAsia" w:eastAsia="宋体" w:cs="宋体"/>
          <w:color w:val="auto"/>
          <w:highlight w:val="none"/>
          <w:u w:val="single"/>
        </w:rPr>
        <w:t>无</w:t>
      </w:r>
      <w:r>
        <w:rPr>
          <w:rFonts w:hint="eastAsia" w:eastAsia="宋体" w:cs="宋体"/>
          <w:color w:val="auto"/>
          <w:highlight w:val="none"/>
        </w:rPr>
        <w:t>。</w:t>
      </w:r>
    </w:p>
    <w:p w14:paraId="5FD54D17">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12" w:name="_Toc10887"/>
      <w:bookmarkStart w:id="413" w:name="_Toc10305"/>
      <w:bookmarkStart w:id="414" w:name="_Toc25056"/>
      <w:bookmarkStart w:id="415" w:name="_Toc23491"/>
      <w:r>
        <w:rPr>
          <w:rFonts w:hint="eastAsia" w:ascii="宋体" w:eastAsia="宋体" w:cs="宋体"/>
          <w:b/>
          <w:bCs/>
          <w:color w:val="auto"/>
          <w:highlight w:val="none"/>
        </w:rPr>
        <w:t>10.8 暂列金额</w:t>
      </w:r>
      <w:bookmarkEnd w:id="412"/>
      <w:bookmarkEnd w:id="413"/>
      <w:bookmarkEnd w:id="414"/>
      <w:bookmarkEnd w:id="415"/>
    </w:p>
    <w:p w14:paraId="3FF90B4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合同当事人关于暂列金额使用的约定：</w:t>
      </w:r>
      <w:r>
        <w:rPr>
          <w:rFonts w:hint="eastAsia" w:eastAsia="宋体" w:cs="宋体"/>
          <w:color w:val="auto"/>
          <w:kern w:val="0"/>
          <w:highlight w:val="none"/>
          <w:u w:val="single"/>
        </w:rPr>
        <w:t>暂列金额是指发包人为可能发生工程变更而暂列的金额，包括因发包人提供的工程量清单漏项、清单有误引起的工程数量增加和施工过程中设计变更引起新的清单项目或工程数量增加等需要增加的金额，发包人委托具有建设行政主管部门颁发资质的造价咨询机构审定后，按照审定造价支付部分暂列金。暂列金额是发包人自行确定设立的，承包人无权使用此笔费用。此费用按实际发生经发包人签证后确定全部使用、部分使用或不使用。暂列金额不计入工程款付款的基数。发包人按照规定所作支付后，暂列金额如有余额归发包人</w:t>
      </w:r>
      <w:r>
        <w:rPr>
          <w:rFonts w:hint="eastAsia" w:eastAsia="宋体" w:cs="宋体"/>
          <w:color w:val="auto"/>
          <w:kern w:val="0"/>
          <w:highlight w:val="none"/>
        </w:rPr>
        <w:t>。</w:t>
      </w:r>
    </w:p>
    <w:p w14:paraId="3D2188C7">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16" w:name="_Toc4804"/>
      <w:bookmarkStart w:id="417" w:name="_Toc25286"/>
      <w:bookmarkStart w:id="418" w:name="_Toc15759"/>
      <w:bookmarkStart w:id="419" w:name="_Toc31002"/>
      <w:r>
        <w:rPr>
          <w:rFonts w:hint="eastAsia" w:ascii="宋体" w:eastAsia="宋体" w:cs="宋体"/>
          <w:b/>
          <w:bCs/>
          <w:color w:val="auto"/>
          <w:highlight w:val="none"/>
        </w:rPr>
        <w:t>11. 价格调整</w:t>
      </w:r>
      <w:bookmarkEnd w:id="416"/>
      <w:bookmarkEnd w:id="417"/>
      <w:bookmarkEnd w:id="418"/>
      <w:bookmarkEnd w:id="419"/>
    </w:p>
    <w:p w14:paraId="5F734464">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20" w:name="_Toc11043"/>
      <w:bookmarkStart w:id="421" w:name="_Toc27352"/>
      <w:bookmarkStart w:id="422" w:name="_Toc25926"/>
      <w:bookmarkStart w:id="423" w:name="_Toc31542"/>
      <w:r>
        <w:rPr>
          <w:rFonts w:hint="eastAsia" w:ascii="宋体" w:eastAsia="宋体" w:cs="宋体"/>
          <w:b/>
          <w:bCs/>
          <w:color w:val="auto"/>
          <w:highlight w:val="none"/>
        </w:rPr>
        <w:t>11.1 市场价格波动引起的调整</w:t>
      </w:r>
      <w:bookmarkEnd w:id="420"/>
      <w:bookmarkEnd w:id="421"/>
      <w:bookmarkEnd w:id="422"/>
      <w:bookmarkEnd w:id="423"/>
    </w:p>
    <w:p w14:paraId="5DA9874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市场价格波动是否调整合同价格的约定：</w:t>
      </w:r>
      <w:r>
        <w:rPr>
          <w:rFonts w:hint="eastAsia" w:eastAsia="宋体" w:cs="宋体"/>
          <w:color w:val="auto"/>
          <w:kern w:val="0"/>
          <w:highlight w:val="none"/>
          <w:u w:val="single"/>
        </w:rPr>
        <w:t>市场价格波动超过双方约定的范围，调整合同价格</w:t>
      </w:r>
      <w:r>
        <w:rPr>
          <w:rFonts w:hint="eastAsia" w:eastAsia="宋体" w:cs="宋体"/>
          <w:color w:val="auto"/>
          <w:highlight w:val="none"/>
        </w:rPr>
        <w:t>。</w:t>
      </w:r>
    </w:p>
    <w:p w14:paraId="04AE8D4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因市场价格波动调整合同价格，采用以下第</w:t>
      </w:r>
      <w:r>
        <w:rPr>
          <w:rFonts w:hint="eastAsia" w:eastAsia="宋体" w:cs="宋体"/>
          <w:color w:val="auto"/>
          <w:highlight w:val="none"/>
          <w:u w:val="single"/>
        </w:rPr>
        <w:t xml:space="preserve"> 2 </w:t>
      </w:r>
      <w:r>
        <w:rPr>
          <w:rFonts w:hint="eastAsia" w:eastAsia="宋体" w:cs="宋体"/>
          <w:color w:val="auto"/>
          <w:highlight w:val="none"/>
        </w:rPr>
        <w:t>种方式对合同价格进行调整：</w:t>
      </w:r>
    </w:p>
    <w:p w14:paraId="1A8D6C6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第1种方式：采用价格指数进行价格调整。</w:t>
      </w:r>
    </w:p>
    <w:p w14:paraId="606FCD9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关于各可调因子、定值和变值权重，以及基本价格指数及其来源的约定：</w:t>
      </w:r>
      <w:r>
        <w:rPr>
          <w:rFonts w:hint="eastAsia" w:eastAsia="宋体" w:cs="宋体"/>
          <w:color w:val="auto"/>
          <w:highlight w:val="none"/>
          <w:u w:val="single"/>
        </w:rPr>
        <w:t xml:space="preserve">  　　　       </w:t>
      </w:r>
      <w:r>
        <w:rPr>
          <w:rFonts w:hint="eastAsia" w:eastAsia="宋体" w:cs="宋体"/>
          <w:color w:val="auto"/>
          <w:highlight w:val="none"/>
        </w:rPr>
        <w:t xml:space="preserve">； </w:t>
      </w:r>
    </w:p>
    <w:p w14:paraId="2CE7148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第2种方式：采用造价信息进行价格调整。</w:t>
      </w:r>
    </w:p>
    <w:p w14:paraId="1EE07B3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（1）允许调整的主要材料（设备）、基期价格、风险系数、</w:t>
      </w:r>
      <w:r>
        <w:rPr>
          <w:rFonts w:hint="eastAsia" w:eastAsia="宋体" w:cs="宋体"/>
          <w:color w:val="auto"/>
          <w:highlight w:val="none"/>
          <w:lang w:eastAsia="zh-CN"/>
        </w:rPr>
        <w:t>磋商</w:t>
      </w:r>
      <w:r>
        <w:rPr>
          <w:rFonts w:hint="eastAsia" w:eastAsia="宋体" w:cs="宋体"/>
          <w:color w:val="auto"/>
          <w:highlight w:val="none"/>
        </w:rPr>
        <w:t>报价：详见《承包人提供主要材料和设备一览表》。</w:t>
      </w:r>
    </w:p>
    <w:p w14:paraId="7E032EE7">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2</w:t>
      </w:r>
      <w:r>
        <w:rPr>
          <w:rFonts w:hint="eastAsia" w:ascii="宋体" w:hAnsi="宋体"/>
          <w:color w:val="auto"/>
          <w:szCs w:val="21"/>
          <w:highlight w:val="none"/>
        </w:rPr>
        <w:t>）主要材料确认价：</w:t>
      </w:r>
    </w:p>
    <w:p w14:paraId="569FECB6">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hint="eastAsia" w:ascii="宋体" w:hAnsi="宋体"/>
          <w:color w:val="auto"/>
          <w:szCs w:val="21"/>
          <w:highlight w:val="none"/>
        </w:rPr>
        <w:t>按施工期间《</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市建设工程造价信息》加权平均计算，信息价没有的按通用条款规定确定。</w:t>
      </w:r>
    </w:p>
    <w:p w14:paraId="644CFA35">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hint="eastAsia" w:ascii="宋体" w:hAnsi="宋体"/>
          <w:color w:val="auto"/>
          <w:szCs w:val="21"/>
          <w:highlight w:val="none"/>
        </w:rPr>
        <w:t>（</w:t>
      </w:r>
      <w:r>
        <w:rPr>
          <w:rFonts w:ascii="宋体" w:hAnsi="宋体"/>
          <w:color w:val="auto"/>
          <w:szCs w:val="21"/>
          <w:highlight w:val="none"/>
        </w:rPr>
        <w:t>3</w:t>
      </w:r>
      <w:r>
        <w:rPr>
          <w:rFonts w:hint="eastAsia" w:ascii="宋体" w:hAnsi="宋体"/>
          <w:color w:val="auto"/>
          <w:szCs w:val="21"/>
          <w:highlight w:val="none"/>
        </w:rPr>
        <w:t>）价差计算方法：</w:t>
      </w:r>
    </w:p>
    <w:p w14:paraId="2E811BB3">
      <w:pPr>
        <w:keepNext w:val="0"/>
        <w:keepLines w:val="0"/>
        <w:pageBreakBefore w:val="0"/>
        <w:widowControl w:val="0"/>
        <w:kinsoku/>
        <w:overflowPunct/>
        <w:topLinePunct w:val="0"/>
        <w:bidi w:val="0"/>
        <w:spacing w:line="360" w:lineRule="auto"/>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①《承包人提供主要材料和设备一览表》中载明的材料</w:t>
      </w:r>
      <w:r>
        <w:rPr>
          <w:rFonts w:hint="eastAsia" w:ascii="宋体" w:hAnsi="宋体" w:cs="宋体"/>
          <w:color w:val="auto"/>
          <w:szCs w:val="21"/>
          <w:highlight w:val="none"/>
          <w:lang w:eastAsia="zh-CN"/>
        </w:rPr>
        <w:t>磋商</w:t>
      </w:r>
      <w:r>
        <w:rPr>
          <w:rFonts w:hint="eastAsia" w:ascii="宋体" w:hAnsi="宋体" w:cs="宋体"/>
          <w:color w:val="auto"/>
          <w:szCs w:val="21"/>
          <w:highlight w:val="none"/>
        </w:rPr>
        <w:t>报价低于基准价格的：合同履行期间材料单价涨幅以基准价格为基础超过约定的风险范围时，或材料单价跌幅以</w:t>
      </w:r>
      <w:r>
        <w:rPr>
          <w:rFonts w:hint="eastAsia" w:ascii="宋体" w:hAnsi="宋体" w:cs="宋体"/>
          <w:color w:val="auto"/>
          <w:szCs w:val="21"/>
          <w:highlight w:val="none"/>
          <w:lang w:eastAsia="zh-CN"/>
        </w:rPr>
        <w:t>磋商</w:t>
      </w:r>
      <w:r>
        <w:rPr>
          <w:rFonts w:hint="eastAsia" w:ascii="宋体" w:hAnsi="宋体" w:cs="宋体"/>
          <w:color w:val="auto"/>
          <w:szCs w:val="21"/>
          <w:highlight w:val="none"/>
        </w:rPr>
        <w:t>报价为基础超过约定的风险范围时，其超过部分据实调整。</w:t>
      </w:r>
    </w:p>
    <w:p w14:paraId="7E29746C">
      <w:pPr>
        <w:keepNext w:val="0"/>
        <w:keepLines w:val="0"/>
        <w:pageBreakBefore w:val="0"/>
        <w:widowControl w:val="0"/>
        <w:kinsoku/>
        <w:overflowPunct/>
        <w:topLinePunct w:val="0"/>
        <w:bidi w:val="0"/>
        <w:spacing w:line="360" w:lineRule="auto"/>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②承包人在《承包人提供主要材料和设备一览表》中载明的材料</w:t>
      </w:r>
      <w:r>
        <w:rPr>
          <w:rFonts w:hint="eastAsia" w:ascii="宋体" w:hAnsi="宋体" w:cs="宋体"/>
          <w:color w:val="auto"/>
          <w:szCs w:val="21"/>
          <w:highlight w:val="none"/>
          <w:lang w:eastAsia="zh-CN"/>
        </w:rPr>
        <w:t>磋商</w:t>
      </w:r>
      <w:r>
        <w:rPr>
          <w:rFonts w:hint="eastAsia" w:ascii="宋体" w:hAnsi="宋体" w:cs="宋体"/>
          <w:color w:val="auto"/>
          <w:szCs w:val="21"/>
          <w:highlight w:val="none"/>
        </w:rPr>
        <w:t>报价高于基准价格的：专用合同条款合同履行期间材料单价跌幅以基准价格为基础超过约定的风险范围时，材料单价涨幅以</w:t>
      </w:r>
      <w:r>
        <w:rPr>
          <w:rFonts w:hint="eastAsia" w:ascii="宋体" w:hAnsi="宋体" w:cs="宋体"/>
          <w:color w:val="auto"/>
          <w:szCs w:val="21"/>
          <w:highlight w:val="none"/>
          <w:lang w:eastAsia="zh-CN"/>
        </w:rPr>
        <w:t>磋商</w:t>
      </w:r>
      <w:r>
        <w:rPr>
          <w:rFonts w:hint="eastAsia" w:ascii="宋体" w:hAnsi="宋体" w:cs="宋体"/>
          <w:color w:val="auto"/>
          <w:szCs w:val="21"/>
          <w:highlight w:val="none"/>
        </w:rPr>
        <w:t>报价为基础超过约定的风险范围时，其超过部分据实调整。</w:t>
      </w:r>
    </w:p>
    <w:p w14:paraId="4CA00D55">
      <w:pPr>
        <w:keepNext w:val="0"/>
        <w:keepLines w:val="0"/>
        <w:pageBreakBefore w:val="0"/>
        <w:widowControl w:val="0"/>
        <w:kinsoku/>
        <w:overflowPunct/>
        <w:topLinePunct w:val="0"/>
        <w:bidi w:val="0"/>
        <w:spacing w:line="360" w:lineRule="auto"/>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③承包人在《承包人提供主要材料和设备一览表》中载明的材料单价等于基准单价的：合同履行期间材料单价涨跌幅以基准单价为基础超过约定的风险范围时，其超过部分据实调整。</w:t>
      </w:r>
    </w:p>
    <w:p w14:paraId="7FD860BB">
      <w:pPr>
        <w:keepNext w:val="0"/>
        <w:keepLines w:val="0"/>
        <w:pageBreakBefore w:val="0"/>
        <w:widowControl w:val="0"/>
        <w:kinsoku/>
        <w:overflowPunct/>
        <w:topLinePunct w:val="0"/>
        <w:bidi w:val="0"/>
        <w:spacing w:line="360" w:lineRule="auto"/>
        <w:ind w:firstLine="420" w:firstLineChars="200"/>
        <w:jc w:val="left"/>
        <w:textAlignment w:val="auto"/>
        <w:outlineLvl w:val="9"/>
        <w:rPr>
          <w:rFonts w:hint="eastAsia" w:ascii="宋体" w:hAnsi="宋体"/>
          <w:color w:val="auto"/>
          <w:szCs w:val="21"/>
          <w:highlight w:val="none"/>
        </w:rPr>
      </w:pPr>
      <w:r>
        <w:rPr>
          <w:rFonts w:hint="eastAsia" w:ascii="宋体" w:hAnsi="宋体" w:cs="宋体"/>
          <w:color w:val="auto"/>
          <w:szCs w:val="21"/>
          <w:highlight w:val="none"/>
        </w:rPr>
        <w:t>第</w:t>
      </w:r>
      <w:r>
        <w:rPr>
          <w:rFonts w:ascii="宋体" w:hAnsi="宋体" w:cs="宋体"/>
          <w:color w:val="auto"/>
          <w:szCs w:val="21"/>
          <w:highlight w:val="none"/>
        </w:rPr>
        <w:t>3</w:t>
      </w:r>
      <w:r>
        <w:rPr>
          <w:rFonts w:hint="eastAsia" w:ascii="宋体" w:hAnsi="宋体" w:cs="宋体"/>
          <w:color w:val="auto"/>
          <w:szCs w:val="21"/>
          <w:highlight w:val="none"/>
        </w:rPr>
        <w:t>种方式：</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6B33CFED">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24" w:name="_Toc21066"/>
      <w:bookmarkStart w:id="425" w:name="_Toc21714"/>
      <w:bookmarkStart w:id="426" w:name="_Toc31012"/>
      <w:bookmarkStart w:id="427" w:name="_Toc27213"/>
      <w:r>
        <w:rPr>
          <w:rFonts w:hint="eastAsia" w:ascii="宋体" w:eastAsia="宋体" w:cs="宋体"/>
          <w:b/>
          <w:bCs/>
          <w:color w:val="auto"/>
          <w:highlight w:val="none"/>
        </w:rPr>
        <w:t>12. 合同价格、计量与支付</w:t>
      </w:r>
      <w:bookmarkEnd w:id="424"/>
      <w:bookmarkEnd w:id="425"/>
      <w:bookmarkEnd w:id="426"/>
      <w:bookmarkEnd w:id="427"/>
    </w:p>
    <w:p w14:paraId="2748F221">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lang w:eastAsia="zh-CN"/>
        </w:rPr>
      </w:pPr>
      <w:bookmarkStart w:id="428" w:name="_Toc19860"/>
      <w:bookmarkStart w:id="429" w:name="_Toc25491"/>
      <w:bookmarkStart w:id="430" w:name="_Toc16391"/>
      <w:bookmarkStart w:id="431" w:name="_Toc8507"/>
      <w:r>
        <w:rPr>
          <w:rFonts w:hint="eastAsia" w:ascii="宋体" w:eastAsia="宋体" w:cs="宋体"/>
          <w:b/>
          <w:bCs/>
          <w:color w:val="auto"/>
          <w:highlight w:val="none"/>
        </w:rPr>
        <w:t>12.1 合同价格形式</w:t>
      </w:r>
      <w:bookmarkEnd w:id="428"/>
      <w:bookmarkEnd w:id="429"/>
      <w:bookmarkEnd w:id="430"/>
      <w:bookmarkEnd w:id="431"/>
    </w:p>
    <w:p w14:paraId="331176D7">
      <w:pPr>
        <w:keepNext w:val="0"/>
        <w:keepLines w:val="0"/>
        <w:pageBreakBefore w:val="0"/>
        <w:widowControl w:val="0"/>
        <w:kinsoku/>
        <w:overflowPunct/>
        <w:topLinePunct w:val="0"/>
        <w:bidi w:val="0"/>
        <w:snapToGrid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本工程采用</w:t>
      </w:r>
      <w:r>
        <w:rPr>
          <w:rFonts w:hint="eastAsia" w:ascii="宋体" w:hAnsi="宋体" w:cs="宋体"/>
          <w:color w:val="auto"/>
          <w:szCs w:val="21"/>
          <w:highlight w:val="none"/>
          <w:u w:val="single"/>
        </w:rPr>
        <w:t xml:space="preserve">   （1）   </w:t>
      </w:r>
      <w:r>
        <w:rPr>
          <w:rFonts w:hint="eastAsia" w:ascii="宋体" w:hAnsi="宋体" w:cs="宋体"/>
          <w:color w:val="auto"/>
          <w:szCs w:val="21"/>
          <w:highlight w:val="none"/>
        </w:rPr>
        <w:t>合同价格形式。</w:t>
      </w:r>
    </w:p>
    <w:p w14:paraId="45D52345">
      <w:pPr>
        <w:keepNext w:val="0"/>
        <w:keepLines w:val="0"/>
        <w:pageBreakBefore w:val="0"/>
        <w:widowControl w:val="0"/>
        <w:kinsoku/>
        <w:overflowPunct/>
        <w:topLinePunct w:val="0"/>
        <w:bidi w:val="0"/>
        <w:snapToGrid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（1）单价合同。</w:t>
      </w:r>
    </w:p>
    <w:p w14:paraId="7CF00AE8">
      <w:pPr>
        <w:keepNext w:val="0"/>
        <w:keepLines w:val="0"/>
        <w:pageBreakBefore w:val="0"/>
        <w:widowControl w:val="0"/>
        <w:kinsoku/>
        <w:overflowPunct/>
        <w:topLinePunct w:val="0"/>
        <w:bidi w:val="0"/>
        <w:snapToGrid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本合同价款采用固定综合单价方式确定。</w:t>
      </w:r>
    </w:p>
    <w:p w14:paraId="6F51A87A">
      <w:pPr>
        <w:keepNext w:val="0"/>
        <w:keepLines w:val="0"/>
        <w:pageBreakBefore w:val="0"/>
        <w:widowControl w:val="0"/>
        <w:kinsoku/>
        <w:overflowPunct/>
        <w:topLinePunct w:val="0"/>
        <w:bidi w:val="0"/>
        <w:snapToGrid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综合单价包含的风险范围：</w:t>
      </w:r>
      <w:r>
        <w:rPr>
          <w:rFonts w:hint="eastAsia" w:ascii="宋体" w:hAnsi="宋体" w:cs="宋体"/>
          <w:color w:val="auto"/>
          <w:szCs w:val="21"/>
          <w:highlight w:val="none"/>
          <w:u w:val="single"/>
        </w:rPr>
        <w:t>除工程变更、政策性调整、《承包人提供主要材料和设备一览表》约定的材料、设备价格变动风险以外因素。</w:t>
      </w:r>
    </w:p>
    <w:p w14:paraId="62B617D4">
      <w:pPr>
        <w:keepNext w:val="0"/>
        <w:keepLines w:val="0"/>
        <w:pageBreakBefore w:val="0"/>
        <w:widowControl w:val="0"/>
        <w:kinsoku/>
        <w:overflowPunct/>
        <w:topLinePunct w:val="0"/>
        <w:bidi w:val="0"/>
        <w:snapToGrid w:val="0"/>
        <w:spacing w:line="400" w:lineRule="exact"/>
        <w:ind w:firstLine="420" w:firstLineChars="2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color w:val="auto"/>
          <w:szCs w:val="21"/>
          <w:highlight w:val="none"/>
          <w:u w:val="single"/>
        </w:rPr>
        <w:t>按以下约定执行</w:t>
      </w:r>
      <w:r>
        <w:rPr>
          <w:rFonts w:hint="eastAsia" w:ascii="宋体" w:hAnsi="宋体" w:cs="宋体"/>
          <w:color w:val="auto"/>
          <w:szCs w:val="21"/>
          <w:highlight w:val="none"/>
        </w:rPr>
        <w:t>。　</w:t>
      </w:r>
    </w:p>
    <w:p w14:paraId="653D9323">
      <w:pPr>
        <w:keepNext w:val="0"/>
        <w:keepLines w:val="0"/>
        <w:pageBreakBefore w:val="0"/>
        <w:widowControl w:val="0"/>
        <w:kinsoku/>
        <w:overflowPunct/>
        <w:topLinePunct w:val="0"/>
        <w:bidi w:val="0"/>
        <w:snapToGrid w:val="0"/>
        <w:spacing w:line="400" w:lineRule="exact"/>
        <w:ind w:firstLine="420" w:firstLineChars="2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①工程变更：按10.4.1变更估价原则的约定调整。</w:t>
      </w:r>
    </w:p>
    <w:p w14:paraId="611DECB9">
      <w:pPr>
        <w:keepNext w:val="0"/>
        <w:keepLines w:val="0"/>
        <w:pageBreakBefore w:val="0"/>
        <w:widowControl w:val="0"/>
        <w:kinsoku/>
        <w:overflowPunct/>
        <w:topLinePunct w:val="0"/>
        <w:bidi w:val="0"/>
        <w:snapToGrid w:val="0"/>
        <w:spacing w:line="400" w:lineRule="exact"/>
        <w:ind w:firstLine="420" w:firstLineChars="2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②政策性调整：按自治区建设行政主管部门颁布的文件执行。</w:t>
      </w:r>
    </w:p>
    <w:p w14:paraId="5856F638">
      <w:pPr>
        <w:keepNext w:val="0"/>
        <w:keepLines w:val="0"/>
        <w:pageBreakBefore w:val="0"/>
        <w:widowControl w:val="0"/>
        <w:kinsoku/>
        <w:overflowPunct/>
        <w:topLinePunct w:val="0"/>
        <w:bidi w:val="0"/>
        <w:snapToGrid w:val="0"/>
        <w:spacing w:line="400" w:lineRule="exact"/>
        <w:ind w:firstLine="420" w:firstLineChars="2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③材料价格风险：按11.1的约定调整。</w:t>
      </w:r>
    </w:p>
    <w:p w14:paraId="5E6F8C6A">
      <w:pPr>
        <w:keepNext w:val="0"/>
        <w:keepLines w:val="0"/>
        <w:pageBreakBefore w:val="0"/>
        <w:widowControl w:val="0"/>
        <w:kinsoku/>
        <w:overflowPunct/>
        <w:topLinePunct w:val="0"/>
        <w:bidi w:val="0"/>
        <w:snapToGrid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④其它：</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w:t>
      </w:r>
    </w:p>
    <w:p w14:paraId="3DF62CC1">
      <w:pPr>
        <w:keepNext w:val="0"/>
        <w:keepLines w:val="0"/>
        <w:pageBreakBefore w:val="0"/>
        <w:widowControl w:val="0"/>
        <w:kinsoku/>
        <w:overflowPunct/>
        <w:topLinePunct w:val="0"/>
        <w:bidi w:val="0"/>
        <w:snapToGrid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（2）总价合同。</w:t>
      </w:r>
    </w:p>
    <w:p w14:paraId="5FDC59B9">
      <w:pPr>
        <w:keepNext w:val="0"/>
        <w:keepLines w:val="0"/>
        <w:pageBreakBefore w:val="0"/>
        <w:widowControl w:val="0"/>
        <w:kinsoku/>
        <w:overflowPunct/>
        <w:topLinePunct w:val="0"/>
        <w:bidi w:val="0"/>
        <w:snapToGrid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总价包含的风险范围：</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62D72947">
      <w:pPr>
        <w:keepNext w:val="0"/>
        <w:keepLines w:val="0"/>
        <w:pageBreakBefore w:val="0"/>
        <w:widowControl w:val="0"/>
        <w:kinsoku/>
        <w:overflowPunct/>
        <w:topLinePunct w:val="0"/>
        <w:bidi w:val="0"/>
        <w:snapToGrid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风险范围以外合同价格的调整方法：</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1B34D057">
      <w:pPr>
        <w:keepNext w:val="0"/>
        <w:keepLines w:val="0"/>
        <w:pageBreakBefore w:val="0"/>
        <w:widowControl w:val="0"/>
        <w:kinsoku/>
        <w:overflowPunct/>
        <w:topLinePunct w:val="0"/>
        <w:bidi w:val="0"/>
        <w:snapToGrid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（3）其他价格方式：</w:t>
      </w:r>
      <w:r>
        <w:rPr>
          <w:rFonts w:hint="eastAsia" w:ascii="宋体" w:hAnsi="宋体" w:cs="宋体"/>
          <w:color w:val="auto"/>
          <w:szCs w:val="21"/>
          <w:highlight w:val="none"/>
          <w:u w:val="single"/>
        </w:rPr>
        <w:t xml:space="preserve">      无       </w:t>
      </w:r>
      <w:r>
        <w:rPr>
          <w:rFonts w:hint="eastAsia" w:ascii="宋体" w:hAnsi="宋体" w:cs="宋体"/>
          <w:color w:val="auto"/>
          <w:szCs w:val="21"/>
          <w:highlight w:val="none"/>
        </w:rPr>
        <w:t>。</w:t>
      </w:r>
    </w:p>
    <w:p w14:paraId="2F6EBB02">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32" w:name="_Toc10069"/>
      <w:bookmarkStart w:id="433" w:name="_Toc12615"/>
      <w:bookmarkStart w:id="434" w:name="_Toc20454"/>
      <w:bookmarkStart w:id="435" w:name="_Toc12209"/>
      <w:r>
        <w:rPr>
          <w:rFonts w:hint="eastAsia" w:ascii="宋体" w:eastAsia="宋体" w:cs="宋体"/>
          <w:b/>
          <w:bCs/>
          <w:color w:val="auto"/>
          <w:highlight w:val="none"/>
        </w:rPr>
        <w:t>12.2 预付款</w:t>
      </w:r>
      <w:bookmarkEnd w:id="432"/>
      <w:bookmarkEnd w:id="433"/>
      <w:bookmarkEnd w:id="434"/>
      <w:bookmarkEnd w:id="435"/>
    </w:p>
    <w:p w14:paraId="3E3F1BC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highlight w:val="none"/>
        </w:rPr>
        <w:t>12.2.1 预付款的支付</w:t>
      </w:r>
    </w:p>
    <w:p w14:paraId="467AF44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预付款支付比例或金额：</w:t>
      </w:r>
      <w:r>
        <w:rPr>
          <w:rFonts w:hint="eastAsia" w:eastAsia="宋体" w:cs="宋体"/>
          <w:color w:val="auto"/>
          <w:highlight w:val="none"/>
          <w:u w:val="single"/>
          <w:lang w:val="en-US" w:eastAsia="zh-CN"/>
        </w:rPr>
        <w:t>/</w:t>
      </w:r>
      <w:r>
        <w:rPr>
          <w:rFonts w:hint="eastAsia" w:eastAsia="宋体" w:cs="宋体"/>
          <w:color w:val="auto"/>
          <w:highlight w:val="none"/>
          <w:u w:val="single"/>
        </w:rPr>
        <w:t xml:space="preserve"> </w:t>
      </w:r>
      <w:r>
        <w:rPr>
          <w:rFonts w:hint="eastAsia" w:eastAsia="宋体" w:cs="宋体"/>
          <w:color w:val="auto"/>
          <w:highlight w:val="none"/>
        </w:rPr>
        <w:t>。</w:t>
      </w:r>
    </w:p>
    <w:p w14:paraId="3D4A1BF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预付款支付期限：</w:t>
      </w:r>
      <w:r>
        <w:rPr>
          <w:rFonts w:hint="eastAsia" w:eastAsia="宋体" w:cs="宋体"/>
          <w:color w:val="auto"/>
          <w:highlight w:val="none"/>
          <w:lang w:val="en-US" w:eastAsia="zh-CN"/>
        </w:rPr>
        <w:t xml:space="preserve"> </w:t>
      </w:r>
      <w:r>
        <w:rPr>
          <w:rFonts w:hint="eastAsia" w:eastAsia="宋体" w:cs="宋体"/>
          <w:color w:val="auto"/>
          <w:highlight w:val="none"/>
          <w:u w:val="single"/>
          <w:lang w:val="en-US" w:eastAsia="zh-CN"/>
        </w:rPr>
        <w:t xml:space="preserve"> /</w:t>
      </w:r>
      <w:r>
        <w:rPr>
          <w:rFonts w:hint="eastAsia" w:eastAsia="宋体" w:cs="宋体"/>
          <w:color w:val="auto"/>
          <w:highlight w:val="none"/>
          <w:u w:val="none"/>
        </w:rPr>
        <w:t>。</w:t>
      </w:r>
    </w:p>
    <w:p w14:paraId="7A96D9A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预付款扣回的方式：</w:t>
      </w:r>
      <w:r>
        <w:rPr>
          <w:rFonts w:hint="eastAsia" w:eastAsia="宋体" w:cs="宋体"/>
          <w:color w:val="auto"/>
          <w:highlight w:val="none"/>
          <w:u w:val="single"/>
          <w:lang w:val="en-US" w:eastAsia="zh-CN"/>
        </w:rPr>
        <w:t xml:space="preserve">          /       </w:t>
      </w:r>
      <w:r>
        <w:rPr>
          <w:rFonts w:hint="eastAsia" w:eastAsia="宋体" w:cs="宋体"/>
          <w:color w:val="auto"/>
          <w:highlight w:val="none"/>
          <w:u w:val="single"/>
        </w:rPr>
        <w:t xml:space="preserve"> </w:t>
      </w:r>
      <w:r>
        <w:rPr>
          <w:rFonts w:hint="eastAsia" w:eastAsia="宋体" w:cs="宋体"/>
          <w:color w:val="auto"/>
          <w:highlight w:val="none"/>
        </w:rPr>
        <w:t>。</w:t>
      </w:r>
    </w:p>
    <w:p w14:paraId="166B094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bookmarkStart w:id="436" w:name="_Toc12556"/>
      <w:bookmarkStart w:id="437" w:name="_Toc4525"/>
      <w:bookmarkStart w:id="438" w:name="_Toc13289"/>
      <w:bookmarkStart w:id="439" w:name="_Toc31437"/>
      <w:r>
        <w:rPr>
          <w:rFonts w:hint="eastAsia" w:eastAsia="宋体" w:cs="宋体"/>
          <w:color w:val="auto"/>
          <w:highlight w:val="none"/>
        </w:rPr>
        <w:t>12.2.2 预付款担保</w:t>
      </w:r>
      <w:bookmarkEnd w:id="436"/>
      <w:bookmarkEnd w:id="437"/>
      <w:bookmarkEnd w:id="438"/>
      <w:bookmarkEnd w:id="439"/>
    </w:p>
    <w:p w14:paraId="377814B7">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承包人提交预付款担保的期限：</w:t>
      </w:r>
      <w:r>
        <w:rPr>
          <w:rFonts w:hint="eastAsia" w:eastAsia="宋体" w:cs="宋体"/>
          <w:color w:val="auto"/>
          <w:highlight w:val="none"/>
          <w:u w:val="single"/>
        </w:rPr>
        <w:t xml:space="preserve">      无       </w:t>
      </w:r>
      <w:r>
        <w:rPr>
          <w:rFonts w:hint="eastAsia" w:eastAsia="宋体" w:cs="宋体"/>
          <w:color w:val="auto"/>
          <w:highlight w:val="none"/>
        </w:rPr>
        <w:t>。</w:t>
      </w:r>
    </w:p>
    <w:p w14:paraId="7A9ADBF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预付款担保的形式为：</w:t>
      </w:r>
      <w:r>
        <w:rPr>
          <w:rFonts w:hint="eastAsia" w:eastAsia="宋体" w:cs="宋体"/>
          <w:color w:val="auto"/>
          <w:highlight w:val="none"/>
          <w:u w:val="single"/>
        </w:rPr>
        <w:t xml:space="preserve">       无       </w:t>
      </w:r>
      <w:r>
        <w:rPr>
          <w:rFonts w:hint="eastAsia" w:eastAsia="宋体" w:cs="宋体"/>
          <w:color w:val="auto"/>
          <w:highlight w:val="none"/>
        </w:rPr>
        <w:t>。</w:t>
      </w:r>
    </w:p>
    <w:p w14:paraId="6B208B03">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40" w:name="_Toc9202"/>
      <w:bookmarkStart w:id="441" w:name="_Toc31024"/>
      <w:bookmarkStart w:id="442" w:name="_Toc24762"/>
      <w:bookmarkStart w:id="443" w:name="_Toc24529"/>
      <w:r>
        <w:rPr>
          <w:rFonts w:hint="eastAsia" w:ascii="宋体" w:eastAsia="宋体" w:cs="宋体"/>
          <w:b/>
          <w:bCs/>
          <w:color w:val="auto"/>
          <w:highlight w:val="none"/>
        </w:rPr>
        <w:t>12.3 计量</w:t>
      </w:r>
      <w:bookmarkEnd w:id="440"/>
      <w:bookmarkEnd w:id="441"/>
      <w:bookmarkEnd w:id="442"/>
      <w:bookmarkEnd w:id="443"/>
    </w:p>
    <w:p w14:paraId="05A05E9A">
      <w:pPr>
        <w:keepNext w:val="0"/>
        <w:keepLines w:val="0"/>
        <w:pageBreakBefore w:val="0"/>
        <w:widowControl w:val="0"/>
        <w:kinsoku/>
        <w:overflowPunct/>
        <w:topLinePunct w:val="0"/>
        <w:bidi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12.3.1 计量原则</w:t>
      </w:r>
    </w:p>
    <w:p w14:paraId="6F67EF48">
      <w:pPr>
        <w:keepNext w:val="0"/>
        <w:keepLines w:val="0"/>
        <w:pageBreakBefore w:val="0"/>
        <w:widowControl w:val="0"/>
        <w:kinsoku/>
        <w:overflowPunct/>
        <w:topLinePunct w:val="0"/>
        <w:bidi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工程量计算规则：</w:t>
      </w:r>
      <w:r>
        <w:rPr>
          <w:rFonts w:hint="eastAsia" w:ascii="宋体" w:hAnsi="宋体" w:cs="宋体"/>
          <w:color w:val="auto"/>
          <w:szCs w:val="21"/>
          <w:highlight w:val="none"/>
          <w:u w:val="single"/>
        </w:rPr>
        <w:t>工程的计量均以《建设工程工程量清单计价规范》（GB50500－2013）和及其广西壮族自治区实施细则、《建设工程工程量清单计算规范》（GB50854~50862－2013）及其广西实施细则、本工程补充项目清单为准。</w:t>
      </w:r>
    </w:p>
    <w:p w14:paraId="5E29F3D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bookmarkStart w:id="444" w:name="_Toc31882"/>
      <w:bookmarkStart w:id="445" w:name="_Toc689"/>
      <w:bookmarkStart w:id="446" w:name="_Toc11979"/>
      <w:bookmarkStart w:id="447" w:name="_Toc23521"/>
      <w:r>
        <w:rPr>
          <w:rFonts w:hint="eastAsia" w:eastAsia="宋体" w:cs="宋体"/>
          <w:color w:val="auto"/>
          <w:highlight w:val="none"/>
        </w:rPr>
        <w:t>12.3.2 计量周期</w:t>
      </w:r>
      <w:bookmarkEnd w:id="444"/>
      <w:bookmarkEnd w:id="445"/>
      <w:bookmarkEnd w:id="446"/>
      <w:bookmarkEnd w:id="447"/>
    </w:p>
    <w:p w14:paraId="1CE957D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关于计量周期的约定：</w:t>
      </w:r>
      <w:r>
        <w:rPr>
          <w:rFonts w:hint="eastAsia" w:eastAsia="宋体" w:cs="宋体"/>
          <w:color w:val="auto"/>
          <w:kern w:val="0"/>
          <w:highlight w:val="none"/>
          <w:u w:val="single"/>
          <w:lang w:val="en-US" w:eastAsia="zh-CN"/>
        </w:rPr>
        <w:t xml:space="preserve">         </w:t>
      </w:r>
      <w:r>
        <w:rPr>
          <w:rFonts w:hint="eastAsia" w:eastAsia="宋体" w:cs="宋体"/>
          <w:color w:val="auto"/>
          <w:highlight w:val="none"/>
        </w:rPr>
        <w:t>。</w:t>
      </w:r>
    </w:p>
    <w:p w14:paraId="26FF05D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12.3.3 单价合同的计量</w:t>
      </w:r>
    </w:p>
    <w:p w14:paraId="44510A62">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关于单价合同计量的约定：</w:t>
      </w:r>
    </w:p>
    <w:p w14:paraId="19D23E47">
      <w:pPr>
        <w:keepNext w:val="0"/>
        <w:keepLines w:val="0"/>
        <w:pageBreakBefore w:val="0"/>
        <w:widowControl w:val="0"/>
        <w:kinsoku/>
        <w:overflowPunct/>
        <w:topLinePunct w:val="0"/>
        <w:bidi w:val="0"/>
        <w:spacing w:line="360" w:lineRule="auto"/>
        <w:ind w:firstLine="441" w:firstLineChars="210"/>
        <w:textAlignment w:val="auto"/>
        <w:outlineLvl w:val="9"/>
        <w:rPr>
          <w:rFonts w:ascii="宋体" w:hAnsi="宋体"/>
          <w:color w:val="auto"/>
          <w:szCs w:val="21"/>
          <w:highlight w:val="none"/>
        </w:rPr>
      </w:pPr>
      <w:r>
        <w:rPr>
          <w:rFonts w:ascii="宋体" w:hAnsi="宋体"/>
          <w:color w:val="auto"/>
          <w:szCs w:val="21"/>
          <w:highlight w:val="none"/>
        </w:rPr>
        <w:t>(1) 工程量清单所列的工程量，不能作为承包人按合同履行其责任依据，实际施工中发生的工程量增加或减少并不影响承包人履行合同的责任，工程结算以完成的实际工程量为准。</w:t>
      </w:r>
    </w:p>
    <w:p w14:paraId="262F4A5D">
      <w:pPr>
        <w:keepNext w:val="0"/>
        <w:keepLines w:val="0"/>
        <w:pageBreakBefore w:val="0"/>
        <w:widowControl w:val="0"/>
        <w:kinsoku/>
        <w:overflowPunct/>
        <w:topLinePunct w:val="0"/>
        <w:bidi w:val="0"/>
        <w:spacing w:line="360" w:lineRule="auto"/>
        <w:ind w:firstLine="441" w:firstLineChars="210"/>
        <w:textAlignment w:val="auto"/>
        <w:outlineLvl w:val="9"/>
        <w:rPr>
          <w:rFonts w:ascii="宋体" w:hAnsi="宋体"/>
          <w:color w:val="auto"/>
          <w:szCs w:val="21"/>
          <w:highlight w:val="none"/>
        </w:rPr>
      </w:pPr>
      <w:r>
        <w:rPr>
          <w:rFonts w:ascii="宋体" w:hAnsi="宋体"/>
          <w:color w:val="auto"/>
          <w:szCs w:val="21"/>
          <w:highlight w:val="none"/>
        </w:rPr>
        <w:t>(2) 除另有规定外，工程师应按照合同通过计量来核实确定已完成的工程量和价款，承包人应得到该价款扣除保留金后的金额。当工程师要对已完工的工程量进行计量时，应适时地通知承包人参加。</w:t>
      </w:r>
    </w:p>
    <w:p w14:paraId="5BB625E2">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12.3.4 总价合同的计量</w:t>
      </w:r>
    </w:p>
    <w:p w14:paraId="234372FD">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关于总价合同计量的约定：</w:t>
      </w:r>
      <w:r>
        <w:rPr>
          <w:rFonts w:hint="eastAsia" w:ascii="宋体" w:hAnsi="宋体"/>
          <w:color w:val="auto"/>
          <w:szCs w:val="21"/>
          <w:highlight w:val="none"/>
        </w:rPr>
        <w:t>除工程变更外，原图纸范围内的工程量不得按实计量。进度款按支付分解表支付，按通用条款</w:t>
      </w:r>
      <w:r>
        <w:rPr>
          <w:rFonts w:ascii="宋体" w:hAnsi="宋体"/>
          <w:color w:val="auto"/>
          <w:szCs w:val="21"/>
          <w:highlight w:val="none"/>
        </w:rPr>
        <w:t>第12.3.4项〔总价合同的计量〕约定</w:t>
      </w:r>
      <w:r>
        <w:rPr>
          <w:rFonts w:hint="eastAsia" w:ascii="宋体" w:hAnsi="宋体"/>
          <w:color w:val="auto"/>
          <w:szCs w:val="21"/>
          <w:highlight w:val="none"/>
        </w:rPr>
        <w:t>进行计量，但</w:t>
      </w:r>
      <w:r>
        <w:rPr>
          <w:rFonts w:ascii="宋体" w:hAnsi="宋体"/>
          <w:color w:val="auto"/>
          <w:szCs w:val="21"/>
          <w:highlight w:val="none"/>
        </w:rPr>
        <w:t>合同价款按照支付分解表进行支付。</w:t>
      </w:r>
    </w:p>
    <w:p w14:paraId="367D1EA3">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12.3.6 其他价格形式合同的计量</w:t>
      </w:r>
    </w:p>
    <w:p w14:paraId="327074A6">
      <w:pPr>
        <w:keepNext w:val="0"/>
        <w:keepLines w:val="0"/>
        <w:pageBreakBefore w:val="0"/>
        <w:widowControl w:val="0"/>
        <w:kinsoku/>
        <w:overflowPunct/>
        <w:topLinePunct w:val="0"/>
        <w:bidi w:val="0"/>
        <w:spacing w:line="360" w:lineRule="auto"/>
        <w:ind w:firstLine="420" w:firstLineChars="200"/>
        <w:jc w:val="left"/>
        <w:textAlignment w:val="auto"/>
        <w:outlineLvl w:val="9"/>
        <w:rPr>
          <w:rFonts w:hint="eastAsia" w:ascii="宋体" w:hAnsi="宋体"/>
          <w:color w:val="auto"/>
          <w:szCs w:val="21"/>
          <w:highlight w:val="none"/>
          <w:u w:val="single"/>
        </w:rPr>
      </w:pPr>
      <w:r>
        <w:rPr>
          <w:rFonts w:ascii="宋体" w:hAnsi="宋体"/>
          <w:color w:val="auto"/>
          <w:szCs w:val="21"/>
          <w:highlight w:val="none"/>
        </w:rPr>
        <w:t>其他价格形式的计量方式和程序：</w:t>
      </w:r>
      <w:r>
        <w:rPr>
          <w:rFonts w:hint="eastAsia" w:ascii="宋体" w:hAnsi="宋体"/>
          <w:color w:val="auto"/>
          <w:szCs w:val="21"/>
          <w:highlight w:val="none"/>
          <w:u w:val="single"/>
        </w:rPr>
        <w:t xml:space="preserve">  无  </w:t>
      </w:r>
      <w:r>
        <w:rPr>
          <w:rFonts w:ascii="宋体" w:hAnsi="宋体"/>
          <w:color w:val="auto"/>
          <w:szCs w:val="21"/>
          <w:highlight w:val="none"/>
        </w:rPr>
        <w:t>。</w:t>
      </w:r>
    </w:p>
    <w:p w14:paraId="53DB815F">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48" w:name="_Toc13476"/>
      <w:bookmarkStart w:id="449" w:name="_Toc464850061"/>
      <w:bookmarkStart w:id="450" w:name="_Toc22214"/>
      <w:bookmarkStart w:id="451" w:name="_Toc4708"/>
      <w:bookmarkStart w:id="452" w:name="_Toc19026"/>
      <w:r>
        <w:rPr>
          <w:rFonts w:hint="eastAsia" w:ascii="宋体" w:eastAsia="宋体" w:cs="宋体"/>
          <w:b/>
          <w:bCs/>
          <w:color w:val="auto"/>
          <w:highlight w:val="none"/>
        </w:rPr>
        <w:t>12.4 工程进度款支付</w:t>
      </w:r>
      <w:bookmarkEnd w:id="448"/>
      <w:bookmarkEnd w:id="449"/>
      <w:bookmarkEnd w:id="450"/>
      <w:bookmarkEnd w:id="451"/>
      <w:bookmarkEnd w:id="452"/>
    </w:p>
    <w:p w14:paraId="40A898F8">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12.4.1 付款周期</w:t>
      </w:r>
    </w:p>
    <w:p w14:paraId="3D98AF02">
      <w:pPr>
        <w:keepNext w:val="0"/>
        <w:keepLines w:val="0"/>
        <w:pageBreakBefore w:val="0"/>
        <w:widowControl w:val="0"/>
        <w:kinsoku/>
        <w:overflowPunct/>
        <w:topLinePunct w:val="0"/>
        <w:bidi w:val="0"/>
        <w:spacing w:line="360" w:lineRule="auto"/>
        <w:ind w:firstLine="420" w:firstLineChars="200"/>
        <w:jc w:val="left"/>
        <w:textAlignment w:val="auto"/>
        <w:outlineLvl w:val="9"/>
        <w:rPr>
          <w:rFonts w:hint="eastAsia" w:ascii="宋体" w:hAnsi="宋体" w:eastAsia="宋体"/>
          <w:b w:val="0"/>
          <w:bCs w:val="0"/>
          <w:color w:val="auto"/>
          <w:szCs w:val="21"/>
          <w:highlight w:val="none"/>
          <w:u w:val="single"/>
          <w:lang w:eastAsia="zh-CN"/>
        </w:rPr>
      </w:pPr>
      <w:r>
        <w:rPr>
          <w:rFonts w:ascii="宋体" w:hAnsi="宋体"/>
          <w:b w:val="0"/>
          <w:bCs w:val="0"/>
          <w:color w:val="auto"/>
          <w:szCs w:val="21"/>
          <w:highlight w:val="none"/>
        </w:rPr>
        <w:t>关于付款周期的约定：</w:t>
      </w:r>
      <w:r>
        <w:rPr>
          <w:rFonts w:hint="eastAsia" w:ascii="宋体" w:hAnsi="宋体"/>
          <w:b w:val="0"/>
          <w:bCs w:val="0"/>
          <w:color w:val="auto"/>
          <w:szCs w:val="21"/>
          <w:highlight w:val="none"/>
          <w:u w:val="single"/>
        </w:rPr>
        <w:t xml:space="preserve"> 按工程进度付款，工程完工（竣工）经相关单位验收合格后付至合同总价的</w:t>
      </w:r>
      <w:r>
        <w:rPr>
          <w:rFonts w:hint="eastAsia" w:ascii="宋体" w:hAnsi="宋体"/>
          <w:b w:val="0"/>
          <w:bCs w:val="0"/>
          <w:color w:val="auto"/>
          <w:szCs w:val="21"/>
          <w:highlight w:val="none"/>
          <w:u w:val="single"/>
          <w:lang w:val="en-US" w:eastAsia="zh-CN"/>
        </w:rPr>
        <w:t>90</w:t>
      </w:r>
      <w:r>
        <w:rPr>
          <w:rFonts w:hint="eastAsia" w:ascii="宋体" w:hAnsi="宋体"/>
          <w:b w:val="0"/>
          <w:bCs w:val="0"/>
          <w:color w:val="auto"/>
          <w:szCs w:val="21"/>
          <w:highlight w:val="none"/>
          <w:u w:val="single"/>
        </w:rPr>
        <w:t>%，经审计部门审核</w:t>
      </w:r>
      <w:r>
        <w:rPr>
          <w:rFonts w:hint="eastAsia" w:ascii="宋体" w:hAnsi="宋体"/>
          <w:b w:val="0"/>
          <w:bCs w:val="0"/>
          <w:color w:val="auto"/>
          <w:szCs w:val="21"/>
          <w:highlight w:val="none"/>
          <w:u w:val="single"/>
          <w:lang w:eastAsia="zh-CN"/>
        </w:rPr>
        <w:t>结算</w:t>
      </w:r>
      <w:r>
        <w:rPr>
          <w:rFonts w:hint="eastAsia" w:ascii="宋体" w:hAnsi="宋体"/>
          <w:b w:val="0"/>
          <w:bCs w:val="0"/>
          <w:color w:val="auto"/>
          <w:szCs w:val="21"/>
          <w:highlight w:val="none"/>
          <w:u w:val="single"/>
        </w:rPr>
        <w:t>结束后付至工程价款的9</w:t>
      </w:r>
      <w:r>
        <w:rPr>
          <w:rFonts w:hint="eastAsia" w:ascii="宋体" w:hAnsi="宋体"/>
          <w:b w:val="0"/>
          <w:bCs w:val="0"/>
          <w:color w:val="auto"/>
          <w:szCs w:val="21"/>
          <w:highlight w:val="none"/>
          <w:u w:val="single"/>
          <w:lang w:val="en-US" w:eastAsia="zh-CN"/>
        </w:rPr>
        <w:t>7</w:t>
      </w:r>
      <w:r>
        <w:rPr>
          <w:rFonts w:hint="eastAsia" w:ascii="宋体" w:hAnsi="宋体"/>
          <w:b w:val="0"/>
          <w:bCs w:val="0"/>
          <w:color w:val="auto"/>
          <w:szCs w:val="21"/>
          <w:highlight w:val="none"/>
          <w:u w:val="single"/>
        </w:rPr>
        <w:t>%，剩余</w:t>
      </w:r>
      <w:r>
        <w:rPr>
          <w:rFonts w:hint="eastAsia" w:ascii="宋体" w:hAnsi="宋体"/>
          <w:b w:val="0"/>
          <w:bCs w:val="0"/>
          <w:color w:val="auto"/>
          <w:szCs w:val="21"/>
          <w:highlight w:val="none"/>
          <w:u w:val="single"/>
          <w:lang w:val="en-US" w:eastAsia="zh-CN"/>
        </w:rPr>
        <w:t>3</w:t>
      </w:r>
      <w:r>
        <w:rPr>
          <w:rFonts w:hint="eastAsia" w:ascii="宋体" w:hAnsi="宋体"/>
          <w:b w:val="0"/>
          <w:bCs w:val="0"/>
          <w:color w:val="auto"/>
          <w:szCs w:val="21"/>
          <w:highlight w:val="none"/>
          <w:u w:val="single"/>
        </w:rPr>
        <w:t>%工程价款为质保金，质保期</w:t>
      </w:r>
      <w:r>
        <w:rPr>
          <w:rFonts w:hint="eastAsia" w:ascii="宋体" w:hAnsi="宋体"/>
          <w:b w:val="0"/>
          <w:bCs w:val="0"/>
          <w:color w:val="auto"/>
          <w:szCs w:val="21"/>
          <w:highlight w:val="none"/>
          <w:u w:val="single"/>
          <w:lang w:val="en-US" w:eastAsia="zh-CN"/>
        </w:rPr>
        <w:t>1</w:t>
      </w:r>
      <w:r>
        <w:rPr>
          <w:rFonts w:hint="eastAsia" w:ascii="宋体" w:hAnsi="宋体"/>
          <w:b w:val="0"/>
          <w:bCs w:val="0"/>
          <w:color w:val="auto"/>
          <w:szCs w:val="21"/>
          <w:highlight w:val="none"/>
          <w:u w:val="single"/>
        </w:rPr>
        <w:t xml:space="preserve">年（无息） </w:t>
      </w:r>
      <w:r>
        <w:rPr>
          <w:rFonts w:hint="eastAsia" w:ascii="宋体" w:hAnsi="宋体"/>
          <w:b w:val="0"/>
          <w:bCs w:val="0"/>
          <w:color w:val="auto"/>
          <w:szCs w:val="21"/>
          <w:highlight w:val="none"/>
          <w:u w:val="single"/>
          <w:lang w:eastAsia="zh-CN"/>
        </w:rPr>
        <w:t>。</w:t>
      </w:r>
    </w:p>
    <w:p w14:paraId="189AD8D8">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12.4.2 进度付款申请单的编制</w:t>
      </w:r>
    </w:p>
    <w:p w14:paraId="43395135">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u w:val="single"/>
        </w:rPr>
      </w:pPr>
      <w:r>
        <w:rPr>
          <w:rFonts w:ascii="宋体" w:hAnsi="宋体"/>
          <w:color w:val="auto"/>
          <w:szCs w:val="21"/>
          <w:highlight w:val="none"/>
        </w:rPr>
        <w:t>关于进度付款申请单编制的约定：</w:t>
      </w:r>
      <w:r>
        <w:rPr>
          <w:rFonts w:hint="eastAsia" w:ascii="宋体" w:hAnsi="宋体"/>
          <w:color w:val="auto"/>
          <w:szCs w:val="21"/>
          <w:highlight w:val="none"/>
          <w:u w:val="single"/>
        </w:rPr>
        <w:t xml:space="preserve">                                 </w:t>
      </w:r>
      <w:r>
        <w:rPr>
          <w:rFonts w:ascii="宋体" w:hAnsi="宋体"/>
          <w:color w:val="auto"/>
          <w:szCs w:val="21"/>
          <w:highlight w:val="none"/>
        </w:rPr>
        <w:t>。</w:t>
      </w:r>
    </w:p>
    <w:p w14:paraId="655E9D21">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12.4.3 进度付款申请单的提交</w:t>
      </w:r>
    </w:p>
    <w:p w14:paraId="25824499">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（1）单价合同进度付款申请单提交的约定：</w:t>
      </w:r>
      <w:r>
        <w:rPr>
          <w:rFonts w:hint="eastAsia" w:ascii="宋体" w:hAnsi="宋体"/>
          <w:color w:val="auto"/>
          <w:szCs w:val="21"/>
          <w:highlight w:val="none"/>
          <w:u w:val="single"/>
        </w:rPr>
        <w:t xml:space="preserve">  </w:t>
      </w:r>
      <w:r>
        <w:rPr>
          <w:rFonts w:hint="eastAsia" w:ascii="宋体" w:hAnsi="宋体"/>
          <w:bCs/>
          <w:color w:val="auto"/>
          <w:szCs w:val="21"/>
          <w:highlight w:val="none"/>
          <w:u w:val="single"/>
        </w:rPr>
        <w:t xml:space="preserve">                    </w:t>
      </w:r>
      <w:r>
        <w:rPr>
          <w:rFonts w:ascii="宋体" w:hAnsi="宋体"/>
          <w:color w:val="auto"/>
          <w:szCs w:val="21"/>
          <w:highlight w:val="none"/>
        </w:rPr>
        <w:t>。</w:t>
      </w:r>
    </w:p>
    <w:p w14:paraId="3CD07E9E">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（2）总价合同进度付款申请单提交的约定：</w:t>
      </w:r>
      <w:r>
        <w:rPr>
          <w:rFonts w:hint="eastAsia" w:ascii="宋体" w:hAnsi="宋体"/>
          <w:color w:val="auto"/>
          <w:szCs w:val="21"/>
          <w:highlight w:val="none"/>
          <w:u w:val="single"/>
        </w:rPr>
        <w:t xml:space="preserve">                      </w:t>
      </w:r>
      <w:r>
        <w:rPr>
          <w:rFonts w:ascii="宋体" w:hAnsi="宋体"/>
          <w:color w:val="auto"/>
          <w:szCs w:val="21"/>
          <w:highlight w:val="none"/>
        </w:rPr>
        <w:t>。</w:t>
      </w:r>
    </w:p>
    <w:p w14:paraId="0F3098CA">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u w:val="single"/>
        </w:rPr>
      </w:pPr>
      <w:r>
        <w:rPr>
          <w:rFonts w:ascii="宋体" w:hAnsi="宋体"/>
          <w:color w:val="auto"/>
          <w:szCs w:val="21"/>
          <w:highlight w:val="none"/>
        </w:rPr>
        <w:t>（3）其他价格形式合同进度付款申请单提交的约定：</w:t>
      </w:r>
      <w:r>
        <w:rPr>
          <w:rFonts w:hint="eastAsia" w:ascii="宋体" w:hAnsi="宋体"/>
          <w:color w:val="auto"/>
          <w:szCs w:val="21"/>
          <w:highlight w:val="none"/>
          <w:u w:val="single"/>
        </w:rPr>
        <w:t xml:space="preserve">              </w:t>
      </w:r>
      <w:r>
        <w:rPr>
          <w:rFonts w:ascii="宋体" w:hAnsi="宋体"/>
          <w:color w:val="auto"/>
          <w:szCs w:val="21"/>
          <w:highlight w:val="none"/>
        </w:rPr>
        <w:t>。</w:t>
      </w:r>
    </w:p>
    <w:p w14:paraId="2A298379">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12.4.4 进度款审核和支付</w:t>
      </w:r>
    </w:p>
    <w:p w14:paraId="7D75C7E7">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u w:val="single"/>
        </w:rPr>
      </w:pPr>
      <w:r>
        <w:rPr>
          <w:rFonts w:ascii="宋体" w:hAnsi="宋体"/>
          <w:color w:val="auto"/>
          <w:szCs w:val="21"/>
          <w:highlight w:val="none"/>
        </w:rPr>
        <w:t>（1）监理人审查并报送发包人的期限：</w:t>
      </w:r>
      <w:r>
        <w:rPr>
          <w:rFonts w:hint="eastAsia" w:ascii="宋体" w:hAnsi="宋体"/>
          <w:color w:val="auto"/>
          <w:szCs w:val="21"/>
          <w:highlight w:val="none"/>
          <w:u w:val="single"/>
        </w:rPr>
        <w:t xml:space="preserve">  按通用合同条款执行  </w:t>
      </w:r>
      <w:r>
        <w:rPr>
          <w:rFonts w:ascii="宋体" w:hAnsi="宋体"/>
          <w:color w:val="auto"/>
          <w:szCs w:val="21"/>
          <w:highlight w:val="none"/>
        </w:rPr>
        <w:t>。</w:t>
      </w:r>
    </w:p>
    <w:p w14:paraId="04D31F02">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u w:val="single"/>
        </w:rPr>
      </w:pPr>
      <w:r>
        <w:rPr>
          <w:rFonts w:ascii="宋体" w:hAnsi="宋体"/>
          <w:color w:val="auto"/>
          <w:szCs w:val="21"/>
          <w:highlight w:val="none"/>
        </w:rPr>
        <w:t>发包人完成审批并签发进度款支付证书的期限：</w:t>
      </w:r>
      <w:r>
        <w:rPr>
          <w:rFonts w:hint="eastAsia" w:ascii="宋体" w:hAnsi="宋体"/>
          <w:color w:val="auto"/>
          <w:szCs w:val="21"/>
          <w:highlight w:val="none"/>
          <w:u w:val="single"/>
        </w:rPr>
        <w:t xml:space="preserve">  按通用合同条款执行  </w:t>
      </w:r>
      <w:r>
        <w:rPr>
          <w:rFonts w:ascii="宋体" w:hAnsi="宋体"/>
          <w:color w:val="auto"/>
          <w:szCs w:val="21"/>
          <w:highlight w:val="none"/>
        </w:rPr>
        <w:t>。</w:t>
      </w:r>
    </w:p>
    <w:p w14:paraId="7DD43E53">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（2）发包人支付进度款的期限：</w:t>
      </w:r>
      <w:r>
        <w:rPr>
          <w:rFonts w:hint="eastAsia" w:ascii="宋体" w:hAnsi="宋体"/>
          <w:color w:val="auto"/>
          <w:szCs w:val="21"/>
          <w:highlight w:val="none"/>
          <w:u w:val="single"/>
        </w:rPr>
        <w:t xml:space="preserve">  按通用合同条款执行  </w:t>
      </w:r>
      <w:r>
        <w:rPr>
          <w:rFonts w:ascii="宋体" w:hAnsi="宋体"/>
          <w:color w:val="auto"/>
          <w:szCs w:val="21"/>
          <w:highlight w:val="none"/>
        </w:rPr>
        <w:t>。</w:t>
      </w:r>
    </w:p>
    <w:p w14:paraId="5E3A08FA">
      <w:pPr>
        <w:keepNext w:val="0"/>
        <w:keepLines w:val="0"/>
        <w:pageBreakBefore w:val="0"/>
        <w:widowControl w:val="0"/>
        <w:kinsoku/>
        <w:overflowPunct/>
        <w:topLinePunct w:val="0"/>
        <w:bidi w:val="0"/>
        <w:spacing w:line="360" w:lineRule="auto"/>
        <w:ind w:firstLine="525" w:firstLineChars="250"/>
        <w:jc w:val="left"/>
        <w:textAlignment w:val="auto"/>
        <w:outlineLvl w:val="9"/>
        <w:rPr>
          <w:rFonts w:ascii="宋体" w:hAnsi="宋体"/>
          <w:color w:val="auto"/>
          <w:szCs w:val="21"/>
          <w:highlight w:val="none"/>
        </w:rPr>
      </w:pPr>
      <w:r>
        <w:rPr>
          <w:rFonts w:ascii="宋体" w:hAnsi="宋体"/>
          <w:color w:val="auto"/>
          <w:szCs w:val="21"/>
          <w:highlight w:val="none"/>
        </w:rPr>
        <w:t>发包人逾期支付进度款的违约金的计算方式：</w:t>
      </w:r>
      <w:r>
        <w:rPr>
          <w:rFonts w:hint="eastAsia" w:ascii="宋体" w:hAnsi="宋体"/>
          <w:color w:val="auto"/>
          <w:szCs w:val="21"/>
          <w:highlight w:val="none"/>
          <w:u w:val="single"/>
        </w:rPr>
        <w:t xml:space="preserve">  无  </w:t>
      </w:r>
      <w:r>
        <w:rPr>
          <w:rFonts w:ascii="宋体" w:hAnsi="宋体"/>
          <w:color w:val="auto"/>
          <w:szCs w:val="21"/>
          <w:highlight w:val="none"/>
        </w:rPr>
        <w:t>。</w:t>
      </w:r>
    </w:p>
    <w:p w14:paraId="3DF94C72">
      <w:pPr>
        <w:keepNext w:val="0"/>
        <w:keepLines w:val="0"/>
        <w:pageBreakBefore w:val="0"/>
        <w:widowControl w:val="0"/>
        <w:kinsoku/>
        <w:overflowPunct/>
        <w:topLinePunct w:val="0"/>
        <w:bidi w:val="0"/>
        <w:spacing w:line="360" w:lineRule="auto"/>
        <w:ind w:firstLine="525" w:firstLineChars="250"/>
        <w:jc w:val="left"/>
        <w:textAlignment w:val="auto"/>
        <w:outlineLvl w:val="9"/>
        <w:rPr>
          <w:rFonts w:ascii="宋体" w:hAnsi="宋体"/>
          <w:color w:val="auto"/>
          <w:szCs w:val="21"/>
          <w:highlight w:val="none"/>
        </w:rPr>
      </w:pPr>
      <w:r>
        <w:rPr>
          <w:rFonts w:ascii="宋体" w:hAnsi="宋体"/>
          <w:color w:val="auto"/>
          <w:szCs w:val="21"/>
          <w:highlight w:val="none"/>
        </w:rPr>
        <w:t>进度款支付方式：</w:t>
      </w:r>
      <w:r>
        <w:rPr>
          <w:rFonts w:hint="eastAsia" w:ascii="宋体" w:hAnsi="宋体"/>
          <w:color w:val="auto"/>
          <w:szCs w:val="21"/>
          <w:highlight w:val="none"/>
          <w:u w:val="single"/>
        </w:rPr>
        <w:t xml:space="preserve">  </w:t>
      </w:r>
      <w:r>
        <w:rPr>
          <w:rFonts w:ascii="宋体" w:hAnsi="宋体"/>
          <w:color w:val="auto"/>
          <w:szCs w:val="21"/>
          <w:highlight w:val="none"/>
          <w:u w:val="single"/>
        </w:rPr>
        <w:t>银行转账</w:t>
      </w:r>
      <w:r>
        <w:rPr>
          <w:rFonts w:hint="eastAsia" w:ascii="宋体" w:hAnsi="宋体"/>
          <w:color w:val="auto"/>
          <w:szCs w:val="21"/>
          <w:highlight w:val="none"/>
          <w:u w:val="single"/>
        </w:rPr>
        <w:t xml:space="preserve">  </w:t>
      </w:r>
      <w:r>
        <w:rPr>
          <w:rFonts w:ascii="宋体" w:hAnsi="宋体"/>
          <w:color w:val="auto"/>
          <w:szCs w:val="21"/>
          <w:highlight w:val="none"/>
        </w:rPr>
        <w:t>。</w:t>
      </w:r>
    </w:p>
    <w:p w14:paraId="6F8A42D9">
      <w:pPr>
        <w:keepNext w:val="0"/>
        <w:keepLines w:val="0"/>
        <w:pageBreakBefore w:val="0"/>
        <w:widowControl w:val="0"/>
        <w:kinsoku/>
        <w:overflowPunct/>
        <w:topLinePunct w:val="0"/>
        <w:bidi w:val="0"/>
        <w:spacing w:line="360" w:lineRule="auto"/>
        <w:ind w:firstLine="525" w:firstLineChars="250"/>
        <w:jc w:val="left"/>
        <w:textAlignment w:val="auto"/>
        <w:outlineLvl w:val="9"/>
        <w:rPr>
          <w:rFonts w:ascii="宋体" w:hAnsi="宋体"/>
          <w:color w:val="auto"/>
          <w:szCs w:val="21"/>
          <w:highlight w:val="none"/>
        </w:rPr>
      </w:pPr>
      <w:r>
        <w:rPr>
          <w:rFonts w:ascii="宋体" w:hAnsi="宋体"/>
          <w:color w:val="auto"/>
          <w:szCs w:val="21"/>
          <w:highlight w:val="none"/>
        </w:rPr>
        <w:t>12.4.6 支付分解表的编制</w:t>
      </w:r>
    </w:p>
    <w:p w14:paraId="48F18B25">
      <w:pPr>
        <w:keepNext w:val="0"/>
        <w:keepLines w:val="0"/>
        <w:pageBreakBefore w:val="0"/>
        <w:widowControl w:val="0"/>
        <w:kinsoku/>
        <w:overflowPunct/>
        <w:topLinePunct w:val="0"/>
        <w:bidi w:val="0"/>
        <w:spacing w:line="360" w:lineRule="auto"/>
        <w:ind w:firstLine="525" w:firstLineChars="250"/>
        <w:jc w:val="left"/>
        <w:textAlignment w:val="auto"/>
        <w:outlineLvl w:val="9"/>
        <w:rPr>
          <w:rFonts w:ascii="宋体" w:hAnsi="宋体"/>
          <w:color w:val="auto"/>
          <w:szCs w:val="21"/>
          <w:highlight w:val="none"/>
          <w:u w:val="single"/>
        </w:rPr>
      </w:pPr>
      <w:r>
        <w:rPr>
          <w:rFonts w:ascii="宋体" w:hAnsi="宋体"/>
          <w:color w:val="auto"/>
          <w:szCs w:val="21"/>
          <w:highlight w:val="none"/>
        </w:rPr>
        <w:t>2</w:t>
      </w:r>
      <w:r>
        <w:rPr>
          <w:rFonts w:hint="eastAsia" w:ascii="宋体" w:hAnsi="宋体"/>
          <w:color w:val="auto"/>
          <w:szCs w:val="21"/>
          <w:highlight w:val="none"/>
        </w:rPr>
        <w:t xml:space="preserve">. </w:t>
      </w:r>
      <w:r>
        <w:rPr>
          <w:rFonts w:ascii="宋体" w:hAnsi="宋体"/>
          <w:color w:val="auto"/>
          <w:szCs w:val="21"/>
          <w:highlight w:val="none"/>
        </w:rPr>
        <w:t>总价合同支付分解表的编制与审批：</w:t>
      </w:r>
      <w:r>
        <w:rPr>
          <w:rFonts w:hint="eastAsia" w:ascii="宋体" w:hAnsi="宋体"/>
          <w:color w:val="auto"/>
          <w:szCs w:val="21"/>
          <w:highlight w:val="none"/>
          <w:u w:val="single"/>
        </w:rPr>
        <w:t xml:space="preserve">  </w:t>
      </w:r>
      <w:r>
        <w:rPr>
          <w:rFonts w:ascii="宋体" w:hAnsi="宋体"/>
          <w:color w:val="auto"/>
          <w:szCs w:val="21"/>
          <w:highlight w:val="none"/>
          <w:u w:val="single"/>
        </w:rPr>
        <w:t>无</w:t>
      </w:r>
      <w:r>
        <w:rPr>
          <w:rFonts w:hint="eastAsia" w:ascii="宋体" w:hAnsi="宋体"/>
          <w:color w:val="auto"/>
          <w:szCs w:val="21"/>
          <w:highlight w:val="none"/>
          <w:u w:val="single"/>
        </w:rPr>
        <w:t xml:space="preserve">  </w:t>
      </w:r>
      <w:r>
        <w:rPr>
          <w:rFonts w:ascii="宋体" w:hAnsi="宋体"/>
          <w:color w:val="auto"/>
          <w:szCs w:val="21"/>
          <w:highlight w:val="none"/>
        </w:rPr>
        <w:t>。</w:t>
      </w:r>
    </w:p>
    <w:p w14:paraId="760B0A21">
      <w:pPr>
        <w:keepNext w:val="0"/>
        <w:keepLines w:val="0"/>
        <w:pageBreakBefore w:val="0"/>
        <w:widowControl w:val="0"/>
        <w:kinsoku/>
        <w:overflowPunct/>
        <w:topLinePunct w:val="0"/>
        <w:bidi w:val="0"/>
        <w:spacing w:line="360" w:lineRule="auto"/>
        <w:ind w:firstLine="525" w:firstLineChars="250"/>
        <w:jc w:val="left"/>
        <w:textAlignment w:val="auto"/>
        <w:outlineLvl w:val="9"/>
        <w:rPr>
          <w:rFonts w:hint="eastAsia" w:ascii="宋体" w:hAnsi="宋体"/>
          <w:color w:val="auto"/>
          <w:szCs w:val="21"/>
          <w:highlight w:val="none"/>
        </w:rPr>
      </w:pPr>
      <w:r>
        <w:rPr>
          <w:rFonts w:ascii="宋体" w:hAnsi="宋体"/>
          <w:color w:val="auto"/>
          <w:szCs w:val="21"/>
          <w:highlight w:val="none"/>
        </w:rPr>
        <w:t>3</w:t>
      </w:r>
      <w:r>
        <w:rPr>
          <w:rFonts w:hint="eastAsia" w:ascii="宋体" w:hAnsi="宋体"/>
          <w:color w:val="auto"/>
          <w:szCs w:val="21"/>
          <w:highlight w:val="none"/>
        </w:rPr>
        <w:t xml:space="preserve">. </w:t>
      </w:r>
      <w:r>
        <w:rPr>
          <w:rFonts w:ascii="宋体" w:hAnsi="宋体"/>
          <w:color w:val="auto"/>
          <w:szCs w:val="21"/>
          <w:highlight w:val="none"/>
        </w:rPr>
        <w:t>单价合同的总价项目支付分解表的编制与审批：</w:t>
      </w:r>
      <w:r>
        <w:rPr>
          <w:rFonts w:hint="eastAsia" w:ascii="宋体" w:hAnsi="宋体"/>
          <w:color w:val="auto"/>
          <w:szCs w:val="21"/>
          <w:highlight w:val="none"/>
        </w:rPr>
        <w:t>总价项目不采用支付分解表的方式计算，而按《建设工程工程量清单计价规范（GB50500-2013）广西壮族自治区实施细则》的规定执行</w:t>
      </w:r>
      <w:r>
        <w:rPr>
          <w:rFonts w:ascii="宋体" w:hAnsi="宋体"/>
          <w:color w:val="auto"/>
          <w:szCs w:val="21"/>
          <w:highlight w:val="none"/>
        </w:rPr>
        <w:t>。</w:t>
      </w:r>
    </w:p>
    <w:p w14:paraId="35233CB7">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53" w:name="_Toc13925"/>
      <w:bookmarkStart w:id="454" w:name="_Toc20342"/>
      <w:bookmarkStart w:id="455" w:name="_Toc28699"/>
      <w:bookmarkStart w:id="456" w:name="_Toc3462"/>
      <w:r>
        <w:rPr>
          <w:rFonts w:hint="eastAsia" w:ascii="宋体" w:eastAsia="宋体" w:cs="宋体"/>
          <w:b/>
          <w:bCs/>
          <w:color w:val="auto"/>
          <w:highlight w:val="none"/>
        </w:rPr>
        <w:t>13. 验收和工程试车</w:t>
      </w:r>
      <w:bookmarkEnd w:id="453"/>
      <w:bookmarkEnd w:id="454"/>
      <w:bookmarkEnd w:id="455"/>
      <w:bookmarkEnd w:id="456"/>
    </w:p>
    <w:p w14:paraId="5D39CC11">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57" w:name="_Toc21735"/>
      <w:bookmarkStart w:id="458" w:name="_Toc3303"/>
      <w:bookmarkStart w:id="459" w:name="_Toc15416"/>
      <w:bookmarkStart w:id="460" w:name="_Toc21775"/>
      <w:r>
        <w:rPr>
          <w:rFonts w:hint="eastAsia" w:ascii="宋体" w:eastAsia="宋体" w:cs="宋体"/>
          <w:b/>
          <w:bCs/>
          <w:color w:val="auto"/>
          <w:highlight w:val="none"/>
        </w:rPr>
        <w:t>13.1 分部分项工程验收</w:t>
      </w:r>
      <w:bookmarkEnd w:id="457"/>
      <w:bookmarkEnd w:id="458"/>
      <w:bookmarkEnd w:id="459"/>
      <w:bookmarkEnd w:id="460"/>
    </w:p>
    <w:p w14:paraId="0E03F2E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13.1.2监理人不能按时进行验收时，应提前</w:t>
      </w:r>
      <w:r>
        <w:rPr>
          <w:rFonts w:hint="eastAsia" w:eastAsia="宋体" w:cs="宋体"/>
          <w:color w:val="auto"/>
          <w:highlight w:val="none"/>
          <w:u w:val="single"/>
        </w:rPr>
        <w:t xml:space="preserve"> </w:t>
      </w:r>
      <w:r>
        <w:rPr>
          <w:rFonts w:hint="eastAsia" w:eastAsia="宋体" w:cs="宋体"/>
          <w:color w:val="auto"/>
          <w:highlight w:val="none"/>
          <w:u w:val="single"/>
          <w:lang w:val="en-US" w:eastAsia="zh-CN"/>
        </w:rPr>
        <w:t xml:space="preserve">  </w:t>
      </w:r>
      <w:r>
        <w:rPr>
          <w:rFonts w:hint="eastAsia" w:eastAsia="宋体" w:cs="宋体"/>
          <w:color w:val="auto"/>
          <w:highlight w:val="none"/>
          <w:u w:val="single"/>
        </w:rPr>
        <w:t xml:space="preserve">  </w:t>
      </w:r>
      <w:r>
        <w:rPr>
          <w:rFonts w:hint="eastAsia" w:eastAsia="宋体" w:cs="宋体"/>
          <w:color w:val="auto"/>
          <w:highlight w:val="none"/>
        </w:rPr>
        <w:t>小时提交书面延期要求。</w:t>
      </w:r>
    </w:p>
    <w:p w14:paraId="61DEE437">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b/>
          <w:color w:val="auto"/>
          <w:highlight w:val="none"/>
        </w:rPr>
      </w:pPr>
      <w:r>
        <w:rPr>
          <w:rFonts w:hint="eastAsia" w:eastAsia="宋体" w:cs="宋体"/>
          <w:color w:val="auto"/>
          <w:highlight w:val="none"/>
        </w:rPr>
        <w:t>关于延期最长不得超过：</w:t>
      </w:r>
      <w:r>
        <w:rPr>
          <w:rFonts w:hint="eastAsia" w:eastAsia="宋体" w:cs="宋体"/>
          <w:color w:val="auto"/>
          <w:highlight w:val="none"/>
          <w:u w:val="single"/>
        </w:rPr>
        <w:t xml:space="preserve"> </w:t>
      </w:r>
      <w:r>
        <w:rPr>
          <w:rFonts w:hint="eastAsia" w:eastAsia="宋体" w:cs="宋体"/>
          <w:color w:val="auto"/>
          <w:highlight w:val="none"/>
          <w:u w:val="single"/>
          <w:lang w:val="en-US" w:eastAsia="zh-CN"/>
        </w:rPr>
        <w:t xml:space="preserve">  </w:t>
      </w:r>
      <w:r>
        <w:rPr>
          <w:rFonts w:hint="eastAsia" w:eastAsia="宋体" w:cs="宋体"/>
          <w:color w:val="auto"/>
          <w:highlight w:val="none"/>
          <w:u w:val="single"/>
        </w:rPr>
        <w:t xml:space="preserve"> </w:t>
      </w:r>
      <w:r>
        <w:rPr>
          <w:rFonts w:hint="eastAsia" w:eastAsia="宋体" w:cs="宋体"/>
          <w:color w:val="auto"/>
          <w:highlight w:val="none"/>
        </w:rPr>
        <w:t>小时。</w:t>
      </w:r>
    </w:p>
    <w:p w14:paraId="4CECB0EA">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61" w:name="_Toc22034"/>
      <w:bookmarkStart w:id="462" w:name="_Toc28841"/>
      <w:bookmarkStart w:id="463" w:name="_Toc10302"/>
      <w:bookmarkStart w:id="464" w:name="_Toc17673"/>
      <w:r>
        <w:rPr>
          <w:rFonts w:hint="eastAsia" w:ascii="宋体" w:eastAsia="宋体" w:cs="宋体"/>
          <w:b/>
          <w:bCs/>
          <w:color w:val="auto"/>
          <w:highlight w:val="none"/>
        </w:rPr>
        <w:t>13.2 竣工验收</w:t>
      </w:r>
      <w:bookmarkEnd w:id="461"/>
      <w:bookmarkEnd w:id="462"/>
      <w:bookmarkEnd w:id="463"/>
      <w:bookmarkEnd w:id="464"/>
    </w:p>
    <w:p w14:paraId="3209E6E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13.2.1竣工验收条件</w:t>
      </w:r>
    </w:p>
    <w:p w14:paraId="3DC0B25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（3）承包人负责整理和提交的竣工验收资料应当符合工程所在地建设行政主管部门和(或)城市建设档案管理机构有关施工资料的要求，具体内容包括：</w:t>
      </w:r>
      <w:r>
        <w:rPr>
          <w:rFonts w:hint="eastAsia" w:eastAsia="宋体" w:cs="宋体"/>
          <w:color w:val="auto"/>
          <w:highlight w:val="none"/>
          <w:u w:val="single"/>
        </w:rPr>
        <w:t xml:space="preserve">                         </w:t>
      </w:r>
      <w:r>
        <w:rPr>
          <w:rFonts w:hint="eastAsia" w:eastAsia="宋体" w:cs="宋体"/>
          <w:color w:val="auto"/>
          <w:highlight w:val="none"/>
        </w:rPr>
        <w:t>。</w:t>
      </w:r>
    </w:p>
    <w:p w14:paraId="37AD706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竣工验收资料的份数：</w:t>
      </w:r>
      <w:r>
        <w:rPr>
          <w:rFonts w:hint="eastAsia" w:eastAsia="宋体" w:cs="宋体"/>
          <w:color w:val="auto"/>
          <w:highlight w:val="none"/>
          <w:u w:val="single"/>
        </w:rPr>
        <w:t xml:space="preserve">  四份    </w:t>
      </w:r>
      <w:r>
        <w:rPr>
          <w:rFonts w:hint="eastAsia" w:eastAsia="宋体" w:cs="宋体"/>
          <w:color w:val="auto"/>
          <w:highlight w:val="none"/>
        </w:rPr>
        <w:t>。</w:t>
      </w:r>
    </w:p>
    <w:p w14:paraId="4D62131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bCs/>
          <w:color w:val="auto"/>
          <w:highlight w:val="none"/>
        </w:rPr>
        <w:t>承包人提供竣工图的约定：</w:t>
      </w:r>
      <w:r>
        <w:rPr>
          <w:rFonts w:hint="eastAsia" w:eastAsia="宋体" w:cs="宋体"/>
          <w:bCs/>
          <w:color w:val="auto"/>
          <w:highlight w:val="none"/>
          <w:u w:val="single"/>
        </w:rPr>
        <w:t>竣工验收正式通过后5天（工程造价在500万元以下含500万元）、10天（工程造价在500万元至1000万元之间含1000万元）、15天（工程造价在1000万元以上），提供竣工图的数量分别为2套、4套、6套</w:t>
      </w:r>
      <w:r>
        <w:rPr>
          <w:rFonts w:hint="eastAsia" w:eastAsia="宋体" w:cs="宋体"/>
          <w:bCs/>
          <w:color w:val="auto"/>
          <w:highlight w:val="none"/>
        </w:rPr>
        <w:t>。</w:t>
      </w:r>
    </w:p>
    <w:p w14:paraId="5C3C30F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13.2.2竣工验收程序</w:t>
      </w:r>
    </w:p>
    <w:p w14:paraId="467C580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关于竣工验收程序的约定：</w:t>
      </w:r>
      <w:r>
        <w:rPr>
          <w:rFonts w:hint="eastAsia" w:eastAsia="宋体" w:cs="宋体"/>
          <w:color w:val="auto"/>
          <w:kern w:val="0"/>
          <w:highlight w:val="none"/>
          <w:u w:val="single"/>
        </w:rPr>
        <w:t>执行通用条款</w:t>
      </w:r>
      <w:r>
        <w:rPr>
          <w:rFonts w:hint="eastAsia" w:eastAsia="宋体" w:cs="宋体"/>
          <w:color w:val="auto"/>
          <w:highlight w:val="none"/>
        </w:rPr>
        <w:t>。</w:t>
      </w:r>
    </w:p>
    <w:p w14:paraId="55A847C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发包人不按照本项约定组织竣工验收、颁发工程接收证书的违约金的计算方法：</w:t>
      </w:r>
      <w:r>
        <w:rPr>
          <w:rFonts w:hint="eastAsia" w:eastAsia="宋体" w:cs="宋体"/>
          <w:color w:val="auto"/>
          <w:kern w:val="0"/>
          <w:highlight w:val="none"/>
          <w:u w:val="single"/>
        </w:rPr>
        <w:t>执行通用条款</w:t>
      </w:r>
      <w:r>
        <w:rPr>
          <w:rFonts w:hint="eastAsia" w:eastAsia="宋体" w:cs="宋体"/>
          <w:color w:val="auto"/>
          <w:highlight w:val="none"/>
        </w:rPr>
        <w:t>。</w:t>
      </w:r>
    </w:p>
    <w:p w14:paraId="77DC066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13.2.5移交、接收全部与部分工程</w:t>
      </w:r>
    </w:p>
    <w:p w14:paraId="2B047C0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承包人向发包人移交工程的期限：</w:t>
      </w:r>
      <w:r>
        <w:rPr>
          <w:rFonts w:hint="eastAsia" w:eastAsia="宋体" w:cs="宋体"/>
          <w:color w:val="auto"/>
          <w:kern w:val="0"/>
          <w:highlight w:val="none"/>
          <w:u w:val="single"/>
        </w:rPr>
        <w:t xml:space="preserve">  按通用合同条款执行  </w:t>
      </w:r>
      <w:r>
        <w:rPr>
          <w:rFonts w:hint="eastAsia" w:eastAsia="宋体" w:cs="宋体"/>
          <w:color w:val="auto"/>
          <w:highlight w:val="none"/>
        </w:rPr>
        <w:t>。</w:t>
      </w:r>
    </w:p>
    <w:p w14:paraId="1640096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u w:val="single"/>
        </w:rPr>
      </w:pPr>
      <w:r>
        <w:rPr>
          <w:rFonts w:hint="eastAsia" w:eastAsia="宋体" w:cs="宋体"/>
          <w:color w:val="auto"/>
          <w:kern w:val="0"/>
          <w:highlight w:val="none"/>
        </w:rPr>
        <w:t>发包人未按本合同约定接收全部或部分工程的，违约金的计算方法为：</w:t>
      </w:r>
      <w:r>
        <w:rPr>
          <w:rFonts w:hint="eastAsia" w:eastAsia="宋体" w:cs="宋体"/>
          <w:color w:val="auto"/>
          <w:kern w:val="0"/>
          <w:highlight w:val="none"/>
          <w:u w:val="single"/>
        </w:rPr>
        <w:t xml:space="preserve">  按通用合同条款执行  </w:t>
      </w:r>
      <w:r>
        <w:rPr>
          <w:rFonts w:hint="eastAsia" w:eastAsia="宋体" w:cs="宋体"/>
          <w:color w:val="auto"/>
          <w:highlight w:val="none"/>
        </w:rPr>
        <w:t>。</w:t>
      </w:r>
    </w:p>
    <w:p w14:paraId="0E480997">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承包人未按时移交工程的，违约金的计算方法为：</w:t>
      </w:r>
      <w:r>
        <w:rPr>
          <w:rFonts w:hint="eastAsia" w:eastAsia="宋体" w:cs="宋体"/>
          <w:color w:val="auto"/>
          <w:highlight w:val="none"/>
          <w:u w:val="single"/>
        </w:rPr>
        <w:t xml:space="preserve"> </w:t>
      </w:r>
      <w:r>
        <w:rPr>
          <w:rFonts w:hint="eastAsia" w:eastAsia="宋体" w:cs="宋体"/>
          <w:color w:val="auto"/>
          <w:kern w:val="0"/>
          <w:highlight w:val="none"/>
          <w:u w:val="single"/>
        </w:rPr>
        <w:t xml:space="preserve">   按通用合同条款执行     </w:t>
      </w:r>
      <w:r>
        <w:rPr>
          <w:rFonts w:hint="eastAsia" w:eastAsia="宋体" w:cs="宋体"/>
          <w:color w:val="auto"/>
          <w:highlight w:val="none"/>
        </w:rPr>
        <w:t>。</w:t>
      </w:r>
    </w:p>
    <w:p w14:paraId="489D1E7D">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65" w:name="_Toc8981"/>
      <w:bookmarkStart w:id="466" w:name="_Toc5728"/>
      <w:bookmarkStart w:id="467" w:name="_Toc15896"/>
      <w:bookmarkStart w:id="468" w:name="_Toc19532"/>
      <w:r>
        <w:rPr>
          <w:rFonts w:hint="eastAsia" w:ascii="宋体" w:eastAsia="宋体" w:cs="宋体"/>
          <w:b/>
          <w:bCs/>
          <w:color w:val="auto"/>
          <w:highlight w:val="none"/>
        </w:rPr>
        <w:t>13.3 工程试车</w:t>
      </w:r>
      <w:bookmarkEnd w:id="465"/>
      <w:bookmarkEnd w:id="466"/>
      <w:bookmarkEnd w:id="467"/>
      <w:bookmarkEnd w:id="468"/>
    </w:p>
    <w:p w14:paraId="3FA4527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bookmarkStart w:id="469" w:name="_Toc4008"/>
      <w:bookmarkStart w:id="470" w:name="_Toc668"/>
      <w:bookmarkStart w:id="471" w:name="_Toc12064"/>
      <w:bookmarkStart w:id="472" w:name="_Toc21966"/>
      <w:r>
        <w:rPr>
          <w:rFonts w:hint="eastAsia" w:eastAsia="宋体" w:cs="宋体"/>
          <w:color w:val="auto"/>
          <w:kern w:val="0"/>
          <w:highlight w:val="none"/>
        </w:rPr>
        <w:t>13.3.1 试车程序</w:t>
      </w:r>
      <w:bookmarkEnd w:id="469"/>
      <w:bookmarkEnd w:id="470"/>
      <w:bookmarkEnd w:id="471"/>
      <w:bookmarkEnd w:id="472"/>
    </w:p>
    <w:p w14:paraId="221D3F98">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工程试车内容：</w:t>
      </w:r>
      <w:r>
        <w:rPr>
          <w:rFonts w:hint="eastAsia" w:eastAsia="宋体" w:cs="宋体"/>
          <w:color w:val="auto"/>
          <w:highlight w:val="none"/>
          <w:u w:val="single"/>
        </w:rPr>
        <w:t xml:space="preserve">  无    </w:t>
      </w:r>
      <w:r>
        <w:rPr>
          <w:rFonts w:hint="eastAsia" w:eastAsia="宋体" w:cs="宋体"/>
          <w:color w:val="auto"/>
          <w:highlight w:val="none"/>
        </w:rPr>
        <w:t>。</w:t>
      </w:r>
    </w:p>
    <w:p w14:paraId="2091E568">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（1）单机无负荷试车费用由</w:t>
      </w:r>
      <w:r>
        <w:rPr>
          <w:rFonts w:hint="eastAsia" w:eastAsia="宋体" w:cs="宋体"/>
          <w:color w:val="auto"/>
          <w:highlight w:val="none"/>
          <w:u w:val="single"/>
        </w:rPr>
        <w:t xml:space="preserve">              </w:t>
      </w:r>
      <w:r>
        <w:rPr>
          <w:rFonts w:hint="eastAsia" w:eastAsia="宋体" w:cs="宋体"/>
          <w:color w:val="auto"/>
          <w:kern w:val="0"/>
          <w:highlight w:val="none"/>
        </w:rPr>
        <w:t>承担；</w:t>
      </w:r>
    </w:p>
    <w:p w14:paraId="3AB6DE4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（2）无负荷联动试车费用由</w:t>
      </w:r>
      <w:r>
        <w:rPr>
          <w:rFonts w:hint="eastAsia" w:eastAsia="宋体" w:cs="宋体"/>
          <w:color w:val="auto"/>
          <w:highlight w:val="none"/>
          <w:u w:val="single"/>
        </w:rPr>
        <w:t xml:space="preserve">              </w:t>
      </w:r>
      <w:r>
        <w:rPr>
          <w:rFonts w:hint="eastAsia" w:eastAsia="宋体" w:cs="宋体"/>
          <w:color w:val="auto"/>
          <w:kern w:val="0"/>
          <w:highlight w:val="none"/>
        </w:rPr>
        <w:t>承担。</w:t>
      </w:r>
    </w:p>
    <w:p w14:paraId="21084DE7">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bookmarkStart w:id="473" w:name="_Toc10133"/>
      <w:bookmarkStart w:id="474" w:name="_Toc3602"/>
      <w:bookmarkStart w:id="475" w:name="_Toc4340"/>
      <w:bookmarkStart w:id="476" w:name="_Toc23977"/>
      <w:r>
        <w:rPr>
          <w:rFonts w:hint="eastAsia" w:eastAsia="宋体" w:cs="宋体"/>
          <w:color w:val="auto"/>
          <w:kern w:val="0"/>
          <w:highlight w:val="none"/>
        </w:rPr>
        <w:t>13.3.3 投料试车</w:t>
      </w:r>
      <w:bookmarkEnd w:id="473"/>
      <w:bookmarkEnd w:id="474"/>
      <w:bookmarkEnd w:id="475"/>
      <w:bookmarkEnd w:id="476"/>
    </w:p>
    <w:p w14:paraId="47E78BC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关于投料试车相关事项的约定：</w:t>
      </w:r>
      <w:r>
        <w:rPr>
          <w:rFonts w:hint="eastAsia" w:eastAsia="宋体" w:cs="宋体"/>
          <w:color w:val="auto"/>
          <w:highlight w:val="none"/>
          <w:u w:val="single"/>
        </w:rPr>
        <w:t xml:space="preserve">   无    </w:t>
      </w:r>
      <w:r>
        <w:rPr>
          <w:rFonts w:hint="eastAsia" w:eastAsia="宋体" w:cs="宋体"/>
          <w:color w:val="auto"/>
          <w:highlight w:val="none"/>
        </w:rPr>
        <w:t>。</w:t>
      </w:r>
    </w:p>
    <w:p w14:paraId="1D2D6424">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77" w:name="_Toc10251"/>
      <w:bookmarkStart w:id="478" w:name="_Toc5725"/>
      <w:bookmarkStart w:id="479" w:name="_Toc3803"/>
      <w:bookmarkStart w:id="480" w:name="_Toc27445"/>
      <w:r>
        <w:rPr>
          <w:rFonts w:hint="eastAsia" w:ascii="宋体" w:eastAsia="宋体" w:cs="宋体"/>
          <w:b/>
          <w:bCs/>
          <w:color w:val="auto"/>
          <w:highlight w:val="none"/>
        </w:rPr>
        <w:t>13.6 竣工退场</w:t>
      </w:r>
      <w:bookmarkEnd w:id="477"/>
      <w:bookmarkEnd w:id="478"/>
      <w:bookmarkEnd w:id="479"/>
      <w:bookmarkEnd w:id="480"/>
    </w:p>
    <w:p w14:paraId="0C2A71E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13.6.1 竣工退场</w:t>
      </w:r>
    </w:p>
    <w:p w14:paraId="79485DA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承包人完成竣工退场的期限：</w:t>
      </w:r>
      <w:r>
        <w:rPr>
          <w:rFonts w:hint="eastAsia" w:eastAsia="宋体" w:cs="宋体"/>
          <w:color w:val="auto"/>
          <w:highlight w:val="none"/>
          <w:u w:val="single"/>
        </w:rPr>
        <w:t xml:space="preserve">  颁发工程接收证明后7天内   </w:t>
      </w:r>
      <w:r>
        <w:rPr>
          <w:rFonts w:hint="eastAsia" w:eastAsia="宋体" w:cs="宋体"/>
          <w:color w:val="auto"/>
          <w:highlight w:val="none"/>
        </w:rPr>
        <w:t>。</w:t>
      </w:r>
    </w:p>
    <w:p w14:paraId="6A133CC1">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81" w:name="_Toc965"/>
      <w:bookmarkStart w:id="482" w:name="_Toc4421"/>
      <w:bookmarkStart w:id="483" w:name="_Toc22516"/>
      <w:bookmarkStart w:id="484" w:name="_Toc27236"/>
      <w:r>
        <w:rPr>
          <w:rFonts w:hint="eastAsia" w:ascii="宋体" w:eastAsia="宋体" w:cs="宋体"/>
          <w:b/>
          <w:bCs/>
          <w:color w:val="auto"/>
          <w:highlight w:val="none"/>
        </w:rPr>
        <w:t>14. 竣工结算</w:t>
      </w:r>
      <w:bookmarkEnd w:id="481"/>
      <w:bookmarkEnd w:id="482"/>
      <w:bookmarkEnd w:id="483"/>
      <w:bookmarkEnd w:id="484"/>
    </w:p>
    <w:p w14:paraId="551DEFE5">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85" w:name="_Toc29322"/>
      <w:bookmarkStart w:id="486" w:name="_Toc1967"/>
      <w:bookmarkStart w:id="487" w:name="_Toc447"/>
      <w:bookmarkStart w:id="488" w:name="_Toc17112"/>
      <w:r>
        <w:rPr>
          <w:rFonts w:hint="eastAsia" w:ascii="宋体" w:eastAsia="宋体" w:cs="宋体"/>
          <w:b/>
          <w:bCs/>
          <w:color w:val="auto"/>
          <w:highlight w:val="none"/>
        </w:rPr>
        <w:t>14.1 竣工结算申请</w:t>
      </w:r>
      <w:bookmarkEnd w:id="485"/>
      <w:bookmarkEnd w:id="486"/>
      <w:bookmarkEnd w:id="487"/>
      <w:bookmarkEnd w:id="488"/>
    </w:p>
    <w:p w14:paraId="35593648">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highlight w:val="none"/>
        </w:rPr>
        <w:t>承包人提交竣工结算申请单的期限：</w:t>
      </w:r>
      <w:r>
        <w:rPr>
          <w:rFonts w:hint="eastAsia" w:eastAsia="宋体" w:cs="宋体"/>
          <w:color w:val="auto"/>
          <w:highlight w:val="none"/>
          <w:u w:val="single"/>
        </w:rPr>
        <w:t xml:space="preserve">   在项目竣工验收合格后60日内，承包人应将完整的项目结算所需资料报送</w:t>
      </w:r>
      <w:r>
        <w:rPr>
          <w:rFonts w:hint="eastAsia" w:eastAsia="宋体" w:cs="宋体"/>
          <w:color w:val="auto"/>
          <w:highlight w:val="none"/>
          <w:u w:val="single"/>
          <w:lang w:eastAsia="zh-CN"/>
        </w:rPr>
        <w:t>当地</w:t>
      </w:r>
      <w:r>
        <w:rPr>
          <w:rFonts w:hint="eastAsia" w:eastAsia="宋体" w:cs="宋体"/>
          <w:color w:val="auto"/>
          <w:highlight w:val="none"/>
          <w:u w:val="single"/>
        </w:rPr>
        <w:t xml:space="preserve">财政部门进行结算评审  </w:t>
      </w:r>
      <w:r>
        <w:rPr>
          <w:rFonts w:hint="eastAsia" w:eastAsia="宋体" w:cs="宋体"/>
          <w:color w:val="auto"/>
          <w:highlight w:val="none"/>
        </w:rPr>
        <w:t>。</w:t>
      </w:r>
    </w:p>
    <w:p w14:paraId="0652A1D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竣工结算申请单应包括的内容：</w:t>
      </w:r>
      <w:r>
        <w:rPr>
          <w:rFonts w:hint="eastAsia" w:eastAsia="宋体" w:cs="宋体"/>
          <w:color w:val="auto"/>
          <w:kern w:val="0"/>
          <w:highlight w:val="none"/>
          <w:u w:val="single"/>
        </w:rPr>
        <w:t>按</w:t>
      </w:r>
      <w:r>
        <w:rPr>
          <w:rFonts w:hint="eastAsia" w:eastAsia="宋体" w:cs="宋体"/>
          <w:color w:val="auto"/>
          <w:kern w:val="0"/>
          <w:highlight w:val="none"/>
          <w:u w:val="single"/>
          <w:lang w:eastAsia="zh-CN"/>
        </w:rPr>
        <w:t>来当地</w:t>
      </w:r>
      <w:r>
        <w:rPr>
          <w:rFonts w:hint="eastAsia" w:eastAsia="宋体" w:cs="宋体"/>
          <w:color w:val="auto"/>
          <w:kern w:val="0"/>
          <w:highlight w:val="none"/>
          <w:u w:val="single"/>
        </w:rPr>
        <w:t>政部门要求提交</w:t>
      </w:r>
      <w:r>
        <w:rPr>
          <w:rFonts w:hint="eastAsia" w:eastAsia="宋体" w:cs="宋体"/>
          <w:color w:val="auto"/>
          <w:highlight w:val="none"/>
          <w:u w:val="single"/>
        </w:rPr>
        <w:t xml:space="preserve">  </w:t>
      </w:r>
      <w:r>
        <w:rPr>
          <w:rFonts w:hint="eastAsia" w:eastAsia="宋体" w:cs="宋体"/>
          <w:color w:val="auto"/>
          <w:highlight w:val="none"/>
        </w:rPr>
        <w:t>。</w:t>
      </w:r>
    </w:p>
    <w:p w14:paraId="1E035763">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89" w:name="_Toc32457"/>
      <w:bookmarkStart w:id="490" w:name="_Toc23278"/>
      <w:bookmarkStart w:id="491" w:name="_Toc8061"/>
      <w:bookmarkStart w:id="492" w:name="_Toc16012"/>
      <w:r>
        <w:rPr>
          <w:rFonts w:hint="eastAsia" w:ascii="宋体" w:eastAsia="宋体" w:cs="宋体"/>
          <w:b/>
          <w:bCs/>
          <w:color w:val="auto"/>
          <w:highlight w:val="none"/>
        </w:rPr>
        <w:t>14.2 竣工结算审核</w:t>
      </w:r>
      <w:bookmarkEnd w:id="489"/>
      <w:bookmarkEnd w:id="490"/>
      <w:bookmarkEnd w:id="491"/>
      <w:bookmarkEnd w:id="492"/>
    </w:p>
    <w:p w14:paraId="697D090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发包人审批竣工付款申请单的期限：</w:t>
      </w:r>
    </w:p>
    <w:tbl>
      <w:tblPr>
        <w:tblStyle w:val="23"/>
        <w:tblW w:w="88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7"/>
        <w:gridCol w:w="2377"/>
        <w:gridCol w:w="5749"/>
      </w:tblGrid>
      <w:tr w14:paraId="583D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737" w:type="dxa"/>
            <w:noWrap w:val="0"/>
            <w:vAlign w:val="center"/>
          </w:tcPr>
          <w:p w14:paraId="2A987913">
            <w:pPr>
              <w:pStyle w:val="56"/>
              <w:keepNext w:val="0"/>
              <w:keepLines w:val="0"/>
              <w:pageBreakBefore w:val="0"/>
              <w:widowControl w:val="0"/>
              <w:kinsoku/>
              <w:overflowPunct/>
              <w:topLinePunct w:val="0"/>
              <w:bidi w:val="0"/>
              <w:spacing w:line="400" w:lineRule="exact"/>
              <w:ind w:firstLine="0" w:firstLineChars="0"/>
              <w:jc w:val="center"/>
              <w:textAlignment w:val="auto"/>
              <w:outlineLvl w:val="9"/>
              <w:rPr>
                <w:rFonts w:hint="eastAsia" w:eastAsia="宋体" w:cs="宋体"/>
                <w:bCs/>
                <w:color w:val="auto"/>
                <w:highlight w:val="none"/>
              </w:rPr>
            </w:pPr>
          </w:p>
        </w:tc>
        <w:tc>
          <w:tcPr>
            <w:tcW w:w="2377" w:type="dxa"/>
            <w:noWrap w:val="0"/>
            <w:vAlign w:val="center"/>
          </w:tcPr>
          <w:p w14:paraId="025AF9F6">
            <w:pPr>
              <w:pStyle w:val="56"/>
              <w:keepNext w:val="0"/>
              <w:keepLines w:val="0"/>
              <w:pageBreakBefore w:val="0"/>
              <w:widowControl w:val="0"/>
              <w:kinsoku/>
              <w:overflowPunct/>
              <w:topLinePunct w:val="0"/>
              <w:bidi w:val="0"/>
              <w:spacing w:line="400" w:lineRule="exact"/>
              <w:ind w:firstLine="0" w:firstLineChars="0"/>
              <w:jc w:val="center"/>
              <w:textAlignment w:val="auto"/>
              <w:outlineLvl w:val="9"/>
              <w:rPr>
                <w:rFonts w:hint="eastAsia" w:eastAsia="宋体" w:cs="宋体"/>
                <w:bCs/>
                <w:color w:val="auto"/>
                <w:highlight w:val="none"/>
              </w:rPr>
            </w:pPr>
            <w:r>
              <w:rPr>
                <w:rFonts w:hint="eastAsia" w:eastAsia="宋体" w:cs="宋体"/>
                <w:bCs/>
                <w:color w:val="auto"/>
                <w:highlight w:val="none"/>
              </w:rPr>
              <w:t>工程竣工结算报告金额</w:t>
            </w:r>
          </w:p>
        </w:tc>
        <w:tc>
          <w:tcPr>
            <w:tcW w:w="5749" w:type="dxa"/>
            <w:noWrap w:val="0"/>
            <w:vAlign w:val="center"/>
          </w:tcPr>
          <w:p w14:paraId="49F5DD19">
            <w:pPr>
              <w:pStyle w:val="56"/>
              <w:keepNext w:val="0"/>
              <w:keepLines w:val="0"/>
              <w:pageBreakBefore w:val="0"/>
              <w:widowControl w:val="0"/>
              <w:kinsoku/>
              <w:overflowPunct/>
              <w:topLinePunct w:val="0"/>
              <w:bidi w:val="0"/>
              <w:spacing w:line="400" w:lineRule="exact"/>
              <w:ind w:firstLine="0" w:firstLineChars="0"/>
              <w:jc w:val="center"/>
              <w:textAlignment w:val="auto"/>
              <w:outlineLvl w:val="9"/>
              <w:rPr>
                <w:rFonts w:hint="eastAsia" w:eastAsia="宋体" w:cs="宋体"/>
                <w:bCs/>
                <w:color w:val="auto"/>
                <w:highlight w:val="none"/>
              </w:rPr>
            </w:pPr>
            <w:r>
              <w:rPr>
                <w:rFonts w:hint="eastAsia" w:eastAsia="宋体" w:cs="宋体"/>
                <w:bCs/>
                <w:color w:val="auto"/>
                <w:highlight w:val="none"/>
              </w:rPr>
              <w:t>发包人审查时间</w:t>
            </w:r>
          </w:p>
        </w:tc>
      </w:tr>
      <w:tr w14:paraId="73822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37" w:type="dxa"/>
            <w:noWrap w:val="0"/>
            <w:vAlign w:val="center"/>
          </w:tcPr>
          <w:p w14:paraId="4508B320">
            <w:pPr>
              <w:pStyle w:val="56"/>
              <w:keepNext w:val="0"/>
              <w:keepLines w:val="0"/>
              <w:pageBreakBefore w:val="0"/>
              <w:widowControl w:val="0"/>
              <w:kinsoku/>
              <w:overflowPunct/>
              <w:topLinePunct w:val="0"/>
              <w:bidi w:val="0"/>
              <w:spacing w:line="400" w:lineRule="exact"/>
              <w:ind w:firstLine="0" w:firstLineChars="0"/>
              <w:jc w:val="center"/>
              <w:textAlignment w:val="auto"/>
              <w:outlineLvl w:val="9"/>
              <w:rPr>
                <w:rFonts w:hint="eastAsia" w:eastAsia="宋体" w:cs="宋体"/>
                <w:bCs/>
                <w:color w:val="auto"/>
                <w:highlight w:val="none"/>
              </w:rPr>
            </w:pPr>
            <w:r>
              <w:rPr>
                <w:rFonts w:hint="eastAsia" w:eastAsia="宋体" w:cs="宋体"/>
                <w:bCs/>
                <w:color w:val="auto"/>
                <w:highlight w:val="none"/>
              </w:rPr>
              <w:t>1</w:t>
            </w:r>
          </w:p>
        </w:tc>
        <w:tc>
          <w:tcPr>
            <w:tcW w:w="2377" w:type="dxa"/>
            <w:noWrap w:val="0"/>
            <w:vAlign w:val="center"/>
          </w:tcPr>
          <w:p w14:paraId="539A46EE">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bCs/>
                <w:color w:val="auto"/>
                <w:highlight w:val="none"/>
              </w:rPr>
            </w:pPr>
            <w:r>
              <w:rPr>
                <w:rFonts w:hint="eastAsia" w:eastAsia="宋体" w:cs="宋体"/>
                <w:bCs/>
                <w:color w:val="auto"/>
                <w:highlight w:val="none"/>
              </w:rPr>
              <w:t>500万元以下</w:t>
            </w:r>
          </w:p>
        </w:tc>
        <w:tc>
          <w:tcPr>
            <w:tcW w:w="5749" w:type="dxa"/>
            <w:noWrap w:val="0"/>
            <w:vAlign w:val="center"/>
          </w:tcPr>
          <w:p w14:paraId="18FDA7E5">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bCs/>
                <w:color w:val="auto"/>
                <w:highlight w:val="none"/>
              </w:rPr>
            </w:pPr>
            <w:r>
              <w:rPr>
                <w:rFonts w:hint="eastAsia" w:eastAsia="宋体" w:cs="宋体"/>
                <w:bCs/>
                <w:color w:val="auto"/>
                <w:highlight w:val="none"/>
              </w:rPr>
              <w:t>从接到竣工结算报告和完整的竣工结算资料之日起20天</w:t>
            </w:r>
          </w:p>
        </w:tc>
      </w:tr>
      <w:tr w14:paraId="30C7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37" w:type="dxa"/>
            <w:noWrap w:val="0"/>
            <w:vAlign w:val="center"/>
          </w:tcPr>
          <w:p w14:paraId="0D95E619">
            <w:pPr>
              <w:pStyle w:val="56"/>
              <w:keepNext w:val="0"/>
              <w:keepLines w:val="0"/>
              <w:pageBreakBefore w:val="0"/>
              <w:widowControl w:val="0"/>
              <w:kinsoku/>
              <w:overflowPunct/>
              <w:topLinePunct w:val="0"/>
              <w:bidi w:val="0"/>
              <w:spacing w:line="400" w:lineRule="exact"/>
              <w:ind w:firstLine="0" w:firstLineChars="0"/>
              <w:jc w:val="center"/>
              <w:textAlignment w:val="auto"/>
              <w:outlineLvl w:val="9"/>
              <w:rPr>
                <w:rFonts w:hint="eastAsia" w:eastAsia="宋体" w:cs="宋体"/>
                <w:bCs/>
                <w:color w:val="auto"/>
                <w:highlight w:val="none"/>
              </w:rPr>
            </w:pPr>
            <w:r>
              <w:rPr>
                <w:rFonts w:hint="eastAsia" w:eastAsia="宋体" w:cs="宋体"/>
                <w:bCs/>
                <w:color w:val="auto"/>
                <w:highlight w:val="none"/>
              </w:rPr>
              <w:t>2</w:t>
            </w:r>
          </w:p>
        </w:tc>
        <w:tc>
          <w:tcPr>
            <w:tcW w:w="2377" w:type="dxa"/>
            <w:noWrap w:val="0"/>
            <w:vAlign w:val="center"/>
          </w:tcPr>
          <w:p w14:paraId="268A463F">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bCs/>
                <w:color w:val="auto"/>
                <w:highlight w:val="none"/>
              </w:rPr>
            </w:pPr>
            <w:r>
              <w:rPr>
                <w:rFonts w:hint="eastAsia" w:eastAsia="宋体" w:cs="宋体"/>
                <w:bCs/>
                <w:color w:val="auto"/>
                <w:highlight w:val="none"/>
              </w:rPr>
              <w:t>500万元-2000万元</w:t>
            </w:r>
          </w:p>
        </w:tc>
        <w:tc>
          <w:tcPr>
            <w:tcW w:w="5749" w:type="dxa"/>
            <w:noWrap w:val="0"/>
            <w:vAlign w:val="center"/>
          </w:tcPr>
          <w:p w14:paraId="4693580E">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bCs/>
                <w:color w:val="auto"/>
                <w:highlight w:val="none"/>
              </w:rPr>
            </w:pPr>
            <w:r>
              <w:rPr>
                <w:rFonts w:hint="eastAsia" w:eastAsia="宋体" w:cs="宋体"/>
                <w:bCs/>
                <w:color w:val="auto"/>
                <w:highlight w:val="none"/>
              </w:rPr>
              <w:t>从接到竣工结算报告和完整的竣工结算资料之日起30天</w:t>
            </w:r>
          </w:p>
        </w:tc>
      </w:tr>
      <w:tr w14:paraId="71AB4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37" w:type="dxa"/>
            <w:noWrap w:val="0"/>
            <w:vAlign w:val="center"/>
          </w:tcPr>
          <w:p w14:paraId="3E34938E">
            <w:pPr>
              <w:pStyle w:val="56"/>
              <w:keepNext w:val="0"/>
              <w:keepLines w:val="0"/>
              <w:pageBreakBefore w:val="0"/>
              <w:widowControl w:val="0"/>
              <w:kinsoku/>
              <w:overflowPunct/>
              <w:topLinePunct w:val="0"/>
              <w:bidi w:val="0"/>
              <w:spacing w:line="400" w:lineRule="exact"/>
              <w:ind w:firstLine="0" w:firstLineChars="0"/>
              <w:jc w:val="center"/>
              <w:textAlignment w:val="auto"/>
              <w:outlineLvl w:val="9"/>
              <w:rPr>
                <w:rFonts w:hint="eastAsia" w:eastAsia="宋体" w:cs="宋体"/>
                <w:bCs/>
                <w:color w:val="auto"/>
                <w:highlight w:val="none"/>
              </w:rPr>
            </w:pPr>
            <w:r>
              <w:rPr>
                <w:rFonts w:hint="eastAsia" w:eastAsia="宋体" w:cs="宋体"/>
                <w:bCs/>
                <w:color w:val="auto"/>
                <w:highlight w:val="none"/>
              </w:rPr>
              <w:t>3</w:t>
            </w:r>
          </w:p>
        </w:tc>
        <w:tc>
          <w:tcPr>
            <w:tcW w:w="2377" w:type="dxa"/>
            <w:noWrap w:val="0"/>
            <w:vAlign w:val="center"/>
          </w:tcPr>
          <w:p w14:paraId="3FF9E4E4">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bCs/>
                <w:color w:val="auto"/>
                <w:highlight w:val="none"/>
              </w:rPr>
            </w:pPr>
            <w:r>
              <w:rPr>
                <w:rFonts w:hint="eastAsia" w:eastAsia="宋体" w:cs="宋体"/>
                <w:bCs/>
                <w:color w:val="auto"/>
                <w:highlight w:val="none"/>
              </w:rPr>
              <w:t>2000万元-5000万元</w:t>
            </w:r>
          </w:p>
        </w:tc>
        <w:tc>
          <w:tcPr>
            <w:tcW w:w="5749" w:type="dxa"/>
            <w:noWrap w:val="0"/>
            <w:vAlign w:val="center"/>
          </w:tcPr>
          <w:p w14:paraId="4BB94C57">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bCs/>
                <w:color w:val="auto"/>
                <w:highlight w:val="none"/>
              </w:rPr>
            </w:pPr>
            <w:r>
              <w:rPr>
                <w:rFonts w:hint="eastAsia" w:eastAsia="宋体" w:cs="宋体"/>
                <w:bCs/>
                <w:color w:val="auto"/>
                <w:highlight w:val="none"/>
              </w:rPr>
              <w:t>从接到竣工结算报告和完整的竣工结算资料之日起45天</w:t>
            </w:r>
          </w:p>
        </w:tc>
      </w:tr>
      <w:tr w14:paraId="7C97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737" w:type="dxa"/>
            <w:noWrap w:val="0"/>
            <w:vAlign w:val="center"/>
          </w:tcPr>
          <w:p w14:paraId="3BE89FF3">
            <w:pPr>
              <w:pStyle w:val="56"/>
              <w:keepNext w:val="0"/>
              <w:keepLines w:val="0"/>
              <w:pageBreakBefore w:val="0"/>
              <w:widowControl w:val="0"/>
              <w:kinsoku/>
              <w:overflowPunct/>
              <w:topLinePunct w:val="0"/>
              <w:bidi w:val="0"/>
              <w:spacing w:line="400" w:lineRule="exact"/>
              <w:ind w:firstLine="0" w:firstLineChars="0"/>
              <w:jc w:val="center"/>
              <w:textAlignment w:val="auto"/>
              <w:outlineLvl w:val="9"/>
              <w:rPr>
                <w:rFonts w:hint="eastAsia" w:eastAsia="宋体" w:cs="宋体"/>
                <w:bCs/>
                <w:color w:val="auto"/>
                <w:highlight w:val="none"/>
              </w:rPr>
            </w:pPr>
            <w:r>
              <w:rPr>
                <w:rFonts w:hint="eastAsia" w:eastAsia="宋体" w:cs="宋体"/>
                <w:bCs/>
                <w:color w:val="auto"/>
                <w:highlight w:val="none"/>
              </w:rPr>
              <w:t>4</w:t>
            </w:r>
          </w:p>
        </w:tc>
        <w:tc>
          <w:tcPr>
            <w:tcW w:w="2377" w:type="dxa"/>
            <w:noWrap w:val="0"/>
            <w:vAlign w:val="center"/>
          </w:tcPr>
          <w:p w14:paraId="3CDE6D43">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bCs/>
                <w:color w:val="auto"/>
                <w:highlight w:val="none"/>
              </w:rPr>
            </w:pPr>
            <w:r>
              <w:rPr>
                <w:rFonts w:hint="eastAsia" w:eastAsia="宋体" w:cs="宋体"/>
                <w:bCs/>
                <w:color w:val="auto"/>
                <w:highlight w:val="none"/>
              </w:rPr>
              <w:t>5000万元以上</w:t>
            </w:r>
          </w:p>
        </w:tc>
        <w:tc>
          <w:tcPr>
            <w:tcW w:w="5749" w:type="dxa"/>
            <w:noWrap w:val="0"/>
            <w:vAlign w:val="center"/>
          </w:tcPr>
          <w:p w14:paraId="51B708F6">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bCs/>
                <w:color w:val="auto"/>
                <w:highlight w:val="none"/>
              </w:rPr>
            </w:pPr>
            <w:r>
              <w:rPr>
                <w:rFonts w:hint="eastAsia" w:eastAsia="宋体" w:cs="宋体"/>
                <w:bCs/>
                <w:color w:val="auto"/>
                <w:highlight w:val="none"/>
              </w:rPr>
              <w:t>从接到竣工结算报告和完整的竣工结算资料之日起60天</w:t>
            </w:r>
          </w:p>
        </w:tc>
      </w:tr>
    </w:tbl>
    <w:p w14:paraId="60175CB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bCs/>
          <w:color w:val="auto"/>
          <w:highlight w:val="none"/>
        </w:rPr>
        <w:t>因承包人提供的结算资料不完整而需要补充或承包人不按时对账耽误时间时，审查时间应相应顺延</w:t>
      </w:r>
      <w:r>
        <w:rPr>
          <w:rFonts w:hint="eastAsia" w:eastAsia="宋体" w:cs="宋体"/>
          <w:color w:val="auto"/>
          <w:highlight w:val="none"/>
        </w:rPr>
        <w:t>。</w:t>
      </w:r>
    </w:p>
    <w:p w14:paraId="06997DBF">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发包人完成竣工付款的期限：</w:t>
      </w:r>
      <w:r>
        <w:rPr>
          <w:rFonts w:hint="eastAsia" w:ascii="宋体" w:hAnsi="宋体"/>
          <w:color w:val="auto"/>
          <w:szCs w:val="21"/>
          <w:highlight w:val="none"/>
          <w:u w:val="single"/>
        </w:rPr>
        <w:t xml:space="preserve">按本专用条款12.4的约定支付  </w:t>
      </w:r>
      <w:r>
        <w:rPr>
          <w:rFonts w:ascii="宋体" w:hAnsi="宋体"/>
          <w:color w:val="auto"/>
          <w:szCs w:val="21"/>
          <w:highlight w:val="none"/>
        </w:rPr>
        <w:t>。</w:t>
      </w:r>
    </w:p>
    <w:p w14:paraId="2FBD4590">
      <w:pPr>
        <w:keepNext w:val="0"/>
        <w:keepLines w:val="0"/>
        <w:pageBreakBefore w:val="0"/>
        <w:widowControl w:val="0"/>
        <w:kinsoku/>
        <w:overflowPunct/>
        <w:topLinePunct w:val="0"/>
        <w:bidi w:val="0"/>
        <w:spacing w:line="360" w:lineRule="auto"/>
        <w:ind w:firstLine="420" w:firstLineChars="200"/>
        <w:jc w:val="left"/>
        <w:textAlignment w:val="auto"/>
        <w:outlineLvl w:val="9"/>
        <w:rPr>
          <w:rFonts w:ascii="宋体" w:hAnsi="宋体"/>
          <w:color w:val="auto"/>
          <w:szCs w:val="21"/>
          <w:highlight w:val="none"/>
          <w:u w:val="single"/>
        </w:rPr>
      </w:pPr>
      <w:r>
        <w:rPr>
          <w:rFonts w:ascii="宋体" w:hAnsi="宋体"/>
          <w:color w:val="auto"/>
          <w:szCs w:val="21"/>
          <w:highlight w:val="none"/>
        </w:rPr>
        <w:t>关于竣工付款证书异议部分复核的方式和程序：</w:t>
      </w:r>
      <w:r>
        <w:rPr>
          <w:rFonts w:hint="eastAsia" w:ascii="宋体" w:hAnsi="宋体"/>
          <w:color w:val="auto"/>
          <w:szCs w:val="21"/>
          <w:highlight w:val="none"/>
          <w:u w:val="single"/>
        </w:rPr>
        <w:t xml:space="preserve">  按通用合同条款执行  </w:t>
      </w:r>
      <w:r>
        <w:rPr>
          <w:rFonts w:ascii="宋体" w:hAnsi="宋体"/>
          <w:color w:val="auto"/>
          <w:szCs w:val="21"/>
          <w:highlight w:val="none"/>
        </w:rPr>
        <w:t>。</w:t>
      </w:r>
    </w:p>
    <w:p w14:paraId="5BB89113">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93" w:name="_Toc3201"/>
      <w:bookmarkStart w:id="494" w:name="_Toc15191"/>
      <w:bookmarkStart w:id="495" w:name="_Toc5534"/>
      <w:bookmarkStart w:id="496" w:name="_Toc28295"/>
      <w:r>
        <w:rPr>
          <w:rFonts w:hint="eastAsia" w:ascii="宋体" w:eastAsia="宋体" w:cs="宋体"/>
          <w:b/>
          <w:bCs/>
          <w:color w:val="auto"/>
          <w:highlight w:val="none"/>
        </w:rPr>
        <w:t>14.4 最终结清</w:t>
      </w:r>
      <w:bookmarkEnd w:id="493"/>
      <w:bookmarkEnd w:id="494"/>
      <w:bookmarkEnd w:id="495"/>
      <w:bookmarkEnd w:id="496"/>
    </w:p>
    <w:p w14:paraId="4061BBF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14.4.1 最终结清申请单</w:t>
      </w:r>
    </w:p>
    <w:p w14:paraId="26AEFDD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承包人提交最终结清申请单的份数：</w:t>
      </w:r>
      <w:r>
        <w:rPr>
          <w:rFonts w:hint="eastAsia" w:eastAsia="宋体" w:cs="宋体"/>
          <w:color w:val="auto"/>
          <w:highlight w:val="none"/>
          <w:u w:val="single"/>
        </w:rPr>
        <w:t xml:space="preserve">    一式四份       </w:t>
      </w:r>
      <w:r>
        <w:rPr>
          <w:rFonts w:hint="eastAsia" w:eastAsia="宋体" w:cs="宋体"/>
          <w:color w:val="auto"/>
          <w:highlight w:val="none"/>
        </w:rPr>
        <w:t>。</w:t>
      </w:r>
    </w:p>
    <w:p w14:paraId="4F68DF8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承包人提交最终结算申请单的期限：</w:t>
      </w:r>
      <w:r>
        <w:rPr>
          <w:rFonts w:hint="eastAsia" w:eastAsia="宋体" w:cs="宋体"/>
          <w:color w:val="auto"/>
          <w:highlight w:val="none"/>
          <w:u w:val="single"/>
        </w:rPr>
        <w:t xml:space="preserve">  </w:t>
      </w:r>
      <w:r>
        <w:rPr>
          <w:rFonts w:hint="eastAsia" w:eastAsia="宋体" w:cs="宋体"/>
          <w:color w:val="auto"/>
          <w:kern w:val="0"/>
          <w:highlight w:val="none"/>
          <w:u w:val="single"/>
        </w:rPr>
        <w:t>执行通用条款</w:t>
      </w:r>
      <w:r>
        <w:rPr>
          <w:rFonts w:hint="eastAsia" w:eastAsia="宋体" w:cs="宋体"/>
          <w:color w:val="auto"/>
          <w:highlight w:val="none"/>
          <w:u w:val="single"/>
        </w:rPr>
        <w:t xml:space="preserve">   </w:t>
      </w:r>
      <w:r>
        <w:rPr>
          <w:rFonts w:hint="eastAsia" w:eastAsia="宋体" w:cs="宋体"/>
          <w:color w:val="auto"/>
          <w:highlight w:val="none"/>
        </w:rPr>
        <w:t xml:space="preserve">。 </w:t>
      </w:r>
    </w:p>
    <w:p w14:paraId="0E74CFC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14.4.2 最终结清证书和支付</w:t>
      </w:r>
    </w:p>
    <w:p w14:paraId="33B4157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（1）发包人完成最终结清申请单的审批并颁发最终结清证书的期限：</w:t>
      </w:r>
      <w:r>
        <w:rPr>
          <w:rFonts w:hint="eastAsia" w:eastAsia="宋体" w:cs="宋体"/>
          <w:color w:val="auto"/>
          <w:highlight w:val="none"/>
          <w:u w:val="single"/>
        </w:rPr>
        <w:t xml:space="preserve"> </w:t>
      </w:r>
      <w:r>
        <w:rPr>
          <w:rFonts w:hint="eastAsia" w:eastAsia="宋体" w:cs="宋体"/>
          <w:color w:val="auto"/>
          <w:kern w:val="0"/>
          <w:highlight w:val="none"/>
          <w:u w:val="single"/>
        </w:rPr>
        <w:t>执行通用条款</w:t>
      </w:r>
      <w:r>
        <w:rPr>
          <w:rFonts w:hint="eastAsia" w:eastAsia="宋体" w:cs="宋体"/>
          <w:color w:val="auto"/>
          <w:highlight w:val="none"/>
          <w:u w:val="single"/>
        </w:rPr>
        <w:t xml:space="preserve">  </w:t>
      </w:r>
      <w:r>
        <w:rPr>
          <w:rFonts w:hint="eastAsia" w:eastAsia="宋体" w:cs="宋体"/>
          <w:color w:val="auto"/>
          <w:highlight w:val="none"/>
        </w:rPr>
        <w:t>。</w:t>
      </w:r>
    </w:p>
    <w:p w14:paraId="3D1F7EE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（2）发包人完成支付的期限：</w:t>
      </w:r>
      <w:r>
        <w:rPr>
          <w:rFonts w:hint="eastAsia" w:eastAsia="宋体" w:cs="宋体"/>
          <w:color w:val="auto"/>
          <w:highlight w:val="none"/>
          <w:u w:val="single"/>
        </w:rPr>
        <w:t xml:space="preserve">                         </w:t>
      </w:r>
      <w:r>
        <w:rPr>
          <w:rFonts w:hint="eastAsia" w:eastAsia="宋体" w:cs="宋体"/>
          <w:color w:val="auto"/>
          <w:highlight w:val="none"/>
        </w:rPr>
        <w:t>。</w:t>
      </w:r>
    </w:p>
    <w:p w14:paraId="266B3202">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497" w:name="_Toc16908"/>
      <w:bookmarkStart w:id="498" w:name="_Toc16857"/>
      <w:bookmarkStart w:id="499" w:name="_Toc18529"/>
      <w:bookmarkStart w:id="500" w:name="_Toc8098"/>
      <w:r>
        <w:rPr>
          <w:rFonts w:hint="eastAsia" w:ascii="宋体" w:eastAsia="宋体" w:cs="宋体"/>
          <w:b/>
          <w:bCs/>
          <w:color w:val="auto"/>
          <w:highlight w:val="none"/>
        </w:rPr>
        <w:t>15. 缺陷责任期与保修</w:t>
      </w:r>
      <w:bookmarkEnd w:id="497"/>
      <w:bookmarkEnd w:id="498"/>
      <w:bookmarkEnd w:id="499"/>
      <w:bookmarkEnd w:id="500"/>
    </w:p>
    <w:p w14:paraId="625EA34D">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01" w:name="_Toc31237"/>
      <w:bookmarkStart w:id="502" w:name="_Toc12407"/>
      <w:bookmarkStart w:id="503" w:name="_Toc2642"/>
      <w:bookmarkStart w:id="504" w:name="_Toc13376"/>
      <w:r>
        <w:rPr>
          <w:rFonts w:hint="eastAsia" w:ascii="宋体" w:eastAsia="宋体" w:cs="宋体"/>
          <w:b/>
          <w:bCs/>
          <w:color w:val="auto"/>
          <w:highlight w:val="none"/>
        </w:rPr>
        <w:t>15.2缺陷责任期</w:t>
      </w:r>
      <w:bookmarkEnd w:id="501"/>
      <w:bookmarkEnd w:id="502"/>
      <w:bookmarkEnd w:id="503"/>
      <w:bookmarkEnd w:id="504"/>
    </w:p>
    <w:p w14:paraId="6A647A3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缺陷责任期的具体期限：</w:t>
      </w:r>
      <w:r>
        <w:rPr>
          <w:rFonts w:hint="eastAsia" w:eastAsia="宋体" w:cs="宋体"/>
          <w:color w:val="auto"/>
          <w:highlight w:val="none"/>
          <w:u w:val="single"/>
        </w:rPr>
        <w:t xml:space="preserve">  </w:t>
      </w:r>
      <w:r>
        <w:rPr>
          <w:rFonts w:hint="eastAsia" w:eastAsia="宋体" w:cs="宋体"/>
          <w:color w:val="auto"/>
          <w:highlight w:val="none"/>
          <w:u w:val="single"/>
          <w:lang w:val="en-US" w:eastAsia="zh-CN"/>
        </w:rPr>
        <w:t>12</w:t>
      </w:r>
      <w:r>
        <w:rPr>
          <w:rFonts w:hint="eastAsia" w:eastAsia="宋体" w:cs="宋体"/>
          <w:color w:val="auto"/>
          <w:highlight w:val="none"/>
          <w:u w:val="single"/>
        </w:rPr>
        <w:t xml:space="preserve">个月   </w:t>
      </w:r>
      <w:r>
        <w:rPr>
          <w:rFonts w:hint="eastAsia" w:eastAsia="宋体" w:cs="宋体"/>
          <w:color w:val="auto"/>
          <w:highlight w:val="none"/>
        </w:rPr>
        <w:t>。</w:t>
      </w:r>
    </w:p>
    <w:p w14:paraId="3186D97E">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05" w:name="_Toc15943"/>
      <w:bookmarkStart w:id="506" w:name="_Toc19243"/>
      <w:bookmarkStart w:id="507" w:name="_Toc7485"/>
      <w:bookmarkStart w:id="508" w:name="_Toc23542"/>
      <w:r>
        <w:rPr>
          <w:rFonts w:hint="eastAsia" w:ascii="宋体" w:eastAsia="宋体" w:cs="宋体"/>
          <w:b/>
          <w:bCs/>
          <w:color w:val="auto"/>
          <w:highlight w:val="none"/>
        </w:rPr>
        <w:t>15.3 质量保证金</w:t>
      </w:r>
      <w:bookmarkEnd w:id="505"/>
      <w:bookmarkEnd w:id="506"/>
      <w:bookmarkEnd w:id="507"/>
      <w:bookmarkEnd w:id="508"/>
    </w:p>
    <w:p w14:paraId="0A5DA9E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关于是否扣留质量保证金的约定：</w:t>
      </w:r>
      <w:r>
        <w:rPr>
          <w:rFonts w:hint="eastAsia" w:eastAsia="宋体" w:cs="宋体"/>
          <w:color w:val="auto"/>
          <w:highlight w:val="none"/>
          <w:u w:val="single"/>
        </w:rPr>
        <w:t xml:space="preserve">    扣留    </w:t>
      </w:r>
      <w:r>
        <w:rPr>
          <w:rFonts w:hint="eastAsia" w:eastAsia="宋体" w:cs="宋体"/>
          <w:color w:val="auto"/>
          <w:highlight w:val="none"/>
        </w:rPr>
        <w:t>。</w:t>
      </w:r>
    </w:p>
    <w:p w14:paraId="46BEE1A8">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15.3.1 承包人提供质量保证金的方式</w:t>
      </w:r>
    </w:p>
    <w:p w14:paraId="4DC1439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质量保证金采用以下第</w:t>
      </w:r>
      <w:r>
        <w:rPr>
          <w:rFonts w:hint="eastAsia" w:eastAsia="宋体" w:cs="宋体"/>
          <w:color w:val="auto"/>
          <w:highlight w:val="none"/>
          <w:u w:val="single"/>
        </w:rPr>
        <w:t xml:space="preserve"> 2 </w:t>
      </w:r>
      <w:r>
        <w:rPr>
          <w:rFonts w:hint="eastAsia" w:eastAsia="宋体" w:cs="宋体"/>
          <w:color w:val="auto"/>
          <w:highlight w:val="none"/>
        </w:rPr>
        <w:t>种方式：</w:t>
      </w:r>
    </w:p>
    <w:p w14:paraId="24322C4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（1）质量保证金保函，保证金额为：</w:t>
      </w:r>
      <w:r>
        <w:rPr>
          <w:rFonts w:hint="eastAsia" w:eastAsia="宋体" w:cs="宋体"/>
          <w:color w:val="auto"/>
          <w:kern w:val="0"/>
          <w:highlight w:val="none"/>
          <w:u w:val="single"/>
        </w:rPr>
        <w:t xml:space="preserve">                   </w:t>
      </w:r>
      <w:r>
        <w:rPr>
          <w:rFonts w:hint="eastAsia" w:eastAsia="宋体" w:cs="宋体"/>
          <w:color w:val="auto"/>
          <w:kern w:val="0"/>
          <w:highlight w:val="none"/>
        </w:rPr>
        <w:t xml:space="preserve">； </w:t>
      </w:r>
    </w:p>
    <w:p w14:paraId="6016D91D">
      <w:pPr>
        <w:keepNext w:val="0"/>
        <w:keepLines w:val="0"/>
        <w:pageBreakBefore w:val="0"/>
        <w:widowControl w:val="0"/>
        <w:kinsoku/>
        <w:overflowPunct/>
        <w:topLinePunct w:val="0"/>
        <w:autoSpaceDE w:val="0"/>
        <w:autoSpaceDN w:val="0"/>
        <w:bidi w:val="0"/>
        <w:spacing w:line="400" w:lineRule="exact"/>
        <w:ind w:firstLine="420" w:firstLineChars="200"/>
        <w:jc w:val="left"/>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（2）</w:t>
      </w:r>
      <w:r>
        <w:rPr>
          <w:rFonts w:hint="eastAsia" w:ascii="宋体" w:hAnsi="宋体" w:cs="宋体"/>
          <w:bCs/>
          <w:color w:val="auto"/>
          <w:szCs w:val="21"/>
          <w:highlight w:val="none"/>
        </w:rPr>
        <w:t>发包人按工程价款结算总额的</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u w:val="single"/>
          <w:lang w:val="en-US" w:eastAsia="zh-CN"/>
        </w:rPr>
        <w:t>3</w:t>
      </w:r>
      <w:r>
        <w:rPr>
          <w:rFonts w:hint="eastAsia" w:ascii="宋体" w:hAnsi="宋体" w:cs="宋体"/>
          <w:bCs/>
          <w:color w:val="auto"/>
          <w:szCs w:val="21"/>
          <w:highlight w:val="none"/>
          <w:u w:val="single"/>
        </w:rPr>
        <w:t xml:space="preserve"> </w:t>
      </w:r>
      <w:r>
        <w:rPr>
          <w:rFonts w:hint="eastAsia" w:ascii="宋体" w:hAnsi="宋体" w:cs="宋体"/>
          <w:bCs/>
          <w:color w:val="auto"/>
          <w:szCs w:val="21"/>
          <w:highlight w:val="none"/>
        </w:rPr>
        <w:t>%预留工程质量保修金，待缺陷责任期满后返还</w:t>
      </w:r>
      <w:r>
        <w:rPr>
          <w:rFonts w:hint="eastAsia" w:ascii="宋体" w:hAnsi="宋体" w:cs="宋体"/>
          <w:color w:val="auto"/>
          <w:szCs w:val="21"/>
          <w:highlight w:val="none"/>
        </w:rPr>
        <w:t>；</w:t>
      </w:r>
    </w:p>
    <w:p w14:paraId="20F11F4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（3）其他方式:</w:t>
      </w:r>
      <w:r>
        <w:rPr>
          <w:rFonts w:hint="eastAsia" w:eastAsia="宋体" w:cs="宋体"/>
          <w:color w:val="auto"/>
          <w:kern w:val="0"/>
          <w:highlight w:val="none"/>
          <w:u w:val="single"/>
        </w:rPr>
        <w:t xml:space="preserve">  无  </w:t>
      </w:r>
      <w:r>
        <w:rPr>
          <w:rFonts w:hint="eastAsia" w:eastAsia="宋体" w:cs="宋体"/>
          <w:color w:val="auto"/>
          <w:kern w:val="0"/>
          <w:highlight w:val="none"/>
        </w:rPr>
        <w:t>。</w:t>
      </w:r>
    </w:p>
    <w:p w14:paraId="6B27F36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 xml:space="preserve">15.3.2 质量保证金的扣留 </w:t>
      </w:r>
    </w:p>
    <w:p w14:paraId="099B07D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质量保证金的扣留采取以下第</w:t>
      </w:r>
      <w:r>
        <w:rPr>
          <w:rFonts w:hint="eastAsia" w:eastAsia="宋体" w:cs="宋体"/>
          <w:color w:val="auto"/>
          <w:highlight w:val="none"/>
          <w:u w:val="single"/>
        </w:rPr>
        <w:t xml:space="preserve"> 2 </w:t>
      </w:r>
      <w:r>
        <w:rPr>
          <w:rFonts w:hint="eastAsia" w:eastAsia="宋体" w:cs="宋体"/>
          <w:color w:val="auto"/>
          <w:highlight w:val="none"/>
        </w:rPr>
        <w:t>种方式：</w:t>
      </w:r>
    </w:p>
    <w:p w14:paraId="6492013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（1）在支付工程进度款时逐次扣留，在此情形下，质量保证金的计算基数不包括预付款的支付、扣回以及价格调整的金额；</w:t>
      </w:r>
    </w:p>
    <w:p w14:paraId="5EAABC3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（2）工程竣工结算时一次性扣留质量保证金；</w:t>
      </w:r>
    </w:p>
    <w:p w14:paraId="1326AA3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（3）其他扣留方式:</w:t>
      </w:r>
      <w:r>
        <w:rPr>
          <w:rFonts w:hint="eastAsia" w:eastAsia="宋体" w:cs="宋体"/>
          <w:color w:val="auto"/>
          <w:kern w:val="0"/>
          <w:highlight w:val="none"/>
          <w:u w:val="single"/>
        </w:rPr>
        <w:t xml:space="preserve">   无    </w:t>
      </w:r>
      <w:r>
        <w:rPr>
          <w:rFonts w:hint="eastAsia" w:eastAsia="宋体" w:cs="宋体"/>
          <w:color w:val="auto"/>
          <w:kern w:val="0"/>
          <w:highlight w:val="none"/>
        </w:rPr>
        <w:t>。</w:t>
      </w:r>
    </w:p>
    <w:p w14:paraId="765FA921">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关于质量保证金的补充约定：</w:t>
      </w:r>
      <w:r>
        <w:rPr>
          <w:rFonts w:hint="eastAsia" w:eastAsia="宋体" w:cs="宋体"/>
          <w:color w:val="auto"/>
          <w:kern w:val="0"/>
          <w:highlight w:val="none"/>
          <w:u w:val="single"/>
        </w:rPr>
        <w:t xml:space="preserve">     质量保证金的返还：工程交付使用至质量缺陷期满后无工程质量问题的，质量缺陷期满后</w:t>
      </w:r>
      <w:r>
        <w:rPr>
          <w:rFonts w:hint="eastAsia" w:eastAsia="宋体" w:cs="宋体"/>
          <w:color w:val="auto"/>
          <w:kern w:val="0"/>
          <w:highlight w:val="none"/>
          <w:u w:val="single"/>
          <w:lang w:val="en-US" w:eastAsia="zh-CN"/>
        </w:rPr>
        <w:t xml:space="preserve">      </w:t>
      </w:r>
      <w:r>
        <w:rPr>
          <w:rFonts w:hint="eastAsia" w:eastAsia="宋体" w:cs="宋体"/>
          <w:color w:val="auto"/>
          <w:kern w:val="0"/>
          <w:highlight w:val="none"/>
          <w:u w:val="single"/>
        </w:rPr>
        <w:t xml:space="preserve">个工作日内退还（无息）    </w:t>
      </w:r>
      <w:r>
        <w:rPr>
          <w:rFonts w:hint="eastAsia" w:eastAsia="宋体" w:cs="宋体"/>
          <w:color w:val="auto"/>
          <w:kern w:val="0"/>
          <w:highlight w:val="none"/>
        </w:rPr>
        <w:t>。</w:t>
      </w:r>
    </w:p>
    <w:p w14:paraId="3A26D48A">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09" w:name="_Toc21777"/>
      <w:bookmarkStart w:id="510" w:name="_Toc30212"/>
      <w:bookmarkStart w:id="511" w:name="_Toc2394"/>
      <w:bookmarkStart w:id="512" w:name="_Toc14097"/>
      <w:r>
        <w:rPr>
          <w:rFonts w:hint="eastAsia" w:ascii="宋体" w:eastAsia="宋体" w:cs="宋体"/>
          <w:b/>
          <w:bCs/>
          <w:color w:val="auto"/>
          <w:highlight w:val="none"/>
        </w:rPr>
        <w:t>15.4保修</w:t>
      </w:r>
      <w:bookmarkEnd w:id="509"/>
      <w:bookmarkEnd w:id="510"/>
      <w:bookmarkEnd w:id="511"/>
      <w:bookmarkEnd w:id="512"/>
    </w:p>
    <w:p w14:paraId="4E9138D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15.4.1 保修责任</w:t>
      </w:r>
    </w:p>
    <w:p w14:paraId="409758D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highlight w:val="none"/>
        </w:rPr>
        <w:t>工程保修期为：</w:t>
      </w:r>
      <w:r>
        <w:rPr>
          <w:rFonts w:hint="eastAsia" w:eastAsia="宋体" w:cs="宋体"/>
          <w:color w:val="auto"/>
          <w:kern w:val="0"/>
          <w:highlight w:val="none"/>
          <w:u w:val="single"/>
        </w:rPr>
        <w:t>见工程质量保修书</w:t>
      </w:r>
      <w:r>
        <w:rPr>
          <w:rFonts w:hint="eastAsia" w:eastAsia="宋体" w:cs="宋体"/>
          <w:color w:val="auto"/>
          <w:kern w:val="0"/>
          <w:highlight w:val="none"/>
        </w:rPr>
        <w:t>。</w:t>
      </w:r>
    </w:p>
    <w:p w14:paraId="0598BF2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15.4.3 修复通知</w:t>
      </w:r>
    </w:p>
    <w:p w14:paraId="72F3434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承包人收到保修通知并到达工程现场的合理时间：</w:t>
      </w:r>
      <w:r>
        <w:rPr>
          <w:rFonts w:hint="eastAsia" w:eastAsia="宋体" w:cs="宋体"/>
          <w:color w:val="auto"/>
          <w:kern w:val="0"/>
          <w:highlight w:val="none"/>
          <w:u w:val="single"/>
        </w:rPr>
        <w:t>收到通知后24小时内</w:t>
      </w:r>
      <w:r>
        <w:rPr>
          <w:rFonts w:hint="eastAsia" w:eastAsia="宋体" w:cs="宋体"/>
          <w:color w:val="auto"/>
          <w:kern w:val="0"/>
          <w:highlight w:val="none"/>
        </w:rPr>
        <w:t>。</w:t>
      </w:r>
    </w:p>
    <w:p w14:paraId="4D52A90E">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13" w:name="_Toc18615"/>
      <w:bookmarkStart w:id="514" w:name="_Toc24103"/>
      <w:bookmarkStart w:id="515" w:name="_Toc9338"/>
      <w:bookmarkStart w:id="516" w:name="_Toc2683"/>
      <w:r>
        <w:rPr>
          <w:rFonts w:hint="eastAsia" w:ascii="宋体" w:eastAsia="宋体" w:cs="宋体"/>
          <w:b/>
          <w:bCs/>
          <w:color w:val="auto"/>
          <w:highlight w:val="none"/>
        </w:rPr>
        <w:t>16. 违约</w:t>
      </w:r>
      <w:bookmarkEnd w:id="513"/>
      <w:bookmarkEnd w:id="514"/>
      <w:bookmarkEnd w:id="515"/>
      <w:bookmarkEnd w:id="516"/>
    </w:p>
    <w:p w14:paraId="5F02146E">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17" w:name="_Toc14240"/>
      <w:bookmarkStart w:id="518" w:name="_Toc14245"/>
      <w:bookmarkStart w:id="519" w:name="_Toc1284"/>
      <w:bookmarkStart w:id="520" w:name="_Toc8866"/>
      <w:r>
        <w:rPr>
          <w:rFonts w:hint="eastAsia" w:ascii="宋体" w:eastAsia="宋体" w:cs="宋体"/>
          <w:b/>
          <w:bCs/>
          <w:color w:val="auto"/>
          <w:highlight w:val="none"/>
        </w:rPr>
        <w:t>16.1 发包人违约</w:t>
      </w:r>
      <w:bookmarkEnd w:id="517"/>
      <w:bookmarkEnd w:id="518"/>
      <w:bookmarkEnd w:id="519"/>
      <w:bookmarkEnd w:id="520"/>
    </w:p>
    <w:p w14:paraId="76DA53B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16.1.1发包人违约的情形</w:t>
      </w:r>
    </w:p>
    <w:p w14:paraId="2F4662C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发包人违约的其他情形：</w:t>
      </w:r>
      <w:r>
        <w:rPr>
          <w:rFonts w:hint="eastAsia" w:eastAsia="宋体" w:cs="宋体"/>
          <w:color w:val="auto"/>
          <w:kern w:val="0"/>
          <w:highlight w:val="none"/>
          <w:u w:val="single"/>
        </w:rPr>
        <w:t xml:space="preserve"> 无   </w:t>
      </w:r>
      <w:r>
        <w:rPr>
          <w:rFonts w:hint="eastAsia" w:eastAsia="宋体" w:cs="宋体"/>
          <w:color w:val="auto"/>
          <w:kern w:val="0"/>
          <w:highlight w:val="none"/>
        </w:rPr>
        <w:t>。</w:t>
      </w:r>
    </w:p>
    <w:p w14:paraId="7024DA9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bookmarkStart w:id="521" w:name="_Toc8500"/>
      <w:bookmarkStart w:id="522" w:name="_Toc3733"/>
      <w:bookmarkStart w:id="523" w:name="_Toc24573"/>
      <w:bookmarkStart w:id="524" w:name="_Toc30570"/>
      <w:r>
        <w:rPr>
          <w:rFonts w:hint="eastAsia" w:eastAsia="宋体" w:cs="宋体"/>
          <w:color w:val="auto"/>
          <w:kern w:val="0"/>
          <w:highlight w:val="none"/>
        </w:rPr>
        <w:t>16.1.2 发包人违约的责任</w:t>
      </w:r>
      <w:bookmarkEnd w:id="521"/>
      <w:bookmarkEnd w:id="522"/>
      <w:bookmarkEnd w:id="523"/>
      <w:bookmarkEnd w:id="524"/>
    </w:p>
    <w:p w14:paraId="7E932C3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发包人违约责任的承担方式和计算方法：</w:t>
      </w:r>
    </w:p>
    <w:p w14:paraId="775625C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u w:val="single"/>
        </w:rPr>
      </w:pPr>
      <w:r>
        <w:rPr>
          <w:rFonts w:hint="eastAsia" w:eastAsia="宋体" w:cs="宋体"/>
          <w:color w:val="auto"/>
          <w:kern w:val="0"/>
          <w:highlight w:val="none"/>
        </w:rPr>
        <w:t>（1）因发包人原因未能在计划开工日期前7天内下达开工通知的违约责任：</w:t>
      </w:r>
      <w:r>
        <w:rPr>
          <w:rFonts w:hint="eastAsia" w:eastAsia="宋体" w:cs="宋体"/>
          <w:color w:val="auto"/>
          <w:kern w:val="0"/>
          <w:highlight w:val="none"/>
          <w:u w:val="single"/>
        </w:rPr>
        <w:t>工期顺延</w:t>
      </w:r>
      <w:r>
        <w:rPr>
          <w:rFonts w:hint="eastAsia" w:eastAsia="宋体" w:cs="宋体"/>
          <w:color w:val="auto"/>
          <w:kern w:val="0"/>
          <w:highlight w:val="none"/>
        </w:rPr>
        <w:t>。</w:t>
      </w:r>
    </w:p>
    <w:p w14:paraId="3AADA89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（2）因发包人原因未能按合同约定支付合同价款的违约责任：</w:t>
      </w:r>
      <w:r>
        <w:rPr>
          <w:rFonts w:hint="eastAsia" w:eastAsia="宋体" w:cs="宋体"/>
          <w:color w:val="auto"/>
          <w:kern w:val="0"/>
          <w:highlight w:val="none"/>
          <w:u w:val="single"/>
        </w:rPr>
        <w:t xml:space="preserve">  无  </w:t>
      </w:r>
      <w:r>
        <w:rPr>
          <w:rFonts w:hint="eastAsia" w:eastAsia="宋体" w:cs="宋体"/>
          <w:color w:val="auto"/>
          <w:kern w:val="0"/>
          <w:highlight w:val="none"/>
        </w:rPr>
        <w:t>。</w:t>
      </w:r>
    </w:p>
    <w:p w14:paraId="2727D42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（3）发包人违反第10.1款〔变更的范围〕第（2）项约定，自行实施被取消的工作或转由他人实施的违约责任：</w:t>
      </w:r>
      <w:r>
        <w:rPr>
          <w:rFonts w:hint="eastAsia" w:eastAsia="宋体" w:cs="宋体"/>
          <w:color w:val="auto"/>
          <w:kern w:val="0"/>
          <w:highlight w:val="none"/>
          <w:u w:val="single"/>
        </w:rPr>
        <w:t xml:space="preserve">    无     </w:t>
      </w:r>
      <w:r>
        <w:rPr>
          <w:rFonts w:hint="eastAsia" w:eastAsia="宋体" w:cs="宋体"/>
          <w:color w:val="auto"/>
          <w:kern w:val="0"/>
          <w:highlight w:val="none"/>
        </w:rPr>
        <w:t>。</w:t>
      </w:r>
    </w:p>
    <w:p w14:paraId="43BAB26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（4）发包人提供的材料、工程设备的规格、数量或质量不符合合同约定，或因发包人原因导致交货日期延误或交货地点变更等情况的违约责任：</w:t>
      </w:r>
      <w:r>
        <w:rPr>
          <w:rFonts w:hint="eastAsia" w:eastAsia="宋体" w:cs="宋体"/>
          <w:color w:val="auto"/>
          <w:kern w:val="0"/>
          <w:highlight w:val="none"/>
          <w:u w:val="single"/>
        </w:rPr>
        <w:t xml:space="preserve">  工期顺延    </w:t>
      </w:r>
      <w:r>
        <w:rPr>
          <w:rFonts w:hint="eastAsia" w:eastAsia="宋体" w:cs="宋体"/>
          <w:color w:val="auto"/>
          <w:kern w:val="0"/>
          <w:highlight w:val="none"/>
        </w:rPr>
        <w:t>。</w:t>
      </w:r>
    </w:p>
    <w:p w14:paraId="0643DE68">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（5）因发包人违反合同约定造成暂停施工的违约责任：</w:t>
      </w:r>
      <w:r>
        <w:rPr>
          <w:rFonts w:hint="eastAsia" w:eastAsia="宋体" w:cs="宋体"/>
          <w:color w:val="auto"/>
          <w:kern w:val="0"/>
          <w:highlight w:val="none"/>
          <w:u w:val="single"/>
        </w:rPr>
        <w:t>发包人不承担任何费用，不支付承包人合理的利润，工期相应顺延</w:t>
      </w:r>
      <w:r>
        <w:rPr>
          <w:rFonts w:hint="eastAsia" w:eastAsia="宋体" w:cs="宋体"/>
          <w:color w:val="auto"/>
          <w:kern w:val="0"/>
          <w:highlight w:val="none"/>
        </w:rPr>
        <w:t>。</w:t>
      </w:r>
    </w:p>
    <w:p w14:paraId="1671993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（6）发包人无正当理由没有在约定期限内发出复工指示，导致承包人无法复工的违约责任：</w:t>
      </w:r>
      <w:r>
        <w:rPr>
          <w:rFonts w:hint="eastAsia" w:eastAsia="宋体" w:cs="宋体"/>
          <w:color w:val="auto"/>
          <w:kern w:val="0"/>
          <w:highlight w:val="none"/>
          <w:u w:val="single"/>
        </w:rPr>
        <w:t>发包人不承担任何费用，不支付承包人合理的利润，工期相应顺延</w:t>
      </w:r>
      <w:r>
        <w:rPr>
          <w:rFonts w:hint="eastAsia" w:eastAsia="宋体" w:cs="宋体"/>
          <w:color w:val="auto"/>
          <w:kern w:val="0"/>
          <w:highlight w:val="none"/>
        </w:rPr>
        <w:t>。</w:t>
      </w:r>
    </w:p>
    <w:p w14:paraId="79C331D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（7）其他：</w:t>
      </w:r>
      <w:r>
        <w:rPr>
          <w:rFonts w:hint="eastAsia" w:eastAsia="宋体" w:cs="宋体"/>
          <w:color w:val="auto"/>
          <w:kern w:val="0"/>
          <w:highlight w:val="none"/>
          <w:u w:val="single"/>
        </w:rPr>
        <w:t xml:space="preserve"> 无 </w:t>
      </w:r>
      <w:r>
        <w:rPr>
          <w:rFonts w:hint="eastAsia" w:eastAsia="宋体" w:cs="宋体"/>
          <w:color w:val="auto"/>
          <w:kern w:val="0"/>
          <w:highlight w:val="none"/>
        </w:rPr>
        <w:t>。</w:t>
      </w:r>
    </w:p>
    <w:p w14:paraId="5A721C7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16.1.3 因发包人违约解除合同</w:t>
      </w:r>
    </w:p>
    <w:p w14:paraId="1833D85C">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承包人按16.1.1项〔发包人违约的情形〕约定暂停施工满</w:t>
      </w:r>
      <w:r>
        <w:rPr>
          <w:rFonts w:hint="eastAsia" w:eastAsia="宋体" w:cs="宋体"/>
          <w:color w:val="auto"/>
          <w:kern w:val="0"/>
          <w:highlight w:val="none"/>
          <w:u w:val="single"/>
        </w:rPr>
        <w:t xml:space="preserve"> 84 </w:t>
      </w:r>
      <w:r>
        <w:rPr>
          <w:rFonts w:hint="eastAsia" w:eastAsia="宋体" w:cs="宋体"/>
          <w:color w:val="auto"/>
          <w:kern w:val="0"/>
          <w:highlight w:val="none"/>
        </w:rPr>
        <w:t>天后发包人仍不纠正其违约行为并致使合同目的不能实现的，承包人有权解除合同。</w:t>
      </w:r>
    </w:p>
    <w:p w14:paraId="02288737">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25" w:name="_Toc28058"/>
      <w:bookmarkStart w:id="526" w:name="_Toc20397"/>
      <w:bookmarkStart w:id="527" w:name="_Toc27103"/>
      <w:bookmarkStart w:id="528" w:name="_Toc14687"/>
      <w:r>
        <w:rPr>
          <w:rFonts w:hint="eastAsia" w:ascii="宋体" w:eastAsia="宋体" w:cs="宋体"/>
          <w:b/>
          <w:bCs/>
          <w:color w:val="auto"/>
          <w:highlight w:val="none"/>
        </w:rPr>
        <w:t>16.2 承包人违约</w:t>
      </w:r>
      <w:bookmarkEnd w:id="525"/>
      <w:bookmarkEnd w:id="526"/>
      <w:bookmarkEnd w:id="527"/>
      <w:bookmarkEnd w:id="528"/>
    </w:p>
    <w:p w14:paraId="558B8AF4">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16.2.1 承包人违约的情形</w:t>
      </w:r>
    </w:p>
    <w:p w14:paraId="583303D6">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承包人违约的其他情形：</w:t>
      </w:r>
      <w:r>
        <w:rPr>
          <w:rFonts w:hint="eastAsia" w:eastAsia="宋体" w:cs="宋体"/>
          <w:color w:val="auto"/>
          <w:kern w:val="0"/>
          <w:highlight w:val="none"/>
          <w:u w:val="single"/>
        </w:rPr>
        <w:t>如本合同专用条款在16.2.1之外另有规定的按其规定执行</w:t>
      </w:r>
      <w:r>
        <w:rPr>
          <w:rFonts w:hint="eastAsia" w:eastAsia="宋体" w:cs="宋体"/>
          <w:color w:val="auto"/>
          <w:kern w:val="0"/>
          <w:highlight w:val="none"/>
        </w:rPr>
        <w:t>。</w:t>
      </w:r>
    </w:p>
    <w:p w14:paraId="2F6CA06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16.2.2承包人违约的责任</w:t>
      </w:r>
    </w:p>
    <w:p w14:paraId="3933A4A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u w:val="single"/>
        </w:rPr>
      </w:pPr>
      <w:r>
        <w:rPr>
          <w:rFonts w:hint="eastAsia" w:eastAsia="宋体" w:cs="宋体"/>
          <w:color w:val="auto"/>
          <w:kern w:val="0"/>
          <w:highlight w:val="none"/>
        </w:rPr>
        <w:t>承包人违约责任的承担方式和计算方法：</w:t>
      </w:r>
    </w:p>
    <w:p w14:paraId="7EF6F04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承包人违约责任的承担方式和计算方法：</w:t>
      </w:r>
    </w:p>
    <w:p w14:paraId="784A49C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承包人未按本合同通用条款第16.2.1（2）、（3）条内容完成的，承包人无条件返工处理，修复至工程质量要求并承担相关费用，并在发包人规定的时间内完成返工，否则发包人有权扣罚该分项工程10%的工程款作为处罚。</w:t>
      </w:r>
    </w:p>
    <w:p w14:paraId="18068C7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（2）承包人有本合同通用条款第16.2.1（6）条情形的，或经监理人检验认为修复质量不合格而承包人拒绝再进行修补的，发包人将扣除承包人全部质量保修金。</w:t>
      </w:r>
    </w:p>
    <w:p w14:paraId="5A54386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u w:val="single"/>
        </w:rPr>
      </w:pPr>
      <w:r>
        <w:rPr>
          <w:rFonts w:hint="eastAsia" w:eastAsia="宋体" w:cs="宋体"/>
          <w:color w:val="auto"/>
          <w:highlight w:val="none"/>
        </w:rPr>
        <w:t xml:space="preserve">（3）承包人有本专用合同条款3.2、3.3条违约责任的，发包人有权扣除承包人的违约金。违约金金额均在承包人的履约保证金及计量支付款内扣除。监理人预先下发含有罚款意向的指令，如承包人不及时采取措施纠正，则在指令下达后十五天下发罚款通知书（不再陈述罚款理由）。承包人履约保证金被罚款后由发包人从最后一次计量支付时扣除相应金额补足履约保证金。承包人在合同期内，完成合同规定的全部工程，且质量合格，在本工程施工竣工验收后十五天内可申请返还全部或部分罚款，返还金额由监理人审核，发包人批准。罚款金额返还时不包括银行利息。 </w:t>
      </w:r>
    </w:p>
    <w:p w14:paraId="7CD55D9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16.2.3 因承包人违约解除合同</w:t>
      </w:r>
    </w:p>
    <w:p w14:paraId="1282034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关于承包人违约解除合同的特别约定：</w:t>
      </w:r>
      <w:r>
        <w:rPr>
          <w:rFonts w:hint="eastAsia" w:eastAsia="宋体" w:cs="宋体"/>
          <w:color w:val="auto"/>
          <w:kern w:val="0"/>
          <w:highlight w:val="none"/>
          <w:u w:val="single"/>
        </w:rPr>
        <w:t>承包人有违反以下情况之一的，发包人有权解除合同，并没收其全部履约保证金。</w:t>
      </w:r>
    </w:p>
    <w:p w14:paraId="3E84213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(1)承包人无正当理由不按开工通知的要求及时进场组织施工和不按签订协议书时商定的进度计划有效地开展施工准备，造成工期延误的；</w:t>
      </w:r>
    </w:p>
    <w:p w14:paraId="5B5975B5">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(2)承包人违反本合同通用条款第3.5条规定私自将合同或合同的任何部分或任何权利转让给其他人，或私自将工程或工程的一部分分包出去的；</w:t>
      </w:r>
    </w:p>
    <w:p w14:paraId="33C0146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(3)未经监理人批准，承包人私自将已按</w:t>
      </w:r>
      <w:r>
        <w:rPr>
          <w:rFonts w:hint="eastAsia" w:eastAsia="宋体" w:cs="宋体"/>
          <w:color w:val="auto"/>
          <w:kern w:val="0"/>
          <w:highlight w:val="none"/>
          <w:lang w:eastAsia="zh-CN"/>
        </w:rPr>
        <w:t>磋商</w:t>
      </w:r>
      <w:r>
        <w:rPr>
          <w:rFonts w:hint="eastAsia" w:eastAsia="宋体" w:cs="宋体"/>
          <w:color w:val="auto"/>
          <w:kern w:val="0"/>
          <w:highlight w:val="none"/>
        </w:rPr>
        <w:t>文件承诺进入工地的工程设备、施工设备、临时工程或材料撤离工地的；</w:t>
      </w:r>
    </w:p>
    <w:p w14:paraId="175225E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(4)由于承包人原因拒绝按合同进度计划及时完成合同规定的工程，而又未采取有效措施赶上进度，造成工期严重延误的；</w:t>
      </w:r>
    </w:p>
    <w:p w14:paraId="58210C93">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(5)承包人否认合同有效或拒绝履行合同规定的承包人义务，或由于法律、财务等原因导致承包人无法继续履行或实质上已停止履行合同的义务的；</w:t>
      </w:r>
    </w:p>
    <w:p w14:paraId="40584432">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(6)合同签订之日起十五日内，承包人无法按合同规定及</w:t>
      </w:r>
      <w:r>
        <w:rPr>
          <w:rFonts w:hint="eastAsia" w:eastAsia="宋体" w:cs="宋体"/>
          <w:color w:val="auto"/>
          <w:kern w:val="0"/>
          <w:highlight w:val="none"/>
          <w:lang w:eastAsia="zh-CN"/>
        </w:rPr>
        <w:t>磋商</w:t>
      </w:r>
      <w:r>
        <w:rPr>
          <w:rFonts w:hint="eastAsia" w:eastAsia="宋体" w:cs="宋体"/>
          <w:color w:val="auto"/>
          <w:kern w:val="0"/>
          <w:highlight w:val="none"/>
        </w:rPr>
        <w:t>文件的承诺进场经监理工程师认可的全部人员和机械的。</w:t>
      </w:r>
    </w:p>
    <w:p w14:paraId="2DA84447">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kern w:val="0"/>
          <w:highlight w:val="none"/>
        </w:rPr>
        <w:t>发包人继续使用承包人在施工现场的材料、设备、临时工程、承包人文件和由承包人或以其名义编制的其他文件的费用承担方式：</w:t>
      </w:r>
      <w:r>
        <w:rPr>
          <w:rFonts w:hint="eastAsia" w:eastAsia="宋体" w:cs="宋体"/>
          <w:color w:val="auto"/>
          <w:kern w:val="0"/>
          <w:highlight w:val="none"/>
          <w:u w:val="single"/>
        </w:rPr>
        <w:t xml:space="preserve">  双方另行协商   </w:t>
      </w:r>
      <w:r>
        <w:rPr>
          <w:rFonts w:hint="eastAsia" w:eastAsia="宋体" w:cs="宋体"/>
          <w:color w:val="auto"/>
          <w:kern w:val="0"/>
          <w:highlight w:val="none"/>
        </w:rPr>
        <w:t>。　</w:t>
      </w:r>
    </w:p>
    <w:p w14:paraId="618D4099">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29" w:name="_Toc14054"/>
      <w:bookmarkStart w:id="530" w:name="_Toc23481"/>
      <w:bookmarkStart w:id="531" w:name="_Toc14959"/>
      <w:bookmarkStart w:id="532" w:name="_Toc15056"/>
      <w:r>
        <w:rPr>
          <w:rFonts w:hint="eastAsia" w:ascii="宋体" w:eastAsia="宋体" w:cs="宋体"/>
          <w:b/>
          <w:bCs/>
          <w:color w:val="auto"/>
          <w:highlight w:val="none"/>
        </w:rPr>
        <w:t>17. 不可抗力</w:t>
      </w:r>
      <w:bookmarkEnd w:id="529"/>
      <w:bookmarkEnd w:id="530"/>
      <w:bookmarkEnd w:id="531"/>
      <w:bookmarkEnd w:id="532"/>
      <w:r>
        <w:rPr>
          <w:rFonts w:hint="eastAsia" w:ascii="宋体" w:eastAsia="宋体" w:cs="宋体"/>
          <w:b/>
          <w:bCs/>
          <w:color w:val="auto"/>
          <w:highlight w:val="none"/>
        </w:rPr>
        <w:t xml:space="preserve"> </w:t>
      </w:r>
    </w:p>
    <w:p w14:paraId="362B0766">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33" w:name="_Toc30089"/>
      <w:bookmarkStart w:id="534" w:name="_Toc15373"/>
      <w:bookmarkStart w:id="535" w:name="_Toc9711"/>
      <w:bookmarkStart w:id="536" w:name="_Toc2811"/>
      <w:r>
        <w:rPr>
          <w:rFonts w:hint="eastAsia" w:ascii="宋体" w:eastAsia="宋体" w:cs="宋体"/>
          <w:b/>
          <w:bCs/>
          <w:color w:val="auto"/>
          <w:highlight w:val="none"/>
        </w:rPr>
        <w:t>17.1 不可抗力的确认</w:t>
      </w:r>
      <w:bookmarkEnd w:id="533"/>
      <w:bookmarkEnd w:id="534"/>
      <w:bookmarkEnd w:id="535"/>
      <w:bookmarkEnd w:id="536"/>
    </w:p>
    <w:p w14:paraId="11A5CC1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u w:val="single"/>
        </w:rPr>
      </w:pPr>
      <w:r>
        <w:rPr>
          <w:rFonts w:hint="eastAsia" w:eastAsia="宋体" w:cs="宋体"/>
          <w:color w:val="auto"/>
          <w:highlight w:val="none"/>
        </w:rPr>
        <w:t>除通用合同条款约定的不可抗力事件之外，视为不可抗力的其他情形：</w:t>
      </w:r>
      <w:r>
        <w:rPr>
          <w:rFonts w:hint="eastAsia" w:eastAsia="宋体" w:cs="宋体"/>
          <w:color w:val="auto"/>
          <w:kern w:val="0"/>
          <w:highlight w:val="none"/>
          <w:u w:val="single"/>
        </w:rPr>
        <w:t>6 级以上的地震；10级以上的持续 5天的台风；50 年以上未发生过、持续 30 天高温天气；自然原因发生的火灾；其它不可抗力原因</w:t>
      </w:r>
      <w:r>
        <w:rPr>
          <w:rFonts w:hint="eastAsia" w:eastAsia="宋体" w:cs="宋体"/>
          <w:color w:val="auto"/>
          <w:kern w:val="0"/>
          <w:highlight w:val="none"/>
        </w:rPr>
        <w:t>。</w:t>
      </w:r>
    </w:p>
    <w:p w14:paraId="29787D20">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17.4 因不可抗力解除合同</w:t>
      </w:r>
    </w:p>
    <w:p w14:paraId="6544511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合同解除后，发包人应在商定或确定发包人应支付款项后</w:t>
      </w:r>
      <w:r>
        <w:rPr>
          <w:rFonts w:hint="eastAsia" w:eastAsia="宋体" w:cs="宋体"/>
          <w:color w:val="auto"/>
          <w:highlight w:val="none"/>
          <w:u w:val="single"/>
        </w:rPr>
        <w:t xml:space="preserve">  120 </w:t>
      </w:r>
      <w:r>
        <w:rPr>
          <w:rFonts w:hint="eastAsia" w:eastAsia="宋体" w:cs="宋体"/>
          <w:color w:val="auto"/>
          <w:highlight w:val="none"/>
        </w:rPr>
        <w:t>天内完成款项的支付。</w:t>
      </w:r>
    </w:p>
    <w:p w14:paraId="46B7C28D">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37" w:name="_Toc19667"/>
      <w:bookmarkStart w:id="538" w:name="_Toc18092"/>
      <w:bookmarkStart w:id="539" w:name="_Toc20393"/>
      <w:bookmarkStart w:id="540" w:name="_Toc15659"/>
      <w:r>
        <w:rPr>
          <w:rFonts w:hint="eastAsia" w:ascii="宋体" w:eastAsia="宋体" w:cs="宋体"/>
          <w:b/>
          <w:bCs/>
          <w:color w:val="auto"/>
          <w:highlight w:val="none"/>
        </w:rPr>
        <w:t>18. 保险</w:t>
      </w:r>
      <w:bookmarkEnd w:id="537"/>
      <w:bookmarkEnd w:id="538"/>
      <w:bookmarkEnd w:id="539"/>
      <w:bookmarkEnd w:id="540"/>
    </w:p>
    <w:p w14:paraId="69326C92">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41" w:name="_Toc4879"/>
      <w:bookmarkStart w:id="542" w:name="_Toc24826"/>
      <w:bookmarkStart w:id="543" w:name="_Toc8389"/>
      <w:bookmarkStart w:id="544" w:name="_Toc10658"/>
      <w:r>
        <w:rPr>
          <w:rFonts w:hint="eastAsia" w:ascii="宋体" w:eastAsia="宋体" w:cs="宋体"/>
          <w:b/>
          <w:bCs/>
          <w:color w:val="auto"/>
          <w:highlight w:val="none"/>
        </w:rPr>
        <w:t>18.1 工程保险</w:t>
      </w:r>
      <w:bookmarkEnd w:id="541"/>
      <w:bookmarkEnd w:id="542"/>
      <w:bookmarkEnd w:id="543"/>
      <w:bookmarkEnd w:id="544"/>
    </w:p>
    <w:p w14:paraId="523A252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关于工程保险的特别约定：</w:t>
      </w:r>
      <w:r>
        <w:rPr>
          <w:rFonts w:hint="eastAsia" w:eastAsia="宋体" w:cs="宋体"/>
          <w:color w:val="auto"/>
          <w:kern w:val="0"/>
          <w:highlight w:val="none"/>
          <w:u w:val="single"/>
        </w:rPr>
        <w:t>按国家相关规定执行</w:t>
      </w:r>
      <w:r>
        <w:rPr>
          <w:rFonts w:hint="eastAsia" w:eastAsia="宋体" w:cs="宋体"/>
          <w:color w:val="auto"/>
          <w:kern w:val="0"/>
          <w:highlight w:val="none"/>
        </w:rPr>
        <w:t>。</w:t>
      </w:r>
    </w:p>
    <w:p w14:paraId="2F2D39FE">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45" w:name="_Toc1806"/>
      <w:bookmarkStart w:id="546" w:name="_Toc29699"/>
      <w:bookmarkStart w:id="547" w:name="_Toc9052"/>
      <w:bookmarkStart w:id="548" w:name="_Toc31919"/>
      <w:r>
        <w:rPr>
          <w:rFonts w:hint="eastAsia" w:ascii="宋体" w:eastAsia="宋体" w:cs="宋体"/>
          <w:b/>
          <w:bCs/>
          <w:color w:val="auto"/>
          <w:highlight w:val="none"/>
        </w:rPr>
        <w:t>18.3 其他保险</w:t>
      </w:r>
      <w:bookmarkEnd w:id="545"/>
      <w:bookmarkEnd w:id="546"/>
      <w:bookmarkEnd w:id="547"/>
      <w:bookmarkEnd w:id="548"/>
    </w:p>
    <w:p w14:paraId="2F75A11B">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highlight w:val="none"/>
        </w:rPr>
        <w:t>关于其他保险的约定：</w:t>
      </w:r>
      <w:r>
        <w:rPr>
          <w:rFonts w:hint="eastAsia" w:eastAsia="宋体" w:cs="宋体"/>
          <w:color w:val="auto"/>
          <w:kern w:val="0"/>
          <w:highlight w:val="none"/>
          <w:u w:val="single"/>
        </w:rPr>
        <w:t xml:space="preserve">    按国家相关规定执行        </w:t>
      </w:r>
      <w:r>
        <w:rPr>
          <w:rFonts w:hint="eastAsia" w:eastAsia="宋体" w:cs="宋体"/>
          <w:color w:val="auto"/>
          <w:kern w:val="0"/>
          <w:highlight w:val="none"/>
        </w:rPr>
        <w:t>。</w:t>
      </w:r>
    </w:p>
    <w:p w14:paraId="71645B7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kern w:val="0"/>
          <w:highlight w:val="none"/>
        </w:rPr>
      </w:pPr>
      <w:r>
        <w:rPr>
          <w:rFonts w:hint="eastAsia" w:eastAsia="宋体" w:cs="宋体"/>
          <w:color w:val="auto"/>
          <w:highlight w:val="none"/>
        </w:rPr>
        <w:t>承包人是否应为其施工设备等办理财产保险：</w:t>
      </w:r>
      <w:r>
        <w:rPr>
          <w:rFonts w:hint="eastAsia" w:eastAsia="宋体" w:cs="宋体"/>
          <w:color w:val="auto"/>
          <w:highlight w:val="none"/>
          <w:u w:val="single"/>
        </w:rPr>
        <w:t xml:space="preserve">  按国家相关规定执行    </w:t>
      </w:r>
      <w:r>
        <w:rPr>
          <w:rFonts w:hint="eastAsia" w:eastAsia="宋体" w:cs="宋体"/>
          <w:color w:val="auto"/>
          <w:highlight w:val="none"/>
        </w:rPr>
        <w:t>。</w:t>
      </w:r>
    </w:p>
    <w:p w14:paraId="2D16CD26">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49" w:name="_Toc13605"/>
      <w:bookmarkStart w:id="550" w:name="_Toc12483"/>
      <w:bookmarkStart w:id="551" w:name="_Toc28166"/>
      <w:bookmarkStart w:id="552" w:name="_Toc7468"/>
      <w:r>
        <w:rPr>
          <w:rFonts w:hint="eastAsia" w:ascii="宋体" w:eastAsia="宋体" w:cs="宋体"/>
          <w:b/>
          <w:bCs/>
          <w:color w:val="auto"/>
          <w:highlight w:val="none"/>
        </w:rPr>
        <w:t>18.7 通知义务</w:t>
      </w:r>
      <w:bookmarkEnd w:id="549"/>
      <w:bookmarkEnd w:id="550"/>
      <w:bookmarkEnd w:id="551"/>
      <w:bookmarkEnd w:id="552"/>
    </w:p>
    <w:p w14:paraId="60FE4EC9">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kern w:val="0"/>
          <w:highlight w:val="none"/>
        </w:rPr>
        <w:t>关于变更保险合同时的通知义务的约定：</w:t>
      </w:r>
      <w:r>
        <w:rPr>
          <w:rFonts w:hint="eastAsia" w:eastAsia="宋体" w:cs="宋体"/>
          <w:color w:val="auto"/>
          <w:highlight w:val="none"/>
          <w:u w:val="single"/>
        </w:rPr>
        <w:t xml:space="preserve">      按国家相关规定执行       </w:t>
      </w:r>
      <w:r>
        <w:rPr>
          <w:rFonts w:hint="eastAsia" w:eastAsia="宋体" w:cs="宋体"/>
          <w:color w:val="auto"/>
          <w:highlight w:val="none"/>
        </w:rPr>
        <w:t>。</w:t>
      </w:r>
    </w:p>
    <w:p w14:paraId="18778A12">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53" w:name="_Toc1789"/>
      <w:bookmarkStart w:id="554" w:name="_Toc11900"/>
      <w:bookmarkStart w:id="555" w:name="_Toc27857"/>
      <w:bookmarkStart w:id="556" w:name="_Toc16631"/>
      <w:r>
        <w:rPr>
          <w:rFonts w:hint="eastAsia" w:ascii="宋体" w:eastAsia="宋体" w:cs="宋体"/>
          <w:b/>
          <w:bCs/>
          <w:color w:val="auto"/>
          <w:highlight w:val="none"/>
        </w:rPr>
        <w:t>20. 争议解决</w:t>
      </w:r>
      <w:bookmarkEnd w:id="553"/>
      <w:bookmarkEnd w:id="554"/>
      <w:bookmarkEnd w:id="555"/>
      <w:bookmarkEnd w:id="556"/>
    </w:p>
    <w:p w14:paraId="53AFF7EC">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57" w:name="_Toc3920"/>
      <w:bookmarkStart w:id="558" w:name="_Toc24821"/>
      <w:bookmarkStart w:id="559" w:name="_Toc4498"/>
      <w:bookmarkStart w:id="560" w:name="_Toc2054"/>
      <w:r>
        <w:rPr>
          <w:rFonts w:hint="eastAsia" w:ascii="宋体" w:eastAsia="宋体" w:cs="宋体"/>
          <w:b/>
          <w:bCs/>
          <w:color w:val="auto"/>
          <w:highlight w:val="none"/>
        </w:rPr>
        <w:t>20.3 争议评审</w:t>
      </w:r>
      <w:bookmarkEnd w:id="557"/>
      <w:bookmarkEnd w:id="558"/>
      <w:bookmarkEnd w:id="559"/>
      <w:bookmarkEnd w:id="560"/>
    </w:p>
    <w:p w14:paraId="28E017ED">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合同当事人是否同意将工程争议提交争议评审小组决定：</w:t>
      </w:r>
      <w:r>
        <w:rPr>
          <w:rFonts w:hint="eastAsia" w:eastAsia="宋体" w:cs="宋体"/>
          <w:color w:val="auto"/>
          <w:highlight w:val="none"/>
          <w:u w:val="single"/>
        </w:rPr>
        <w:t xml:space="preserve">   否，双方约定，在履行合同进程中产生争议时，请工程所在地建设行政主管部门进行调解，调解不成时，向工程所在地人民法院起诉   </w:t>
      </w:r>
      <w:r>
        <w:rPr>
          <w:rFonts w:hint="eastAsia" w:eastAsia="宋体" w:cs="宋体"/>
          <w:color w:val="auto"/>
          <w:highlight w:val="none"/>
        </w:rPr>
        <w:t xml:space="preserve">。  </w:t>
      </w:r>
    </w:p>
    <w:p w14:paraId="6CB84D6C">
      <w:pPr>
        <w:keepNext w:val="0"/>
        <w:keepLines w:val="0"/>
        <w:pageBreakBefore w:val="0"/>
        <w:widowControl w:val="0"/>
        <w:kinsoku/>
        <w:overflowPunct/>
        <w:topLinePunct w:val="0"/>
        <w:bidi w:val="0"/>
        <w:spacing w:line="40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20.3.1 争议评审小组的确定</w:t>
      </w:r>
    </w:p>
    <w:p w14:paraId="58B8E0DA">
      <w:pPr>
        <w:keepNext w:val="0"/>
        <w:keepLines w:val="0"/>
        <w:pageBreakBefore w:val="0"/>
        <w:widowControl w:val="0"/>
        <w:kinsoku/>
        <w:overflowPunct/>
        <w:topLinePunct w:val="0"/>
        <w:bidi w:val="0"/>
        <w:spacing w:line="400" w:lineRule="exact"/>
        <w:ind w:firstLine="420" w:firstLineChars="200"/>
        <w:jc w:val="left"/>
        <w:textAlignment w:val="auto"/>
        <w:outlineLvl w:val="9"/>
        <w:rPr>
          <w:rFonts w:ascii="宋体" w:hAnsi="宋体"/>
          <w:color w:val="auto"/>
          <w:szCs w:val="21"/>
          <w:highlight w:val="none"/>
          <w:u w:val="single"/>
        </w:rPr>
      </w:pPr>
      <w:r>
        <w:rPr>
          <w:rFonts w:ascii="宋体" w:hAnsi="宋体"/>
          <w:color w:val="auto"/>
          <w:szCs w:val="21"/>
          <w:highlight w:val="none"/>
        </w:rPr>
        <w:t>争议评审小组成员的确定：</w:t>
      </w:r>
      <w:r>
        <w:rPr>
          <w:rFonts w:hint="eastAsia" w:ascii="宋体" w:hAnsi="宋体"/>
          <w:color w:val="auto"/>
          <w:szCs w:val="21"/>
          <w:highlight w:val="none"/>
          <w:u w:val="single"/>
        </w:rPr>
        <w:t xml:space="preserve">  无  </w:t>
      </w:r>
      <w:r>
        <w:rPr>
          <w:rFonts w:ascii="宋体" w:hAnsi="宋体"/>
          <w:color w:val="auto"/>
          <w:szCs w:val="21"/>
          <w:highlight w:val="none"/>
        </w:rPr>
        <w:t>。</w:t>
      </w:r>
    </w:p>
    <w:p w14:paraId="13F19DD1">
      <w:pPr>
        <w:keepNext w:val="0"/>
        <w:keepLines w:val="0"/>
        <w:pageBreakBefore w:val="0"/>
        <w:widowControl w:val="0"/>
        <w:kinsoku/>
        <w:overflowPunct/>
        <w:topLinePunct w:val="0"/>
        <w:bidi w:val="0"/>
        <w:spacing w:line="40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选定争议评审员的期限：</w:t>
      </w:r>
      <w:r>
        <w:rPr>
          <w:rFonts w:hint="eastAsia" w:ascii="宋体" w:hAnsi="宋体"/>
          <w:color w:val="auto"/>
          <w:szCs w:val="21"/>
          <w:highlight w:val="none"/>
          <w:u w:val="single"/>
        </w:rPr>
        <w:t xml:space="preserve">  无  </w:t>
      </w:r>
      <w:r>
        <w:rPr>
          <w:rFonts w:ascii="宋体" w:hAnsi="宋体"/>
          <w:color w:val="auto"/>
          <w:szCs w:val="21"/>
          <w:highlight w:val="none"/>
        </w:rPr>
        <w:t>。</w:t>
      </w:r>
    </w:p>
    <w:p w14:paraId="019B0C76">
      <w:pPr>
        <w:keepNext w:val="0"/>
        <w:keepLines w:val="0"/>
        <w:pageBreakBefore w:val="0"/>
        <w:widowControl w:val="0"/>
        <w:kinsoku/>
        <w:overflowPunct/>
        <w:topLinePunct w:val="0"/>
        <w:bidi w:val="0"/>
        <w:spacing w:line="40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争议评审小组成员的报酬承担方式：</w:t>
      </w:r>
      <w:r>
        <w:rPr>
          <w:rFonts w:hint="eastAsia" w:ascii="宋体" w:hAnsi="宋体"/>
          <w:color w:val="auto"/>
          <w:szCs w:val="21"/>
          <w:highlight w:val="none"/>
          <w:u w:val="single"/>
        </w:rPr>
        <w:t xml:space="preserve">  无  </w:t>
      </w:r>
      <w:r>
        <w:rPr>
          <w:rFonts w:ascii="宋体" w:hAnsi="宋体"/>
          <w:color w:val="auto"/>
          <w:szCs w:val="21"/>
          <w:highlight w:val="none"/>
        </w:rPr>
        <w:t>。</w:t>
      </w:r>
    </w:p>
    <w:p w14:paraId="03CC5B73">
      <w:pPr>
        <w:keepNext w:val="0"/>
        <w:keepLines w:val="0"/>
        <w:pageBreakBefore w:val="0"/>
        <w:widowControl w:val="0"/>
        <w:kinsoku/>
        <w:overflowPunct/>
        <w:topLinePunct w:val="0"/>
        <w:bidi w:val="0"/>
        <w:spacing w:line="40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其他事项的约定：</w:t>
      </w:r>
      <w:r>
        <w:rPr>
          <w:rFonts w:hint="eastAsia" w:ascii="宋体" w:hAnsi="宋体"/>
          <w:color w:val="auto"/>
          <w:szCs w:val="21"/>
          <w:highlight w:val="none"/>
          <w:u w:val="single"/>
        </w:rPr>
        <w:t xml:space="preserve">  无  </w:t>
      </w:r>
      <w:r>
        <w:rPr>
          <w:rFonts w:ascii="宋体" w:hAnsi="宋体"/>
          <w:color w:val="auto"/>
          <w:szCs w:val="21"/>
          <w:highlight w:val="none"/>
        </w:rPr>
        <w:t>。</w:t>
      </w:r>
    </w:p>
    <w:p w14:paraId="1E85B223">
      <w:pPr>
        <w:keepNext w:val="0"/>
        <w:keepLines w:val="0"/>
        <w:pageBreakBefore w:val="0"/>
        <w:widowControl w:val="0"/>
        <w:kinsoku/>
        <w:overflowPunct/>
        <w:topLinePunct w:val="0"/>
        <w:autoSpaceDE w:val="0"/>
        <w:autoSpaceDN w:val="0"/>
        <w:bidi w:val="0"/>
        <w:spacing w:line="40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20.3.2 争议评审小组的决定</w:t>
      </w:r>
    </w:p>
    <w:p w14:paraId="54CB2A44">
      <w:pPr>
        <w:keepNext w:val="0"/>
        <w:keepLines w:val="0"/>
        <w:pageBreakBefore w:val="0"/>
        <w:widowControl w:val="0"/>
        <w:kinsoku/>
        <w:overflowPunct/>
        <w:topLinePunct w:val="0"/>
        <w:bidi w:val="0"/>
        <w:spacing w:line="40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合同当事人关于本项的约定：</w:t>
      </w:r>
      <w:r>
        <w:rPr>
          <w:rFonts w:hint="eastAsia" w:ascii="宋体" w:hAnsi="宋体"/>
          <w:color w:val="auto"/>
          <w:szCs w:val="21"/>
          <w:highlight w:val="none"/>
          <w:u w:val="single"/>
        </w:rPr>
        <w:t xml:space="preserve">  无  </w:t>
      </w:r>
      <w:r>
        <w:rPr>
          <w:rFonts w:ascii="宋体" w:hAnsi="宋体"/>
          <w:color w:val="auto"/>
          <w:szCs w:val="21"/>
          <w:highlight w:val="none"/>
        </w:rPr>
        <w:t>。</w:t>
      </w:r>
    </w:p>
    <w:p w14:paraId="44F76739">
      <w:pPr>
        <w:pStyle w:val="58"/>
        <w:keepNext w:val="0"/>
        <w:keepLines w:val="0"/>
        <w:pageBreakBefore w:val="0"/>
        <w:widowControl w:val="0"/>
        <w:kinsoku/>
        <w:overflowPunct/>
        <w:topLinePunct w:val="0"/>
        <w:bidi w:val="0"/>
        <w:spacing w:before="0" w:after="0" w:line="400" w:lineRule="exact"/>
        <w:textAlignment w:val="auto"/>
        <w:outlineLvl w:val="9"/>
        <w:rPr>
          <w:rFonts w:hint="eastAsia" w:ascii="宋体" w:eastAsia="宋体" w:cs="宋体"/>
          <w:b/>
          <w:bCs/>
          <w:color w:val="auto"/>
          <w:highlight w:val="none"/>
        </w:rPr>
      </w:pPr>
      <w:bookmarkStart w:id="561" w:name="_Toc28358"/>
      <w:bookmarkStart w:id="562" w:name="_Toc12813"/>
      <w:bookmarkStart w:id="563" w:name="_Toc18130"/>
      <w:bookmarkStart w:id="564" w:name="_Toc13108"/>
      <w:r>
        <w:rPr>
          <w:rFonts w:hint="eastAsia" w:ascii="宋体" w:eastAsia="宋体" w:cs="宋体"/>
          <w:b/>
          <w:bCs/>
          <w:color w:val="auto"/>
          <w:highlight w:val="none"/>
        </w:rPr>
        <w:t>20.4仲裁或诉讼</w:t>
      </w:r>
      <w:bookmarkEnd w:id="561"/>
      <w:bookmarkEnd w:id="562"/>
      <w:bookmarkEnd w:id="563"/>
      <w:bookmarkEnd w:id="564"/>
    </w:p>
    <w:p w14:paraId="2C6541DF">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因合同及合同有关事项发生的争议，按下列第</w:t>
      </w:r>
      <w:r>
        <w:rPr>
          <w:rFonts w:hint="eastAsia" w:eastAsia="宋体" w:cs="宋体"/>
          <w:color w:val="auto"/>
          <w:highlight w:val="none"/>
          <w:u w:val="single"/>
        </w:rPr>
        <w:t xml:space="preserve"> （2）  </w:t>
      </w:r>
      <w:r>
        <w:rPr>
          <w:rFonts w:hint="eastAsia" w:eastAsia="宋体" w:cs="宋体"/>
          <w:color w:val="auto"/>
          <w:highlight w:val="none"/>
        </w:rPr>
        <w:t>种方式解决：</w:t>
      </w:r>
    </w:p>
    <w:p w14:paraId="4998B2BE">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（1）向</w:t>
      </w:r>
      <w:r>
        <w:rPr>
          <w:rFonts w:hint="eastAsia" w:eastAsia="宋体" w:cs="宋体"/>
          <w:color w:val="auto"/>
          <w:highlight w:val="none"/>
          <w:u w:val="single"/>
        </w:rPr>
        <w:t xml:space="preserve">                     </w:t>
      </w:r>
      <w:r>
        <w:rPr>
          <w:rFonts w:hint="eastAsia" w:eastAsia="宋体" w:cs="宋体"/>
          <w:color w:val="auto"/>
          <w:highlight w:val="none"/>
        </w:rPr>
        <w:t>仲裁委员会申请仲裁；</w:t>
      </w:r>
    </w:p>
    <w:p w14:paraId="1906384A">
      <w:pPr>
        <w:pStyle w:val="56"/>
        <w:keepNext w:val="0"/>
        <w:keepLines w:val="0"/>
        <w:pageBreakBefore w:val="0"/>
        <w:widowControl w:val="0"/>
        <w:kinsoku/>
        <w:overflowPunct/>
        <w:topLinePunct w:val="0"/>
        <w:bidi w:val="0"/>
        <w:spacing w:line="400" w:lineRule="exact"/>
        <w:textAlignment w:val="auto"/>
        <w:outlineLvl w:val="9"/>
        <w:rPr>
          <w:rFonts w:hint="eastAsia" w:eastAsia="宋体" w:cs="宋体"/>
          <w:color w:val="auto"/>
          <w:highlight w:val="none"/>
        </w:rPr>
      </w:pPr>
      <w:r>
        <w:rPr>
          <w:rFonts w:hint="eastAsia" w:eastAsia="宋体" w:cs="宋体"/>
          <w:color w:val="auto"/>
          <w:highlight w:val="none"/>
        </w:rPr>
        <w:t>（2）向</w:t>
      </w:r>
      <w:r>
        <w:rPr>
          <w:rFonts w:hint="eastAsia" w:eastAsia="宋体" w:cs="宋体"/>
          <w:color w:val="auto"/>
          <w:highlight w:val="none"/>
          <w:u w:val="single"/>
        </w:rPr>
        <w:t xml:space="preserve">  </w:t>
      </w:r>
      <w:r>
        <w:rPr>
          <w:rFonts w:hint="eastAsia" w:eastAsia="宋体" w:cs="宋体"/>
          <w:color w:val="auto"/>
          <w:kern w:val="0"/>
          <w:highlight w:val="none"/>
          <w:u w:val="single"/>
        </w:rPr>
        <w:t xml:space="preserve">工程所在地的 </w:t>
      </w:r>
      <w:r>
        <w:rPr>
          <w:rFonts w:hint="eastAsia" w:eastAsia="宋体" w:cs="宋体"/>
          <w:color w:val="auto"/>
          <w:highlight w:val="none"/>
          <w:u w:val="single"/>
        </w:rPr>
        <w:t xml:space="preserve">  </w:t>
      </w:r>
      <w:r>
        <w:rPr>
          <w:rFonts w:hint="eastAsia" w:eastAsia="宋体" w:cs="宋体"/>
          <w:color w:val="auto"/>
          <w:highlight w:val="none"/>
        </w:rPr>
        <w:t>人民法院起诉。</w:t>
      </w:r>
    </w:p>
    <w:p w14:paraId="3A649FCB">
      <w:pPr>
        <w:pStyle w:val="58"/>
        <w:keepNext w:val="0"/>
        <w:keepLines w:val="0"/>
        <w:pageBreakBefore w:val="0"/>
        <w:widowControl w:val="0"/>
        <w:kinsoku/>
        <w:overflowPunct/>
        <w:topLinePunct w:val="0"/>
        <w:bidi w:val="0"/>
        <w:spacing w:before="0" w:after="0" w:line="400" w:lineRule="exact"/>
        <w:textAlignment w:val="auto"/>
        <w:outlineLvl w:val="9"/>
        <w:rPr>
          <w:rFonts w:ascii="宋体" w:eastAsia="宋体" w:cs="宋体"/>
          <w:b/>
          <w:bCs/>
          <w:color w:val="auto"/>
          <w:highlight w:val="none"/>
        </w:rPr>
      </w:pPr>
      <w:bookmarkStart w:id="565" w:name="_Toc18897"/>
      <w:bookmarkStart w:id="566" w:name="_Toc745"/>
      <w:bookmarkStart w:id="567" w:name="_Toc1290"/>
      <w:bookmarkStart w:id="568" w:name="_Toc5033"/>
      <w:r>
        <w:rPr>
          <w:rFonts w:ascii="宋体" w:eastAsia="宋体" w:cs="宋体"/>
          <w:b/>
          <w:bCs/>
          <w:color w:val="auto"/>
          <w:highlight w:val="none"/>
        </w:rPr>
        <w:t>21. 补充条款</w:t>
      </w:r>
      <w:bookmarkEnd w:id="565"/>
      <w:bookmarkEnd w:id="566"/>
      <w:bookmarkEnd w:id="567"/>
      <w:bookmarkEnd w:id="568"/>
    </w:p>
    <w:p w14:paraId="0371C583">
      <w:pPr>
        <w:keepNext w:val="0"/>
        <w:keepLines w:val="0"/>
        <w:pageBreakBefore w:val="0"/>
        <w:widowControl w:val="0"/>
        <w:kinsoku/>
        <w:overflowPunct/>
        <w:topLinePunct w:val="0"/>
        <w:bidi w:val="0"/>
        <w:spacing w:line="400" w:lineRule="exact"/>
        <w:ind w:firstLine="420" w:firstLineChars="200"/>
        <w:jc w:val="left"/>
        <w:textAlignment w:val="auto"/>
        <w:outlineLvl w:val="9"/>
        <w:rPr>
          <w:rFonts w:ascii="宋体" w:hAnsi="宋体"/>
          <w:color w:val="auto"/>
          <w:szCs w:val="21"/>
          <w:highlight w:val="none"/>
        </w:rPr>
      </w:pPr>
      <w:r>
        <w:rPr>
          <w:rFonts w:ascii="宋体" w:hAnsi="宋体"/>
          <w:color w:val="auto"/>
          <w:szCs w:val="21"/>
          <w:highlight w:val="none"/>
        </w:rPr>
        <w:t>21.1 凡进入本工程工作的妇女应持有计生证、否则不准安排工作，禁止使用童工。</w:t>
      </w:r>
    </w:p>
    <w:p w14:paraId="70787E07">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color w:val="auto"/>
          <w:highlight w:val="none"/>
        </w:rPr>
      </w:pPr>
    </w:p>
    <w:p w14:paraId="4457846C">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color w:val="auto"/>
          <w:highlight w:val="none"/>
        </w:rPr>
      </w:pPr>
    </w:p>
    <w:p w14:paraId="3B7C2FF1">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color w:val="auto"/>
          <w:highlight w:val="none"/>
        </w:rPr>
      </w:pPr>
      <w:r>
        <w:rPr>
          <w:rFonts w:hint="eastAsia" w:eastAsia="宋体" w:cs="宋体"/>
          <w:color w:val="auto"/>
          <w:highlight w:val="none"/>
        </w:rPr>
        <w:t>合同附件：</w:t>
      </w:r>
    </w:p>
    <w:p w14:paraId="77FF80DA">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cs="宋体"/>
          <w:color w:val="auto"/>
          <w:highlight w:val="none"/>
        </w:rPr>
      </w:pPr>
      <w:r>
        <w:rPr>
          <w:rFonts w:hint="eastAsia" w:eastAsia="宋体" w:cs="宋体"/>
          <w:color w:val="auto"/>
          <w:highlight w:val="none"/>
        </w:rPr>
        <w:t>附件1：承诺书</w:t>
      </w:r>
    </w:p>
    <w:p w14:paraId="0EC8D547">
      <w:pPr>
        <w:pStyle w:val="56"/>
        <w:keepNext w:val="0"/>
        <w:keepLines w:val="0"/>
        <w:pageBreakBefore w:val="0"/>
        <w:widowControl w:val="0"/>
        <w:tabs>
          <w:tab w:val="left" w:pos="7512"/>
        </w:tabs>
        <w:kinsoku/>
        <w:overflowPunct/>
        <w:topLinePunct w:val="0"/>
        <w:bidi w:val="0"/>
        <w:spacing w:line="400" w:lineRule="exact"/>
        <w:ind w:firstLine="0" w:firstLineChars="0"/>
        <w:textAlignment w:val="auto"/>
        <w:outlineLvl w:val="9"/>
        <w:rPr>
          <w:rFonts w:hint="eastAsia" w:eastAsia="宋体" w:cs="宋体"/>
          <w:color w:val="auto"/>
          <w:highlight w:val="none"/>
        </w:rPr>
      </w:pPr>
      <w:r>
        <w:rPr>
          <w:rFonts w:hint="eastAsia" w:eastAsia="宋体" w:cs="宋体"/>
          <w:color w:val="auto"/>
          <w:highlight w:val="none"/>
        </w:rPr>
        <w:t>附件2：工程质量保修书</w:t>
      </w:r>
    </w:p>
    <w:p w14:paraId="2776E045">
      <w:pPr>
        <w:pStyle w:val="56"/>
        <w:keepNext w:val="0"/>
        <w:keepLines w:val="0"/>
        <w:pageBreakBefore w:val="0"/>
        <w:widowControl w:val="0"/>
        <w:kinsoku/>
        <w:overflowPunct/>
        <w:topLinePunct w:val="0"/>
        <w:bidi w:val="0"/>
        <w:spacing w:line="400" w:lineRule="exact"/>
        <w:ind w:firstLine="0" w:firstLineChars="0"/>
        <w:textAlignment w:val="auto"/>
        <w:outlineLvl w:val="9"/>
        <w:rPr>
          <w:rFonts w:hint="eastAsia" w:eastAsia="宋体"/>
          <w:b/>
          <w:color w:val="auto"/>
          <w:sz w:val="30"/>
          <w:highlight w:val="none"/>
        </w:rPr>
      </w:pPr>
      <w:r>
        <w:rPr>
          <w:rFonts w:hint="eastAsia" w:eastAsia="宋体" w:cs="宋体"/>
          <w:color w:val="auto"/>
          <w:highlight w:val="none"/>
        </w:rPr>
        <w:br w:type="page"/>
      </w:r>
      <w:r>
        <w:rPr>
          <w:rFonts w:hint="eastAsia" w:eastAsia="宋体"/>
          <w:b/>
          <w:color w:val="auto"/>
          <w:sz w:val="28"/>
          <w:szCs w:val="30"/>
          <w:highlight w:val="none"/>
        </w:rPr>
        <w:t>附件1</w:t>
      </w:r>
    </w:p>
    <w:p w14:paraId="32091A2A">
      <w:pPr>
        <w:keepNext w:val="0"/>
        <w:keepLines w:val="0"/>
        <w:pageBreakBefore w:val="0"/>
        <w:widowControl w:val="0"/>
        <w:kinsoku/>
        <w:overflowPunct/>
        <w:topLinePunct w:val="0"/>
        <w:bidi w:val="0"/>
        <w:spacing w:before="156" w:beforeLines="50" w:after="312" w:afterLines="100" w:line="500" w:lineRule="exact"/>
        <w:jc w:val="center"/>
        <w:textAlignment w:val="auto"/>
        <w:outlineLvl w:val="9"/>
        <w:rPr>
          <w:rFonts w:ascii="宋体" w:hAnsi="宋体"/>
          <w:b/>
          <w:color w:val="auto"/>
          <w:sz w:val="30"/>
          <w:highlight w:val="none"/>
        </w:rPr>
      </w:pPr>
      <w:r>
        <w:rPr>
          <w:rFonts w:hint="eastAsia" w:ascii="宋体" w:hAnsi="宋体"/>
          <w:b/>
          <w:color w:val="auto"/>
          <w:sz w:val="30"/>
          <w:highlight w:val="none"/>
        </w:rPr>
        <w:t>承诺书</w:t>
      </w:r>
    </w:p>
    <w:p w14:paraId="200C2C0D">
      <w:pPr>
        <w:pStyle w:val="59"/>
        <w:keepNext w:val="0"/>
        <w:keepLines w:val="0"/>
        <w:pageBreakBefore w:val="0"/>
        <w:widowControl w:val="0"/>
        <w:tabs>
          <w:tab w:val="left" w:pos="0"/>
        </w:tabs>
        <w:kinsoku/>
        <w:overflowPunct/>
        <w:topLinePunct w:val="0"/>
        <w:bidi w:val="0"/>
        <w:spacing w:line="360" w:lineRule="auto"/>
        <w:ind w:left="0" w:right="33"/>
        <w:textAlignment w:val="auto"/>
        <w:outlineLvl w:val="9"/>
        <w:rPr>
          <w:rFonts w:ascii="宋体" w:hAnsi="宋体"/>
          <w:color w:val="auto"/>
          <w:sz w:val="21"/>
          <w:szCs w:val="21"/>
          <w:highlight w:val="none"/>
        </w:rPr>
      </w:pPr>
      <w:r>
        <w:rPr>
          <w:rFonts w:hint="eastAsia" w:ascii="宋体" w:hAnsi="宋体"/>
          <w:color w:val="auto"/>
          <w:sz w:val="21"/>
          <w:szCs w:val="21"/>
          <w:highlight w:val="none"/>
        </w:rPr>
        <w:t>致</w:t>
      </w:r>
      <w:r>
        <w:rPr>
          <w:rFonts w:hint="eastAsia" w:ascii="宋体" w:hAnsi="宋体"/>
          <w:b/>
          <w:bCs/>
          <w:color w:val="auto"/>
          <w:sz w:val="21"/>
          <w:szCs w:val="21"/>
          <w:highlight w:val="none"/>
          <w:u w:val="single"/>
        </w:rPr>
        <w:t xml:space="preserve">                  </w:t>
      </w:r>
      <w:r>
        <w:rPr>
          <w:rFonts w:hint="eastAsia" w:ascii="宋体" w:hAnsi="宋体"/>
          <w:color w:val="auto"/>
          <w:sz w:val="21"/>
          <w:szCs w:val="21"/>
          <w:highlight w:val="none"/>
        </w:rPr>
        <w:t>（采购人单位）：</w:t>
      </w:r>
    </w:p>
    <w:p w14:paraId="35A2E644">
      <w:pPr>
        <w:pStyle w:val="59"/>
        <w:keepNext w:val="0"/>
        <w:keepLines w:val="0"/>
        <w:pageBreakBefore w:val="0"/>
        <w:widowControl w:val="0"/>
        <w:tabs>
          <w:tab w:val="left" w:pos="0"/>
        </w:tabs>
        <w:kinsoku/>
        <w:overflowPunct/>
        <w:topLinePunct w:val="0"/>
        <w:bidi w:val="0"/>
        <w:spacing w:before="0" w:after="0" w:line="460" w:lineRule="exact"/>
        <w:ind w:left="0" w:right="0" w:firstLine="420" w:firstLineChars="200"/>
        <w:textAlignment w:val="auto"/>
        <w:outlineLvl w:val="9"/>
        <w:rPr>
          <w:rFonts w:ascii="宋体" w:hAnsi="宋体"/>
          <w:color w:val="auto"/>
          <w:sz w:val="21"/>
          <w:szCs w:val="21"/>
          <w:highlight w:val="none"/>
        </w:rPr>
      </w:pPr>
      <w:r>
        <w:rPr>
          <w:rFonts w:hint="eastAsia" w:ascii="宋体" w:hAnsi="宋体"/>
          <w:color w:val="auto"/>
          <w:sz w:val="21"/>
          <w:szCs w:val="21"/>
          <w:highlight w:val="none"/>
        </w:rPr>
        <w:t>根据《中华人民共和国建筑法》以及国务院办公厅《关于加强基础设施工程质量管理的通知》等国家相关建筑法律、法规以及贵公司要求，我单位为明确对</w:t>
      </w:r>
      <w:r>
        <w:rPr>
          <w:rFonts w:hint="eastAsia" w:ascii="宋体" w:hAnsi="宋体"/>
          <w:color w:val="auto"/>
          <w:sz w:val="21"/>
          <w:szCs w:val="21"/>
          <w:highlight w:val="none"/>
          <w:u w:val="single"/>
        </w:rPr>
        <w:t xml:space="preserve">  （工程名称）   </w:t>
      </w:r>
      <w:r>
        <w:rPr>
          <w:rFonts w:hint="eastAsia" w:ascii="宋体" w:hAnsi="宋体"/>
          <w:color w:val="auto"/>
          <w:sz w:val="21"/>
          <w:szCs w:val="21"/>
          <w:highlight w:val="none"/>
        </w:rPr>
        <w:t>工程施工质量、工期、廉政等的责任,承诺如下：</w:t>
      </w:r>
    </w:p>
    <w:p w14:paraId="6C459418">
      <w:pPr>
        <w:pStyle w:val="59"/>
        <w:keepNext w:val="0"/>
        <w:keepLines w:val="0"/>
        <w:pageBreakBefore w:val="0"/>
        <w:widowControl w:val="0"/>
        <w:tabs>
          <w:tab w:val="left" w:pos="0"/>
        </w:tabs>
        <w:kinsoku/>
        <w:overflowPunct/>
        <w:topLinePunct w:val="0"/>
        <w:bidi w:val="0"/>
        <w:spacing w:before="0" w:after="0" w:line="460" w:lineRule="exact"/>
        <w:ind w:left="0" w:right="0" w:firstLine="420" w:firstLineChars="200"/>
        <w:textAlignment w:val="auto"/>
        <w:outlineLvl w:val="9"/>
        <w:rPr>
          <w:rFonts w:ascii="宋体" w:hAnsi="宋体"/>
          <w:color w:val="auto"/>
          <w:sz w:val="21"/>
          <w:szCs w:val="21"/>
          <w:highlight w:val="none"/>
        </w:rPr>
      </w:pPr>
      <w:r>
        <w:rPr>
          <w:rFonts w:hint="eastAsia" w:ascii="宋体" w:hAnsi="宋体"/>
          <w:color w:val="auto"/>
          <w:sz w:val="21"/>
          <w:szCs w:val="21"/>
          <w:highlight w:val="none"/>
        </w:rPr>
        <w:t>1、按</w:t>
      </w: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时拟投入工程技术人员和机械设备进场施工，我单位承诺在</w:t>
      </w:r>
      <w:r>
        <w:rPr>
          <w:rFonts w:hint="eastAsia" w:ascii="宋体" w:hAnsi="宋体"/>
          <w:b/>
          <w:bCs/>
          <w:color w:val="auto"/>
          <w:sz w:val="21"/>
          <w:szCs w:val="21"/>
          <w:highlight w:val="none"/>
          <w:u w:val="single"/>
        </w:rPr>
        <w:t xml:space="preserve">       </w:t>
      </w:r>
      <w:r>
        <w:rPr>
          <w:rFonts w:hint="eastAsia" w:ascii="宋体" w:hAnsi="宋体"/>
          <w:color w:val="auto"/>
          <w:sz w:val="21"/>
          <w:szCs w:val="21"/>
          <w:highlight w:val="none"/>
        </w:rPr>
        <w:t>内完成本工程的全部内容。</w:t>
      </w:r>
    </w:p>
    <w:p w14:paraId="7ED5ECBE">
      <w:pPr>
        <w:pStyle w:val="59"/>
        <w:keepNext w:val="0"/>
        <w:keepLines w:val="0"/>
        <w:pageBreakBefore w:val="0"/>
        <w:widowControl w:val="0"/>
        <w:tabs>
          <w:tab w:val="left" w:pos="0"/>
        </w:tabs>
        <w:kinsoku/>
        <w:overflowPunct/>
        <w:topLinePunct w:val="0"/>
        <w:bidi w:val="0"/>
        <w:spacing w:before="0" w:after="0" w:line="460" w:lineRule="exact"/>
        <w:ind w:left="0" w:right="0" w:firstLine="420" w:firstLineChars="200"/>
        <w:textAlignment w:val="auto"/>
        <w:outlineLvl w:val="9"/>
        <w:rPr>
          <w:rFonts w:ascii="宋体" w:hAnsi="宋体"/>
          <w:color w:val="auto"/>
          <w:sz w:val="21"/>
          <w:szCs w:val="21"/>
          <w:highlight w:val="none"/>
        </w:rPr>
      </w:pPr>
      <w:r>
        <w:rPr>
          <w:rFonts w:hint="eastAsia" w:ascii="宋体" w:hAnsi="宋体"/>
          <w:color w:val="auto"/>
          <w:sz w:val="21"/>
          <w:szCs w:val="21"/>
          <w:highlight w:val="none"/>
        </w:rPr>
        <w:t>2、严格禁止不合格的材料进入工地，形成严格的自检制度。任何进入工地的材料，必须经过监理工程师和建设单位驻工地代表的认可。</w:t>
      </w:r>
    </w:p>
    <w:p w14:paraId="13B9D0E3">
      <w:pPr>
        <w:pStyle w:val="59"/>
        <w:keepNext w:val="0"/>
        <w:keepLines w:val="0"/>
        <w:pageBreakBefore w:val="0"/>
        <w:widowControl w:val="0"/>
        <w:tabs>
          <w:tab w:val="left" w:pos="0"/>
        </w:tabs>
        <w:kinsoku/>
        <w:overflowPunct/>
        <w:topLinePunct w:val="0"/>
        <w:bidi w:val="0"/>
        <w:spacing w:before="0" w:after="0" w:line="460" w:lineRule="exact"/>
        <w:ind w:left="0" w:right="0" w:firstLine="420" w:firstLineChars="200"/>
        <w:textAlignment w:val="auto"/>
        <w:outlineLvl w:val="9"/>
        <w:rPr>
          <w:rFonts w:ascii="宋体" w:hAnsi="宋体"/>
          <w:color w:val="auto"/>
          <w:sz w:val="21"/>
          <w:szCs w:val="21"/>
          <w:highlight w:val="none"/>
        </w:rPr>
      </w:pPr>
      <w:r>
        <w:rPr>
          <w:rFonts w:hint="eastAsia" w:ascii="宋体" w:hAnsi="宋体"/>
          <w:color w:val="auto"/>
          <w:sz w:val="21"/>
          <w:szCs w:val="21"/>
          <w:highlight w:val="none"/>
        </w:rPr>
        <w:t>3、严格按照国家有关法律规定和工程技术规范要求施工，保证我单位承建的该工程质量一次性验收达到合同约定合格标准，保证消除质量事故，消除质量隐患、</w:t>
      </w:r>
      <w:r>
        <w:rPr>
          <w:rFonts w:ascii="宋体" w:hAnsi="宋体"/>
          <w:color w:val="auto"/>
          <w:sz w:val="21"/>
          <w:szCs w:val="21"/>
          <w:highlight w:val="none"/>
        </w:rPr>
        <w:t>质量缺陷。</w:t>
      </w:r>
    </w:p>
    <w:p w14:paraId="5A4BD3FE">
      <w:pPr>
        <w:pStyle w:val="59"/>
        <w:keepNext w:val="0"/>
        <w:keepLines w:val="0"/>
        <w:pageBreakBefore w:val="0"/>
        <w:widowControl w:val="0"/>
        <w:tabs>
          <w:tab w:val="left" w:pos="0"/>
        </w:tabs>
        <w:kinsoku/>
        <w:overflowPunct/>
        <w:topLinePunct w:val="0"/>
        <w:bidi w:val="0"/>
        <w:spacing w:before="0" w:after="0" w:line="460" w:lineRule="exact"/>
        <w:ind w:left="0" w:right="0" w:firstLine="420" w:firstLineChars="200"/>
        <w:textAlignment w:val="auto"/>
        <w:outlineLvl w:val="9"/>
        <w:rPr>
          <w:rFonts w:ascii="宋体" w:hAnsi="宋体"/>
          <w:color w:val="auto"/>
          <w:sz w:val="21"/>
          <w:szCs w:val="21"/>
          <w:highlight w:val="none"/>
        </w:rPr>
      </w:pPr>
      <w:r>
        <w:rPr>
          <w:rFonts w:hint="eastAsia" w:ascii="宋体" w:hAnsi="宋体"/>
          <w:color w:val="auto"/>
          <w:sz w:val="21"/>
          <w:szCs w:val="21"/>
          <w:highlight w:val="none"/>
        </w:rPr>
        <w:t>4、保证工程款专款专用，使用由建设单位同意的专用账户,保证不将本工程款挪做他用。</w:t>
      </w:r>
    </w:p>
    <w:p w14:paraId="0084C5B0">
      <w:pPr>
        <w:pStyle w:val="59"/>
        <w:keepNext w:val="0"/>
        <w:keepLines w:val="0"/>
        <w:pageBreakBefore w:val="0"/>
        <w:widowControl w:val="0"/>
        <w:tabs>
          <w:tab w:val="left" w:pos="0"/>
        </w:tabs>
        <w:kinsoku/>
        <w:overflowPunct/>
        <w:topLinePunct w:val="0"/>
        <w:bidi w:val="0"/>
        <w:spacing w:before="0" w:after="0" w:line="460" w:lineRule="exact"/>
        <w:ind w:left="0" w:right="0" w:firstLine="420" w:firstLineChars="200"/>
        <w:textAlignment w:val="auto"/>
        <w:outlineLvl w:val="9"/>
        <w:rPr>
          <w:rFonts w:ascii="宋体" w:hAnsi="宋体"/>
          <w:color w:val="auto"/>
          <w:sz w:val="21"/>
          <w:szCs w:val="21"/>
          <w:highlight w:val="none"/>
        </w:rPr>
      </w:pPr>
      <w:r>
        <w:rPr>
          <w:rFonts w:hint="eastAsia" w:ascii="宋体" w:hAnsi="宋体"/>
          <w:color w:val="auto"/>
          <w:sz w:val="21"/>
          <w:szCs w:val="21"/>
          <w:highlight w:val="none"/>
        </w:rPr>
        <w:t>5</w:t>
      </w:r>
      <w:r>
        <w:rPr>
          <w:rFonts w:ascii="宋体" w:hAnsi="宋体"/>
          <w:color w:val="auto"/>
          <w:sz w:val="21"/>
          <w:szCs w:val="21"/>
          <w:highlight w:val="none"/>
        </w:rPr>
        <w:t>、保证按国家法律、法规和政策履行廉政行为，不与其他单位串标、围标等，不故意损害建设单位或其他</w:t>
      </w:r>
      <w:r>
        <w:rPr>
          <w:rFonts w:hint="eastAsia" w:ascii="宋体" w:hAnsi="宋体"/>
          <w:color w:val="auto"/>
          <w:sz w:val="21"/>
          <w:szCs w:val="21"/>
          <w:highlight w:val="none"/>
          <w:lang w:eastAsia="zh-CN"/>
        </w:rPr>
        <w:t>磋商</w:t>
      </w:r>
      <w:r>
        <w:rPr>
          <w:rFonts w:ascii="宋体" w:hAnsi="宋体"/>
          <w:color w:val="auto"/>
          <w:sz w:val="21"/>
          <w:szCs w:val="21"/>
          <w:highlight w:val="none"/>
        </w:rPr>
        <w:t>单位利益。</w:t>
      </w:r>
    </w:p>
    <w:p w14:paraId="588CFD29">
      <w:pPr>
        <w:pStyle w:val="59"/>
        <w:keepNext w:val="0"/>
        <w:keepLines w:val="0"/>
        <w:pageBreakBefore w:val="0"/>
        <w:widowControl w:val="0"/>
        <w:tabs>
          <w:tab w:val="left" w:pos="0"/>
        </w:tabs>
        <w:kinsoku/>
        <w:overflowPunct/>
        <w:topLinePunct w:val="0"/>
        <w:bidi w:val="0"/>
        <w:spacing w:before="0" w:after="0" w:line="460" w:lineRule="exact"/>
        <w:ind w:left="0" w:right="0" w:firstLine="420" w:firstLineChars="200"/>
        <w:textAlignment w:val="auto"/>
        <w:outlineLvl w:val="9"/>
        <w:rPr>
          <w:rFonts w:ascii="宋体" w:hAnsi="宋体"/>
          <w:color w:val="auto"/>
          <w:sz w:val="21"/>
          <w:szCs w:val="21"/>
          <w:highlight w:val="none"/>
        </w:rPr>
      </w:pPr>
      <w:r>
        <w:rPr>
          <w:rFonts w:hint="eastAsia" w:ascii="宋体" w:hAnsi="宋体"/>
          <w:color w:val="auto"/>
          <w:sz w:val="21"/>
          <w:szCs w:val="21"/>
          <w:highlight w:val="none"/>
        </w:rPr>
        <w:t>6</w:t>
      </w:r>
      <w:r>
        <w:rPr>
          <w:rFonts w:ascii="宋体" w:hAnsi="宋体"/>
          <w:color w:val="auto"/>
          <w:sz w:val="21"/>
          <w:szCs w:val="21"/>
          <w:highlight w:val="none"/>
        </w:rPr>
        <w:t>、保证不将中标工程转包他人、不允许以任何形式挂靠。未经建设单位同意不擅自分包。</w:t>
      </w:r>
    </w:p>
    <w:p w14:paraId="51AA8203">
      <w:pPr>
        <w:pStyle w:val="59"/>
        <w:keepNext w:val="0"/>
        <w:keepLines w:val="0"/>
        <w:pageBreakBefore w:val="0"/>
        <w:widowControl w:val="0"/>
        <w:tabs>
          <w:tab w:val="left" w:pos="0"/>
        </w:tabs>
        <w:kinsoku/>
        <w:overflowPunct/>
        <w:topLinePunct w:val="0"/>
        <w:bidi w:val="0"/>
        <w:spacing w:before="0" w:after="0" w:line="460" w:lineRule="exact"/>
        <w:ind w:left="0" w:right="0" w:firstLine="420" w:firstLineChars="200"/>
        <w:textAlignment w:val="auto"/>
        <w:outlineLvl w:val="9"/>
        <w:rPr>
          <w:rFonts w:ascii="宋体" w:hAnsi="宋体"/>
          <w:color w:val="auto"/>
          <w:sz w:val="21"/>
          <w:szCs w:val="21"/>
          <w:highlight w:val="none"/>
        </w:rPr>
      </w:pPr>
      <w:r>
        <w:rPr>
          <w:rFonts w:hint="eastAsia" w:ascii="宋体" w:hAnsi="宋体"/>
          <w:color w:val="auto"/>
          <w:sz w:val="21"/>
          <w:szCs w:val="21"/>
          <w:highlight w:val="none"/>
        </w:rPr>
        <w:t>7</w:t>
      </w:r>
      <w:r>
        <w:rPr>
          <w:rFonts w:ascii="宋体" w:hAnsi="宋体"/>
          <w:color w:val="auto"/>
          <w:sz w:val="21"/>
          <w:szCs w:val="21"/>
          <w:highlight w:val="none"/>
        </w:rPr>
        <w:t>、保证不无故拖欠或克扣农、民工及其他职工工资，并在成交通知书发出后七天内将工程</w:t>
      </w:r>
      <w:r>
        <w:rPr>
          <w:rFonts w:hint="eastAsia" w:ascii="宋体" w:hAnsi="宋体"/>
          <w:color w:val="auto"/>
          <w:sz w:val="21"/>
          <w:szCs w:val="21"/>
          <w:highlight w:val="none"/>
        </w:rPr>
        <w:t>报价</w:t>
      </w:r>
      <w:r>
        <w:rPr>
          <w:rFonts w:ascii="宋体" w:hAnsi="宋体"/>
          <w:color w:val="auto"/>
          <w:sz w:val="21"/>
          <w:szCs w:val="21"/>
          <w:highlight w:val="none"/>
        </w:rPr>
        <w:t>的2%转入建设行政主管部门指定的</w:t>
      </w:r>
      <w:r>
        <w:rPr>
          <w:rFonts w:hint="eastAsia" w:ascii="宋体" w:hAnsi="宋体"/>
          <w:color w:val="auto"/>
          <w:sz w:val="21"/>
          <w:szCs w:val="21"/>
          <w:highlight w:val="none"/>
        </w:rPr>
        <w:t>账户</w:t>
      </w:r>
      <w:r>
        <w:rPr>
          <w:rFonts w:ascii="宋体" w:hAnsi="宋体"/>
          <w:color w:val="auto"/>
          <w:sz w:val="21"/>
          <w:szCs w:val="21"/>
          <w:highlight w:val="none"/>
        </w:rPr>
        <w:t>。</w:t>
      </w:r>
    </w:p>
    <w:p w14:paraId="5C404C65">
      <w:pPr>
        <w:pStyle w:val="59"/>
        <w:keepNext w:val="0"/>
        <w:keepLines w:val="0"/>
        <w:pageBreakBefore w:val="0"/>
        <w:widowControl w:val="0"/>
        <w:tabs>
          <w:tab w:val="left" w:pos="0"/>
        </w:tabs>
        <w:kinsoku/>
        <w:overflowPunct/>
        <w:topLinePunct w:val="0"/>
        <w:bidi w:val="0"/>
        <w:spacing w:before="0" w:after="0" w:line="460" w:lineRule="exact"/>
        <w:ind w:left="0" w:right="0" w:firstLine="420" w:firstLineChars="200"/>
        <w:textAlignment w:val="auto"/>
        <w:outlineLvl w:val="9"/>
        <w:rPr>
          <w:rFonts w:hint="eastAsia" w:ascii="宋体" w:hAnsi="宋体"/>
          <w:color w:val="auto"/>
          <w:szCs w:val="21"/>
          <w:highlight w:val="none"/>
        </w:rPr>
      </w:pPr>
      <w:r>
        <w:rPr>
          <w:rFonts w:ascii="宋体" w:hAnsi="宋体"/>
          <w:color w:val="auto"/>
          <w:sz w:val="21"/>
          <w:szCs w:val="21"/>
          <w:highlight w:val="none"/>
        </w:rPr>
        <w:t>如</w:t>
      </w:r>
      <w:r>
        <w:rPr>
          <w:rFonts w:hint="eastAsia" w:ascii="宋体" w:hAnsi="宋体"/>
          <w:color w:val="auto"/>
          <w:sz w:val="21"/>
          <w:szCs w:val="21"/>
          <w:highlight w:val="none"/>
          <w:lang w:eastAsia="zh-CN"/>
        </w:rPr>
        <w:t>磋商</w:t>
      </w:r>
      <w:r>
        <w:rPr>
          <w:rFonts w:ascii="宋体" w:hAnsi="宋体"/>
          <w:color w:val="auto"/>
          <w:sz w:val="21"/>
          <w:szCs w:val="21"/>
          <w:highlight w:val="none"/>
        </w:rPr>
        <w:t>单位违反以上1～3项规定均愿按合同“专用条款”的规定承担违约责任，如违反以上4～</w:t>
      </w:r>
      <w:r>
        <w:rPr>
          <w:rFonts w:hint="eastAsia" w:ascii="宋体" w:hAnsi="宋体"/>
          <w:color w:val="auto"/>
          <w:sz w:val="21"/>
          <w:szCs w:val="21"/>
          <w:highlight w:val="none"/>
        </w:rPr>
        <w:t>6</w:t>
      </w:r>
      <w:r>
        <w:rPr>
          <w:rFonts w:ascii="宋体" w:hAnsi="宋体"/>
          <w:color w:val="auto"/>
          <w:sz w:val="21"/>
          <w:szCs w:val="21"/>
          <w:highlight w:val="none"/>
        </w:rPr>
        <w:t>项规定,均愿按工程</w:t>
      </w:r>
      <w:r>
        <w:rPr>
          <w:rFonts w:hint="eastAsia" w:ascii="宋体" w:hAnsi="宋体"/>
          <w:color w:val="auto"/>
          <w:sz w:val="21"/>
          <w:szCs w:val="21"/>
          <w:highlight w:val="none"/>
        </w:rPr>
        <w:t>报价</w:t>
      </w:r>
      <w:r>
        <w:rPr>
          <w:rFonts w:ascii="宋体" w:hAnsi="宋体"/>
          <w:color w:val="auto"/>
          <w:sz w:val="21"/>
          <w:szCs w:val="21"/>
          <w:highlight w:val="none"/>
        </w:rPr>
        <w:t>20%</w:t>
      </w:r>
      <w:r>
        <w:rPr>
          <w:rFonts w:hint="eastAsia" w:ascii="宋体" w:hAnsi="宋体"/>
          <w:color w:val="auto"/>
          <w:sz w:val="21"/>
          <w:szCs w:val="21"/>
          <w:highlight w:val="none"/>
        </w:rPr>
        <w:t>支付</w:t>
      </w:r>
      <w:r>
        <w:rPr>
          <w:rFonts w:ascii="宋体" w:hAnsi="宋体"/>
          <w:color w:val="auto"/>
          <w:sz w:val="21"/>
          <w:szCs w:val="21"/>
          <w:highlight w:val="none"/>
        </w:rPr>
        <w:t>违约</w:t>
      </w:r>
      <w:r>
        <w:rPr>
          <w:rFonts w:hint="eastAsia" w:ascii="宋体" w:hAnsi="宋体"/>
          <w:color w:val="auto"/>
          <w:sz w:val="21"/>
          <w:szCs w:val="21"/>
          <w:highlight w:val="none"/>
        </w:rPr>
        <w:t>金</w:t>
      </w:r>
      <w:r>
        <w:rPr>
          <w:rFonts w:ascii="宋体" w:hAnsi="宋体"/>
          <w:color w:val="auto"/>
          <w:sz w:val="21"/>
          <w:szCs w:val="21"/>
          <w:highlight w:val="none"/>
        </w:rPr>
        <w:t>，如违反以上第</w:t>
      </w:r>
      <w:r>
        <w:rPr>
          <w:rFonts w:hint="eastAsia" w:ascii="宋体" w:hAnsi="宋体"/>
          <w:color w:val="auto"/>
          <w:sz w:val="21"/>
          <w:szCs w:val="21"/>
          <w:highlight w:val="none"/>
        </w:rPr>
        <w:t>7</w:t>
      </w:r>
      <w:r>
        <w:rPr>
          <w:rFonts w:ascii="宋体" w:hAnsi="宋体"/>
          <w:color w:val="auto"/>
          <w:sz w:val="21"/>
          <w:szCs w:val="21"/>
          <w:highlight w:val="none"/>
        </w:rPr>
        <w:t>项规定, 愿承担工程</w:t>
      </w:r>
      <w:r>
        <w:rPr>
          <w:rFonts w:hint="eastAsia" w:ascii="宋体" w:hAnsi="宋体"/>
          <w:color w:val="auto"/>
          <w:sz w:val="21"/>
          <w:szCs w:val="21"/>
          <w:highlight w:val="none"/>
          <w:lang w:eastAsia="zh-CN"/>
        </w:rPr>
        <w:t>磋商</w:t>
      </w:r>
      <w:r>
        <w:rPr>
          <w:rFonts w:ascii="宋体" w:hAnsi="宋体"/>
          <w:color w:val="auto"/>
          <w:sz w:val="21"/>
          <w:szCs w:val="21"/>
          <w:highlight w:val="none"/>
        </w:rPr>
        <w:t>保证金</w:t>
      </w:r>
      <w:r>
        <w:rPr>
          <w:rFonts w:hint="eastAsia" w:ascii="宋体" w:hAnsi="宋体"/>
          <w:color w:val="auto"/>
          <w:sz w:val="21"/>
          <w:szCs w:val="21"/>
          <w:highlight w:val="none"/>
        </w:rPr>
        <w:t>不能返还</w:t>
      </w:r>
      <w:r>
        <w:rPr>
          <w:rFonts w:ascii="宋体" w:hAnsi="宋体"/>
          <w:color w:val="auto"/>
          <w:sz w:val="21"/>
          <w:szCs w:val="21"/>
          <w:highlight w:val="none"/>
        </w:rPr>
        <w:t>的违约责任，因此造成的损失由</w:t>
      </w:r>
      <w:r>
        <w:rPr>
          <w:rFonts w:hint="eastAsia" w:ascii="宋体" w:hAnsi="宋体"/>
          <w:color w:val="auto"/>
          <w:sz w:val="21"/>
          <w:szCs w:val="21"/>
          <w:highlight w:val="none"/>
          <w:lang w:eastAsia="zh-CN"/>
        </w:rPr>
        <w:t>磋商</w:t>
      </w:r>
      <w:r>
        <w:rPr>
          <w:rFonts w:ascii="宋体" w:hAnsi="宋体"/>
          <w:color w:val="auto"/>
          <w:sz w:val="21"/>
          <w:szCs w:val="21"/>
          <w:highlight w:val="none"/>
        </w:rPr>
        <w:t>单位承担。</w:t>
      </w:r>
    </w:p>
    <w:p w14:paraId="2FB8036B">
      <w:pPr>
        <w:keepNext w:val="0"/>
        <w:keepLines w:val="0"/>
        <w:pageBreakBefore w:val="0"/>
        <w:widowControl w:val="0"/>
        <w:kinsoku/>
        <w:overflowPunct/>
        <w:topLinePunct w:val="0"/>
        <w:bidi w:val="0"/>
        <w:spacing w:line="360" w:lineRule="auto"/>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lang w:eastAsia="zh-CN"/>
        </w:rPr>
        <w:t>磋商</w:t>
      </w:r>
      <w:r>
        <w:rPr>
          <w:rFonts w:hint="eastAsia" w:ascii="宋体" w:hAnsi="宋体" w:cs="宋体"/>
          <w:color w:val="auto"/>
          <w:szCs w:val="21"/>
          <w:highlight w:val="none"/>
        </w:rPr>
        <w:t>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（盖单位章）</w:t>
      </w:r>
    </w:p>
    <w:p w14:paraId="0FC79151">
      <w:pPr>
        <w:keepNext w:val="0"/>
        <w:keepLines w:val="0"/>
        <w:pageBreakBefore w:val="0"/>
        <w:widowControl w:val="0"/>
        <w:kinsoku/>
        <w:overflowPunct/>
        <w:topLinePunct w:val="0"/>
        <w:bidi w:val="0"/>
        <w:spacing w:line="360" w:lineRule="auto"/>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法定代表人或其委托代理人：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（签字）</w:t>
      </w:r>
    </w:p>
    <w:p w14:paraId="054C32D5">
      <w:pPr>
        <w:keepNext w:val="0"/>
        <w:keepLines w:val="0"/>
        <w:pageBreakBefore w:val="0"/>
        <w:widowControl w:val="0"/>
        <w:kinsoku/>
        <w:overflowPunct/>
        <w:topLinePunct w:val="0"/>
        <w:bidi w:val="0"/>
        <w:spacing w:line="360" w:lineRule="auto"/>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地    址：</w:t>
      </w:r>
      <w:r>
        <w:rPr>
          <w:rFonts w:hint="eastAsia" w:ascii="宋体" w:hAnsi="宋体" w:cs="宋体"/>
          <w:color w:val="auto"/>
          <w:szCs w:val="21"/>
          <w:highlight w:val="none"/>
          <w:u w:val="single"/>
        </w:rPr>
        <w:t xml:space="preserve">                            </w:t>
      </w:r>
    </w:p>
    <w:p w14:paraId="658A08C7">
      <w:pPr>
        <w:keepNext w:val="0"/>
        <w:keepLines w:val="0"/>
        <w:pageBreakBefore w:val="0"/>
        <w:widowControl w:val="0"/>
        <w:kinsoku/>
        <w:overflowPunct/>
        <w:topLinePunct w:val="0"/>
        <w:bidi w:val="0"/>
        <w:spacing w:line="360" w:lineRule="auto"/>
        <w:textAlignment w:val="auto"/>
        <w:outlineLvl w:val="9"/>
        <w:rPr>
          <w:rFonts w:hint="eastAsia" w:ascii="宋体" w:hAnsi="宋体" w:cs="宋体"/>
          <w:color w:val="auto"/>
          <w:szCs w:val="21"/>
          <w:highlight w:val="none"/>
          <w:u w:val="single"/>
        </w:rPr>
      </w:pPr>
      <w:r>
        <w:rPr>
          <w:rFonts w:hint="eastAsia" w:ascii="宋体" w:hAnsi="宋体" w:cs="宋体"/>
          <w:color w:val="auto"/>
          <w:szCs w:val="21"/>
          <w:highlight w:val="none"/>
        </w:rPr>
        <w:t>邮政编码：</w:t>
      </w:r>
      <w:r>
        <w:rPr>
          <w:rFonts w:hint="eastAsia" w:ascii="宋体" w:hAnsi="宋体" w:cs="宋体"/>
          <w:color w:val="auto"/>
          <w:szCs w:val="21"/>
          <w:highlight w:val="none"/>
          <w:u w:val="single"/>
        </w:rPr>
        <w:t xml:space="preserve">                            </w:t>
      </w:r>
    </w:p>
    <w:p w14:paraId="495D9218">
      <w:pPr>
        <w:keepNext w:val="0"/>
        <w:keepLines w:val="0"/>
        <w:pageBreakBefore w:val="0"/>
        <w:widowControl w:val="0"/>
        <w:kinsoku/>
        <w:overflowPunct/>
        <w:topLinePunct w:val="0"/>
        <w:bidi w:val="0"/>
        <w:spacing w:line="360" w:lineRule="auto"/>
        <w:textAlignment w:val="auto"/>
        <w:outlineLvl w:val="9"/>
        <w:rPr>
          <w:rFonts w:hint="eastAsia" w:ascii="宋体" w:hAnsi="宋体" w:cs="宋体"/>
          <w:color w:val="auto"/>
          <w:szCs w:val="21"/>
          <w:highlight w:val="none"/>
          <w:u w:val="single"/>
        </w:rPr>
      </w:pPr>
      <w:r>
        <w:rPr>
          <w:rFonts w:hint="eastAsia" w:ascii="宋体" w:hAnsi="宋体" w:cs="宋体"/>
          <w:color w:val="auto"/>
          <w:szCs w:val="21"/>
          <w:highlight w:val="none"/>
        </w:rPr>
        <w:t>电    话：</w:t>
      </w:r>
      <w:r>
        <w:rPr>
          <w:rFonts w:hint="eastAsia" w:ascii="宋体" w:hAnsi="宋体" w:cs="宋体"/>
          <w:color w:val="auto"/>
          <w:szCs w:val="21"/>
          <w:highlight w:val="none"/>
          <w:u w:val="single"/>
        </w:rPr>
        <w:t xml:space="preserve">                            </w:t>
      </w:r>
    </w:p>
    <w:p w14:paraId="43DE9AD3">
      <w:pPr>
        <w:keepNext w:val="0"/>
        <w:keepLines w:val="0"/>
        <w:pageBreakBefore w:val="0"/>
        <w:widowControl w:val="0"/>
        <w:kinsoku/>
        <w:overflowPunct/>
        <w:topLinePunct w:val="0"/>
        <w:bidi w:val="0"/>
        <w:spacing w:line="360" w:lineRule="auto"/>
        <w:textAlignment w:val="auto"/>
        <w:outlineLvl w:val="9"/>
        <w:rPr>
          <w:rFonts w:hint="eastAsia" w:ascii="宋体" w:hAnsi="宋体" w:cs="宋体"/>
          <w:color w:val="auto"/>
          <w:szCs w:val="21"/>
          <w:highlight w:val="none"/>
          <w:u w:val="single"/>
        </w:rPr>
      </w:pPr>
      <w:r>
        <w:rPr>
          <w:rFonts w:hint="eastAsia" w:ascii="宋体" w:hAnsi="宋体" w:cs="宋体"/>
          <w:color w:val="auto"/>
          <w:szCs w:val="21"/>
          <w:highlight w:val="none"/>
        </w:rPr>
        <w:t>传    真：</w:t>
      </w:r>
      <w:r>
        <w:rPr>
          <w:rFonts w:hint="eastAsia" w:ascii="宋体" w:hAnsi="宋体" w:cs="宋体"/>
          <w:color w:val="auto"/>
          <w:szCs w:val="21"/>
          <w:highlight w:val="none"/>
          <w:u w:val="single"/>
        </w:rPr>
        <w:t xml:space="preserve">                            </w:t>
      </w:r>
    </w:p>
    <w:p w14:paraId="13692631">
      <w:pPr>
        <w:keepNext w:val="0"/>
        <w:keepLines w:val="0"/>
        <w:pageBreakBefore w:val="0"/>
        <w:widowControl w:val="0"/>
        <w:kinsoku/>
        <w:overflowPunct/>
        <w:topLinePunct w:val="0"/>
        <w:bidi w:val="0"/>
        <w:spacing w:line="360" w:lineRule="auto"/>
        <w:ind w:firstLine="1680" w:firstLineChars="8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2D94EAD5">
      <w:pPr>
        <w:pStyle w:val="29"/>
        <w:keepNext w:val="0"/>
        <w:keepLines w:val="0"/>
        <w:pageBreakBefore w:val="0"/>
        <w:widowControl w:val="0"/>
        <w:kinsoku/>
        <w:overflowPunct/>
        <w:topLinePunct w:val="0"/>
        <w:bidi w:val="0"/>
        <w:textAlignment w:val="auto"/>
        <w:outlineLvl w:val="9"/>
        <w:rPr>
          <w:rFonts w:hint="eastAsia" w:ascii="宋体" w:hAnsi="宋体" w:cs="宋体"/>
          <w:color w:val="auto"/>
          <w:szCs w:val="21"/>
          <w:highlight w:val="none"/>
        </w:rPr>
      </w:pPr>
    </w:p>
    <w:p w14:paraId="7396A7C2">
      <w:pPr>
        <w:pStyle w:val="29"/>
        <w:keepNext w:val="0"/>
        <w:keepLines w:val="0"/>
        <w:pageBreakBefore w:val="0"/>
        <w:widowControl w:val="0"/>
        <w:kinsoku/>
        <w:overflowPunct/>
        <w:topLinePunct w:val="0"/>
        <w:bidi w:val="0"/>
        <w:textAlignment w:val="auto"/>
        <w:outlineLvl w:val="9"/>
        <w:rPr>
          <w:rFonts w:hint="eastAsia" w:ascii="宋体" w:hAnsi="宋体" w:cs="宋体"/>
          <w:color w:val="auto"/>
          <w:szCs w:val="21"/>
          <w:highlight w:val="none"/>
        </w:rPr>
      </w:pPr>
    </w:p>
    <w:p w14:paraId="0091DC7B">
      <w:pPr>
        <w:pStyle w:val="56"/>
        <w:keepNext w:val="0"/>
        <w:keepLines w:val="0"/>
        <w:pageBreakBefore w:val="0"/>
        <w:widowControl w:val="0"/>
        <w:kinsoku/>
        <w:overflowPunct/>
        <w:topLinePunct w:val="0"/>
        <w:bidi w:val="0"/>
        <w:ind w:firstLine="0" w:firstLineChars="0"/>
        <w:textAlignment w:val="auto"/>
        <w:outlineLvl w:val="9"/>
        <w:rPr>
          <w:rFonts w:eastAsia="黑体"/>
          <w:color w:val="auto"/>
          <w:sz w:val="30"/>
          <w:szCs w:val="30"/>
          <w:highlight w:val="none"/>
        </w:rPr>
      </w:pPr>
      <w:r>
        <w:rPr>
          <w:rFonts w:eastAsia="宋体"/>
          <w:b/>
          <w:color w:val="auto"/>
          <w:sz w:val="28"/>
          <w:szCs w:val="30"/>
          <w:highlight w:val="none"/>
        </w:rPr>
        <w:t>附件</w:t>
      </w:r>
      <w:r>
        <w:rPr>
          <w:rFonts w:hint="eastAsia" w:eastAsia="宋体"/>
          <w:b/>
          <w:color w:val="auto"/>
          <w:sz w:val="28"/>
          <w:szCs w:val="30"/>
          <w:highlight w:val="none"/>
        </w:rPr>
        <w:t>2</w:t>
      </w:r>
      <w:r>
        <w:rPr>
          <w:rFonts w:eastAsia="宋体"/>
          <w:b/>
          <w:color w:val="auto"/>
          <w:sz w:val="28"/>
          <w:szCs w:val="30"/>
          <w:highlight w:val="none"/>
        </w:rPr>
        <w:t>：</w:t>
      </w:r>
    </w:p>
    <w:p w14:paraId="0DD0B421">
      <w:pPr>
        <w:pStyle w:val="56"/>
        <w:keepNext w:val="0"/>
        <w:keepLines w:val="0"/>
        <w:pageBreakBefore w:val="0"/>
        <w:widowControl w:val="0"/>
        <w:kinsoku/>
        <w:overflowPunct/>
        <w:topLinePunct w:val="0"/>
        <w:bidi w:val="0"/>
        <w:spacing w:before="156" w:beforeLines="50" w:after="156" w:afterLines="50"/>
        <w:ind w:firstLine="0" w:firstLineChars="0"/>
        <w:jc w:val="center"/>
        <w:textAlignment w:val="auto"/>
        <w:outlineLvl w:val="9"/>
        <w:rPr>
          <w:rFonts w:eastAsia="宋体"/>
          <w:b/>
          <w:color w:val="auto"/>
          <w:sz w:val="28"/>
          <w:szCs w:val="24"/>
          <w:highlight w:val="none"/>
        </w:rPr>
      </w:pPr>
      <w:r>
        <w:rPr>
          <w:rFonts w:eastAsia="宋体"/>
          <w:b/>
          <w:color w:val="auto"/>
          <w:sz w:val="28"/>
          <w:szCs w:val="24"/>
          <w:highlight w:val="none"/>
        </w:rPr>
        <w:t>工程质量保修书</w:t>
      </w:r>
    </w:p>
    <w:p w14:paraId="59980699">
      <w:pPr>
        <w:pStyle w:val="56"/>
        <w:keepNext w:val="0"/>
        <w:keepLines w:val="0"/>
        <w:pageBreakBefore w:val="0"/>
        <w:widowControl w:val="0"/>
        <w:kinsoku/>
        <w:overflowPunct/>
        <w:topLinePunct w:val="0"/>
        <w:bidi w:val="0"/>
        <w:ind w:firstLine="0" w:firstLineChars="0"/>
        <w:textAlignment w:val="auto"/>
        <w:outlineLvl w:val="9"/>
        <w:rPr>
          <w:rFonts w:hint="eastAsia" w:eastAsia="宋体" w:cs="宋体"/>
          <w:color w:val="auto"/>
          <w:sz w:val="24"/>
          <w:szCs w:val="24"/>
          <w:highlight w:val="none"/>
        </w:rPr>
      </w:pPr>
    </w:p>
    <w:p w14:paraId="5AE1232B">
      <w:pPr>
        <w:pStyle w:val="56"/>
        <w:keepNext w:val="0"/>
        <w:keepLines w:val="0"/>
        <w:pageBreakBefore w:val="0"/>
        <w:widowControl w:val="0"/>
        <w:kinsoku/>
        <w:wordWrap w:val="0"/>
        <w:overflowPunct/>
        <w:topLinePunct w:val="0"/>
        <w:bidi w:val="0"/>
        <w:ind w:firstLine="0" w:firstLineChars="0"/>
        <w:textAlignment w:val="auto"/>
        <w:outlineLvl w:val="9"/>
        <w:rPr>
          <w:rFonts w:hint="eastAsia" w:eastAsia="宋体" w:cs="宋体"/>
          <w:color w:val="auto"/>
          <w:highlight w:val="none"/>
        </w:rPr>
      </w:pPr>
      <w:r>
        <w:rPr>
          <w:rFonts w:hint="eastAsia" w:eastAsia="宋体" w:cs="宋体"/>
          <w:color w:val="auto"/>
          <w:highlight w:val="none"/>
        </w:rPr>
        <w:t>发包人（全称）：</w:t>
      </w:r>
      <w:r>
        <w:rPr>
          <w:rFonts w:hint="eastAsia" w:eastAsia="宋体" w:cs="宋体"/>
          <w:color w:val="auto"/>
          <w:highlight w:val="none"/>
          <w:u w:val="single"/>
        </w:rPr>
        <w:t xml:space="preserve">                                </w:t>
      </w:r>
      <w:r>
        <w:rPr>
          <w:rFonts w:hint="eastAsia" w:eastAsia="宋体" w:cs="宋体"/>
          <w:color w:val="auto"/>
          <w:highlight w:val="none"/>
        </w:rPr>
        <w:t xml:space="preserve"> </w:t>
      </w:r>
    </w:p>
    <w:p w14:paraId="7FA8F0E9">
      <w:pPr>
        <w:pStyle w:val="56"/>
        <w:keepNext w:val="0"/>
        <w:keepLines w:val="0"/>
        <w:pageBreakBefore w:val="0"/>
        <w:widowControl w:val="0"/>
        <w:kinsoku/>
        <w:wordWrap w:val="0"/>
        <w:overflowPunct/>
        <w:topLinePunct w:val="0"/>
        <w:bidi w:val="0"/>
        <w:ind w:firstLine="0" w:firstLineChars="0"/>
        <w:textAlignment w:val="auto"/>
        <w:outlineLvl w:val="9"/>
        <w:rPr>
          <w:rFonts w:hint="eastAsia" w:eastAsia="宋体" w:cs="宋体"/>
          <w:color w:val="auto"/>
          <w:highlight w:val="none"/>
        </w:rPr>
      </w:pPr>
      <w:r>
        <w:rPr>
          <w:rFonts w:hint="eastAsia" w:eastAsia="宋体" w:cs="宋体"/>
          <w:color w:val="auto"/>
          <w:highlight w:val="none"/>
        </w:rPr>
        <w:t>承包人（全称）：</w:t>
      </w:r>
      <w:r>
        <w:rPr>
          <w:rFonts w:hint="eastAsia" w:eastAsia="宋体" w:cs="宋体"/>
          <w:color w:val="auto"/>
          <w:highlight w:val="none"/>
          <w:u w:val="single"/>
        </w:rPr>
        <w:t xml:space="preserve">                                </w:t>
      </w:r>
      <w:r>
        <w:rPr>
          <w:rFonts w:hint="eastAsia" w:eastAsia="宋体" w:cs="宋体"/>
          <w:color w:val="auto"/>
          <w:highlight w:val="none"/>
        </w:rPr>
        <w:t xml:space="preserve"> </w:t>
      </w:r>
    </w:p>
    <w:p w14:paraId="6607F81D">
      <w:pPr>
        <w:pStyle w:val="56"/>
        <w:keepNext w:val="0"/>
        <w:keepLines w:val="0"/>
        <w:pageBreakBefore w:val="0"/>
        <w:widowControl w:val="0"/>
        <w:kinsoku/>
        <w:overflowPunct/>
        <w:topLinePunct w:val="0"/>
        <w:bidi w:val="0"/>
        <w:ind w:firstLine="0" w:firstLineChars="0"/>
        <w:textAlignment w:val="auto"/>
        <w:outlineLvl w:val="9"/>
        <w:rPr>
          <w:rFonts w:hint="eastAsia" w:eastAsia="宋体" w:cs="宋体"/>
          <w:color w:val="auto"/>
          <w:highlight w:val="none"/>
        </w:rPr>
      </w:pPr>
    </w:p>
    <w:p w14:paraId="0FB7AF00">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发包人和承包人根据《中华人民共和国建筑法》和《建设工程质量管理条例》，经协商一致就</w:t>
      </w:r>
      <w:r>
        <w:rPr>
          <w:rFonts w:hint="eastAsia" w:eastAsia="宋体" w:cs="宋体"/>
          <w:color w:val="auto"/>
          <w:highlight w:val="none"/>
          <w:u w:val="single"/>
        </w:rPr>
        <w:t xml:space="preserve">       （项目名称）        </w:t>
      </w:r>
      <w:r>
        <w:rPr>
          <w:rFonts w:hint="eastAsia" w:eastAsia="宋体" w:cs="宋体"/>
          <w:color w:val="auto"/>
          <w:highlight w:val="none"/>
        </w:rPr>
        <w:t>签订工程质量保修书。</w:t>
      </w:r>
    </w:p>
    <w:p w14:paraId="51283CD8">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一、工程质量保修范围和内容</w:t>
      </w:r>
    </w:p>
    <w:p w14:paraId="59314E1B">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承包人在质量保修期内，按照有关法律规定和合同约定，承担工程质量保修责任。</w:t>
      </w:r>
    </w:p>
    <w:p w14:paraId="201110E3">
      <w:pPr>
        <w:pStyle w:val="56"/>
        <w:keepNext w:val="0"/>
        <w:keepLines w:val="0"/>
        <w:pageBreakBefore w:val="0"/>
        <w:widowControl w:val="0"/>
        <w:kinsoku/>
        <w:overflowPunct/>
        <w:topLinePunct w:val="0"/>
        <w:bidi w:val="0"/>
        <w:spacing w:line="460" w:lineRule="exact"/>
        <w:textAlignment w:val="auto"/>
        <w:outlineLvl w:val="9"/>
        <w:rPr>
          <w:rFonts w:eastAsia="宋体" w:cs="宋体"/>
          <w:color w:val="auto"/>
          <w:highlight w:val="none"/>
        </w:rPr>
      </w:pPr>
      <w:r>
        <w:rPr>
          <w:rFonts w:eastAsia="宋体" w:cs="宋体"/>
          <w:color w:val="auto"/>
          <w:highlight w:val="none"/>
        </w:rPr>
        <w:t>质量保修范围包括</w:t>
      </w:r>
      <w:r>
        <w:rPr>
          <w:rFonts w:hint="eastAsia" w:eastAsia="宋体" w:cs="宋体"/>
          <w:color w:val="auto"/>
          <w:highlight w:val="none"/>
          <w:u w:val="single"/>
        </w:rPr>
        <w:t xml:space="preserve">                           </w:t>
      </w:r>
      <w:r>
        <w:rPr>
          <w:rFonts w:eastAsia="宋体" w:cs="宋体"/>
          <w:color w:val="auto"/>
          <w:highlight w:val="none"/>
        </w:rPr>
        <w:t>，以及双方约定的其他项目。具体保修的内容，双方约定如下：</w:t>
      </w:r>
    </w:p>
    <w:p w14:paraId="2EACBE46">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eastAsia="宋体" w:cs="宋体"/>
          <w:color w:val="auto"/>
          <w:highlight w:val="none"/>
          <w:u w:val="single"/>
        </w:rPr>
        <w:t xml:space="preserve">   </w:t>
      </w:r>
      <w:r>
        <w:rPr>
          <w:rFonts w:hint="eastAsia" w:eastAsia="宋体" w:cs="宋体"/>
          <w:color w:val="auto"/>
          <w:highlight w:val="none"/>
          <w:u w:val="single"/>
        </w:rPr>
        <w:t xml:space="preserve">         承包人所建设的全部工程内容 </w:t>
      </w:r>
      <w:r>
        <w:rPr>
          <w:rFonts w:eastAsia="宋体" w:cs="宋体"/>
          <w:color w:val="auto"/>
          <w:highlight w:val="none"/>
          <w:u w:val="single"/>
        </w:rPr>
        <w:t xml:space="preserve">               </w:t>
      </w:r>
      <w:r>
        <w:rPr>
          <w:rFonts w:eastAsia="宋体" w:cs="宋体"/>
          <w:color w:val="auto"/>
          <w:highlight w:val="none"/>
        </w:rPr>
        <w:t>。</w:t>
      </w:r>
    </w:p>
    <w:p w14:paraId="10EC6083">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二、质量保修期</w:t>
      </w:r>
    </w:p>
    <w:p w14:paraId="600BE71A">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根据《建设工程质量管理条例》及有关规定，工程的质量保修期如下：</w:t>
      </w:r>
    </w:p>
    <w:p w14:paraId="439EB395">
      <w:pPr>
        <w:pStyle w:val="56"/>
        <w:keepNext w:val="0"/>
        <w:keepLines w:val="0"/>
        <w:pageBreakBefore w:val="0"/>
        <w:widowControl w:val="0"/>
        <w:kinsoku/>
        <w:overflowPunct/>
        <w:topLinePunct w:val="0"/>
        <w:bidi w:val="0"/>
        <w:spacing w:line="460" w:lineRule="exact"/>
        <w:textAlignment w:val="auto"/>
        <w:outlineLvl w:val="9"/>
        <w:rPr>
          <w:rFonts w:eastAsia="宋体" w:cs="宋体"/>
          <w:color w:val="auto"/>
          <w:highlight w:val="none"/>
        </w:rPr>
      </w:pPr>
      <w:r>
        <w:rPr>
          <w:rFonts w:hint="eastAsia" w:eastAsia="宋体" w:cs="宋体"/>
          <w:color w:val="auto"/>
          <w:highlight w:val="none"/>
        </w:rPr>
        <w:t>1．桥梁工程为</w:t>
      </w:r>
      <w:r>
        <w:rPr>
          <w:rFonts w:hint="eastAsia" w:eastAsia="宋体" w:cs="宋体"/>
          <w:color w:val="auto"/>
          <w:highlight w:val="none"/>
          <w:u w:val="single"/>
        </w:rPr>
        <w:t xml:space="preserve">     </w:t>
      </w:r>
      <w:r>
        <w:rPr>
          <w:rFonts w:hint="eastAsia" w:eastAsia="宋体" w:cs="宋体"/>
          <w:color w:val="auto"/>
          <w:highlight w:val="none"/>
        </w:rPr>
        <w:t>年；</w:t>
      </w:r>
    </w:p>
    <w:p w14:paraId="3D337531">
      <w:pPr>
        <w:pStyle w:val="56"/>
        <w:keepNext w:val="0"/>
        <w:keepLines w:val="0"/>
        <w:pageBreakBefore w:val="0"/>
        <w:widowControl w:val="0"/>
        <w:kinsoku/>
        <w:overflowPunct/>
        <w:topLinePunct w:val="0"/>
        <w:bidi w:val="0"/>
        <w:spacing w:line="460" w:lineRule="exact"/>
        <w:textAlignment w:val="auto"/>
        <w:outlineLvl w:val="9"/>
        <w:rPr>
          <w:rFonts w:eastAsia="宋体" w:cs="宋体"/>
          <w:color w:val="auto"/>
          <w:highlight w:val="none"/>
        </w:rPr>
      </w:pPr>
      <w:r>
        <w:rPr>
          <w:rFonts w:hint="eastAsia" w:eastAsia="宋体" w:cs="宋体"/>
          <w:color w:val="auto"/>
          <w:highlight w:val="none"/>
        </w:rPr>
        <w:t>2．道路工程为</w:t>
      </w:r>
      <w:r>
        <w:rPr>
          <w:rFonts w:hint="eastAsia" w:eastAsia="宋体" w:cs="宋体"/>
          <w:color w:val="auto"/>
          <w:highlight w:val="none"/>
          <w:u w:val="single"/>
        </w:rPr>
        <w:t xml:space="preserve">      </w:t>
      </w:r>
      <w:r>
        <w:rPr>
          <w:rFonts w:hint="eastAsia" w:eastAsia="宋体" w:cs="宋体"/>
          <w:color w:val="auto"/>
          <w:highlight w:val="none"/>
        </w:rPr>
        <w:t>年；</w:t>
      </w:r>
    </w:p>
    <w:p w14:paraId="5F43BE90">
      <w:pPr>
        <w:pStyle w:val="56"/>
        <w:keepNext w:val="0"/>
        <w:keepLines w:val="0"/>
        <w:pageBreakBefore w:val="0"/>
        <w:widowControl w:val="0"/>
        <w:kinsoku/>
        <w:overflowPunct/>
        <w:topLinePunct w:val="0"/>
        <w:bidi w:val="0"/>
        <w:spacing w:line="460" w:lineRule="exact"/>
        <w:textAlignment w:val="auto"/>
        <w:outlineLvl w:val="9"/>
        <w:rPr>
          <w:rFonts w:eastAsia="宋体" w:cs="宋体"/>
          <w:color w:val="auto"/>
          <w:highlight w:val="none"/>
        </w:rPr>
      </w:pPr>
      <w:r>
        <w:rPr>
          <w:rFonts w:hint="eastAsia" w:eastAsia="宋体" w:cs="宋体"/>
          <w:color w:val="auto"/>
          <w:highlight w:val="none"/>
        </w:rPr>
        <w:t>3．排水（雨水）工程为</w:t>
      </w:r>
      <w:r>
        <w:rPr>
          <w:rFonts w:hint="eastAsia" w:eastAsia="宋体" w:cs="宋体"/>
          <w:color w:val="auto"/>
          <w:highlight w:val="none"/>
          <w:u w:val="single"/>
        </w:rPr>
        <w:t xml:space="preserve">    </w:t>
      </w:r>
      <w:r>
        <w:rPr>
          <w:rFonts w:hint="eastAsia" w:eastAsia="宋体" w:cs="宋体"/>
          <w:color w:val="auto"/>
          <w:highlight w:val="none"/>
        </w:rPr>
        <w:t>年；</w:t>
      </w:r>
    </w:p>
    <w:p w14:paraId="6FC1155C">
      <w:pPr>
        <w:pStyle w:val="56"/>
        <w:keepNext w:val="0"/>
        <w:keepLines w:val="0"/>
        <w:pageBreakBefore w:val="0"/>
        <w:widowControl w:val="0"/>
        <w:kinsoku/>
        <w:overflowPunct/>
        <w:topLinePunct w:val="0"/>
        <w:bidi w:val="0"/>
        <w:spacing w:line="460" w:lineRule="exact"/>
        <w:textAlignment w:val="auto"/>
        <w:outlineLvl w:val="9"/>
        <w:rPr>
          <w:rFonts w:eastAsia="宋体" w:cs="宋体"/>
          <w:color w:val="auto"/>
          <w:highlight w:val="none"/>
        </w:rPr>
      </w:pPr>
      <w:r>
        <w:rPr>
          <w:rFonts w:hint="eastAsia" w:eastAsia="宋体" w:cs="宋体"/>
          <w:color w:val="auto"/>
          <w:highlight w:val="none"/>
        </w:rPr>
        <w:t>4．绿化工程为 单位工程竣工验收合格后</w:t>
      </w:r>
      <w:r>
        <w:rPr>
          <w:rFonts w:hint="eastAsia" w:eastAsia="宋体" w:cs="宋体"/>
          <w:color w:val="auto"/>
          <w:highlight w:val="none"/>
          <w:u w:val="single"/>
        </w:rPr>
        <w:t xml:space="preserve">    </w:t>
      </w:r>
      <w:r>
        <w:rPr>
          <w:rFonts w:hint="eastAsia" w:eastAsia="宋体" w:cs="宋体"/>
          <w:color w:val="auto"/>
          <w:highlight w:val="none"/>
        </w:rPr>
        <w:t>年；</w:t>
      </w:r>
    </w:p>
    <w:p w14:paraId="5E617F21">
      <w:pPr>
        <w:pStyle w:val="56"/>
        <w:keepNext w:val="0"/>
        <w:keepLines w:val="0"/>
        <w:pageBreakBefore w:val="0"/>
        <w:widowControl w:val="0"/>
        <w:kinsoku/>
        <w:overflowPunct/>
        <w:topLinePunct w:val="0"/>
        <w:bidi w:val="0"/>
        <w:spacing w:line="460" w:lineRule="exact"/>
        <w:textAlignment w:val="auto"/>
        <w:outlineLvl w:val="9"/>
        <w:rPr>
          <w:rFonts w:eastAsia="宋体" w:cs="宋体"/>
          <w:color w:val="auto"/>
          <w:highlight w:val="none"/>
        </w:rPr>
      </w:pPr>
      <w:r>
        <w:rPr>
          <w:rFonts w:hint="eastAsia" w:eastAsia="宋体" w:cs="宋体"/>
          <w:color w:val="auto"/>
          <w:highlight w:val="none"/>
        </w:rPr>
        <w:t>5.  地下防水工程为</w:t>
      </w:r>
      <w:r>
        <w:rPr>
          <w:rFonts w:hint="eastAsia" w:eastAsia="宋体" w:cs="宋体"/>
          <w:color w:val="auto"/>
          <w:highlight w:val="none"/>
          <w:u w:val="single"/>
        </w:rPr>
        <w:t xml:space="preserve">     </w:t>
      </w:r>
      <w:r>
        <w:rPr>
          <w:rFonts w:hint="eastAsia" w:eastAsia="宋体" w:cs="宋体"/>
          <w:color w:val="auto"/>
          <w:highlight w:val="none"/>
        </w:rPr>
        <w:t>年；</w:t>
      </w:r>
    </w:p>
    <w:p w14:paraId="48169245">
      <w:pPr>
        <w:pStyle w:val="56"/>
        <w:keepNext w:val="0"/>
        <w:keepLines w:val="0"/>
        <w:pageBreakBefore w:val="0"/>
        <w:widowControl w:val="0"/>
        <w:kinsoku/>
        <w:overflowPunct/>
        <w:topLinePunct w:val="0"/>
        <w:bidi w:val="0"/>
        <w:spacing w:line="460" w:lineRule="exact"/>
        <w:textAlignment w:val="auto"/>
        <w:outlineLvl w:val="9"/>
        <w:rPr>
          <w:rFonts w:eastAsia="宋体" w:cs="宋体"/>
          <w:color w:val="auto"/>
          <w:highlight w:val="none"/>
        </w:rPr>
      </w:pPr>
      <w:r>
        <w:rPr>
          <w:rFonts w:hint="eastAsia" w:eastAsia="宋体" w:cs="宋体"/>
          <w:color w:val="auto"/>
          <w:highlight w:val="none"/>
        </w:rPr>
        <w:t>6．其他附属工程为</w:t>
      </w:r>
      <w:r>
        <w:rPr>
          <w:rFonts w:hint="eastAsia" w:eastAsia="宋体" w:cs="宋体"/>
          <w:color w:val="auto"/>
          <w:highlight w:val="none"/>
          <w:u w:val="single"/>
        </w:rPr>
        <w:t xml:space="preserve">      </w:t>
      </w:r>
      <w:r>
        <w:rPr>
          <w:rFonts w:hint="eastAsia" w:eastAsia="宋体" w:cs="宋体"/>
          <w:color w:val="auto"/>
          <w:highlight w:val="none"/>
        </w:rPr>
        <w:t>年；</w:t>
      </w:r>
    </w:p>
    <w:p w14:paraId="212365C1">
      <w:pPr>
        <w:pStyle w:val="56"/>
        <w:keepNext w:val="0"/>
        <w:keepLines w:val="0"/>
        <w:pageBreakBefore w:val="0"/>
        <w:widowControl w:val="0"/>
        <w:kinsoku/>
        <w:wordWrap w:val="0"/>
        <w:overflowPunct/>
        <w:topLinePunct w:val="0"/>
        <w:bidi w:val="0"/>
        <w:spacing w:line="460" w:lineRule="exact"/>
        <w:textAlignment w:val="auto"/>
        <w:outlineLvl w:val="9"/>
        <w:rPr>
          <w:rFonts w:eastAsia="宋体" w:cs="宋体"/>
          <w:color w:val="auto"/>
          <w:highlight w:val="none"/>
          <w:u w:val="single"/>
        </w:rPr>
      </w:pPr>
      <w:r>
        <w:rPr>
          <w:rFonts w:hint="eastAsia" w:eastAsia="宋体" w:cs="宋体"/>
          <w:color w:val="auto"/>
          <w:highlight w:val="none"/>
        </w:rPr>
        <w:t>7．</w:t>
      </w:r>
      <w:r>
        <w:rPr>
          <w:rFonts w:eastAsia="宋体" w:cs="宋体"/>
          <w:color w:val="auto"/>
          <w:highlight w:val="none"/>
        </w:rPr>
        <w:t>其他项目保修期限约定如下：</w:t>
      </w:r>
    </w:p>
    <w:p w14:paraId="2926A4CF">
      <w:pPr>
        <w:pStyle w:val="56"/>
        <w:keepNext w:val="0"/>
        <w:keepLines w:val="0"/>
        <w:pageBreakBefore w:val="0"/>
        <w:widowControl w:val="0"/>
        <w:kinsoku/>
        <w:wordWrap w:val="0"/>
        <w:overflowPunct/>
        <w:topLinePunct w:val="0"/>
        <w:bidi w:val="0"/>
        <w:spacing w:line="460" w:lineRule="exact"/>
        <w:textAlignment w:val="auto"/>
        <w:outlineLvl w:val="9"/>
        <w:rPr>
          <w:rFonts w:eastAsia="宋体" w:cs="宋体"/>
          <w:color w:val="auto"/>
          <w:highlight w:val="none"/>
        </w:rPr>
      </w:pPr>
      <w:r>
        <w:rPr>
          <w:rFonts w:eastAsia="宋体" w:cs="宋体"/>
          <w:color w:val="auto"/>
          <w:highlight w:val="none"/>
          <w:u w:val="single"/>
        </w:rPr>
        <w:t xml:space="preserve">                                                                                                                             </w:t>
      </w:r>
      <w:r>
        <w:rPr>
          <w:rFonts w:hint="eastAsia" w:eastAsia="宋体" w:cs="宋体"/>
          <w:color w:val="auto"/>
          <w:highlight w:val="none"/>
          <w:u w:val="single"/>
        </w:rPr>
        <w:t xml:space="preserve">           </w:t>
      </w:r>
      <w:r>
        <w:rPr>
          <w:rFonts w:eastAsia="宋体" w:cs="宋体"/>
          <w:color w:val="auto"/>
          <w:highlight w:val="none"/>
          <w:u w:val="single"/>
        </w:rPr>
        <w:t xml:space="preserve">              </w:t>
      </w:r>
      <w:r>
        <w:rPr>
          <w:rFonts w:eastAsia="宋体" w:cs="宋体"/>
          <w:color w:val="auto"/>
          <w:highlight w:val="none"/>
        </w:rPr>
        <w:t xml:space="preserve"> 。</w:t>
      </w:r>
    </w:p>
    <w:p w14:paraId="2E313C5F">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质量保修期自工程竣工验收合格之日起计算。</w:t>
      </w:r>
    </w:p>
    <w:p w14:paraId="01872B60">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三、缺陷责任期</w:t>
      </w:r>
    </w:p>
    <w:p w14:paraId="0CD0C068">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工程缺陷责任期为</w:t>
      </w:r>
      <w:r>
        <w:rPr>
          <w:rFonts w:hint="eastAsia" w:eastAsia="宋体" w:cs="宋体"/>
          <w:color w:val="auto"/>
          <w:highlight w:val="none"/>
          <w:u w:val="single"/>
        </w:rPr>
        <w:t xml:space="preserve">      </w:t>
      </w:r>
      <w:r>
        <w:rPr>
          <w:rFonts w:hint="eastAsia" w:eastAsia="宋体" w:cs="宋体"/>
          <w:color w:val="auto"/>
          <w:highlight w:val="none"/>
        </w:rPr>
        <w:t>个月，缺陷责任期自工程实际竣工之日起计算。单位工程先于全部工程进行验收，单位工程缺陷责任期自单位工程验收合格之日起算。</w:t>
      </w:r>
    </w:p>
    <w:p w14:paraId="280911C8">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缺陷责任期终止后，发包人应退还剩余的质量保证金。</w:t>
      </w:r>
    </w:p>
    <w:p w14:paraId="513C567E">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四、质量保修责任</w:t>
      </w:r>
    </w:p>
    <w:p w14:paraId="28ABCAEC">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1．属于保修范围、内容的项目，承包人应当在接到保修通知之日起7天内派人保修。承包人不在约定期限内派人保修的，发包人可以委托他人修理。</w:t>
      </w:r>
    </w:p>
    <w:p w14:paraId="14D3DC12">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2．发生紧急事故需抢修的，承包人在接到事故通知后，应当立即到达事故现场抢修。</w:t>
      </w:r>
    </w:p>
    <w:p w14:paraId="4C8C09A7">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09D6C21D">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4．质量保修完成后，由发包人组织验收。</w:t>
      </w:r>
    </w:p>
    <w:p w14:paraId="6CDC28BC">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五、保修费用</w:t>
      </w:r>
    </w:p>
    <w:p w14:paraId="55C2762F">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保修费用由造成质量缺陷的责任方承担。</w:t>
      </w:r>
    </w:p>
    <w:p w14:paraId="7DC314D0">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六、双方约定的其他工程质量保修事项：</w:t>
      </w:r>
      <w:r>
        <w:rPr>
          <w:rFonts w:hint="eastAsia" w:eastAsia="宋体" w:cs="宋体"/>
          <w:color w:val="auto"/>
          <w:highlight w:val="none"/>
          <w:u w:val="single"/>
        </w:rPr>
        <w:t xml:space="preserve">                                </w:t>
      </w:r>
      <w:r>
        <w:rPr>
          <w:rFonts w:hint="eastAsia" w:eastAsia="宋体" w:cs="宋体"/>
          <w:color w:val="auto"/>
          <w:highlight w:val="none"/>
        </w:rPr>
        <w:t>。</w:t>
      </w:r>
    </w:p>
    <w:p w14:paraId="35922F1D">
      <w:pPr>
        <w:pStyle w:val="56"/>
        <w:keepNext w:val="0"/>
        <w:keepLines w:val="0"/>
        <w:pageBreakBefore w:val="0"/>
        <w:widowControl w:val="0"/>
        <w:kinsoku/>
        <w:overflowPunct/>
        <w:topLinePunct w:val="0"/>
        <w:bidi w:val="0"/>
        <w:spacing w:line="460" w:lineRule="exact"/>
        <w:textAlignment w:val="auto"/>
        <w:outlineLvl w:val="9"/>
        <w:rPr>
          <w:rFonts w:hint="eastAsia" w:eastAsia="宋体" w:cs="宋体"/>
          <w:color w:val="auto"/>
          <w:highlight w:val="none"/>
        </w:rPr>
      </w:pPr>
      <w:r>
        <w:rPr>
          <w:rFonts w:hint="eastAsia" w:eastAsia="宋体" w:cs="宋体"/>
          <w:color w:val="auto"/>
          <w:highlight w:val="none"/>
        </w:rPr>
        <w:t>工程质量保修书由发包人、承包人在工程竣工验收前共同签署，作为施工合同附件，其有效期限至保修期满。</w:t>
      </w:r>
    </w:p>
    <w:p w14:paraId="108FA18A">
      <w:pPr>
        <w:keepNext w:val="0"/>
        <w:keepLines w:val="0"/>
        <w:pageBreakBefore w:val="0"/>
        <w:widowControl w:val="0"/>
        <w:kinsoku/>
        <w:overflowPunct/>
        <w:topLinePunct w:val="0"/>
        <w:bidi w:val="0"/>
        <w:spacing w:line="460" w:lineRule="exact"/>
        <w:ind w:firstLine="420" w:firstLineChars="200"/>
        <w:textAlignment w:val="auto"/>
        <w:outlineLvl w:val="9"/>
        <w:rPr>
          <w:rFonts w:hint="eastAsia" w:ascii="宋体" w:hAnsi="宋体" w:cs="宋体"/>
          <w:color w:val="auto"/>
          <w:szCs w:val="21"/>
          <w:highlight w:val="none"/>
        </w:rPr>
      </w:pPr>
    </w:p>
    <w:p w14:paraId="1190F50F">
      <w:pPr>
        <w:keepNext w:val="0"/>
        <w:keepLines w:val="0"/>
        <w:pageBreakBefore w:val="0"/>
        <w:widowControl w:val="0"/>
        <w:kinsoku/>
        <w:overflowPunct/>
        <w:topLinePunct w:val="0"/>
        <w:bidi w:val="0"/>
        <w:spacing w:line="460" w:lineRule="exact"/>
        <w:ind w:firstLine="420" w:firstLineChars="200"/>
        <w:textAlignment w:val="auto"/>
        <w:outlineLvl w:val="9"/>
        <w:rPr>
          <w:rFonts w:hint="eastAsia" w:ascii="宋体" w:hAnsi="宋体" w:cs="宋体"/>
          <w:color w:val="auto"/>
          <w:szCs w:val="21"/>
          <w:highlight w:val="none"/>
          <w:u w:val="single"/>
        </w:rPr>
      </w:pPr>
      <w:r>
        <w:rPr>
          <w:rFonts w:hint="eastAsia" w:ascii="宋体" w:hAnsi="宋体" w:cs="宋体"/>
          <w:color w:val="auto"/>
          <w:szCs w:val="21"/>
          <w:highlight w:val="none"/>
        </w:rPr>
        <w:t>发包人：（公章）</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承包人：（公章）</w:t>
      </w:r>
      <w:r>
        <w:rPr>
          <w:rFonts w:hint="eastAsia" w:ascii="宋体" w:hAnsi="宋体" w:cs="宋体"/>
          <w:color w:val="auto"/>
          <w:szCs w:val="21"/>
          <w:highlight w:val="none"/>
          <w:u w:val="single"/>
        </w:rPr>
        <w:t xml:space="preserve">                </w:t>
      </w:r>
    </w:p>
    <w:p w14:paraId="38AC42C2">
      <w:pPr>
        <w:keepNext w:val="0"/>
        <w:keepLines w:val="0"/>
        <w:pageBreakBefore w:val="0"/>
        <w:widowControl w:val="0"/>
        <w:kinsoku/>
        <w:overflowPunct/>
        <w:topLinePunct w:val="0"/>
        <w:bidi w:val="0"/>
        <w:spacing w:line="460" w:lineRule="exact"/>
        <w:ind w:firstLine="420" w:firstLineChars="200"/>
        <w:textAlignment w:val="auto"/>
        <w:outlineLvl w:val="9"/>
        <w:rPr>
          <w:rFonts w:hint="eastAsia" w:ascii="宋体" w:hAnsi="宋体" w:cs="宋体"/>
          <w:color w:val="auto"/>
          <w:szCs w:val="21"/>
          <w:highlight w:val="none"/>
          <w:u w:val="single"/>
        </w:rPr>
      </w:pPr>
      <w:r>
        <w:rPr>
          <w:rFonts w:hint="eastAsia" w:ascii="宋体" w:hAnsi="宋体" w:cs="宋体"/>
          <w:color w:val="auto"/>
          <w:szCs w:val="21"/>
          <w:highlight w:val="none"/>
        </w:rPr>
        <w:t>住所：</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住所：</w:t>
      </w:r>
      <w:r>
        <w:rPr>
          <w:rFonts w:hint="eastAsia" w:ascii="宋体" w:hAnsi="宋体" w:cs="宋体"/>
          <w:color w:val="auto"/>
          <w:szCs w:val="21"/>
          <w:highlight w:val="none"/>
          <w:u w:val="single"/>
        </w:rPr>
        <w:t xml:space="preserve">                         </w:t>
      </w:r>
    </w:p>
    <w:p w14:paraId="5C03B554">
      <w:pPr>
        <w:keepNext w:val="0"/>
        <w:keepLines w:val="0"/>
        <w:pageBreakBefore w:val="0"/>
        <w:widowControl w:val="0"/>
        <w:kinsoku/>
        <w:overflowPunct/>
        <w:topLinePunct w:val="0"/>
        <w:bidi w:val="0"/>
        <w:spacing w:line="460" w:lineRule="exact"/>
        <w:ind w:firstLine="420" w:firstLineChars="2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法定代表人：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法定代表人：</w:t>
      </w:r>
      <w:r>
        <w:rPr>
          <w:rFonts w:hint="eastAsia" w:ascii="宋体" w:hAnsi="宋体" w:cs="宋体"/>
          <w:color w:val="auto"/>
          <w:szCs w:val="21"/>
          <w:highlight w:val="none"/>
          <w:u w:val="single"/>
        </w:rPr>
        <w:t xml:space="preserve">                   </w:t>
      </w:r>
    </w:p>
    <w:p w14:paraId="22FCBB7D">
      <w:pPr>
        <w:keepNext w:val="0"/>
        <w:keepLines w:val="0"/>
        <w:pageBreakBefore w:val="0"/>
        <w:widowControl w:val="0"/>
        <w:kinsoku/>
        <w:overflowPunct/>
        <w:topLinePunct w:val="0"/>
        <w:bidi w:val="0"/>
        <w:spacing w:line="460" w:lineRule="exact"/>
        <w:ind w:firstLine="420" w:firstLineChars="2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委托代表人：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委托代表人：</w:t>
      </w:r>
      <w:r>
        <w:rPr>
          <w:rFonts w:hint="eastAsia" w:ascii="宋体" w:hAnsi="宋体" w:cs="宋体"/>
          <w:color w:val="auto"/>
          <w:szCs w:val="21"/>
          <w:highlight w:val="none"/>
          <w:u w:val="single"/>
        </w:rPr>
        <w:t xml:space="preserve">                   </w:t>
      </w:r>
    </w:p>
    <w:p w14:paraId="5F8BEA66">
      <w:pPr>
        <w:keepNext w:val="0"/>
        <w:keepLines w:val="0"/>
        <w:pageBreakBefore w:val="0"/>
        <w:widowControl w:val="0"/>
        <w:kinsoku/>
        <w:overflowPunct/>
        <w:topLinePunct w:val="0"/>
        <w:bidi w:val="0"/>
        <w:spacing w:line="460" w:lineRule="exact"/>
        <w:ind w:firstLine="420" w:firstLineChars="2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电话：</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电话：</w:t>
      </w:r>
      <w:r>
        <w:rPr>
          <w:rFonts w:hint="eastAsia" w:ascii="宋体" w:hAnsi="宋体" w:cs="宋体"/>
          <w:color w:val="auto"/>
          <w:szCs w:val="21"/>
          <w:highlight w:val="none"/>
          <w:u w:val="single"/>
        </w:rPr>
        <w:t xml:space="preserve">                         </w:t>
      </w:r>
    </w:p>
    <w:p w14:paraId="592372B0">
      <w:pPr>
        <w:keepNext w:val="0"/>
        <w:keepLines w:val="0"/>
        <w:pageBreakBefore w:val="0"/>
        <w:widowControl w:val="0"/>
        <w:kinsoku/>
        <w:overflowPunct/>
        <w:topLinePunct w:val="0"/>
        <w:bidi w:val="0"/>
        <w:spacing w:line="460" w:lineRule="exact"/>
        <w:ind w:firstLine="420" w:firstLineChars="2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传真：</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传真：</w:t>
      </w:r>
      <w:r>
        <w:rPr>
          <w:rFonts w:hint="eastAsia" w:ascii="宋体" w:hAnsi="宋体" w:cs="宋体"/>
          <w:color w:val="auto"/>
          <w:szCs w:val="21"/>
          <w:highlight w:val="none"/>
          <w:u w:val="single"/>
        </w:rPr>
        <w:t xml:space="preserve">                          </w:t>
      </w:r>
    </w:p>
    <w:p w14:paraId="3F229968">
      <w:pPr>
        <w:keepNext w:val="0"/>
        <w:keepLines w:val="0"/>
        <w:pageBreakBefore w:val="0"/>
        <w:widowControl w:val="0"/>
        <w:kinsoku/>
        <w:overflowPunct/>
        <w:topLinePunct w:val="0"/>
        <w:bidi w:val="0"/>
        <w:spacing w:line="460" w:lineRule="exact"/>
        <w:ind w:firstLine="420" w:firstLineChars="200"/>
        <w:textAlignment w:val="auto"/>
        <w:outlineLvl w:val="9"/>
        <w:rPr>
          <w:rFonts w:hint="eastAsia" w:ascii="宋体" w:hAnsi="宋体" w:cs="宋体"/>
          <w:color w:val="auto"/>
          <w:szCs w:val="21"/>
          <w:highlight w:val="none"/>
          <w:u w:val="single"/>
        </w:rPr>
      </w:pPr>
      <w:r>
        <w:rPr>
          <w:rFonts w:hint="eastAsia" w:ascii="宋体" w:hAnsi="宋体" w:cs="宋体"/>
          <w:color w:val="auto"/>
          <w:szCs w:val="21"/>
          <w:highlight w:val="none"/>
        </w:rPr>
        <w:t>开户银行：</w:t>
      </w:r>
      <w:r>
        <w:rPr>
          <w:rFonts w:hint="eastAsia" w:ascii="宋体" w:hAnsi="宋体" w:cs="宋体"/>
          <w:b/>
          <w:bCs/>
          <w:color w:val="auto"/>
          <w:szCs w:val="21"/>
          <w:highlight w:val="none"/>
          <w:u w:val="single"/>
        </w:rPr>
        <w:t xml:space="preserve">                       </w:t>
      </w:r>
      <w:r>
        <w:rPr>
          <w:rFonts w:hint="eastAsia" w:ascii="宋体" w:hAnsi="宋体" w:cs="宋体"/>
          <w:color w:val="auto"/>
          <w:szCs w:val="21"/>
          <w:highlight w:val="none"/>
        </w:rPr>
        <w:t xml:space="preserve">      开户银行：</w:t>
      </w:r>
      <w:r>
        <w:rPr>
          <w:rFonts w:hint="eastAsia" w:ascii="宋体" w:hAnsi="宋体" w:cs="宋体"/>
          <w:color w:val="auto"/>
          <w:szCs w:val="21"/>
          <w:highlight w:val="none"/>
          <w:u w:val="single"/>
        </w:rPr>
        <w:t xml:space="preserve">                  </w:t>
      </w:r>
      <w:r>
        <w:rPr>
          <w:rFonts w:hint="eastAsia" w:ascii="宋体" w:hAnsi="宋体" w:cs="宋体"/>
          <w:b/>
          <w:bCs/>
          <w:color w:val="auto"/>
          <w:szCs w:val="21"/>
          <w:highlight w:val="none"/>
          <w:u w:val="single"/>
        </w:rPr>
        <w:t xml:space="preserve">   </w:t>
      </w:r>
    </w:p>
    <w:p w14:paraId="43EFBE6E">
      <w:pPr>
        <w:keepNext w:val="0"/>
        <w:keepLines w:val="0"/>
        <w:pageBreakBefore w:val="0"/>
        <w:widowControl w:val="0"/>
        <w:kinsoku/>
        <w:overflowPunct/>
        <w:topLinePunct w:val="0"/>
        <w:bidi w:val="0"/>
        <w:spacing w:line="460" w:lineRule="exact"/>
        <w:ind w:firstLine="420" w:firstLineChars="200"/>
        <w:textAlignment w:val="auto"/>
        <w:outlineLvl w:val="9"/>
        <w:rPr>
          <w:rFonts w:hint="eastAsia" w:ascii="宋体" w:hAnsi="宋体" w:cs="宋体"/>
          <w:color w:val="auto"/>
          <w:szCs w:val="21"/>
          <w:highlight w:val="none"/>
          <w:u w:val="single"/>
        </w:rPr>
      </w:pPr>
      <w:r>
        <w:rPr>
          <w:rFonts w:hint="eastAsia" w:ascii="宋体" w:hAnsi="宋体" w:cs="宋体"/>
          <w:color w:val="auto"/>
          <w:szCs w:val="21"/>
          <w:highlight w:val="none"/>
        </w:rPr>
        <w:t>账号：</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账号：</w:t>
      </w:r>
      <w:r>
        <w:rPr>
          <w:rFonts w:hint="eastAsia" w:ascii="宋体" w:hAnsi="宋体" w:cs="宋体"/>
          <w:color w:val="auto"/>
          <w:szCs w:val="21"/>
          <w:highlight w:val="none"/>
          <w:u w:val="single"/>
        </w:rPr>
        <w:t xml:space="preserve">                         </w:t>
      </w:r>
    </w:p>
    <w:p w14:paraId="6DDF6934">
      <w:pPr>
        <w:keepNext w:val="0"/>
        <w:keepLines w:val="0"/>
        <w:pageBreakBefore w:val="0"/>
        <w:widowControl w:val="0"/>
        <w:kinsoku/>
        <w:overflowPunct/>
        <w:topLinePunct w:val="0"/>
        <w:bidi w:val="0"/>
        <w:spacing w:line="460" w:lineRule="exact"/>
        <w:ind w:firstLine="420" w:firstLineChars="2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邮政编码：</w:t>
      </w:r>
      <w:r>
        <w:rPr>
          <w:rFonts w:hint="eastAsia" w:ascii="宋体" w:hAnsi="宋体" w:cs="宋体"/>
          <w:b/>
          <w:bCs/>
          <w:color w:val="auto"/>
          <w:szCs w:val="21"/>
          <w:highlight w:val="none"/>
          <w:u w:val="single"/>
        </w:rPr>
        <w:t xml:space="preserve">      </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xml:space="preserve">      邮政编码：</w:t>
      </w:r>
      <w:r>
        <w:rPr>
          <w:rFonts w:hint="eastAsia" w:ascii="宋体" w:hAnsi="宋体" w:cs="宋体"/>
          <w:color w:val="auto"/>
          <w:szCs w:val="21"/>
          <w:highlight w:val="none"/>
          <w:u w:val="single"/>
        </w:rPr>
        <w:t xml:space="preserve">                     </w:t>
      </w:r>
    </w:p>
    <w:p w14:paraId="31B36FD7">
      <w:pPr>
        <w:pStyle w:val="14"/>
        <w:keepNext w:val="0"/>
        <w:keepLines w:val="0"/>
        <w:pageBreakBefore w:val="0"/>
        <w:widowControl w:val="0"/>
        <w:tabs>
          <w:tab w:val="left" w:pos="4500"/>
        </w:tabs>
        <w:kinsoku/>
        <w:overflowPunct/>
        <w:topLinePunct w:val="0"/>
        <w:bidi w:val="0"/>
        <w:spacing w:line="460" w:lineRule="exact"/>
        <w:ind w:firstLine="420" w:firstLineChars="200"/>
        <w:textAlignment w:val="auto"/>
        <w:outlineLvl w:val="9"/>
        <w:rPr>
          <w:rFonts w:hint="eastAsia" w:hAnsi="宋体" w:cs="宋体"/>
          <w:color w:val="auto"/>
          <w:sz w:val="21"/>
          <w:szCs w:val="21"/>
          <w:highlight w:val="none"/>
        </w:rPr>
      </w:pPr>
    </w:p>
    <w:p w14:paraId="30A021C0">
      <w:pPr>
        <w:keepNext w:val="0"/>
        <w:keepLines w:val="0"/>
        <w:pageBreakBefore w:val="0"/>
        <w:widowControl w:val="0"/>
        <w:kinsoku/>
        <w:overflowPunct/>
        <w:topLinePunct w:val="0"/>
        <w:bidi w:val="0"/>
        <w:spacing w:line="460" w:lineRule="exact"/>
        <w:ind w:firstLine="420" w:firstLineChars="200"/>
        <w:textAlignment w:val="auto"/>
        <w:outlineLvl w:val="9"/>
        <w:rPr>
          <w:rFonts w:hint="eastAsia" w:ascii="宋体" w:hAnsi="宋体" w:cs="宋体"/>
          <w:color w:val="auto"/>
          <w:szCs w:val="21"/>
          <w:highlight w:val="none"/>
        </w:rPr>
      </w:pPr>
      <w:r>
        <w:rPr>
          <w:rFonts w:hint="eastAsia" w:ascii="宋体" w:hAnsi="宋体" w:cs="宋体"/>
          <w:color w:val="auto"/>
          <w:szCs w:val="21"/>
          <w:highlight w:val="none"/>
        </w:rPr>
        <w:t>合同订立时间：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年</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月</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日</w:t>
      </w:r>
    </w:p>
    <w:p w14:paraId="22E61113">
      <w:pPr>
        <w:widowControl/>
        <w:adjustRightInd/>
        <w:spacing w:line="240" w:lineRule="auto"/>
        <w:jc w:val="center"/>
        <w:textAlignment w:val="auto"/>
        <w:rPr>
          <w:rFonts w:hint="eastAsia"/>
          <w:color w:val="auto"/>
          <w:highlight w:val="none"/>
        </w:rPr>
      </w:pPr>
    </w:p>
    <w:p w14:paraId="68C494FA">
      <w:pPr>
        <w:widowControl/>
        <w:adjustRightInd/>
        <w:spacing w:line="240" w:lineRule="auto"/>
        <w:jc w:val="center"/>
        <w:textAlignment w:val="auto"/>
        <w:rPr>
          <w:rFonts w:hint="eastAsia"/>
          <w:color w:val="auto"/>
          <w:highlight w:val="none"/>
        </w:rPr>
      </w:pPr>
    </w:p>
    <w:p w14:paraId="72B937DB">
      <w:pPr>
        <w:widowControl/>
        <w:adjustRightInd/>
        <w:spacing w:line="240" w:lineRule="auto"/>
        <w:jc w:val="center"/>
        <w:textAlignment w:val="auto"/>
        <w:rPr>
          <w:color w:val="auto"/>
          <w:highlight w:val="none"/>
        </w:rPr>
      </w:pPr>
    </w:p>
    <w:p w14:paraId="4983268D">
      <w:pPr>
        <w:pStyle w:val="3"/>
        <w:keepNext w:val="0"/>
        <w:pageBreakBefore w:val="0"/>
        <w:numPr>
          <w:ilvl w:val="0"/>
          <w:numId w:val="0"/>
        </w:numPr>
        <w:adjustRightInd w:val="0"/>
        <w:snapToGrid w:val="0"/>
        <w:spacing w:before="156" w:beforeLines="50" w:after="156" w:afterLines="50" w:line="400" w:lineRule="atLeast"/>
        <w:ind w:left="116" w:hanging="116" w:hangingChars="36"/>
        <w:rPr>
          <w:rFonts w:ascii="宋体" w:hAnsi="宋体" w:eastAsia="宋体"/>
          <w:color w:val="auto"/>
          <w:sz w:val="32"/>
          <w:szCs w:val="24"/>
          <w:highlight w:val="none"/>
        </w:rPr>
      </w:pPr>
    </w:p>
    <w:p w14:paraId="1B42CCE0">
      <w:pPr>
        <w:pStyle w:val="3"/>
        <w:keepNext w:val="0"/>
        <w:pageBreakBefore w:val="0"/>
        <w:numPr>
          <w:ilvl w:val="0"/>
          <w:numId w:val="0"/>
        </w:numPr>
        <w:adjustRightInd w:val="0"/>
        <w:snapToGrid w:val="0"/>
        <w:spacing w:before="156" w:beforeLines="50" w:after="156" w:afterLines="50" w:line="400" w:lineRule="atLeast"/>
        <w:ind w:left="116" w:hanging="116" w:hangingChars="36"/>
        <w:rPr>
          <w:rFonts w:ascii="宋体" w:hAnsi="宋体" w:eastAsia="宋体"/>
          <w:color w:val="auto"/>
          <w:sz w:val="32"/>
          <w:szCs w:val="24"/>
          <w:highlight w:val="none"/>
        </w:rPr>
      </w:pPr>
    </w:p>
    <w:p w14:paraId="79867323">
      <w:pPr>
        <w:pStyle w:val="3"/>
        <w:keepNext w:val="0"/>
        <w:pageBreakBefore w:val="0"/>
        <w:numPr>
          <w:ilvl w:val="0"/>
          <w:numId w:val="0"/>
        </w:numPr>
        <w:adjustRightInd w:val="0"/>
        <w:snapToGrid w:val="0"/>
        <w:spacing w:before="156" w:beforeLines="50" w:after="156" w:afterLines="50" w:line="400" w:lineRule="atLeast"/>
        <w:ind w:left="130" w:hanging="130" w:hangingChars="36"/>
        <w:rPr>
          <w:rFonts w:hint="eastAsia" w:ascii="宋体" w:hAnsi="宋体" w:eastAsia="宋体"/>
          <w:color w:val="auto"/>
          <w:szCs w:val="24"/>
          <w:highlight w:val="none"/>
          <w:lang w:eastAsia="zh-CN"/>
        </w:rPr>
      </w:pPr>
    </w:p>
    <w:bookmarkEnd w:id="10"/>
    <w:p w14:paraId="6AF09A2F">
      <w:pPr>
        <w:pStyle w:val="3"/>
        <w:keepNext/>
        <w:keepLines/>
        <w:pageBreakBefore w:val="0"/>
        <w:widowControl w:val="0"/>
        <w:numPr>
          <w:ilvl w:val="0"/>
          <w:numId w:val="0"/>
        </w:numPr>
        <w:kinsoku/>
        <w:wordWrap/>
        <w:overflowPunct/>
        <w:topLinePunct w:val="0"/>
        <w:autoSpaceDE/>
        <w:autoSpaceDN/>
        <w:bidi w:val="0"/>
        <w:adjustRightInd/>
        <w:snapToGrid/>
        <w:spacing w:line="413" w:lineRule="auto"/>
        <w:jc w:val="center"/>
        <w:textAlignment w:val="auto"/>
        <w:outlineLvl w:val="0"/>
        <w:rPr>
          <w:rFonts w:hint="eastAsia"/>
          <w:color w:val="auto"/>
          <w:sz w:val="36"/>
          <w:szCs w:val="36"/>
          <w:lang w:eastAsia="zh-CN"/>
        </w:rPr>
      </w:pPr>
      <w:bookmarkStart w:id="569" w:name="_Toc2775"/>
      <w:bookmarkStart w:id="570" w:name="_Toc413"/>
      <w:bookmarkStart w:id="571" w:name="_Toc28737"/>
      <w:r>
        <w:rPr>
          <w:rFonts w:hint="eastAsia"/>
          <w:color w:val="auto"/>
          <w:sz w:val="36"/>
          <w:szCs w:val="36"/>
          <w:lang w:val="en-US" w:eastAsia="zh-CN"/>
        </w:rPr>
        <w:t>第四章 图 纸</w:t>
      </w:r>
      <w:bookmarkEnd w:id="569"/>
      <w:bookmarkEnd w:id="570"/>
      <w:bookmarkEnd w:id="571"/>
    </w:p>
    <w:p w14:paraId="004CF744">
      <w:pPr>
        <w:rPr>
          <w:color w:val="auto"/>
          <w:highlight w:val="none"/>
        </w:rPr>
      </w:pPr>
    </w:p>
    <w:p w14:paraId="341D26E8">
      <w:pPr>
        <w:spacing w:line="25" w:lineRule="atLeast"/>
        <w:jc w:val="center"/>
        <w:rPr>
          <w:rFonts w:ascii="宋体" w:hAnsi="宋体"/>
          <w:b/>
          <w:color w:val="auto"/>
          <w:sz w:val="36"/>
          <w:highlight w:val="none"/>
        </w:rPr>
      </w:pPr>
      <w:r>
        <w:rPr>
          <w:rFonts w:hint="eastAsia" w:ascii="宋体" w:hAnsi="宋体"/>
          <w:b/>
          <w:color w:val="auto"/>
          <w:sz w:val="36"/>
          <w:highlight w:val="none"/>
        </w:rPr>
        <w:t>（另册发放）</w:t>
      </w:r>
    </w:p>
    <w:p w14:paraId="6BF3728F">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3297374F">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574B762A">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694DCD80">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3CCD6E7F">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57347E9D">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19938656">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53B47DB9">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7CBB8804">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18D50BB8">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3F39E764">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7A5D51E6">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4F150E7E">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682C098D">
      <w:pPr>
        <w:pStyle w:val="16"/>
        <w:keepNext w:val="0"/>
        <w:keepLines w:val="0"/>
        <w:pageBreakBefore w:val="0"/>
        <w:widowControl w:val="0"/>
        <w:kinsoku/>
        <w:wordWrap/>
        <w:overflowPunct/>
        <w:topLinePunct w:val="0"/>
        <w:autoSpaceDE/>
        <w:autoSpaceDN/>
        <w:bidi w:val="0"/>
        <w:adjustRightInd/>
        <w:snapToGrid w:val="0"/>
        <w:spacing w:line="360" w:lineRule="auto"/>
        <w:jc w:val="both"/>
        <w:textAlignment w:val="auto"/>
        <w:outlineLvl w:val="9"/>
        <w:rPr>
          <w:rFonts w:hint="eastAsia" w:ascii="宋体" w:hAnsi="宋体" w:cs="宋体"/>
          <w:b/>
          <w:bCs/>
          <w:color w:val="auto"/>
          <w:sz w:val="44"/>
          <w:szCs w:val="44"/>
          <w:highlight w:val="none"/>
        </w:rPr>
      </w:pPr>
    </w:p>
    <w:p w14:paraId="2B0553C5">
      <w:pPr>
        <w:pStyle w:val="3"/>
        <w:keepNext/>
        <w:keepLines/>
        <w:pageBreakBefore w:val="0"/>
        <w:widowControl w:val="0"/>
        <w:numPr>
          <w:ilvl w:val="0"/>
          <w:numId w:val="0"/>
        </w:numPr>
        <w:kinsoku/>
        <w:wordWrap/>
        <w:overflowPunct/>
        <w:topLinePunct w:val="0"/>
        <w:autoSpaceDE/>
        <w:autoSpaceDN/>
        <w:bidi w:val="0"/>
        <w:adjustRightInd/>
        <w:snapToGrid/>
        <w:spacing w:line="413" w:lineRule="auto"/>
        <w:jc w:val="center"/>
        <w:textAlignment w:val="auto"/>
        <w:outlineLvl w:val="0"/>
        <w:rPr>
          <w:color w:val="auto"/>
          <w:sz w:val="36"/>
          <w:szCs w:val="36"/>
        </w:rPr>
      </w:pPr>
      <w:bookmarkStart w:id="572" w:name="_Toc8162"/>
      <w:bookmarkStart w:id="573" w:name="_Toc8126"/>
      <w:bookmarkStart w:id="574" w:name="_Toc28346"/>
      <w:r>
        <w:rPr>
          <w:rFonts w:hint="eastAsia"/>
          <w:color w:val="auto"/>
          <w:sz w:val="36"/>
          <w:szCs w:val="36"/>
          <w:lang w:val="en-US" w:eastAsia="zh-CN"/>
        </w:rPr>
        <w:t>第五章 技术规范</w:t>
      </w:r>
      <w:bookmarkEnd w:id="572"/>
      <w:bookmarkEnd w:id="573"/>
      <w:bookmarkEnd w:id="574"/>
    </w:p>
    <w:p w14:paraId="280544AD">
      <w:pPr>
        <w:spacing w:line="25" w:lineRule="atLeast"/>
        <w:rPr>
          <w:rFonts w:ascii="宋体" w:hAnsi="宋体"/>
          <w:color w:val="auto"/>
          <w:sz w:val="24"/>
          <w:highlight w:val="none"/>
        </w:rPr>
      </w:pPr>
    </w:p>
    <w:p w14:paraId="00153D2C">
      <w:pPr>
        <w:spacing w:line="500" w:lineRule="exact"/>
        <w:ind w:firstLine="420" w:firstLineChars="200"/>
        <w:rPr>
          <w:rFonts w:hint="eastAsia" w:ascii="宋体" w:hAnsi="宋体"/>
          <w:color w:val="auto"/>
          <w:sz w:val="21"/>
          <w:szCs w:val="21"/>
          <w:highlight w:val="none"/>
        </w:rPr>
      </w:pPr>
      <w:r>
        <w:rPr>
          <w:rFonts w:hint="eastAsia" w:ascii="宋体" w:hAnsi="宋体"/>
          <w:color w:val="auto"/>
          <w:sz w:val="21"/>
          <w:szCs w:val="21"/>
          <w:highlight w:val="none"/>
        </w:rPr>
        <w:t>本工程采用的技术规范采用现行施工规范、验评标准及强制性标准条文及其他有关规定。</w:t>
      </w:r>
    </w:p>
    <w:p w14:paraId="404CBA55">
      <w:pPr>
        <w:widowControl/>
        <w:adjustRightInd/>
        <w:spacing w:line="240" w:lineRule="auto"/>
        <w:jc w:val="left"/>
        <w:textAlignment w:val="auto"/>
        <w:rPr>
          <w:rFonts w:ascii="宋体" w:hAnsi="宋体"/>
          <w:color w:val="auto"/>
          <w:sz w:val="24"/>
          <w:highlight w:val="none"/>
        </w:rPr>
      </w:pPr>
    </w:p>
    <w:p w14:paraId="1F2FF857">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7C626295">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270C24F6">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40AA33A5">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242F623F">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cs="宋体"/>
          <w:b/>
          <w:bCs/>
          <w:color w:val="auto"/>
          <w:sz w:val="44"/>
          <w:szCs w:val="44"/>
          <w:highlight w:val="none"/>
        </w:rPr>
      </w:pPr>
    </w:p>
    <w:p w14:paraId="2D3BECA7">
      <w:pPr>
        <w:pStyle w:val="16"/>
        <w:keepNext w:val="0"/>
        <w:keepLines w:val="0"/>
        <w:pageBreakBefore w:val="0"/>
        <w:widowControl w:val="0"/>
        <w:kinsoku/>
        <w:wordWrap/>
        <w:overflowPunct/>
        <w:topLinePunct w:val="0"/>
        <w:autoSpaceDE/>
        <w:autoSpaceDN/>
        <w:bidi w:val="0"/>
        <w:adjustRightInd/>
        <w:snapToGrid w:val="0"/>
        <w:spacing w:line="360" w:lineRule="auto"/>
        <w:ind w:firstLine="883" w:firstLineChars="200"/>
        <w:jc w:val="center"/>
        <w:textAlignment w:val="auto"/>
        <w:outlineLvl w:val="9"/>
        <w:rPr>
          <w:rFonts w:hint="eastAsia" w:ascii="宋体" w:hAnsi="宋体" w:eastAsia="宋体"/>
          <w:color w:val="auto"/>
          <w:sz w:val="32"/>
          <w:szCs w:val="24"/>
          <w:highlight w:val="none"/>
        </w:rPr>
      </w:pPr>
      <w:r>
        <w:rPr>
          <w:rFonts w:hint="eastAsia" w:ascii="宋体" w:hAnsi="宋体" w:cs="宋体"/>
          <w:b/>
          <w:bCs/>
          <w:color w:val="auto"/>
          <w:sz w:val="44"/>
          <w:szCs w:val="44"/>
          <w:highlight w:val="none"/>
        </w:rPr>
        <w:br w:type="page"/>
      </w:r>
    </w:p>
    <w:p w14:paraId="68D89868">
      <w:pPr>
        <w:pStyle w:val="3"/>
        <w:keepNext/>
        <w:keepLines/>
        <w:pageBreakBefore w:val="0"/>
        <w:widowControl w:val="0"/>
        <w:numPr>
          <w:ilvl w:val="0"/>
          <w:numId w:val="0"/>
        </w:numPr>
        <w:kinsoku/>
        <w:wordWrap/>
        <w:overflowPunct/>
        <w:topLinePunct w:val="0"/>
        <w:autoSpaceDE/>
        <w:autoSpaceDN/>
        <w:bidi w:val="0"/>
        <w:adjustRightInd/>
        <w:snapToGrid/>
        <w:spacing w:line="413" w:lineRule="auto"/>
        <w:jc w:val="center"/>
        <w:textAlignment w:val="auto"/>
        <w:outlineLvl w:val="0"/>
        <w:rPr>
          <w:rFonts w:hint="eastAsia"/>
          <w:color w:val="auto"/>
          <w:sz w:val="36"/>
          <w:szCs w:val="36"/>
          <w:lang w:val="en-US" w:eastAsia="zh-CN"/>
        </w:rPr>
      </w:pPr>
      <w:bookmarkStart w:id="575" w:name="_Toc21194"/>
      <w:bookmarkStart w:id="576" w:name="_Toc20090"/>
      <w:bookmarkStart w:id="577" w:name="_Toc14753"/>
      <w:r>
        <w:rPr>
          <w:rFonts w:hint="eastAsia"/>
          <w:color w:val="auto"/>
          <w:sz w:val="36"/>
          <w:szCs w:val="36"/>
          <w:lang w:val="en-US" w:eastAsia="zh-CN"/>
        </w:rPr>
        <w:t>第六章 工程量清单报价说明</w:t>
      </w:r>
      <w:bookmarkEnd w:id="575"/>
      <w:bookmarkEnd w:id="576"/>
      <w:bookmarkEnd w:id="577"/>
    </w:p>
    <w:p w14:paraId="5C584C33">
      <w:pPr>
        <w:pStyle w:val="21"/>
        <w:keepNext w:val="0"/>
        <w:keepLines w:val="0"/>
        <w:pageBreakBefore w:val="0"/>
        <w:widowControl w:val="0"/>
        <w:kinsoku/>
        <w:wordWrap/>
        <w:overflowPunct/>
        <w:topLinePunct w:val="0"/>
        <w:autoSpaceDE/>
        <w:autoSpaceDN/>
        <w:bidi w:val="0"/>
        <w:adjustRightInd/>
        <w:snapToGrid/>
        <w:spacing w:before="0" w:after="0" w:line="500" w:lineRule="atLeast"/>
        <w:ind w:firstLine="420" w:firstLineChars="200"/>
        <w:jc w:val="both"/>
        <w:textAlignment w:val="auto"/>
        <w:outlineLvl w:val="9"/>
        <w:rPr>
          <w:rFonts w:ascii="宋体" w:hAnsi="宋体" w:cs="Arial"/>
          <w:b w:val="0"/>
          <w:bCs w:val="0"/>
          <w:color w:val="auto"/>
          <w:sz w:val="21"/>
          <w:szCs w:val="21"/>
          <w:highlight w:val="none"/>
        </w:rPr>
      </w:pPr>
      <w:bookmarkStart w:id="578" w:name="_Toc543"/>
      <w:bookmarkStart w:id="579" w:name="_Toc20910"/>
      <w:bookmarkStart w:id="580" w:name="_Toc13528"/>
      <w:bookmarkStart w:id="581" w:name="_Toc22910"/>
      <w:r>
        <w:rPr>
          <w:rFonts w:hint="eastAsia" w:ascii="宋体" w:hAnsi="宋体" w:cs="Arial"/>
          <w:b w:val="0"/>
          <w:bCs w:val="0"/>
          <w:color w:val="auto"/>
          <w:sz w:val="21"/>
          <w:szCs w:val="21"/>
          <w:highlight w:val="none"/>
        </w:rPr>
        <w:t>1．本工程采用工程量清单计价，计价和工程量计算规则按国家标准。</w:t>
      </w:r>
      <w:bookmarkEnd w:id="578"/>
      <w:bookmarkEnd w:id="579"/>
      <w:bookmarkEnd w:id="580"/>
      <w:bookmarkEnd w:id="581"/>
    </w:p>
    <w:p w14:paraId="05994132">
      <w:pPr>
        <w:pStyle w:val="21"/>
        <w:keepNext w:val="0"/>
        <w:keepLines w:val="0"/>
        <w:pageBreakBefore w:val="0"/>
        <w:widowControl w:val="0"/>
        <w:kinsoku/>
        <w:wordWrap/>
        <w:overflowPunct/>
        <w:topLinePunct w:val="0"/>
        <w:autoSpaceDE/>
        <w:autoSpaceDN/>
        <w:bidi w:val="0"/>
        <w:adjustRightInd/>
        <w:snapToGrid/>
        <w:spacing w:before="0" w:after="0" w:line="500" w:lineRule="atLeast"/>
        <w:ind w:firstLine="420" w:firstLineChars="200"/>
        <w:jc w:val="both"/>
        <w:textAlignment w:val="auto"/>
        <w:outlineLvl w:val="9"/>
        <w:rPr>
          <w:rFonts w:ascii="宋体" w:hAnsi="宋体" w:cs="Arial"/>
          <w:b w:val="0"/>
          <w:bCs w:val="0"/>
          <w:color w:val="auto"/>
          <w:sz w:val="21"/>
          <w:szCs w:val="21"/>
          <w:highlight w:val="none"/>
        </w:rPr>
      </w:pPr>
      <w:bookmarkStart w:id="582" w:name="_Toc27454"/>
      <w:bookmarkStart w:id="583" w:name="_Toc21161"/>
      <w:bookmarkStart w:id="584" w:name="_Toc18334"/>
      <w:bookmarkStart w:id="585" w:name="_Toc29321"/>
      <w:r>
        <w:rPr>
          <w:rFonts w:hint="eastAsia" w:ascii="宋体" w:hAnsi="宋体" w:cs="Arial"/>
          <w:b w:val="0"/>
          <w:bCs w:val="0"/>
          <w:color w:val="auto"/>
          <w:sz w:val="21"/>
          <w:szCs w:val="21"/>
          <w:highlight w:val="none"/>
        </w:rPr>
        <w:t>2．工程量清单应与</w:t>
      </w:r>
      <w:r>
        <w:rPr>
          <w:rFonts w:hint="eastAsia" w:ascii="宋体" w:hAnsi="宋体" w:cs="Arial"/>
          <w:b w:val="0"/>
          <w:bCs w:val="0"/>
          <w:color w:val="auto"/>
          <w:sz w:val="21"/>
          <w:szCs w:val="21"/>
          <w:highlight w:val="none"/>
          <w:lang w:eastAsia="zh-CN"/>
        </w:rPr>
        <w:t>磋商</w:t>
      </w:r>
      <w:r>
        <w:rPr>
          <w:rFonts w:hint="eastAsia" w:ascii="宋体" w:hAnsi="宋体" w:cs="Arial"/>
          <w:b w:val="0"/>
          <w:bCs w:val="0"/>
          <w:color w:val="auto"/>
          <w:sz w:val="21"/>
          <w:szCs w:val="21"/>
          <w:highlight w:val="none"/>
        </w:rPr>
        <w:t>须知、合同协议条款、合同通用条款、合同专用条款、技术规范及图纸等文件一起结合使用。</w:t>
      </w:r>
      <w:bookmarkEnd w:id="582"/>
      <w:bookmarkEnd w:id="583"/>
      <w:bookmarkEnd w:id="584"/>
      <w:bookmarkEnd w:id="585"/>
    </w:p>
    <w:p w14:paraId="1DAE2AD8">
      <w:pPr>
        <w:pStyle w:val="21"/>
        <w:keepNext w:val="0"/>
        <w:keepLines w:val="0"/>
        <w:pageBreakBefore w:val="0"/>
        <w:widowControl w:val="0"/>
        <w:kinsoku/>
        <w:wordWrap/>
        <w:overflowPunct/>
        <w:topLinePunct w:val="0"/>
        <w:autoSpaceDE/>
        <w:autoSpaceDN/>
        <w:bidi w:val="0"/>
        <w:adjustRightInd/>
        <w:snapToGrid/>
        <w:spacing w:before="0" w:after="0" w:line="500" w:lineRule="atLeast"/>
        <w:ind w:firstLine="420" w:firstLineChars="200"/>
        <w:jc w:val="both"/>
        <w:textAlignment w:val="auto"/>
        <w:outlineLvl w:val="9"/>
        <w:rPr>
          <w:rFonts w:ascii="宋体" w:hAnsi="宋体" w:cs="Arial"/>
          <w:b w:val="0"/>
          <w:bCs w:val="0"/>
          <w:color w:val="auto"/>
          <w:sz w:val="21"/>
          <w:szCs w:val="21"/>
          <w:highlight w:val="none"/>
        </w:rPr>
      </w:pPr>
      <w:bookmarkStart w:id="586" w:name="_Toc20823"/>
      <w:bookmarkStart w:id="587" w:name="_Toc6696"/>
      <w:bookmarkStart w:id="588" w:name="_Toc20601"/>
      <w:bookmarkStart w:id="589" w:name="_Toc30661"/>
      <w:r>
        <w:rPr>
          <w:rFonts w:hint="eastAsia" w:ascii="宋体" w:hAnsi="宋体" w:cs="Arial"/>
          <w:b w:val="0"/>
          <w:bCs w:val="0"/>
          <w:color w:val="auto"/>
          <w:sz w:val="21"/>
          <w:szCs w:val="21"/>
          <w:highlight w:val="none"/>
        </w:rPr>
        <w:t>3．工程量清单中所列工程量系发包人按照现有图纸及有关资料依据建设行政主管部门所颁布的计量规则计算的，它是</w:t>
      </w:r>
      <w:r>
        <w:rPr>
          <w:rFonts w:hint="eastAsia" w:ascii="宋体" w:hAnsi="宋体" w:cs="Arial"/>
          <w:b w:val="0"/>
          <w:bCs w:val="0"/>
          <w:color w:val="auto"/>
          <w:sz w:val="21"/>
          <w:szCs w:val="21"/>
          <w:highlight w:val="none"/>
          <w:lang w:eastAsia="zh-CN"/>
        </w:rPr>
        <w:t>磋商</w:t>
      </w:r>
      <w:r>
        <w:rPr>
          <w:rFonts w:hint="eastAsia" w:ascii="宋体" w:hAnsi="宋体" w:cs="Arial"/>
          <w:b w:val="0"/>
          <w:bCs w:val="0"/>
          <w:color w:val="auto"/>
          <w:sz w:val="21"/>
          <w:szCs w:val="21"/>
          <w:highlight w:val="none"/>
        </w:rPr>
        <w:t>文件的组成部分，作为</w:t>
      </w:r>
      <w:r>
        <w:rPr>
          <w:rFonts w:hint="eastAsia" w:ascii="宋体" w:hAnsi="宋体" w:cs="Arial"/>
          <w:b w:val="0"/>
          <w:bCs w:val="0"/>
          <w:color w:val="auto"/>
          <w:sz w:val="21"/>
          <w:szCs w:val="21"/>
          <w:highlight w:val="none"/>
          <w:lang w:eastAsia="zh-CN"/>
        </w:rPr>
        <w:t>磋商</w:t>
      </w:r>
      <w:r>
        <w:rPr>
          <w:rFonts w:hint="eastAsia" w:ascii="宋体" w:hAnsi="宋体" w:cs="Arial"/>
          <w:b w:val="0"/>
          <w:bCs w:val="0"/>
          <w:color w:val="auto"/>
          <w:sz w:val="21"/>
          <w:szCs w:val="21"/>
          <w:highlight w:val="none"/>
        </w:rPr>
        <w:t>报价的共同基础。成交后结算支付，以经财政部门投资评审中心审定的设计图纸和设计变更实际工程量为依据，按成交单位</w:t>
      </w:r>
      <w:r>
        <w:rPr>
          <w:rFonts w:hint="eastAsia" w:ascii="宋体" w:hAnsi="宋体" w:cs="Arial"/>
          <w:b w:val="0"/>
          <w:bCs w:val="0"/>
          <w:color w:val="auto"/>
          <w:sz w:val="21"/>
          <w:szCs w:val="21"/>
          <w:highlight w:val="none"/>
          <w:lang w:eastAsia="zh-CN"/>
        </w:rPr>
        <w:t>磋商</w:t>
      </w:r>
      <w:r>
        <w:rPr>
          <w:rFonts w:hint="eastAsia" w:ascii="宋体" w:hAnsi="宋体" w:cs="Arial"/>
          <w:b w:val="0"/>
          <w:bCs w:val="0"/>
          <w:color w:val="auto"/>
          <w:sz w:val="21"/>
          <w:szCs w:val="21"/>
          <w:highlight w:val="none"/>
        </w:rPr>
        <w:t>所报的工程量清单的单价支付费用。</w:t>
      </w:r>
      <w:bookmarkEnd w:id="586"/>
      <w:bookmarkEnd w:id="587"/>
      <w:bookmarkEnd w:id="588"/>
      <w:bookmarkEnd w:id="589"/>
    </w:p>
    <w:p w14:paraId="44A5FEF6">
      <w:pPr>
        <w:pStyle w:val="21"/>
        <w:keepNext w:val="0"/>
        <w:keepLines w:val="0"/>
        <w:pageBreakBefore w:val="0"/>
        <w:widowControl w:val="0"/>
        <w:kinsoku/>
        <w:wordWrap/>
        <w:overflowPunct/>
        <w:topLinePunct w:val="0"/>
        <w:autoSpaceDE/>
        <w:autoSpaceDN/>
        <w:bidi w:val="0"/>
        <w:adjustRightInd/>
        <w:snapToGrid/>
        <w:spacing w:before="0" w:after="0" w:line="500" w:lineRule="atLeast"/>
        <w:ind w:firstLine="420" w:firstLineChars="200"/>
        <w:jc w:val="both"/>
        <w:textAlignment w:val="auto"/>
        <w:outlineLvl w:val="9"/>
        <w:rPr>
          <w:rFonts w:ascii="宋体" w:hAnsi="宋体" w:cs="Arial"/>
          <w:b w:val="0"/>
          <w:bCs w:val="0"/>
          <w:color w:val="auto"/>
          <w:sz w:val="21"/>
          <w:szCs w:val="21"/>
          <w:highlight w:val="none"/>
        </w:rPr>
      </w:pPr>
      <w:bookmarkStart w:id="590" w:name="_Toc28817"/>
      <w:bookmarkStart w:id="591" w:name="_Toc25337"/>
      <w:bookmarkStart w:id="592" w:name="_Toc19220"/>
      <w:bookmarkStart w:id="593" w:name="_Toc26053"/>
      <w:r>
        <w:rPr>
          <w:rFonts w:hint="eastAsia" w:ascii="宋体" w:hAnsi="宋体" w:cs="Arial"/>
          <w:b w:val="0"/>
          <w:bCs w:val="0"/>
          <w:color w:val="auto"/>
          <w:sz w:val="21"/>
          <w:szCs w:val="21"/>
          <w:highlight w:val="none"/>
        </w:rPr>
        <w:t>4．工程量清单中各分项工程的综合单价为本工程包干单价，不管</w:t>
      </w:r>
      <w:r>
        <w:rPr>
          <w:rFonts w:hint="eastAsia" w:ascii="宋体" w:hAnsi="宋体" w:cs="Arial"/>
          <w:b w:val="0"/>
          <w:bCs w:val="0"/>
          <w:color w:val="auto"/>
          <w:sz w:val="21"/>
          <w:szCs w:val="21"/>
          <w:highlight w:val="none"/>
          <w:lang w:eastAsia="zh-CN"/>
        </w:rPr>
        <w:t>磋商</w:t>
      </w:r>
      <w:r>
        <w:rPr>
          <w:rFonts w:hint="eastAsia" w:ascii="宋体" w:hAnsi="宋体" w:cs="Arial"/>
          <w:b w:val="0"/>
          <w:bCs w:val="0"/>
          <w:color w:val="auto"/>
          <w:sz w:val="21"/>
          <w:szCs w:val="21"/>
          <w:highlight w:val="none"/>
        </w:rPr>
        <w:t>人今后施工方案如何改变及工程量实际发生多少，均按包干单价执行。</w:t>
      </w:r>
      <w:bookmarkEnd w:id="590"/>
      <w:bookmarkEnd w:id="591"/>
      <w:bookmarkEnd w:id="592"/>
      <w:bookmarkEnd w:id="593"/>
    </w:p>
    <w:p w14:paraId="1CBA1C3C">
      <w:pPr>
        <w:pStyle w:val="21"/>
        <w:keepNext w:val="0"/>
        <w:keepLines w:val="0"/>
        <w:pageBreakBefore w:val="0"/>
        <w:widowControl w:val="0"/>
        <w:kinsoku/>
        <w:wordWrap/>
        <w:overflowPunct/>
        <w:topLinePunct w:val="0"/>
        <w:autoSpaceDE/>
        <w:autoSpaceDN/>
        <w:bidi w:val="0"/>
        <w:adjustRightInd/>
        <w:snapToGrid/>
        <w:spacing w:before="0" w:after="0" w:line="500" w:lineRule="atLeast"/>
        <w:ind w:firstLine="420" w:firstLineChars="200"/>
        <w:jc w:val="both"/>
        <w:textAlignment w:val="auto"/>
        <w:outlineLvl w:val="9"/>
        <w:rPr>
          <w:rFonts w:ascii="宋体" w:hAnsi="宋体" w:cs="Arial"/>
          <w:b w:val="0"/>
          <w:bCs w:val="0"/>
          <w:color w:val="auto"/>
          <w:sz w:val="21"/>
          <w:szCs w:val="21"/>
          <w:highlight w:val="none"/>
        </w:rPr>
      </w:pPr>
      <w:bookmarkStart w:id="594" w:name="_Toc30767"/>
      <w:bookmarkStart w:id="595" w:name="_Toc738"/>
      <w:bookmarkStart w:id="596" w:name="_Toc16379"/>
      <w:bookmarkStart w:id="597" w:name="_Toc22606"/>
      <w:r>
        <w:rPr>
          <w:rFonts w:hint="eastAsia" w:ascii="宋体" w:hAnsi="宋体" w:cs="Arial"/>
          <w:b w:val="0"/>
          <w:bCs w:val="0"/>
          <w:color w:val="auto"/>
          <w:sz w:val="21"/>
          <w:szCs w:val="21"/>
          <w:highlight w:val="none"/>
        </w:rPr>
        <w:t>5．对工程和材料的一般指示或说明已写于合同文件、图纸和技术规范内。对工程量清单各细目标价前，须参阅合同文件和技术规范的有关部分。</w:t>
      </w:r>
      <w:bookmarkEnd w:id="594"/>
      <w:bookmarkEnd w:id="595"/>
      <w:bookmarkEnd w:id="596"/>
      <w:bookmarkEnd w:id="597"/>
    </w:p>
    <w:p w14:paraId="36D21814">
      <w:pPr>
        <w:pStyle w:val="21"/>
        <w:keepNext w:val="0"/>
        <w:keepLines w:val="0"/>
        <w:pageBreakBefore w:val="0"/>
        <w:widowControl w:val="0"/>
        <w:kinsoku/>
        <w:wordWrap/>
        <w:overflowPunct/>
        <w:topLinePunct w:val="0"/>
        <w:autoSpaceDE/>
        <w:autoSpaceDN/>
        <w:bidi w:val="0"/>
        <w:adjustRightInd/>
        <w:snapToGrid/>
        <w:spacing w:before="0" w:after="0" w:line="500" w:lineRule="atLeast"/>
        <w:ind w:firstLine="420" w:firstLineChars="200"/>
        <w:jc w:val="both"/>
        <w:textAlignment w:val="auto"/>
        <w:outlineLvl w:val="9"/>
        <w:rPr>
          <w:rFonts w:ascii="宋体" w:hAnsi="宋体" w:cs="Arial"/>
          <w:b w:val="0"/>
          <w:bCs w:val="0"/>
          <w:color w:val="auto"/>
          <w:sz w:val="21"/>
          <w:szCs w:val="21"/>
          <w:highlight w:val="none"/>
        </w:rPr>
      </w:pPr>
      <w:bookmarkStart w:id="598" w:name="_Toc9601"/>
      <w:bookmarkStart w:id="599" w:name="_Toc17612"/>
      <w:bookmarkStart w:id="600" w:name="_Toc3463"/>
      <w:bookmarkStart w:id="601" w:name="_Toc18409"/>
      <w:r>
        <w:rPr>
          <w:rFonts w:hint="eastAsia" w:ascii="宋体" w:hAnsi="宋体" w:cs="Arial"/>
          <w:b w:val="0"/>
          <w:bCs w:val="0"/>
          <w:color w:val="auto"/>
          <w:sz w:val="21"/>
          <w:szCs w:val="21"/>
          <w:highlight w:val="none"/>
        </w:rPr>
        <w:t>6．所有报价应以人民币表示。</w:t>
      </w:r>
      <w:bookmarkEnd w:id="598"/>
      <w:bookmarkEnd w:id="599"/>
      <w:bookmarkEnd w:id="600"/>
      <w:bookmarkEnd w:id="601"/>
    </w:p>
    <w:p w14:paraId="6C80C9C8">
      <w:pPr>
        <w:pStyle w:val="21"/>
        <w:keepNext w:val="0"/>
        <w:keepLines w:val="0"/>
        <w:pageBreakBefore w:val="0"/>
        <w:widowControl w:val="0"/>
        <w:kinsoku/>
        <w:wordWrap/>
        <w:overflowPunct/>
        <w:topLinePunct w:val="0"/>
        <w:autoSpaceDE/>
        <w:autoSpaceDN/>
        <w:bidi w:val="0"/>
        <w:adjustRightInd/>
        <w:snapToGrid/>
        <w:spacing w:before="0" w:after="0" w:line="500" w:lineRule="atLeast"/>
        <w:ind w:firstLine="422" w:firstLineChars="200"/>
        <w:jc w:val="both"/>
        <w:textAlignment w:val="auto"/>
        <w:outlineLvl w:val="9"/>
        <w:rPr>
          <w:rFonts w:ascii="宋体" w:hAnsi="宋体"/>
          <w:color w:val="auto"/>
          <w:sz w:val="21"/>
          <w:szCs w:val="21"/>
          <w:highlight w:val="none"/>
        </w:rPr>
      </w:pPr>
      <w:bookmarkStart w:id="602" w:name="_Toc24827"/>
      <w:bookmarkStart w:id="603" w:name="_Toc13841"/>
      <w:bookmarkStart w:id="604" w:name="_Toc8983"/>
      <w:bookmarkStart w:id="605" w:name="_Toc24719"/>
      <w:r>
        <w:rPr>
          <w:rFonts w:hint="eastAsia" w:ascii="宋体" w:hAnsi="宋体" w:cs="Arial"/>
          <w:bCs w:val="0"/>
          <w:color w:val="auto"/>
          <w:sz w:val="21"/>
          <w:szCs w:val="21"/>
          <w:highlight w:val="none"/>
        </w:rPr>
        <w:t>7．工程量清单另册发放。</w:t>
      </w:r>
      <w:bookmarkEnd w:id="602"/>
      <w:bookmarkEnd w:id="603"/>
      <w:bookmarkEnd w:id="604"/>
      <w:bookmarkEnd w:id="605"/>
    </w:p>
    <w:p w14:paraId="24B5FD15">
      <w:pPr>
        <w:pStyle w:val="16"/>
        <w:keepNext w:val="0"/>
        <w:keepLines w:val="0"/>
        <w:pageBreakBefore w:val="0"/>
        <w:widowControl w:val="0"/>
        <w:kinsoku/>
        <w:wordWrap/>
        <w:overflowPunct/>
        <w:topLinePunct w:val="0"/>
        <w:autoSpaceDE/>
        <w:autoSpaceDN/>
        <w:bidi w:val="0"/>
        <w:adjustRightInd/>
        <w:snapToGrid w:val="0"/>
        <w:spacing w:line="360" w:lineRule="auto"/>
        <w:jc w:val="both"/>
        <w:textAlignment w:val="auto"/>
        <w:outlineLvl w:val="9"/>
        <w:rPr>
          <w:rFonts w:hint="eastAsia" w:ascii="宋体" w:hAnsi="宋体" w:cs="宋体"/>
          <w:b/>
          <w:bCs/>
          <w:color w:val="auto"/>
          <w:sz w:val="24"/>
          <w:szCs w:val="24"/>
          <w:highlight w:val="none"/>
        </w:rPr>
      </w:pPr>
      <w:r>
        <w:rPr>
          <w:rFonts w:hint="eastAsia" w:ascii="宋体" w:hAnsi="宋体" w:cs="宋体"/>
          <w:b/>
          <w:bCs/>
          <w:color w:val="auto"/>
          <w:sz w:val="24"/>
          <w:szCs w:val="24"/>
          <w:highlight w:val="none"/>
        </w:rPr>
        <w:br w:type="page"/>
      </w:r>
    </w:p>
    <w:p w14:paraId="1F4B9286">
      <w:pPr>
        <w:pStyle w:val="3"/>
        <w:keepNext/>
        <w:keepLines/>
        <w:pageBreakBefore w:val="0"/>
        <w:widowControl w:val="0"/>
        <w:numPr>
          <w:ilvl w:val="0"/>
          <w:numId w:val="0"/>
        </w:numPr>
        <w:kinsoku/>
        <w:wordWrap/>
        <w:overflowPunct/>
        <w:topLinePunct w:val="0"/>
        <w:autoSpaceDE/>
        <w:autoSpaceDN/>
        <w:bidi w:val="0"/>
        <w:adjustRightInd/>
        <w:snapToGrid/>
        <w:spacing w:line="413" w:lineRule="auto"/>
        <w:jc w:val="center"/>
        <w:textAlignment w:val="auto"/>
        <w:outlineLvl w:val="0"/>
        <w:rPr>
          <w:rFonts w:hint="eastAsia"/>
          <w:color w:val="auto"/>
          <w:sz w:val="36"/>
          <w:szCs w:val="36"/>
          <w:lang w:val="en-US" w:eastAsia="zh-CN"/>
        </w:rPr>
      </w:pPr>
      <w:bookmarkStart w:id="606" w:name="_Toc977"/>
      <w:bookmarkStart w:id="607" w:name="_Toc28631"/>
      <w:bookmarkStart w:id="608" w:name="_Toc6655"/>
      <w:r>
        <w:rPr>
          <w:rFonts w:hint="eastAsia"/>
          <w:color w:val="auto"/>
          <w:sz w:val="36"/>
          <w:szCs w:val="36"/>
          <w:lang w:val="en-US" w:eastAsia="zh-CN"/>
        </w:rPr>
        <w:t>第七章 磋商文件格式</w:t>
      </w:r>
      <w:bookmarkEnd w:id="606"/>
      <w:bookmarkEnd w:id="607"/>
    </w:p>
    <w:p w14:paraId="3EEFE0A7">
      <w:pPr>
        <w:jc w:val="center"/>
        <w:rPr>
          <w:rFonts w:ascii="宋体" w:hAnsi="宋体"/>
          <w:color w:val="auto"/>
          <w:sz w:val="48"/>
          <w:szCs w:val="48"/>
          <w:highlight w:val="none"/>
        </w:rPr>
      </w:pPr>
    </w:p>
    <w:p w14:paraId="7216DF26">
      <w:pPr>
        <w:spacing w:line="400" w:lineRule="exact"/>
        <w:jc w:val="center"/>
        <w:rPr>
          <w:rFonts w:hint="eastAsia" w:ascii="宋体" w:hAnsi="宋体"/>
          <w:b/>
          <w:color w:val="auto"/>
          <w:sz w:val="28"/>
          <w:szCs w:val="28"/>
          <w:highlight w:val="none"/>
        </w:rPr>
      </w:pPr>
      <w:r>
        <w:rPr>
          <w:rFonts w:hint="eastAsia" w:ascii="宋体" w:hAnsi="宋体"/>
          <w:color w:val="auto"/>
          <w:highlight w:val="none"/>
        </w:rPr>
        <w:t xml:space="preserve">                                                                       </w:t>
      </w:r>
      <w:r>
        <w:rPr>
          <w:rFonts w:hint="eastAsia" w:ascii="宋体" w:hAnsi="宋体"/>
          <w:b/>
          <w:color w:val="auto"/>
          <w:sz w:val="28"/>
          <w:szCs w:val="28"/>
          <w:highlight w:val="none"/>
        </w:rPr>
        <w:t xml:space="preserve">        </w:t>
      </w:r>
    </w:p>
    <w:p w14:paraId="2D32FC54">
      <w:pPr>
        <w:spacing w:line="400" w:lineRule="exact"/>
        <w:jc w:val="center"/>
        <w:rPr>
          <w:rFonts w:ascii="宋体" w:hAnsi="宋体"/>
          <w:b/>
          <w:color w:val="auto"/>
          <w:sz w:val="24"/>
          <w:highlight w:val="none"/>
        </w:rPr>
      </w:pPr>
      <w:r>
        <w:rPr>
          <w:rFonts w:hint="eastAsia" w:ascii="宋体" w:hAnsi="宋体"/>
          <w:b/>
          <w:color w:val="auto"/>
          <w:sz w:val="28"/>
          <w:szCs w:val="28"/>
          <w:highlight w:val="none"/>
        </w:rPr>
        <w:t xml:space="preserve">    </w:t>
      </w:r>
    </w:p>
    <w:p w14:paraId="4212B948">
      <w:pPr>
        <w:jc w:val="center"/>
        <w:rPr>
          <w:rFonts w:ascii="宋体" w:hAnsi="宋体"/>
          <w:b/>
          <w:color w:val="auto"/>
          <w:sz w:val="56"/>
          <w:szCs w:val="52"/>
          <w:highlight w:val="none"/>
        </w:rPr>
      </w:pPr>
      <w:r>
        <w:rPr>
          <w:rFonts w:hint="eastAsia" w:ascii="宋体" w:hAnsi="宋体"/>
          <w:b/>
          <w:color w:val="auto"/>
          <w:sz w:val="56"/>
          <w:szCs w:val="52"/>
          <w:highlight w:val="none"/>
          <w:lang w:val="en-US" w:eastAsia="zh-CN"/>
        </w:rPr>
        <w:t>磋 商</w:t>
      </w:r>
      <w:r>
        <w:rPr>
          <w:rFonts w:hint="eastAsia" w:ascii="宋体" w:hAnsi="宋体"/>
          <w:b/>
          <w:color w:val="auto"/>
          <w:sz w:val="56"/>
          <w:szCs w:val="52"/>
          <w:highlight w:val="none"/>
        </w:rPr>
        <w:t xml:space="preserve"> 文 件</w:t>
      </w:r>
    </w:p>
    <w:p w14:paraId="658184CC">
      <w:pPr>
        <w:jc w:val="center"/>
        <w:rPr>
          <w:rFonts w:hint="eastAsia" w:ascii="宋体" w:hAnsi="宋体"/>
          <w:b/>
          <w:color w:val="auto"/>
          <w:sz w:val="28"/>
          <w:szCs w:val="28"/>
          <w:highlight w:val="none"/>
          <w:lang w:val="en-US" w:eastAsia="zh-CN"/>
        </w:rPr>
      </w:pPr>
    </w:p>
    <w:p w14:paraId="530A4F4E">
      <w:pPr>
        <w:jc w:val="center"/>
        <w:rPr>
          <w:rFonts w:hint="default" w:ascii="宋体" w:hAnsi="宋体" w:eastAsia="宋体"/>
          <w:b/>
          <w:color w:val="auto"/>
          <w:sz w:val="72"/>
          <w:szCs w:val="72"/>
          <w:highlight w:val="none"/>
          <w:lang w:val="en-US" w:eastAsia="zh-CN"/>
        </w:rPr>
      </w:pPr>
      <w:r>
        <w:rPr>
          <w:rFonts w:hint="eastAsia" w:ascii="宋体" w:hAnsi="宋体"/>
          <w:b/>
          <w:color w:val="auto"/>
          <w:sz w:val="28"/>
          <w:szCs w:val="28"/>
          <w:highlight w:val="none"/>
          <w:lang w:val="en-US" w:eastAsia="zh-CN"/>
        </w:rPr>
        <w:t>(资格证明文件）</w:t>
      </w:r>
    </w:p>
    <w:p w14:paraId="4935BFDC">
      <w:pPr>
        <w:jc w:val="center"/>
        <w:rPr>
          <w:rFonts w:ascii="宋体" w:hAnsi="宋体"/>
          <w:b/>
          <w:color w:val="auto"/>
          <w:sz w:val="44"/>
          <w:szCs w:val="44"/>
          <w:highlight w:val="none"/>
        </w:rPr>
      </w:pPr>
    </w:p>
    <w:p w14:paraId="373DBBB5">
      <w:pPr>
        <w:spacing w:line="400" w:lineRule="exact"/>
        <w:ind w:firstLine="2702" w:firstLineChars="841"/>
        <w:rPr>
          <w:rFonts w:ascii="宋体" w:hAnsi="宋体"/>
          <w:b/>
          <w:color w:val="auto"/>
          <w:sz w:val="32"/>
          <w:szCs w:val="32"/>
          <w:highlight w:val="none"/>
        </w:rPr>
      </w:pPr>
      <w:r>
        <w:rPr>
          <w:rFonts w:hint="eastAsia" w:ascii="宋体" w:hAnsi="宋体"/>
          <w:b/>
          <w:color w:val="auto"/>
          <w:sz w:val="32"/>
          <w:szCs w:val="32"/>
          <w:highlight w:val="none"/>
        </w:rPr>
        <w:t>项目名称：×××××××</w:t>
      </w:r>
    </w:p>
    <w:p w14:paraId="1159E866">
      <w:pPr>
        <w:spacing w:line="400" w:lineRule="exact"/>
        <w:ind w:firstLine="2878" w:firstLineChars="1024"/>
        <w:rPr>
          <w:rFonts w:ascii="宋体" w:hAnsi="宋体"/>
          <w:b/>
          <w:color w:val="auto"/>
          <w:sz w:val="28"/>
          <w:szCs w:val="28"/>
          <w:highlight w:val="none"/>
        </w:rPr>
      </w:pPr>
    </w:p>
    <w:p w14:paraId="6C781DE8">
      <w:pPr>
        <w:spacing w:line="400" w:lineRule="exact"/>
        <w:ind w:firstLine="2702" w:firstLineChars="841"/>
        <w:rPr>
          <w:rFonts w:hint="eastAsia" w:ascii="宋体" w:hAnsi="宋体"/>
          <w:b/>
          <w:color w:val="auto"/>
          <w:sz w:val="32"/>
          <w:szCs w:val="32"/>
          <w:highlight w:val="none"/>
        </w:rPr>
      </w:pPr>
      <w:r>
        <w:rPr>
          <w:rFonts w:hint="eastAsia" w:ascii="宋体" w:hAnsi="宋体"/>
          <w:b/>
          <w:color w:val="auto"/>
          <w:sz w:val="32"/>
          <w:szCs w:val="32"/>
          <w:highlight w:val="none"/>
        </w:rPr>
        <w:t>项目编号：×××××××</w:t>
      </w:r>
    </w:p>
    <w:p w14:paraId="36BF720E">
      <w:pPr>
        <w:spacing w:line="400" w:lineRule="exact"/>
        <w:ind w:firstLine="2702" w:firstLineChars="841"/>
        <w:rPr>
          <w:rFonts w:hint="eastAsia" w:ascii="宋体" w:hAnsi="宋体"/>
          <w:b/>
          <w:color w:val="auto"/>
          <w:sz w:val="32"/>
          <w:szCs w:val="32"/>
          <w:highlight w:val="none"/>
        </w:rPr>
      </w:pPr>
    </w:p>
    <w:p w14:paraId="4B0121A4">
      <w:pPr>
        <w:jc w:val="center"/>
        <w:rPr>
          <w:rFonts w:ascii="宋体" w:hAnsi="宋体"/>
          <w:b/>
          <w:color w:val="auto"/>
          <w:sz w:val="24"/>
          <w:highlight w:val="none"/>
        </w:rPr>
      </w:pPr>
    </w:p>
    <w:p w14:paraId="52169EF7">
      <w:pPr>
        <w:spacing w:line="400" w:lineRule="exact"/>
        <w:rPr>
          <w:rFonts w:ascii="宋体" w:hAnsi="宋体"/>
          <w:color w:val="auto"/>
          <w:highlight w:val="none"/>
        </w:rPr>
      </w:pPr>
    </w:p>
    <w:p w14:paraId="37ACEA2D">
      <w:pPr>
        <w:spacing w:line="400" w:lineRule="exact"/>
        <w:rPr>
          <w:rFonts w:hint="eastAsia" w:ascii="宋体" w:hAnsi="宋体"/>
          <w:color w:val="auto"/>
          <w:highlight w:val="none"/>
        </w:rPr>
      </w:pPr>
    </w:p>
    <w:p w14:paraId="15F2D1D8">
      <w:pPr>
        <w:spacing w:line="400" w:lineRule="exact"/>
        <w:rPr>
          <w:rFonts w:hint="eastAsia" w:ascii="宋体" w:hAnsi="宋体"/>
          <w:color w:val="auto"/>
          <w:highlight w:val="none"/>
        </w:rPr>
      </w:pPr>
    </w:p>
    <w:p w14:paraId="0A879C0A">
      <w:pPr>
        <w:spacing w:line="400" w:lineRule="exact"/>
        <w:rPr>
          <w:rFonts w:ascii="宋体" w:hAnsi="宋体"/>
          <w:color w:val="auto"/>
          <w:highlight w:val="none"/>
        </w:rPr>
      </w:pPr>
    </w:p>
    <w:p w14:paraId="75F6D073">
      <w:pPr>
        <w:spacing w:line="400" w:lineRule="exact"/>
        <w:rPr>
          <w:rFonts w:ascii="宋体" w:hAnsi="宋体"/>
          <w:color w:val="auto"/>
          <w:highlight w:val="none"/>
        </w:rPr>
      </w:pPr>
    </w:p>
    <w:p w14:paraId="3E73CE00">
      <w:pPr>
        <w:spacing w:line="400" w:lineRule="exact"/>
        <w:rPr>
          <w:rFonts w:ascii="宋体" w:hAnsi="宋体"/>
          <w:color w:val="auto"/>
          <w:highlight w:val="none"/>
        </w:rPr>
      </w:pPr>
    </w:p>
    <w:p w14:paraId="1B4BF56E">
      <w:pPr>
        <w:spacing w:line="700" w:lineRule="exact"/>
        <w:ind w:firstLine="1800" w:firstLineChars="600"/>
        <w:rPr>
          <w:rFonts w:ascii="宋体" w:hAnsi="宋体"/>
          <w:color w:val="auto"/>
          <w:sz w:val="30"/>
          <w:szCs w:val="30"/>
          <w:highlight w:val="none"/>
          <w:u w:val="single"/>
        </w:rPr>
      </w:pPr>
      <w:r>
        <w:rPr>
          <w:rFonts w:hint="eastAsia" w:ascii="宋体" w:hAnsi="宋体"/>
          <w:color w:val="auto"/>
          <w:sz w:val="30"/>
          <w:szCs w:val="30"/>
          <w:highlight w:val="none"/>
          <w:lang w:eastAsia="zh-CN"/>
        </w:rPr>
        <w:t>磋商</w:t>
      </w:r>
      <w:r>
        <w:rPr>
          <w:rFonts w:hint="eastAsia" w:ascii="宋体" w:hAnsi="宋体"/>
          <w:color w:val="auto"/>
          <w:sz w:val="30"/>
          <w:szCs w:val="30"/>
          <w:highlight w:val="none"/>
        </w:rPr>
        <w:t>人：</w:t>
      </w:r>
      <w:r>
        <w:rPr>
          <w:rFonts w:hint="eastAsia" w:ascii="宋体" w:hAnsi="宋体"/>
          <w:color w:val="auto"/>
          <w:sz w:val="30"/>
          <w:szCs w:val="30"/>
          <w:highlight w:val="none"/>
          <w:u w:val="single"/>
        </w:rPr>
        <w:t xml:space="preserve">                             （盖章）</w:t>
      </w:r>
    </w:p>
    <w:p w14:paraId="3EE88574">
      <w:pPr>
        <w:spacing w:line="700" w:lineRule="exact"/>
        <w:ind w:firstLine="1800" w:firstLineChars="600"/>
        <w:rPr>
          <w:rFonts w:hint="eastAsia" w:ascii="宋体" w:hAnsi="宋体"/>
          <w:color w:val="auto"/>
          <w:sz w:val="30"/>
          <w:szCs w:val="30"/>
          <w:highlight w:val="none"/>
          <w:u w:val="single"/>
        </w:rPr>
      </w:pPr>
      <w:r>
        <w:rPr>
          <w:rFonts w:hint="eastAsia" w:ascii="宋体" w:hAnsi="宋体"/>
          <w:color w:val="auto"/>
          <w:sz w:val="30"/>
          <w:szCs w:val="30"/>
          <w:highlight w:val="none"/>
        </w:rPr>
        <w:t>法定代表人或其授权委托代理人：</w:t>
      </w:r>
      <w:r>
        <w:rPr>
          <w:rFonts w:hint="eastAsia" w:ascii="宋体" w:hAnsi="宋体"/>
          <w:color w:val="auto"/>
          <w:sz w:val="30"/>
          <w:szCs w:val="30"/>
          <w:highlight w:val="none"/>
          <w:u w:val="single"/>
        </w:rPr>
        <w:t xml:space="preserve">  （签字或盖章）</w:t>
      </w:r>
    </w:p>
    <w:p w14:paraId="61DE260C">
      <w:pPr>
        <w:spacing w:line="700" w:lineRule="exact"/>
        <w:ind w:firstLine="1800" w:firstLineChars="600"/>
        <w:rPr>
          <w:rFonts w:ascii="宋体" w:hAnsi="宋体"/>
          <w:color w:val="auto"/>
          <w:sz w:val="30"/>
          <w:szCs w:val="30"/>
          <w:highlight w:val="none"/>
        </w:rPr>
      </w:pPr>
    </w:p>
    <w:p w14:paraId="4357AC88">
      <w:pPr>
        <w:spacing w:line="700" w:lineRule="exact"/>
        <w:jc w:val="center"/>
        <w:rPr>
          <w:rFonts w:ascii="宋体" w:hAnsi="宋体"/>
          <w:color w:val="auto"/>
          <w:sz w:val="30"/>
          <w:szCs w:val="30"/>
          <w:highlight w:val="none"/>
        </w:rPr>
      </w:pPr>
      <w:r>
        <w:rPr>
          <w:rFonts w:hint="eastAsia" w:ascii="宋体" w:hAnsi="宋体"/>
          <w:color w:val="auto"/>
          <w:sz w:val="30"/>
          <w:szCs w:val="30"/>
          <w:highlight w:val="none"/>
        </w:rPr>
        <w:t>日期：     年   月   日</w:t>
      </w:r>
    </w:p>
    <w:p w14:paraId="40210DCA">
      <w:pPr>
        <w:spacing w:line="600" w:lineRule="exact"/>
        <w:ind w:firstLine="723" w:firstLineChars="200"/>
        <w:rPr>
          <w:rFonts w:hint="eastAsia" w:ascii="宋体" w:hAnsi="宋体"/>
          <w:color w:val="auto"/>
          <w:sz w:val="24"/>
          <w:szCs w:val="24"/>
          <w:highlight w:val="none"/>
        </w:rPr>
      </w:pPr>
      <w:r>
        <w:rPr>
          <w:rFonts w:ascii="宋体" w:hAnsi="宋体"/>
          <w:b/>
          <w:color w:val="auto"/>
          <w:sz w:val="36"/>
          <w:szCs w:val="36"/>
          <w:highlight w:val="none"/>
        </w:rPr>
        <w:br w:type="page"/>
      </w:r>
    </w:p>
    <w:p w14:paraId="08B14187">
      <w:pPr>
        <w:spacing w:line="360" w:lineRule="auto"/>
        <w:jc w:val="center"/>
        <w:rPr>
          <w:rFonts w:hint="eastAsia" w:ascii="新宋体" w:hAnsi="新宋体" w:eastAsia="新宋体" w:cs="新宋体"/>
          <w:b/>
          <w:sz w:val="24"/>
          <w:szCs w:val="24"/>
          <w:highlight w:val="none"/>
        </w:rPr>
      </w:pPr>
      <w:r>
        <w:rPr>
          <w:rFonts w:hint="eastAsia" w:ascii="新宋体" w:hAnsi="新宋体" w:eastAsia="新宋体" w:cs="新宋体"/>
          <w:b/>
          <w:kern w:val="0"/>
          <w:sz w:val="24"/>
          <w:szCs w:val="24"/>
          <w:highlight w:val="none"/>
          <w:lang w:val="zh-CN"/>
        </w:rPr>
        <w:t>一、</w:t>
      </w:r>
      <w:r>
        <w:rPr>
          <w:rFonts w:hint="eastAsia" w:ascii="新宋体" w:hAnsi="新宋体" w:eastAsia="新宋体" w:cs="新宋体"/>
          <w:b/>
          <w:sz w:val="24"/>
          <w:szCs w:val="24"/>
          <w:highlight w:val="none"/>
        </w:rPr>
        <w:t>营业执照(或事业法人登记证或其他工商等登记证明材料)复印件（</w:t>
      </w:r>
      <w:r>
        <w:rPr>
          <w:rFonts w:hint="eastAsia" w:ascii="新宋体" w:hAnsi="新宋体" w:eastAsia="新宋体" w:cs="新宋体"/>
          <w:b/>
          <w:sz w:val="24"/>
          <w:szCs w:val="24"/>
          <w:highlight w:val="none"/>
          <w:lang w:eastAsia="zh-CN"/>
        </w:rPr>
        <w:t>磋商人</w:t>
      </w:r>
      <w:r>
        <w:rPr>
          <w:rFonts w:hint="eastAsia" w:ascii="新宋体" w:hAnsi="新宋体" w:eastAsia="新宋体" w:cs="新宋体"/>
          <w:b/>
          <w:sz w:val="24"/>
          <w:szCs w:val="24"/>
          <w:highlight w:val="none"/>
        </w:rPr>
        <w:t>为自然人的，提供自然人的身份证明）</w:t>
      </w:r>
    </w:p>
    <w:p w14:paraId="11A9133F">
      <w:pPr>
        <w:spacing w:line="360" w:lineRule="auto"/>
        <w:rPr>
          <w:rFonts w:hint="eastAsia" w:ascii="新宋体" w:hAnsi="新宋体" w:eastAsia="新宋体" w:cs="新宋体"/>
          <w:b/>
          <w:sz w:val="24"/>
          <w:szCs w:val="24"/>
          <w:highlight w:val="none"/>
        </w:rPr>
      </w:pPr>
    </w:p>
    <w:p w14:paraId="6A127693">
      <w:pPr>
        <w:snapToGrid w:val="0"/>
        <w:spacing w:line="360" w:lineRule="auto"/>
        <w:ind w:firstLine="576"/>
        <w:jc w:val="center"/>
        <w:rPr>
          <w:rFonts w:hint="eastAsia" w:ascii="新宋体" w:hAnsi="新宋体" w:eastAsia="新宋体" w:cs="新宋体"/>
          <w:kern w:val="0"/>
          <w:sz w:val="24"/>
          <w:szCs w:val="24"/>
          <w:highlight w:val="none"/>
          <w:lang w:val="zh-CN"/>
        </w:rPr>
      </w:pPr>
      <w:r>
        <w:rPr>
          <w:rFonts w:hint="eastAsia" w:ascii="新宋体" w:hAnsi="新宋体" w:eastAsia="新宋体" w:cs="新宋体"/>
          <w:kern w:val="0"/>
          <w:sz w:val="24"/>
          <w:szCs w:val="24"/>
          <w:highlight w:val="none"/>
          <w:lang w:val="zh-CN"/>
        </w:rPr>
        <w:t xml:space="preserve">               </w:t>
      </w:r>
    </w:p>
    <w:p w14:paraId="4740403B">
      <w:pPr>
        <w:snapToGrid w:val="0"/>
        <w:spacing w:line="360" w:lineRule="auto"/>
        <w:ind w:firstLine="576"/>
        <w:jc w:val="center"/>
        <w:rPr>
          <w:rFonts w:hint="eastAsia" w:ascii="新宋体" w:hAnsi="新宋体" w:eastAsia="新宋体" w:cs="新宋体"/>
          <w:kern w:val="0"/>
          <w:sz w:val="24"/>
          <w:szCs w:val="24"/>
          <w:highlight w:val="none"/>
          <w:lang w:val="zh-CN"/>
        </w:rPr>
      </w:pPr>
    </w:p>
    <w:p w14:paraId="2EA91D4C">
      <w:pPr>
        <w:snapToGrid w:val="0"/>
        <w:spacing w:line="360" w:lineRule="auto"/>
        <w:ind w:firstLine="576"/>
        <w:jc w:val="center"/>
        <w:rPr>
          <w:rFonts w:hint="eastAsia" w:ascii="新宋体" w:hAnsi="新宋体" w:eastAsia="新宋体" w:cs="新宋体"/>
          <w:kern w:val="0"/>
          <w:sz w:val="24"/>
          <w:szCs w:val="24"/>
          <w:highlight w:val="none"/>
          <w:lang w:val="zh-CN"/>
        </w:rPr>
      </w:pPr>
      <w:r>
        <w:rPr>
          <w:rFonts w:hint="eastAsia" w:ascii="新宋体" w:hAnsi="新宋体" w:eastAsia="新宋体" w:cs="新宋体"/>
          <w:kern w:val="0"/>
          <w:sz w:val="24"/>
          <w:szCs w:val="24"/>
          <w:highlight w:val="none"/>
          <w:lang w:val="zh-CN"/>
        </w:rPr>
        <w:t xml:space="preserve">磋商人名称(电子签章)：                              </w:t>
      </w:r>
    </w:p>
    <w:p w14:paraId="64EAA29E">
      <w:pPr>
        <w:spacing w:line="360" w:lineRule="auto"/>
        <w:jc w:val="center"/>
        <w:rPr>
          <w:rFonts w:hint="eastAsia" w:ascii="新宋体" w:hAnsi="新宋体" w:eastAsia="新宋体" w:cs="新宋体"/>
          <w:b/>
          <w:sz w:val="24"/>
          <w:szCs w:val="24"/>
          <w:highlight w:val="none"/>
          <w:lang w:val="en-US" w:eastAsia="zh-CN"/>
        </w:rPr>
      </w:pPr>
      <w:r>
        <w:rPr>
          <w:rFonts w:hint="eastAsia" w:ascii="新宋体" w:hAnsi="新宋体" w:eastAsia="新宋体" w:cs="新宋体"/>
          <w:kern w:val="0"/>
          <w:sz w:val="24"/>
          <w:szCs w:val="24"/>
          <w:highlight w:val="none"/>
          <w:lang w:val="zh-CN"/>
        </w:rPr>
        <w:t xml:space="preserve">                   日期：  年  月</w:t>
      </w:r>
      <w:r>
        <w:rPr>
          <w:rFonts w:hint="eastAsia" w:ascii="新宋体" w:hAnsi="新宋体" w:eastAsia="新宋体" w:cs="新宋体"/>
          <w:kern w:val="0"/>
          <w:sz w:val="24"/>
          <w:szCs w:val="24"/>
          <w:highlight w:val="none"/>
          <w:lang w:val="en-US" w:eastAsia="zh-CN"/>
        </w:rPr>
        <w:t xml:space="preserve">  日</w:t>
      </w:r>
    </w:p>
    <w:p w14:paraId="3BE85EEF">
      <w:pPr>
        <w:rPr>
          <w:rFonts w:hint="eastAsia" w:ascii="新宋体" w:hAnsi="新宋体" w:eastAsia="新宋体" w:cs="新宋体"/>
          <w:b/>
          <w:color w:val="auto"/>
          <w:sz w:val="24"/>
          <w:szCs w:val="24"/>
          <w:highlight w:val="none"/>
        </w:rPr>
      </w:pPr>
      <w:r>
        <w:rPr>
          <w:rFonts w:hint="eastAsia" w:ascii="新宋体" w:hAnsi="新宋体" w:eastAsia="新宋体" w:cs="新宋体"/>
          <w:b/>
          <w:color w:val="auto"/>
          <w:sz w:val="24"/>
          <w:szCs w:val="24"/>
          <w:highlight w:val="none"/>
        </w:rPr>
        <w:br w:type="page"/>
      </w:r>
    </w:p>
    <w:p w14:paraId="4FB58FA1">
      <w:pPr>
        <w:snapToGrid w:val="0"/>
        <w:spacing w:before="50" w:after="160" w:afterLines="50" w:line="360" w:lineRule="auto"/>
        <w:jc w:val="center"/>
        <w:rPr>
          <w:rFonts w:hint="eastAsia" w:ascii="新宋体" w:hAnsi="新宋体" w:eastAsia="新宋体" w:cs="新宋体"/>
          <w:b/>
          <w:kern w:val="0"/>
          <w:sz w:val="24"/>
          <w:szCs w:val="24"/>
          <w:highlight w:val="none"/>
        </w:rPr>
      </w:pPr>
      <w:r>
        <w:rPr>
          <w:rFonts w:hint="eastAsia" w:ascii="新宋体" w:hAnsi="新宋体" w:eastAsia="新宋体" w:cs="新宋体"/>
          <w:b/>
          <w:kern w:val="0"/>
          <w:sz w:val="24"/>
          <w:szCs w:val="24"/>
          <w:highlight w:val="none"/>
          <w:lang w:val="en-US" w:eastAsia="zh-CN"/>
        </w:rPr>
        <w:t>二</w:t>
      </w:r>
      <w:r>
        <w:rPr>
          <w:rFonts w:hint="eastAsia" w:ascii="新宋体" w:hAnsi="新宋体" w:eastAsia="新宋体" w:cs="新宋体"/>
          <w:b/>
          <w:kern w:val="0"/>
          <w:sz w:val="24"/>
          <w:szCs w:val="24"/>
          <w:highlight w:val="none"/>
        </w:rPr>
        <w:t>、</w:t>
      </w:r>
      <w:r>
        <w:rPr>
          <w:rFonts w:hint="eastAsia" w:ascii="新宋体" w:hAnsi="新宋体" w:eastAsia="新宋体" w:cs="新宋体"/>
          <w:b/>
          <w:kern w:val="0"/>
          <w:sz w:val="24"/>
          <w:szCs w:val="24"/>
          <w:highlight w:val="none"/>
          <w:lang w:val="en-US" w:eastAsia="zh-CN"/>
        </w:rPr>
        <w:t>磋商</w:t>
      </w:r>
      <w:r>
        <w:rPr>
          <w:rFonts w:hint="eastAsia" w:ascii="新宋体" w:hAnsi="新宋体" w:eastAsia="新宋体" w:cs="新宋体"/>
          <w:b/>
          <w:kern w:val="0"/>
          <w:sz w:val="24"/>
          <w:szCs w:val="24"/>
          <w:highlight w:val="none"/>
        </w:rPr>
        <w:t>人直接控股股东信息表</w:t>
      </w:r>
    </w:p>
    <w:tbl>
      <w:tblPr>
        <w:tblStyle w:val="23"/>
        <w:tblW w:w="0" w:type="auto"/>
        <w:tblInd w:w="0" w:type="dxa"/>
        <w:shd w:val="clear" w:color="auto" w:fill="FBFBFB"/>
        <w:tblLayout w:type="fixed"/>
        <w:tblCellMar>
          <w:top w:w="0" w:type="dxa"/>
          <w:left w:w="0" w:type="dxa"/>
          <w:bottom w:w="0" w:type="dxa"/>
          <w:right w:w="0" w:type="dxa"/>
        </w:tblCellMar>
      </w:tblPr>
      <w:tblGrid>
        <w:gridCol w:w="828"/>
        <w:gridCol w:w="2269"/>
        <w:gridCol w:w="1239"/>
        <w:gridCol w:w="3722"/>
        <w:gridCol w:w="1418"/>
      </w:tblGrid>
      <w:tr w14:paraId="54647C8F">
        <w:tblPrEx>
          <w:shd w:val="clear" w:color="auto" w:fill="FBFBFB"/>
          <w:tblCellMar>
            <w:top w:w="0" w:type="dxa"/>
            <w:left w:w="0" w:type="dxa"/>
            <w:bottom w:w="0" w:type="dxa"/>
            <w:right w:w="0" w:type="dxa"/>
          </w:tblCellMar>
        </w:tblPrEx>
        <w:trPr>
          <w:tblHeader/>
        </w:trPr>
        <w:tc>
          <w:tcPr>
            <w:tcW w:w="82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663E705">
            <w:pPr>
              <w:spacing w:line="360" w:lineRule="auto"/>
              <w:jc w:val="center"/>
              <w:rPr>
                <w:rFonts w:hint="eastAsia" w:ascii="新宋体" w:hAnsi="新宋体" w:eastAsia="新宋体" w:cs="新宋体"/>
                <w:b/>
                <w:bCs/>
                <w:kern w:val="0"/>
                <w:sz w:val="24"/>
                <w:szCs w:val="24"/>
                <w:highlight w:val="none"/>
              </w:rPr>
            </w:pPr>
            <w:r>
              <w:rPr>
                <w:rFonts w:hint="eastAsia" w:ascii="新宋体" w:hAnsi="新宋体" w:eastAsia="新宋体" w:cs="新宋体"/>
                <w:b/>
                <w:bCs/>
                <w:kern w:val="0"/>
                <w:sz w:val="24"/>
                <w:szCs w:val="24"/>
                <w:highlight w:val="none"/>
              </w:rPr>
              <w:t>序号</w:t>
            </w:r>
          </w:p>
        </w:tc>
        <w:tc>
          <w:tcPr>
            <w:tcW w:w="226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D65B06E">
            <w:pPr>
              <w:spacing w:line="360" w:lineRule="auto"/>
              <w:jc w:val="center"/>
              <w:rPr>
                <w:rFonts w:hint="eastAsia" w:ascii="新宋体" w:hAnsi="新宋体" w:eastAsia="新宋体" w:cs="新宋体"/>
                <w:b/>
                <w:bCs/>
                <w:kern w:val="0"/>
                <w:sz w:val="24"/>
                <w:szCs w:val="24"/>
                <w:highlight w:val="none"/>
              </w:rPr>
            </w:pPr>
            <w:r>
              <w:rPr>
                <w:rFonts w:hint="eastAsia" w:ascii="新宋体" w:hAnsi="新宋体" w:eastAsia="新宋体" w:cs="新宋体"/>
                <w:b/>
                <w:bCs/>
                <w:kern w:val="0"/>
                <w:sz w:val="24"/>
                <w:szCs w:val="24"/>
                <w:highlight w:val="none"/>
              </w:rPr>
              <w:t>直接控股股东名称</w:t>
            </w:r>
          </w:p>
        </w:tc>
        <w:tc>
          <w:tcPr>
            <w:tcW w:w="123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9B3FB2B">
            <w:pPr>
              <w:spacing w:line="360" w:lineRule="auto"/>
              <w:jc w:val="center"/>
              <w:rPr>
                <w:rFonts w:hint="eastAsia" w:ascii="新宋体" w:hAnsi="新宋体" w:eastAsia="新宋体" w:cs="新宋体"/>
                <w:b/>
                <w:bCs/>
                <w:kern w:val="0"/>
                <w:sz w:val="24"/>
                <w:szCs w:val="24"/>
                <w:highlight w:val="none"/>
              </w:rPr>
            </w:pPr>
            <w:r>
              <w:rPr>
                <w:rFonts w:hint="eastAsia" w:ascii="新宋体" w:hAnsi="新宋体" w:eastAsia="新宋体" w:cs="新宋体"/>
                <w:b/>
                <w:bCs/>
                <w:kern w:val="0"/>
                <w:sz w:val="24"/>
                <w:szCs w:val="24"/>
                <w:highlight w:val="none"/>
              </w:rPr>
              <w:t>出资比例</w:t>
            </w:r>
          </w:p>
        </w:tc>
        <w:tc>
          <w:tcPr>
            <w:tcW w:w="372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36BAF172">
            <w:pPr>
              <w:spacing w:line="360" w:lineRule="auto"/>
              <w:jc w:val="center"/>
              <w:rPr>
                <w:rFonts w:hint="eastAsia" w:ascii="新宋体" w:hAnsi="新宋体" w:eastAsia="新宋体" w:cs="新宋体"/>
                <w:b/>
                <w:bCs/>
                <w:kern w:val="0"/>
                <w:sz w:val="24"/>
                <w:szCs w:val="24"/>
                <w:highlight w:val="none"/>
              </w:rPr>
            </w:pPr>
            <w:r>
              <w:rPr>
                <w:rFonts w:hint="eastAsia" w:ascii="新宋体" w:hAnsi="新宋体" w:eastAsia="新宋体" w:cs="新宋体"/>
                <w:b/>
                <w:bCs/>
                <w:kern w:val="0"/>
                <w:sz w:val="24"/>
                <w:szCs w:val="24"/>
                <w:highlight w:val="none"/>
              </w:rPr>
              <w:t>身份证号码或者统一社会信用代码</w:t>
            </w:r>
          </w:p>
        </w:tc>
        <w:tc>
          <w:tcPr>
            <w:tcW w:w="141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38E4B17">
            <w:pPr>
              <w:spacing w:line="360" w:lineRule="auto"/>
              <w:jc w:val="center"/>
              <w:rPr>
                <w:rFonts w:hint="eastAsia" w:ascii="新宋体" w:hAnsi="新宋体" w:eastAsia="新宋体" w:cs="新宋体"/>
                <w:b/>
                <w:bCs/>
                <w:kern w:val="0"/>
                <w:sz w:val="24"/>
                <w:szCs w:val="24"/>
                <w:highlight w:val="none"/>
              </w:rPr>
            </w:pPr>
            <w:r>
              <w:rPr>
                <w:rFonts w:hint="eastAsia" w:ascii="新宋体" w:hAnsi="新宋体" w:eastAsia="新宋体" w:cs="新宋体"/>
                <w:b/>
                <w:bCs/>
                <w:kern w:val="0"/>
                <w:sz w:val="24"/>
                <w:szCs w:val="24"/>
                <w:highlight w:val="none"/>
              </w:rPr>
              <w:t>备注</w:t>
            </w:r>
          </w:p>
        </w:tc>
      </w:tr>
      <w:tr w14:paraId="7706E080">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FEBFDC0">
            <w:pPr>
              <w:spacing w:line="360" w:lineRule="auto"/>
              <w:jc w:val="center"/>
              <w:rPr>
                <w:rFonts w:hint="eastAsia" w:ascii="新宋体" w:hAnsi="新宋体" w:eastAsia="新宋体" w:cs="新宋体"/>
                <w:kern w:val="0"/>
                <w:sz w:val="24"/>
                <w:szCs w:val="24"/>
                <w:highlight w:val="none"/>
              </w:rPr>
            </w:pPr>
            <w:r>
              <w:rPr>
                <w:rFonts w:hint="eastAsia" w:ascii="新宋体" w:hAnsi="新宋体" w:eastAsia="新宋体" w:cs="新宋体"/>
                <w:kern w:val="0"/>
                <w:sz w:val="24"/>
                <w:szCs w:val="24"/>
                <w:highlight w:val="none"/>
              </w:rPr>
              <w:t>1</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3F1862F">
            <w:pPr>
              <w:spacing w:line="360" w:lineRule="auto"/>
              <w:jc w:val="center"/>
              <w:rPr>
                <w:rFonts w:hint="eastAsia" w:ascii="新宋体" w:hAnsi="新宋体" w:eastAsia="新宋体" w:cs="新宋体"/>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7A52B20">
            <w:pPr>
              <w:spacing w:line="360" w:lineRule="auto"/>
              <w:jc w:val="center"/>
              <w:rPr>
                <w:rFonts w:hint="eastAsia" w:ascii="新宋体" w:hAnsi="新宋体" w:eastAsia="新宋体" w:cs="新宋体"/>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91C3732">
            <w:pPr>
              <w:spacing w:line="360" w:lineRule="auto"/>
              <w:jc w:val="center"/>
              <w:rPr>
                <w:rFonts w:hint="eastAsia" w:ascii="新宋体" w:hAnsi="新宋体" w:eastAsia="新宋体" w:cs="新宋体"/>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81753E7">
            <w:pPr>
              <w:spacing w:line="360" w:lineRule="auto"/>
              <w:jc w:val="center"/>
              <w:rPr>
                <w:rFonts w:hint="eastAsia" w:ascii="新宋体" w:hAnsi="新宋体" w:eastAsia="新宋体" w:cs="新宋体"/>
                <w:kern w:val="0"/>
                <w:sz w:val="24"/>
                <w:szCs w:val="24"/>
                <w:highlight w:val="none"/>
              </w:rPr>
            </w:pPr>
          </w:p>
        </w:tc>
      </w:tr>
      <w:tr w14:paraId="35040507">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42BE79">
            <w:pPr>
              <w:spacing w:line="360" w:lineRule="auto"/>
              <w:jc w:val="center"/>
              <w:rPr>
                <w:rFonts w:hint="eastAsia" w:ascii="新宋体" w:hAnsi="新宋体" w:eastAsia="新宋体" w:cs="新宋体"/>
                <w:kern w:val="0"/>
                <w:sz w:val="24"/>
                <w:szCs w:val="24"/>
                <w:highlight w:val="none"/>
              </w:rPr>
            </w:pPr>
            <w:r>
              <w:rPr>
                <w:rFonts w:hint="eastAsia" w:ascii="新宋体" w:hAnsi="新宋体" w:eastAsia="新宋体" w:cs="新宋体"/>
                <w:kern w:val="0"/>
                <w:sz w:val="24"/>
                <w:szCs w:val="24"/>
                <w:highlight w:val="none"/>
              </w:rPr>
              <w:t>2</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BA31008">
            <w:pPr>
              <w:spacing w:line="360" w:lineRule="auto"/>
              <w:jc w:val="center"/>
              <w:rPr>
                <w:rFonts w:hint="eastAsia" w:ascii="新宋体" w:hAnsi="新宋体" w:eastAsia="新宋体" w:cs="新宋体"/>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016214">
            <w:pPr>
              <w:spacing w:line="360" w:lineRule="auto"/>
              <w:jc w:val="center"/>
              <w:rPr>
                <w:rFonts w:hint="eastAsia" w:ascii="新宋体" w:hAnsi="新宋体" w:eastAsia="新宋体" w:cs="新宋体"/>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7CC723">
            <w:pPr>
              <w:spacing w:line="360" w:lineRule="auto"/>
              <w:jc w:val="center"/>
              <w:rPr>
                <w:rFonts w:hint="eastAsia" w:ascii="新宋体" w:hAnsi="新宋体" w:eastAsia="新宋体" w:cs="新宋体"/>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D8DEF91">
            <w:pPr>
              <w:spacing w:line="360" w:lineRule="auto"/>
              <w:jc w:val="center"/>
              <w:rPr>
                <w:rFonts w:hint="eastAsia" w:ascii="新宋体" w:hAnsi="新宋体" w:eastAsia="新宋体" w:cs="新宋体"/>
                <w:kern w:val="0"/>
                <w:sz w:val="24"/>
                <w:szCs w:val="24"/>
                <w:highlight w:val="none"/>
              </w:rPr>
            </w:pPr>
          </w:p>
        </w:tc>
      </w:tr>
      <w:tr w14:paraId="17E1E0CE">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C9FF04A">
            <w:pPr>
              <w:spacing w:line="360" w:lineRule="auto"/>
              <w:jc w:val="center"/>
              <w:rPr>
                <w:rFonts w:hint="eastAsia" w:ascii="新宋体" w:hAnsi="新宋体" w:eastAsia="新宋体" w:cs="新宋体"/>
                <w:kern w:val="0"/>
                <w:sz w:val="24"/>
                <w:szCs w:val="24"/>
                <w:highlight w:val="none"/>
              </w:rPr>
            </w:pPr>
            <w:r>
              <w:rPr>
                <w:rFonts w:hint="eastAsia" w:ascii="新宋体" w:hAnsi="新宋体" w:eastAsia="新宋体" w:cs="新宋体"/>
                <w:kern w:val="0"/>
                <w:sz w:val="24"/>
                <w:szCs w:val="24"/>
                <w:highlight w:val="none"/>
              </w:rPr>
              <w:t>3</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2D6CA8E">
            <w:pPr>
              <w:spacing w:line="360" w:lineRule="auto"/>
              <w:jc w:val="center"/>
              <w:rPr>
                <w:rFonts w:hint="eastAsia" w:ascii="新宋体" w:hAnsi="新宋体" w:eastAsia="新宋体" w:cs="新宋体"/>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DC8CBF8">
            <w:pPr>
              <w:spacing w:line="360" w:lineRule="auto"/>
              <w:jc w:val="center"/>
              <w:rPr>
                <w:rFonts w:hint="eastAsia" w:ascii="新宋体" w:hAnsi="新宋体" w:eastAsia="新宋体" w:cs="新宋体"/>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3607256">
            <w:pPr>
              <w:spacing w:line="360" w:lineRule="auto"/>
              <w:jc w:val="center"/>
              <w:rPr>
                <w:rFonts w:hint="eastAsia" w:ascii="新宋体" w:hAnsi="新宋体" w:eastAsia="新宋体" w:cs="新宋体"/>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82F3846">
            <w:pPr>
              <w:spacing w:line="360" w:lineRule="auto"/>
              <w:jc w:val="center"/>
              <w:rPr>
                <w:rFonts w:hint="eastAsia" w:ascii="新宋体" w:hAnsi="新宋体" w:eastAsia="新宋体" w:cs="新宋体"/>
                <w:kern w:val="0"/>
                <w:sz w:val="24"/>
                <w:szCs w:val="24"/>
                <w:highlight w:val="none"/>
              </w:rPr>
            </w:pPr>
          </w:p>
        </w:tc>
      </w:tr>
      <w:tr w14:paraId="642494CE">
        <w:tblPrEx>
          <w:shd w:val="clear" w:color="auto" w:fill="FBFBFB"/>
          <w:tblCellMar>
            <w:top w:w="0" w:type="dxa"/>
            <w:left w:w="0" w:type="dxa"/>
            <w:bottom w:w="0" w:type="dxa"/>
            <w:right w:w="0" w:type="dxa"/>
          </w:tblCellMar>
        </w:tblPrEx>
        <w:tc>
          <w:tcPr>
            <w:tcW w:w="82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664D0A">
            <w:pPr>
              <w:spacing w:line="360" w:lineRule="auto"/>
              <w:jc w:val="center"/>
              <w:rPr>
                <w:rFonts w:hint="eastAsia" w:ascii="新宋体" w:hAnsi="新宋体" w:eastAsia="新宋体" w:cs="新宋体"/>
                <w:kern w:val="0"/>
                <w:sz w:val="24"/>
                <w:szCs w:val="24"/>
                <w:highlight w:val="none"/>
              </w:rPr>
            </w:pPr>
            <w:r>
              <w:rPr>
                <w:rFonts w:hint="eastAsia" w:ascii="新宋体" w:hAnsi="新宋体" w:eastAsia="新宋体" w:cs="新宋体"/>
                <w:kern w:val="0"/>
                <w:sz w:val="24"/>
                <w:szCs w:val="24"/>
                <w:highlight w:val="none"/>
              </w:rPr>
              <w:t>……</w:t>
            </w:r>
          </w:p>
        </w:tc>
        <w:tc>
          <w:tcPr>
            <w:tcW w:w="226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B4EDB31">
            <w:pPr>
              <w:spacing w:line="360" w:lineRule="auto"/>
              <w:jc w:val="center"/>
              <w:rPr>
                <w:rFonts w:hint="eastAsia" w:ascii="新宋体" w:hAnsi="新宋体" w:eastAsia="新宋体" w:cs="新宋体"/>
                <w:kern w:val="0"/>
                <w:sz w:val="24"/>
                <w:szCs w:val="24"/>
                <w:highlight w:val="none"/>
              </w:rPr>
            </w:pPr>
          </w:p>
        </w:tc>
        <w:tc>
          <w:tcPr>
            <w:tcW w:w="123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7245968">
            <w:pPr>
              <w:spacing w:line="360" w:lineRule="auto"/>
              <w:jc w:val="center"/>
              <w:rPr>
                <w:rFonts w:hint="eastAsia" w:ascii="新宋体" w:hAnsi="新宋体" w:eastAsia="新宋体" w:cs="新宋体"/>
                <w:kern w:val="0"/>
                <w:sz w:val="24"/>
                <w:szCs w:val="24"/>
                <w:highlight w:val="none"/>
              </w:rPr>
            </w:pPr>
          </w:p>
        </w:tc>
        <w:tc>
          <w:tcPr>
            <w:tcW w:w="372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48ADD6">
            <w:pPr>
              <w:spacing w:line="360" w:lineRule="auto"/>
              <w:jc w:val="center"/>
              <w:rPr>
                <w:rFonts w:hint="eastAsia" w:ascii="新宋体" w:hAnsi="新宋体" w:eastAsia="新宋体" w:cs="新宋体"/>
                <w:kern w:val="0"/>
                <w:sz w:val="24"/>
                <w:szCs w:val="24"/>
                <w:highlight w:val="none"/>
              </w:rPr>
            </w:pPr>
          </w:p>
        </w:tc>
        <w:tc>
          <w:tcPr>
            <w:tcW w:w="141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0DBCB9">
            <w:pPr>
              <w:spacing w:line="360" w:lineRule="auto"/>
              <w:jc w:val="center"/>
              <w:rPr>
                <w:rFonts w:hint="eastAsia" w:ascii="新宋体" w:hAnsi="新宋体" w:eastAsia="新宋体" w:cs="新宋体"/>
                <w:kern w:val="0"/>
                <w:sz w:val="24"/>
                <w:szCs w:val="24"/>
                <w:highlight w:val="none"/>
              </w:rPr>
            </w:pPr>
          </w:p>
        </w:tc>
      </w:tr>
    </w:tbl>
    <w:p w14:paraId="212CC4E4">
      <w:pPr>
        <w:snapToGrid w:val="0"/>
        <w:spacing w:line="360" w:lineRule="auto"/>
        <w:jc w:val="left"/>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rPr>
        <w:t>注：</w:t>
      </w:r>
    </w:p>
    <w:p w14:paraId="0B17AE01">
      <w:pPr>
        <w:snapToGrid w:val="0"/>
        <w:spacing w:line="360" w:lineRule="auto"/>
        <w:jc w:val="left"/>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12977D25">
      <w:pPr>
        <w:snapToGrid w:val="0"/>
        <w:spacing w:line="360" w:lineRule="auto"/>
        <w:jc w:val="left"/>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rPr>
        <w:t>2.本表所指的控股关系仅限于直接控股关系，不包括间接的控股关系。公司实际控制人与公司之间的关系不属于本表所指的直接控股关系。</w:t>
      </w:r>
    </w:p>
    <w:p w14:paraId="0355C5F2">
      <w:pPr>
        <w:snapToGrid w:val="0"/>
        <w:spacing w:line="360" w:lineRule="auto"/>
        <w:jc w:val="left"/>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rPr>
        <w:t>3.供应商不存在直接控股股东的，则填“无”。</w:t>
      </w:r>
    </w:p>
    <w:p w14:paraId="71DEA4E8">
      <w:pPr>
        <w:snapToGrid w:val="0"/>
        <w:spacing w:line="360" w:lineRule="auto"/>
        <w:jc w:val="left"/>
        <w:rPr>
          <w:rFonts w:hint="eastAsia" w:ascii="新宋体" w:hAnsi="新宋体" w:eastAsia="新宋体" w:cs="新宋体"/>
          <w:sz w:val="24"/>
          <w:szCs w:val="24"/>
          <w:highlight w:val="none"/>
        </w:rPr>
      </w:pPr>
    </w:p>
    <w:p w14:paraId="20A54584">
      <w:pPr>
        <w:snapToGrid w:val="0"/>
        <w:spacing w:line="360" w:lineRule="auto"/>
        <w:jc w:val="left"/>
        <w:rPr>
          <w:rFonts w:hint="eastAsia" w:ascii="新宋体" w:hAnsi="新宋体" w:eastAsia="新宋体" w:cs="新宋体"/>
          <w:sz w:val="24"/>
          <w:szCs w:val="24"/>
          <w:highlight w:val="none"/>
        </w:rPr>
      </w:pPr>
    </w:p>
    <w:p w14:paraId="3DCE4F03">
      <w:pPr>
        <w:snapToGrid w:val="0"/>
        <w:spacing w:line="360" w:lineRule="auto"/>
        <w:jc w:val="left"/>
        <w:rPr>
          <w:rFonts w:hint="eastAsia" w:ascii="新宋体" w:hAnsi="新宋体" w:eastAsia="新宋体" w:cs="新宋体"/>
          <w:sz w:val="24"/>
          <w:szCs w:val="24"/>
          <w:highlight w:val="none"/>
        </w:rPr>
      </w:pPr>
    </w:p>
    <w:p w14:paraId="0F414933">
      <w:pPr>
        <w:snapToGrid w:val="0"/>
        <w:spacing w:line="360" w:lineRule="auto"/>
        <w:jc w:val="left"/>
        <w:rPr>
          <w:rFonts w:hint="eastAsia" w:ascii="新宋体" w:hAnsi="新宋体" w:eastAsia="新宋体" w:cs="新宋体"/>
          <w:sz w:val="24"/>
          <w:szCs w:val="24"/>
          <w:highlight w:val="none"/>
        </w:rPr>
      </w:pPr>
    </w:p>
    <w:p w14:paraId="29DC7CE1">
      <w:pPr>
        <w:snapToGrid w:val="0"/>
        <w:spacing w:line="360" w:lineRule="auto"/>
        <w:jc w:val="left"/>
        <w:rPr>
          <w:rFonts w:hint="eastAsia" w:ascii="新宋体" w:hAnsi="新宋体" w:eastAsia="新宋体" w:cs="新宋体"/>
          <w:sz w:val="24"/>
          <w:szCs w:val="24"/>
          <w:highlight w:val="none"/>
        </w:rPr>
      </w:pPr>
    </w:p>
    <w:p w14:paraId="0BCCFE4D">
      <w:pPr>
        <w:snapToGrid w:val="0"/>
        <w:spacing w:line="360" w:lineRule="auto"/>
        <w:ind w:firstLine="5040" w:firstLineChars="2100"/>
        <w:rPr>
          <w:rFonts w:hint="eastAsia" w:ascii="新宋体" w:hAnsi="新宋体" w:eastAsia="新宋体" w:cs="新宋体"/>
          <w:kern w:val="0"/>
          <w:sz w:val="24"/>
          <w:szCs w:val="24"/>
          <w:highlight w:val="none"/>
        </w:rPr>
      </w:pPr>
      <w:r>
        <w:rPr>
          <w:rFonts w:hint="eastAsia" w:ascii="新宋体" w:hAnsi="新宋体" w:eastAsia="新宋体" w:cs="新宋体"/>
          <w:kern w:val="0"/>
          <w:sz w:val="24"/>
          <w:szCs w:val="24"/>
          <w:highlight w:val="none"/>
          <w:lang w:val="zh-CN"/>
        </w:rPr>
        <w:t>磋商人名称(电子签章)：</w:t>
      </w:r>
    </w:p>
    <w:p w14:paraId="77A32E8E">
      <w:pPr>
        <w:snapToGrid w:val="0"/>
        <w:spacing w:line="360" w:lineRule="auto"/>
        <w:ind w:firstLine="5160" w:firstLineChars="2150"/>
        <w:rPr>
          <w:rFonts w:hint="eastAsia" w:ascii="新宋体" w:hAnsi="新宋体" w:eastAsia="新宋体" w:cs="新宋体"/>
          <w:kern w:val="0"/>
          <w:sz w:val="24"/>
          <w:szCs w:val="24"/>
          <w:highlight w:val="none"/>
          <w:lang w:val="zh-CN"/>
        </w:rPr>
      </w:pPr>
      <w:r>
        <w:rPr>
          <w:rFonts w:hint="eastAsia" w:ascii="新宋体" w:hAnsi="新宋体" w:eastAsia="新宋体" w:cs="新宋体"/>
          <w:kern w:val="0"/>
          <w:sz w:val="24"/>
          <w:szCs w:val="24"/>
          <w:highlight w:val="none"/>
          <w:lang w:val="zh-CN"/>
        </w:rPr>
        <w:t>日期</w:t>
      </w:r>
      <w:r>
        <w:rPr>
          <w:rFonts w:hint="eastAsia" w:ascii="新宋体" w:hAnsi="新宋体" w:eastAsia="新宋体" w:cs="新宋体"/>
          <w:kern w:val="0"/>
          <w:sz w:val="24"/>
          <w:szCs w:val="24"/>
          <w:highlight w:val="none"/>
        </w:rPr>
        <w:t xml:space="preserve">：  </w:t>
      </w:r>
      <w:r>
        <w:rPr>
          <w:rFonts w:hint="eastAsia" w:ascii="新宋体" w:hAnsi="新宋体" w:eastAsia="新宋体" w:cs="新宋体"/>
          <w:kern w:val="0"/>
          <w:sz w:val="24"/>
          <w:szCs w:val="24"/>
          <w:highlight w:val="none"/>
          <w:lang w:val="en-US" w:eastAsia="zh-CN"/>
        </w:rPr>
        <w:t xml:space="preserve">  </w:t>
      </w:r>
      <w:r>
        <w:rPr>
          <w:rFonts w:hint="eastAsia" w:ascii="新宋体" w:hAnsi="新宋体" w:eastAsia="新宋体" w:cs="新宋体"/>
          <w:kern w:val="0"/>
          <w:sz w:val="24"/>
          <w:szCs w:val="24"/>
          <w:highlight w:val="none"/>
        </w:rPr>
        <w:t xml:space="preserve">年  </w:t>
      </w:r>
      <w:r>
        <w:rPr>
          <w:rFonts w:hint="eastAsia" w:ascii="新宋体" w:hAnsi="新宋体" w:eastAsia="新宋体" w:cs="新宋体"/>
          <w:kern w:val="0"/>
          <w:sz w:val="24"/>
          <w:szCs w:val="24"/>
          <w:highlight w:val="none"/>
          <w:lang w:val="en-US" w:eastAsia="zh-CN"/>
        </w:rPr>
        <w:t xml:space="preserve"> </w:t>
      </w:r>
      <w:r>
        <w:rPr>
          <w:rFonts w:hint="eastAsia" w:ascii="新宋体" w:hAnsi="新宋体" w:eastAsia="新宋体" w:cs="新宋体"/>
          <w:kern w:val="0"/>
          <w:sz w:val="24"/>
          <w:szCs w:val="24"/>
          <w:highlight w:val="none"/>
          <w:lang w:val="zh-CN"/>
        </w:rPr>
        <w:t>月</w:t>
      </w:r>
      <w:r>
        <w:rPr>
          <w:rFonts w:hint="eastAsia" w:ascii="新宋体" w:hAnsi="新宋体" w:eastAsia="新宋体" w:cs="新宋体"/>
          <w:kern w:val="0"/>
          <w:sz w:val="24"/>
          <w:szCs w:val="24"/>
          <w:highlight w:val="none"/>
        </w:rPr>
        <w:t xml:space="preserve">   </w:t>
      </w:r>
      <w:r>
        <w:rPr>
          <w:rFonts w:hint="eastAsia" w:ascii="新宋体" w:hAnsi="新宋体" w:eastAsia="新宋体" w:cs="新宋体"/>
          <w:kern w:val="0"/>
          <w:sz w:val="24"/>
          <w:szCs w:val="24"/>
          <w:highlight w:val="none"/>
          <w:lang w:val="zh-CN"/>
        </w:rPr>
        <w:t>日</w:t>
      </w:r>
    </w:p>
    <w:p w14:paraId="4EB32F9F">
      <w:pPr>
        <w:snapToGrid w:val="0"/>
        <w:jc w:val="center"/>
        <w:rPr>
          <w:rFonts w:hint="eastAsia" w:ascii="新宋体" w:hAnsi="新宋体" w:eastAsia="新宋体" w:cs="新宋体"/>
          <w:b/>
          <w:sz w:val="24"/>
          <w:szCs w:val="24"/>
          <w:highlight w:val="none"/>
        </w:rPr>
      </w:pPr>
      <w:r>
        <w:rPr>
          <w:rFonts w:hint="eastAsia" w:ascii="新宋体" w:hAnsi="新宋体" w:eastAsia="新宋体" w:cs="新宋体"/>
          <w:b/>
          <w:sz w:val="24"/>
          <w:szCs w:val="24"/>
          <w:highlight w:val="none"/>
        </w:rPr>
        <w:br w:type="page"/>
      </w:r>
    </w:p>
    <w:p w14:paraId="017965DB">
      <w:pPr>
        <w:snapToGrid w:val="0"/>
        <w:spacing w:line="360" w:lineRule="auto"/>
        <w:jc w:val="center"/>
        <w:rPr>
          <w:rFonts w:hint="eastAsia" w:ascii="新宋体" w:hAnsi="新宋体" w:eastAsia="新宋体" w:cs="新宋体"/>
          <w:sz w:val="24"/>
          <w:szCs w:val="24"/>
          <w:highlight w:val="none"/>
        </w:rPr>
      </w:pPr>
      <w:r>
        <w:rPr>
          <w:rFonts w:hint="eastAsia" w:ascii="新宋体" w:hAnsi="新宋体" w:eastAsia="新宋体" w:cs="新宋体"/>
          <w:b/>
          <w:sz w:val="24"/>
          <w:szCs w:val="24"/>
          <w:highlight w:val="none"/>
          <w:lang w:val="en-US" w:eastAsia="zh-CN"/>
        </w:rPr>
        <w:t>三</w:t>
      </w:r>
      <w:r>
        <w:rPr>
          <w:rFonts w:hint="eastAsia" w:ascii="新宋体" w:hAnsi="新宋体" w:eastAsia="新宋体" w:cs="新宋体"/>
          <w:b/>
          <w:sz w:val="24"/>
          <w:szCs w:val="24"/>
          <w:highlight w:val="none"/>
        </w:rPr>
        <w:t>、</w:t>
      </w:r>
      <w:r>
        <w:rPr>
          <w:rFonts w:hint="eastAsia" w:ascii="新宋体" w:hAnsi="新宋体" w:eastAsia="新宋体" w:cs="新宋体"/>
          <w:b/>
          <w:sz w:val="24"/>
          <w:szCs w:val="24"/>
          <w:highlight w:val="none"/>
          <w:lang w:val="en-US" w:eastAsia="zh-CN"/>
        </w:rPr>
        <w:t>磋商</w:t>
      </w:r>
      <w:r>
        <w:rPr>
          <w:rFonts w:hint="eastAsia" w:ascii="新宋体" w:hAnsi="新宋体" w:eastAsia="新宋体" w:cs="新宋体"/>
          <w:b/>
          <w:sz w:val="24"/>
          <w:szCs w:val="24"/>
          <w:highlight w:val="none"/>
        </w:rPr>
        <w:t>人直接管理关系信息表</w:t>
      </w:r>
    </w:p>
    <w:tbl>
      <w:tblPr>
        <w:tblStyle w:val="23"/>
        <w:tblW w:w="0" w:type="auto"/>
        <w:tblInd w:w="0" w:type="dxa"/>
        <w:shd w:val="clear" w:color="auto" w:fill="FBFBFB"/>
        <w:tblLayout w:type="fixed"/>
        <w:tblCellMar>
          <w:top w:w="0" w:type="dxa"/>
          <w:left w:w="0" w:type="dxa"/>
          <w:bottom w:w="0" w:type="dxa"/>
          <w:right w:w="0" w:type="dxa"/>
        </w:tblCellMar>
      </w:tblPr>
      <w:tblGrid>
        <w:gridCol w:w="1005"/>
        <w:gridCol w:w="2659"/>
        <w:gridCol w:w="3924"/>
        <w:gridCol w:w="2064"/>
      </w:tblGrid>
      <w:tr w14:paraId="706E14AD">
        <w:tblPrEx>
          <w:shd w:val="clear" w:color="auto" w:fill="FBFBFB"/>
          <w:tblCellMar>
            <w:top w:w="0" w:type="dxa"/>
            <w:left w:w="0" w:type="dxa"/>
            <w:bottom w:w="0" w:type="dxa"/>
            <w:right w:w="0" w:type="dxa"/>
          </w:tblCellMar>
        </w:tblPrEx>
        <w:trPr>
          <w:tblHeader/>
        </w:trPr>
        <w:tc>
          <w:tcPr>
            <w:tcW w:w="1005"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34F977F">
            <w:pPr>
              <w:spacing w:line="360" w:lineRule="auto"/>
              <w:jc w:val="center"/>
              <w:rPr>
                <w:rFonts w:hint="eastAsia" w:ascii="新宋体" w:hAnsi="新宋体" w:eastAsia="新宋体" w:cs="新宋体"/>
                <w:b/>
                <w:bCs/>
                <w:kern w:val="0"/>
                <w:sz w:val="24"/>
                <w:szCs w:val="24"/>
                <w:highlight w:val="none"/>
              </w:rPr>
            </w:pPr>
            <w:r>
              <w:rPr>
                <w:rFonts w:hint="eastAsia" w:ascii="新宋体" w:hAnsi="新宋体" w:eastAsia="新宋体" w:cs="新宋体"/>
                <w:b/>
                <w:bCs/>
                <w:kern w:val="0"/>
                <w:sz w:val="24"/>
                <w:szCs w:val="24"/>
                <w:highlight w:val="none"/>
              </w:rPr>
              <w:t>序号</w:t>
            </w:r>
          </w:p>
        </w:tc>
        <w:tc>
          <w:tcPr>
            <w:tcW w:w="265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14FB350E">
            <w:pPr>
              <w:spacing w:line="360" w:lineRule="auto"/>
              <w:jc w:val="center"/>
              <w:rPr>
                <w:rFonts w:hint="eastAsia" w:ascii="新宋体" w:hAnsi="新宋体" w:eastAsia="新宋体" w:cs="新宋体"/>
                <w:b/>
                <w:bCs/>
                <w:kern w:val="0"/>
                <w:sz w:val="24"/>
                <w:szCs w:val="24"/>
                <w:highlight w:val="none"/>
              </w:rPr>
            </w:pPr>
            <w:r>
              <w:rPr>
                <w:rFonts w:hint="eastAsia" w:ascii="新宋体" w:hAnsi="新宋体" w:eastAsia="新宋体" w:cs="新宋体"/>
                <w:b/>
                <w:bCs/>
                <w:kern w:val="0"/>
                <w:sz w:val="24"/>
                <w:szCs w:val="24"/>
                <w:highlight w:val="none"/>
              </w:rPr>
              <w:t>直接管理关系单位名称</w:t>
            </w:r>
          </w:p>
        </w:tc>
        <w:tc>
          <w:tcPr>
            <w:tcW w:w="392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439A5AF7">
            <w:pPr>
              <w:spacing w:line="360" w:lineRule="auto"/>
              <w:jc w:val="center"/>
              <w:rPr>
                <w:rFonts w:hint="eastAsia" w:ascii="新宋体" w:hAnsi="新宋体" w:eastAsia="新宋体" w:cs="新宋体"/>
                <w:b/>
                <w:bCs/>
                <w:kern w:val="0"/>
                <w:sz w:val="24"/>
                <w:szCs w:val="24"/>
                <w:highlight w:val="none"/>
              </w:rPr>
            </w:pPr>
            <w:r>
              <w:rPr>
                <w:rFonts w:hint="eastAsia" w:ascii="新宋体" w:hAnsi="新宋体" w:eastAsia="新宋体" w:cs="新宋体"/>
                <w:b/>
                <w:bCs/>
                <w:kern w:val="0"/>
                <w:sz w:val="24"/>
                <w:szCs w:val="24"/>
                <w:highlight w:val="none"/>
              </w:rPr>
              <w:t>统一社会信用代码</w:t>
            </w:r>
          </w:p>
        </w:tc>
        <w:tc>
          <w:tcPr>
            <w:tcW w:w="206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6682EE6">
            <w:pPr>
              <w:spacing w:line="360" w:lineRule="auto"/>
              <w:jc w:val="center"/>
              <w:rPr>
                <w:rFonts w:hint="eastAsia" w:ascii="新宋体" w:hAnsi="新宋体" w:eastAsia="新宋体" w:cs="新宋体"/>
                <w:b/>
                <w:bCs/>
                <w:kern w:val="0"/>
                <w:sz w:val="24"/>
                <w:szCs w:val="24"/>
                <w:highlight w:val="none"/>
              </w:rPr>
            </w:pPr>
            <w:r>
              <w:rPr>
                <w:rFonts w:hint="eastAsia" w:ascii="新宋体" w:hAnsi="新宋体" w:eastAsia="新宋体" w:cs="新宋体"/>
                <w:b/>
                <w:bCs/>
                <w:kern w:val="0"/>
                <w:sz w:val="24"/>
                <w:szCs w:val="24"/>
                <w:highlight w:val="none"/>
              </w:rPr>
              <w:t>备注</w:t>
            </w:r>
          </w:p>
        </w:tc>
      </w:tr>
      <w:tr w14:paraId="22BCCD80">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9CE0AAA">
            <w:pPr>
              <w:spacing w:line="360" w:lineRule="auto"/>
              <w:jc w:val="center"/>
              <w:rPr>
                <w:rFonts w:hint="eastAsia" w:ascii="新宋体" w:hAnsi="新宋体" w:eastAsia="新宋体" w:cs="新宋体"/>
                <w:kern w:val="0"/>
                <w:sz w:val="24"/>
                <w:szCs w:val="24"/>
                <w:highlight w:val="none"/>
              </w:rPr>
            </w:pPr>
            <w:r>
              <w:rPr>
                <w:rFonts w:hint="eastAsia" w:ascii="新宋体" w:hAnsi="新宋体" w:eastAsia="新宋体" w:cs="新宋体"/>
                <w:kern w:val="0"/>
                <w:sz w:val="24"/>
                <w:szCs w:val="24"/>
                <w:highlight w:val="none"/>
              </w:rPr>
              <w:t>1</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15F5AF1">
            <w:pPr>
              <w:spacing w:line="360" w:lineRule="auto"/>
              <w:jc w:val="center"/>
              <w:rPr>
                <w:rFonts w:hint="eastAsia" w:ascii="新宋体" w:hAnsi="新宋体" w:eastAsia="新宋体" w:cs="新宋体"/>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1BBB865">
            <w:pPr>
              <w:spacing w:line="360" w:lineRule="auto"/>
              <w:jc w:val="center"/>
              <w:rPr>
                <w:rFonts w:hint="eastAsia" w:ascii="新宋体" w:hAnsi="新宋体" w:eastAsia="新宋体" w:cs="新宋体"/>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7474C7">
            <w:pPr>
              <w:spacing w:line="360" w:lineRule="auto"/>
              <w:jc w:val="center"/>
              <w:rPr>
                <w:rFonts w:hint="eastAsia" w:ascii="新宋体" w:hAnsi="新宋体" w:eastAsia="新宋体" w:cs="新宋体"/>
                <w:kern w:val="0"/>
                <w:sz w:val="24"/>
                <w:szCs w:val="24"/>
                <w:highlight w:val="none"/>
              </w:rPr>
            </w:pPr>
          </w:p>
        </w:tc>
      </w:tr>
      <w:tr w14:paraId="66BCA314">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00E7259">
            <w:pPr>
              <w:spacing w:line="360" w:lineRule="auto"/>
              <w:jc w:val="center"/>
              <w:rPr>
                <w:rFonts w:hint="eastAsia" w:ascii="新宋体" w:hAnsi="新宋体" w:eastAsia="新宋体" w:cs="新宋体"/>
                <w:kern w:val="0"/>
                <w:sz w:val="24"/>
                <w:szCs w:val="24"/>
                <w:highlight w:val="none"/>
              </w:rPr>
            </w:pPr>
            <w:r>
              <w:rPr>
                <w:rFonts w:hint="eastAsia" w:ascii="新宋体" w:hAnsi="新宋体" w:eastAsia="新宋体" w:cs="新宋体"/>
                <w:kern w:val="0"/>
                <w:sz w:val="24"/>
                <w:szCs w:val="24"/>
                <w:highlight w:val="none"/>
              </w:rPr>
              <w:t>2</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27E970D9">
            <w:pPr>
              <w:spacing w:line="360" w:lineRule="auto"/>
              <w:jc w:val="center"/>
              <w:rPr>
                <w:rFonts w:hint="eastAsia" w:ascii="新宋体" w:hAnsi="新宋体" w:eastAsia="新宋体" w:cs="新宋体"/>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3D47BFE">
            <w:pPr>
              <w:spacing w:line="360" w:lineRule="auto"/>
              <w:jc w:val="center"/>
              <w:rPr>
                <w:rFonts w:hint="eastAsia" w:ascii="新宋体" w:hAnsi="新宋体" w:eastAsia="新宋体" w:cs="新宋体"/>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A8A109">
            <w:pPr>
              <w:spacing w:line="360" w:lineRule="auto"/>
              <w:jc w:val="center"/>
              <w:rPr>
                <w:rFonts w:hint="eastAsia" w:ascii="新宋体" w:hAnsi="新宋体" w:eastAsia="新宋体" w:cs="新宋体"/>
                <w:kern w:val="0"/>
                <w:sz w:val="24"/>
                <w:szCs w:val="24"/>
                <w:highlight w:val="none"/>
              </w:rPr>
            </w:pPr>
          </w:p>
        </w:tc>
      </w:tr>
      <w:tr w14:paraId="77D4D5B8">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6BEBDD5">
            <w:pPr>
              <w:spacing w:line="360" w:lineRule="auto"/>
              <w:jc w:val="center"/>
              <w:rPr>
                <w:rFonts w:hint="eastAsia" w:ascii="新宋体" w:hAnsi="新宋体" w:eastAsia="新宋体" w:cs="新宋体"/>
                <w:kern w:val="0"/>
                <w:sz w:val="24"/>
                <w:szCs w:val="24"/>
                <w:highlight w:val="none"/>
              </w:rPr>
            </w:pPr>
            <w:r>
              <w:rPr>
                <w:rFonts w:hint="eastAsia" w:ascii="新宋体" w:hAnsi="新宋体" w:eastAsia="新宋体" w:cs="新宋体"/>
                <w:kern w:val="0"/>
                <w:sz w:val="24"/>
                <w:szCs w:val="24"/>
                <w:highlight w:val="none"/>
              </w:rPr>
              <w:t>3</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93828D1">
            <w:pPr>
              <w:spacing w:line="360" w:lineRule="auto"/>
              <w:jc w:val="center"/>
              <w:rPr>
                <w:rFonts w:hint="eastAsia" w:ascii="新宋体" w:hAnsi="新宋体" w:eastAsia="新宋体" w:cs="新宋体"/>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D3630F1">
            <w:pPr>
              <w:spacing w:line="360" w:lineRule="auto"/>
              <w:jc w:val="center"/>
              <w:rPr>
                <w:rFonts w:hint="eastAsia" w:ascii="新宋体" w:hAnsi="新宋体" w:eastAsia="新宋体" w:cs="新宋体"/>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09ACB3">
            <w:pPr>
              <w:spacing w:line="360" w:lineRule="auto"/>
              <w:jc w:val="center"/>
              <w:rPr>
                <w:rFonts w:hint="eastAsia" w:ascii="新宋体" w:hAnsi="新宋体" w:eastAsia="新宋体" w:cs="新宋体"/>
                <w:kern w:val="0"/>
                <w:sz w:val="24"/>
                <w:szCs w:val="24"/>
                <w:highlight w:val="none"/>
              </w:rPr>
            </w:pPr>
          </w:p>
        </w:tc>
      </w:tr>
      <w:tr w14:paraId="438A0C69">
        <w:tblPrEx>
          <w:shd w:val="clear" w:color="auto" w:fill="FBFBFB"/>
          <w:tblCellMar>
            <w:top w:w="0" w:type="dxa"/>
            <w:left w:w="0" w:type="dxa"/>
            <w:bottom w:w="0" w:type="dxa"/>
            <w:right w:w="0" w:type="dxa"/>
          </w:tblCellMar>
        </w:tblPrEx>
        <w:tc>
          <w:tcPr>
            <w:tcW w:w="1005"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AA50BCA">
            <w:pPr>
              <w:spacing w:line="360" w:lineRule="auto"/>
              <w:jc w:val="center"/>
              <w:rPr>
                <w:rFonts w:hint="eastAsia" w:ascii="新宋体" w:hAnsi="新宋体" w:eastAsia="新宋体" w:cs="新宋体"/>
                <w:kern w:val="0"/>
                <w:sz w:val="24"/>
                <w:szCs w:val="24"/>
                <w:highlight w:val="none"/>
              </w:rPr>
            </w:pPr>
            <w:r>
              <w:rPr>
                <w:rFonts w:hint="eastAsia" w:ascii="新宋体" w:hAnsi="新宋体" w:eastAsia="新宋体" w:cs="新宋体"/>
                <w:kern w:val="0"/>
                <w:sz w:val="24"/>
                <w:szCs w:val="24"/>
                <w:highlight w:val="none"/>
              </w:rPr>
              <w:t>……</w:t>
            </w:r>
          </w:p>
        </w:tc>
        <w:tc>
          <w:tcPr>
            <w:tcW w:w="265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FFDDA5A">
            <w:pPr>
              <w:spacing w:line="360" w:lineRule="auto"/>
              <w:jc w:val="center"/>
              <w:rPr>
                <w:rFonts w:hint="eastAsia" w:ascii="新宋体" w:hAnsi="新宋体" w:eastAsia="新宋体" w:cs="新宋体"/>
                <w:kern w:val="0"/>
                <w:sz w:val="24"/>
                <w:szCs w:val="24"/>
                <w:highlight w:val="none"/>
              </w:rPr>
            </w:pPr>
          </w:p>
        </w:tc>
        <w:tc>
          <w:tcPr>
            <w:tcW w:w="392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3514430">
            <w:pPr>
              <w:spacing w:line="360" w:lineRule="auto"/>
              <w:jc w:val="center"/>
              <w:rPr>
                <w:rFonts w:hint="eastAsia" w:ascii="新宋体" w:hAnsi="新宋体" w:eastAsia="新宋体" w:cs="新宋体"/>
                <w:kern w:val="0"/>
                <w:sz w:val="24"/>
                <w:szCs w:val="24"/>
                <w:highlight w:val="none"/>
              </w:rPr>
            </w:pPr>
          </w:p>
        </w:tc>
        <w:tc>
          <w:tcPr>
            <w:tcW w:w="206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D36D26F">
            <w:pPr>
              <w:spacing w:line="360" w:lineRule="auto"/>
              <w:jc w:val="center"/>
              <w:rPr>
                <w:rFonts w:hint="eastAsia" w:ascii="新宋体" w:hAnsi="新宋体" w:eastAsia="新宋体" w:cs="新宋体"/>
                <w:kern w:val="0"/>
                <w:sz w:val="24"/>
                <w:szCs w:val="24"/>
                <w:highlight w:val="none"/>
              </w:rPr>
            </w:pPr>
          </w:p>
        </w:tc>
      </w:tr>
    </w:tbl>
    <w:p w14:paraId="6C9414BB">
      <w:pPr>
        <w:snapToGrid w:val="0"/>
        <w:spacing w:line="360" w:lineRule="auto"/>
        <w:jc w:val="left"/>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rPr>
        <w:t>注：</w:t>
      </w:r>
    </w:p>
    <w:p w14:paraId="7BC1AF46">
      <w:pPr>
        <w:snapToGrid w:val="0"/>
        <w:spacing w:line="360" w:lineRule="auto"/>
        <w:ind w:firstLine="480" w:firstLineChars="200"/>
        <w:jc w:val="left"/>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rPr>
        <w:t>1.管理关系：是指不具有出资持股关系的其他单位之间存在的管理与被管理关系，如一些上下级关系的事业单位和团体组织。</w:t>
      </w:r>
    </w:p>
    <w:p w14:paraId="48974C0F">
      <w:pPr>
        <w:snapToGrid w:val="0"/>
        <w:spacing w:line="360" w:lineRule="auto"/>
        <w:ind w:firstLine="480" w:firstLineChars="200"/>
        <w:jc w:val="left"/>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rPr>
        <w:t>2.</w:t>
      </w:r>
      <w:r>
        <w:rPr>
          <w:rFonts w:hint="eastAsia" w:ascii="新宋体" w:hAnsi="新宋体" w:eastAsia="新宋体" w:cs="新宋体"/>
          <w:spacing w:val="-6"/>
          <w:sz w:val="24"/>
          <w:szCs w:val="24"/>
          <w:highlight w:val="none"/>
        </w:rPr>
        <w:t>本表所指的管理关系仅限于直接管理关系，不包括间接的管理关系。</w:t>
      </w:r>
    </w:p>
    <w:p w14:paraId="58614646">
      <w:pPr>
        <w:snapToGrid w:val="0"/>
        <w:spacing w:line="360" w:lineRule="auto"/>
        <w:ind w:firstLine="480" w:firstLineChars="200"/>
        <w:jc w:val="left"/>
        <w:rPr>
          <w:rFonts w:hint="eastAsia" w:ascii="新宋体" w:hAnsi="新宋体" w:eastAsia="新宋体" w:cs="新宋体"/>
          <w:sz w:val="24"/>
          <w:szCs w:val="24"/>
          <w:highlight w:val="none"/>
        </w:rPr>
      </w:pPr>
      <w:r>
        <w:rPr>
          <w:rFonts w:hint="eastAsia" w:ascii="新宋体" w:hAnsi="新宋体" w:eastAsia="新宋体" w:cs="新宋体"/>
          <w:sz w:val="24"/>
          <w:szCs w:val="24"/>
          <w:highlight w:val="none"/>
        </w:rPr>
        <w:t>3.供应商不存在直接管理关系的，则填“无”。</w:t>
      </w:r>
    </w:p>
    <w:p w14:paraId="3D51497E">
      <w:pPr>
        <w:snapToGrid w:val="0"/>
        <w:spacing w:line="360" w:lineRule="auto"/>
        <w:jc w:val="left"/>
        <w:rPr>
          <w:rFonts w:hint="eastAsia" w:ascii="新宋体" w:hAnsi="新宋体" w:eastAsia="新宋体" w:cs="新宋体"/>
          <w:sz w:val="24"/>
          <w:szCs w:val="24"/>
          <w:highlight w:val="none"/>
        </w:rPr>
      </w:pPr>
    </w:p>
    <w:p w14:paraId="33B12C15">
      <w:pPr>
        <w:snapToGrid w:val="0"/>
        <w:spacing w:line="360" w:lineRule="auto"/>
        <w:jc w:val="left"/>
        <w:rPr>
          <w:rFonts w:hint="eastAsia" w:ascii="新宋体" w:hAnsi="新宋体" w:eastAsia="新宋体" w:cs="新宋体"/>
          <w:sz w:val="24"/>
          <w:szCs w:val="24"/>
          <w:highlight w:val="none"/>
        </w:rPr>
      </w:pPr>
    </w:p>
    <w:p w14:paraId="5812D4D0">
      <w:pPr>
        <w:snapToGrid w:val="0"/>
        <w:spacing w:line="360" w:lineRule="auto"/>
        <w:jc w:val="left"/>
        <w:rPr>
          <w:rFonts w:hint="eastAsia" w:ascii="新宋体" w:hAnsi="新宋体" w:eastAsia="新宋体" w:cs="新宋体"/>
          <w:sz w:val="24"/>
          <w:szCs w:val="24"/>
          <w:highlight w:val="none"/>
        </w:rPr>
      </w:pPr>
    </w:p>
    <w:p w14:paraId="211AF16E">
      <w:pPr>
        <w:snapToGrid w:val="0"/>
        <w:spacing w:line="360" w:lineRule="auto"/>
        <w:jc w:val="left"/>
        <w:rPr>
          <w:rFonts w:hint="eastAsia" w:ascii="新宋体" w:hAnsi="新宋体" w:eastAsia="新宋体" w:cs="新宋体"/>
          <w:sz w:val="24"/>
          <w:szCs w:val="24"/>
          <w:highlight w:val="none"/>
        </w:rPr>
      </w:pPr>
    </w:p>
    <w:p w14:paraId="16702871">
      <w:pPr>
        <w:snapToGrid w:val="0"/>
        <w:spacing w:line="360" w:lineRule="auto"/>
        <w:jc w:val="left"/>
        <w:rPr>
          <w:rFonts w:hint="eastAsia" w:ascii="新宋体" w:hAnsi="新宋体" w:eastAsia="新宋体" w:cs="新宋体"/>
          <w:sz w:val="24"/>
          <w:szCs w:val="24"/>
          <w:highlight w:val="none"/>
        </w:rPr>
      </w:pPr>
    </w:p>
    <w:p w14:paraId="0C4162C3">
      <w:pPr>
        <w:snapToGrid w:val="0"/>
        <w:spacing w:line="360" w:lineRule="auto"/>
        <w:jc w:val="left"/>
        <w:rPr>
          <w:rFonts w:hint="eastAsia" w:ascii="新宋体" w:hAnsi="新宋体" w:eastAsia="新宋体" w:cs="新宋体"/>
          <w:sz w:val="24"/>
          <w:szCs w:val="24"/>
          <w:highlight w:val="none"/>
        </w:rPr>
      </w:pPr>
    </w:p>
    <w:p w14:paraId="6DBCA574">
      <w:pPr>
        <w:snapToGrid w:val="0"/>
        <w:spacing w:line="360" w:lineRule="auto"/>
        <w:jc w:val="left"/>
        <w:rPr>
          <w:rFonts w:hint="eastAsia" w:ascii="新宋体" w:hAnsi="新宋体" w:eastAsia="新宋体" w:cs="新宋体"/>
          <w:sz w:val="24"/>
          <w:szCs w:val="24"/>
          <w:highlight w:val="none"/>
        </w:rPr>
      </w:pPr>
    </w:p>
    <w:p w14:paraId="129DBBC9">
      <w:pPr>
        <w:snapToGrid w:val="0"/>
        <w:spacing w:line="360" w:lineRule="auto"/>
        <w:jc w:val="left"/>
        <w:rPr>
          <w:rFonts w:hint="eastAsia" w:ascii="新宋体" w:hAnsi="新宋体" w:eastAsia="新宋体" w:cs="新宋体"/>
          <w:sz w:val="24"/>
          <w:szCs w:val="24"/>
          <w:highlight w:val="none"/>
        </w:rPr>
      </w:pPr>
    </w:p>
    <w:p w14:paraId="0B2878AD">
      <w:pPr>
        <w:snapToGrid w:val="0"/>
        <w:spacing w:line="360" w:lineRule="auto"/>
        <w:ind w:firstLine="5040" w:firstLineChars="2100"/>
        <w:rPr>
          <w:rFonts w:hint="eastAsia" w:ascii="新宋体" w:hAnsi="新宋体" w:eastAsia="新宋体" w:cs="新宋体"/>
          <w:kern w:val="0"/>
          <w:sz w:val="24"/>
          <w:szCs w:val="24"/>
          <w:highlight w:val="none"/>
        </w:rPr>
      </w:pPr>
      <w:r>
        <w:rPr>
          <w:rFonts w:hint="eastAsia" w:ascii="新宋体" w:hAnsi="新宋体" w:eastAsia="新宋体" w:cs="新宋体"/>
          <w:kern w:val="0"/>
          <w:sz w:val="24"/>
          <w:szCs w:val="24"/>
          <w:highlight w:val="none"/>
          <w:lang w:val="zh-CN"/>
        </w:rPr>
        <w:t>磋商人名称(电子签章)：</w:t>
      </w:r>
    </w:p>
    <w:p w14:paraId="3B820A70">
      <w:pPr>
        <w:snapToGrid w:val="0"/>
        <w:spacing w:line="360" w:lineRule="auto"/>
        <w:ind w:firstLine="5160" w:firstLineChars="2150"/>
        <w:rPr>
          <w:rFonts w:hint="eastAsia" w:ascii="新宋体" w:hAnsi="新宋体" w:eastAsia="新宋体" w:cs="新宋体"/>
          <w:kern w:val="0"/>
          <w:sz w:val="24"/>
          <w:szCs w:val="24"/>
          <w:highlight w:val="none"/>
          <w:lang w:val="zh-CN"/>
        </w:rPr>
      </w:pPr>
      <w:r>
        <w:rPr>
          <w:rFonts w:hint="eastAsia" w:ascii="新宋体" w:hAnsi="新宋体" w:eastAsia="新宋体" w:cs="新宋体"/>
          <w:kern w:val="0"/>
          <w:sz w:val="24"/>
          <w:szCs w:val="24"/>
          <w:highlight w:val="none"/>
          <w:lang w:val="zh-CN"/>
        </w:rPr>
        <w:t>日期</w:t>
      </w:r>
      <w:r>
        <w:rPr>
          <w:rFonts w:hint="eastAsia" w:ascii="新宋体" w:hAnsi="新宋体" w:eastAsia="新宋体" w:cs="新宋体"/>
          <w:kern w:val="0"/>
          <w:sz w:val="24"/>
          <w:szCs w:val="24"/>
          <w:highlight w:val="none"/>
        </w:rPr>
        <w:t xml:space="preserve">：  年  </w:t>
      </w:r>
      <w:r>
        <w:rPr>
          <w:rFonts w:hint="eastAsia" w:ascii="新宋体" w:hAnsi="新宋体" w:eastAsia="新宋体" w:cs="新宋体"/>
          <w:kern w:val="0"/>
          <w:sz w:val="24"/>
          <w:szCs w:val="24"/>
          <w:highlight w:val="none"/>
          <w:lang w:val="zh-CN"/>
        </w:rPr>
        <w:t>月</w:t>
      </w:r>
      <w:r>
        <w:rPr>
          <w:rFonts w:hint="eastAsia" w:ascii="新宋体" w:hAnsi="新宋体" w:eastAsia="新宋体" w:cs="新宋体"/>
          <w:kern w:val="0"/>
          <w:sz w:val="24"/>
          <w:szCs w:val="24"/>
          <w:highlight w:val="none"/>
        </w:rPr>
        <w:t xml:space="preserve">   </w:t>
      </w:r>
      <w:r>
        <w:rPr>
          <w:rFonts w:hint="eastAsia" w:ascii="新宋体" w:hAnsi="新宋体" w:eastAsia="新宋体" w:cs="新宋体"/>
          <w:kern w:val="0"/>
          <w:sz w:val="24"/>
          <w:szCs w:val="24"/>
          <w:highlight w:val="none"/>
          <w:lang w:val="zh-CN"/>
        </w:rPr>
        <w:t>日</w:t>
      </w:r>
    </w:p>
    <w:p w14:paraId="66D51CC5">
      <w:pPr>
        <w:rPr>
          <w:rFonts w:hint="eastAsia"/>
          <w:lang w:val="zh-CN"/>
        </w:rPr>
      </w:pPr>
      <w:r>
        <w:rPr>
          <w:rFonts w:hint="eastAsia"/>
          <w:lang w:val="zh-CN"/>
        </w:rPr>
        <w:br w:type="page"/>
      </w:r>
    </w:p>
    <w:p w14:paraId="4E992EFD">
      <w:pPr>
        <w:snapToGrid w:val="0"/>
        <w:spacing w:before="50" w:after="160" w:afterLines="50"/>
        <w:jc w:val="center"/>
        <w:rPr>
          <w:rFonts w:hint="eastAsia" w:ascii="宋体" w:hAnsi="宋体"/>
          <w:b/>
          <w:sz w:val="32"/>
          <w:szCs w:val="32"/>
          <w:highlight w:val="none"/>
        </w:rPr>
      </w:pPr>
      <w:r>
        <w:rPr>
          <w:rFonts w:hint="eastAsia" w:ascii="宋体" w:hAnsi="宋体"/>
          <w:b/>
          <w:sz w:val="32"/>
          <w:szCs w:val="32"/>
          <w:highlight w:val="none"/>
          <w:lang w:val="en-US" w:eastAsia="zh-CN"/>
        </w:rPr>
        <w:t>四</w:t>
      </w:r>
      <w:r>
        <w:rPr>
          <w:rFonts w:hint="eastAsia" w:ascii="宋体" w:hAnsi="宋体"/>
          <w:b/>
          <w:sz w:val="32"/>
          <w:szCs w:val="32"/>
          <w:highlight w:val="none"/>
        </w:rPr>
        <w:t>、</w:t>
      </w:r>
      <w:r>
        <w:rPr>
          <w:rFonts w:hint="eastAsia" w:ascii="宋体" w:hAnsi="宋体"/>
          <w:b/>
          <w:sz w:val="32"/>
          <w:szCs w:val="32"/>
          <w:highlight w:val="none"/>
          <w:lang w:val="en-US" w:eastAsia="zh-CN"/>
        </w:rPr>
        <w:t>磋商</w:t>
      </w:r>
      <w:r>
        <w:rPr>
          <w:rFonts w:hint="eastAsia" w:ascii="宋体" w:hAnsi="宋体"/>
          <w:b/>
          <w:sz w:val="32"/>
          <w:szCs w:val="32"/>
          <w:highlight w:val="none"/>
        </w:rPr>
        <w:t>资格声明函</w:t>
      </w:r>
    </w:p>
    <w:p w14:paraId="26065043">
      <w:pPr>
        <w:tabs>
          <w:tab w:val="left" w:pos="7200"/>
        </w:tabs>
        <w:spacing w:line="360" w:lineRule="auto"/>
        <w:rPr>
          <w:rFonts w:hint="eastAsia" w:ascii="宋体" w:hAnsi="宋体"/>
          <w:szCs w:val="21"/>
          <w:highlight w:val="none"/>
        </w:rPr>
      </w:pPr>
      <w:r>
        <w:rPr>
          <w:rFonts w:hint="eastAsia" w:ascii="宋体" w:hAnsi="宋体"/>
          <w:szCs w:val="21"/>
          <w:highlight w:val="none"/>
        </w:rPr>
        <w:t>致：</w:t>
      </w:r>
      <w:r>
        <w:rPr>
          <w:rFonts w:ascii="宋体" w:hAnsi="宋体"/>
          <w:szCs w:val="21"/>
          <w:highlight w:val="none"/>
          <w:u w:val="single"/>
        </w:rPr>
        <w:t xml:space="preserve">                      </w:t>
      </w:r>
      <w:r>
        <w:rPr>
          <w:rFonts w:hint="eastAsia" w:ascii="宋体" w:hAnsi="宋体"/>
          <w:szCs w:val="21"/>
          <w:highlight w:val="none"/>
        </w:rPr>
        <w:t>（采购代理机构名称）</w:t>
      </w:r>
    </w:p>
    <w:p w14:paraId="24B41D95">
      <w:pPr>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 xml:space="preserve">我方愿意参加贵方组织的 </w:t>
      </w:r>
      <w:r>
        <w:rPr>
          <w:rFonts w:hint="eastAsia" w:ascii="宋体" w:hAnsi="宋体"/>
          <w:szCs w:val="21"/>
          <w:highlight w:val="none"/>
          <w:u w:val="single"/>
        </w:rPr>
        <w:t xml:space="preserve">    </w:t>
      </w:r>
      <w:r>
        <w:rPr>
          <w:rFonts w:ascii="宋体" w:hAnsi="宋体"/>
          <w:szCs w:val="21"/>
          <w:highlight w:val="none"/>
          <w:u w:val="single"/>
        </w:rPr>
        <w:t>(</w:t>
      </w:r>
      <w:r>
        <w:rPr>
          <w:rFonts w:hint="eastAsia" w:ascii="宋体" w:hAnsi="宋体"/>
          <w:szCs w:val="21"/>
          <w:highlight w:val="none"/>
          <w:u w:val="single"/>
        </w:rPr>
        <w:t>项目名称</w:t>
      </w:r>
      <w:r>
        <w:rPr>
          <w:rFonts w:ascii="宋体" w:hAnsi="宋体"/>
          <w:szCs w:val="21"/>
          <w:highlight w:val="none"/>
          <w:u w:val="single"/>
        </w:rPr>
        <w:t xml:space="preserve">) </w:t>
      </w:r>
      <w:r>
        <w:rPr>
          <w:rFonts w:hint="eastAsia" w:ascii="宋体" w:hAnsi="宋体"/>
          <w:szCs w:val="21"/>
          <w:highlight w:val="none"/>
          <w:u w:val="single"/>
        </w:rPr>
        <w:t xml:space="preserve">    </w:t>
      </w:r>
      <w:r>
        <w:rPr>
          <w:rFonts w:ascii="宋体" w:hAnsi="宋体"/>
          <w:szCs w:val="21"/>
          <w:highlight w:val="none"/>
          <w:u w:val="single"/>
        </w:rPr>
        <w:t xml:space="preserve">  </w:t>
      </w:r>
      <w:r>
        <w:rPr>
          <w:rFonts w:hint="eastAsia" w:ascii="宋体" w:hAnsi="宋体"/>
          <w:szCs w:val="21"/>
          <w:highlight w:val="none"/>
        </w:rPr>
        <w:t>（项目编号：</w:t>
      </w:r>
      <w:r>
        <w:rPr>
          <w:rFonts w:ascii="宋体" w:hAnsi="宋体"/>
          <w:szCs w:val="21"/>
          <w:highlight w:val="none"/>
          <w:u w:val="single"/>
        </w:rPr>
        <w:t xml:space="preserve">       </w:t>
      </w:r>
      <w:r>
        <w:rPr>
          <w:rFonts w:hint="eastAsia" w:ascii="宋体" w:hAnsi="宋体"/>
          <w:szCs w:val="21"/>
          <w:highlight w:val="none"/>
        </w:rPr>
        <w:t>）项目的</w:t>
      </w:r>
      <w:r>
        <w:rPr>
          <w:rFonts w:hint="eastAsia" w:ascii="宋体" w:hAnsi="宋体"/>
          <w:szCs w:val="21"/>
          <w:highlight w:val="none"/>
          <w:lang w:val="en-US" w:eastAsia="zh-CN"/>
        </w:rPr>
        <w:t>磋商</w:t>
      </w:r>
      <w:r>
        <w:rPr>
          <w:rFonts w:hint="eastAsia" w:ascii="宋体" w:hAnsi="宋体"/>
          <w:szCs w:val="21"/>
          <w:highlight w:val="none"/>
        </w:rPr>
        <w:t>，为便于贵方公正、择优地确定中标人，我方就本次投标有关事项郑重声明如下：</w:t>
      </w:r>
    </w:p>
    <w:p w14:paraId="0236B935">
      <w:pPr>
        <w:snapToGrid w:val="0"/>
        <w:spacing w:line="360" w:lineRule="auto"/>
        <w:ind w:firstLine="420" w:firstLineChars="200"/>
        <w:jc w:val="left"/>
        <w:rPr>
          <w:rFonts w:ascii="宋体" w:hAnsi="宋体"/>
          <w:szCs w:val="21"/>
          <w:highlight w:val="none"/>
        </w:rPr>
      </w:pPr>
      <w:r>
        <w:rPr>
          <w:rFonts w:hint="eastAsia" w:ascii="宋体" w:hAnsi="宋体"/>
          <w:szCs w:val="21"/>
          <w:highlight w:val="none"/>
        </w:rPr>
        <w:t>1.我方承诺已经具备《中华人民共和国政府采购法》第二十二条中规定的参加政府采购活动的供应商应当具备的条件：</w:t>
      </w:r>
    </w:p>
    <w:p w14:paraId="3E7D4314">
      <w:pPr>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（1）具有独立承担民事责任的能力；</w:t>
      </w:r>
    </w:p>
    <w:p w14:paraId="4AEA3B07">
      <w:pPr>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（2）具有良好的商业信誉和健全的财务会计制度；</w:t>
      </w:r>
    </w:p>
    <w:p w14:paraId="298405C7">
      <w:pPr>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（3）具有履行合同所必需的设备和专业技术能力；</w:t>
      </w:r>
    </w:p>
    <w:p w14:paraId="141A0205">
      <w:pPr>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（4）有依法缴纳税收和社会保障资金的良好记录；</w:t>
      </w:r>
    </w:p>
    <w:p w14:paraId="794497F2">
      <w:pPr>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（5）参加政府采购活动前三年内，在经营活动中没有重大违法记录；</w:t>
      </w:r>
    </w:p>
    <w:p w14:paraId="10ED699C">
      <w:pPr>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（6）法律、行政法规规定的其他条件。</w:t>
      </w:r>
    </w:p>
    <w:p w14:paraId="2D32C2ED">
      <w:pPr>
        <w:snapToGrid w:val="0"/>
        <w:spacing w:line="360" w:lineRule="auto"/>
        <w:ind w:firstLine="420" w:firstLineChars="200"/>
        <w:jc w:val="left"/>
        <w:rPr>
          <w:rFonts w:hint="eastAsia" w:ascii="宋体" w:hAnsi="宋体"/>
          <w:szCs w:val="21"/>
          <w:highlight w:val="none"/>
        </w:rPr>
      </w:pPr>
      <w:r>
        <w:rPr>
          <w:rFonts w:ascii="宋体" w:hAnsi="宋体"/>
          <w:szCs w:val="21"/>
          <w:highlight w:val="none"/>
        </w:rPr>
        <w:t xml:space="preserve">2. </w:t>
      </w:r>
      <w:r>
        <w:rPr>
          <w:rFonts w:hint="eastAsia" w:ascii="宋体" w:hAnsi="宋体"/>
          <w:szCs w:val="21"/>
          <w:highlight w:val="none"/>
        </w:rPr>
        <w:t>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3162C9CB">
      <w:pPr>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3.经查询，在“信用中国”和“中国政府采购网”网站我方未被列入失信被执行人、重大税收违法案件当事人名单、政府采购严重违法失信行为记录名单。</w:t>
      </w:r>
    </w:p>
    <w:p w14:paraId="36BD8B94">
      <w:pPr>
        <w:snapToGrid w:val="0"/>
        <w:spacing w:line="360" w:lineRule="auto"/>
        <w:ind w:firstLine="420" w:firstLineChars="200"/>
        <w:jc w:val="left"/>
        <w:rPr>
          <w:rFonts w:hint="eastAsia" w:ascii="宋体" w:hAnsi="宋体"/>
          <w:szCs w:val="21"/>
          <w:highlight w:val="none"/>
        </w:rPr>
      </w:pPr>
      <w:r>
        <w:rPr>
          <w:rFonts w:hint="eastAsia" w:ascii="宋体" w:hAnsi="宋体"/>
          <w:szCs w:val="21"/>
          <w:highlight w:val="none"/>
        </w:rPr>
        <w:t xml:space="preserve">4.以上事项如有虚假或隐瞒，我方愿意承担一切后果，并不再寻求任何旨在减轻或免除法律责任的辩解。 </w:t>
      </w:r>
    </w:p>
    <w:p w14:paraId="2F11526F">
      <w:pPr>
        <w:tabs>
          <w:tab w:val="left" w:pos="7200"/>
        </w:tabs>
        <w:ind w:firstLine="270" w:firstLineChars="150"/>
        <w:rPr>
          <w:rFonts w:ascii="宋体" w:hAnsi="宋体"/>
          <w:sz w:val="18"/>
          <w:szCs w:val="18"/>
          <w:highlight w:val="none"/>
        </w:rPr>
      </w:pPr>
      <w:r>
        <w:rPr>
          <w:rFonts w:hint="eastAsia" w:ascii="宋体" w:hAnsi="宋体"/>
          <w:sz w:val="18"/>
          <w:szCs w:val="18"/>
          <w:highlight w:val="none"/>
        </w:rPr>
        <w:t>说明：</w:t>
      </w:r>
    </w:p>
    <w:p w14:paraId="5B12D729">
      <w:pPr>
        <w:ind w:firstLine="360" w:firstLineChars="200"/>
        <w:jc w:val="left"/>
        <w:rPr>
          <w:rFonts w:hint="eastAsia" w:ascii="宋体" w:hAnsi="宋体"/>
          <w:sz w:val="18"/>
          <w:szCs w:val="18"/>
          <w:highlight w:val="none"/>
        </w:rPr>
      </w:pPr>
      <w:r>
        <w:rPr>
          <w:rFonts w:hint="eastAsia" w:ascii="宋体" w:hAnsi="宋体"/>
          <w:sz w:val="18"/>
          <w:szCs w:val="18"/>
          <w:highlight w:val="none"/>
        </w:rPr>
        <w:t>1.</w:t>
      </w:r>
      <w:r>
        <w:rPr>
          <w:rFonts w:hint="eastAsia" w:ascii="宋体" w:hAnsi="宋体"/>
          <w:sz w:val="18"/>
          <w:szCs w:val="18"/>
          <w:highlight w:val="none"/>
          <w:lang w:eastAsia="zh-CN"/>
        </w:rPr>
        <w:t>磋商人</w:t>
      </w:r>
      <w:r>
        <w:rPr>
          <w:rFonts w:hint="eastAsia" w:ascii="宋体" w:hAnsi="宋体"/>
          <w:sz w:val="18"/>
          <w:szCs w:val="18"/>
          <w:highlight w:val="none"/>
        </w:rPr>
        <w:t>应当通过 “信用中国”（www.creditchina.gov.cn）和“中国政府采购网”网站（www.ccgp.gov.cn）查询</w:t>
      </w:r>
      <w:r>
        <w:rPr>
          <w:rFonts w:hint="eastAsia" w:ascii="宋体" w:hAnsi="宋体"/>
          <w:sz w:val="18"/>
          <w:szCs w:val="18"/>
          <w:highlight w:val="none"/>
          <w:lang w:eastAsia="zh-CN"/>
        </w:rPr>
        <w:t>磋商人</w:t>
      </w:r>
      <w:r>
        <w:rPr>
          <w:rFonts w:hint="eastAsia" w:ascii="宋体" w:hAnsi="宋体"/>
          <w:sz w:val="18"/>
          <w:szCs w:val="18"/>
          <w:highlight w:val="none"/>
        </w:rPr>
        <w:t>相关主体的信用记录。查询时间为本项目投标截止时间前10日至投标截止时间中任意一天。对列入失信被执行人、重大税收违法案件当事人名单、政府采购严重违法失信行为记录名单的</w:t>
      </w:r>
      <w:r>
        <w:rPr>
          <w:rFonts w:hint="eastAsia" w:ascii="宋体" w:hAnsi="宋体"/>
          <w:sz w:val="18"/>
          <w:szCs w:val="18"/>
          <w:highlight w:val="none"/>
          <w:lang w:eastAsia="zh-CN"/>
        </w:rPr>
        <w:t>磋商人</w:t>
      </w:r>
      <w:r>
        <w:rPr>
          <w:rFonts w:hint="eastAsia" w:ascii="宋体" w:hAnsi="宋体"/>
          <w:sz w:val="18"/>
          <w:szCs w:val="18"/>
          <w:highlight w:val="none"/>
        </w:rPr>
        <w:t>，将被拒绝参与本项目政府采购活动。</w:t>
      </w:r>
    </w:p>
    <w:p w14:paraId="470B355F">
      <w:pPr>
        <w:ind w:firstLine="360" w:firstLineChars="200"/>
        <w:jc w:val="left"/>
        <w:rPr>
          <w:rFonts w:hint="eastAsia" w:ascii="宋体" w:hAnsi="宋体"/>
          <w:sz w:val="18"/>
          <w:szCs w:val="18"/>
          <w:highlight w:val="none"/>
        </w:rPr>
      </w:pPr>
      <w:r>
        <w:rPr>
          <w:rFonts w:hint="eastAsia" w:ascii="宋体" w:hAnsi="宋体"/>
          <w:sz w:val="18"/>
          <w:szCs w:val="18"/>
          <w:highlight w:val="none"/>
        </w:rPr>
        <w:t>2.两个以上的自然人、法人或者其他组织组成一个联合体，以一个供应商的身份共同参加政府采购活动的，应当对所有联合体成员进行信用记录查询，联合体成员存在不良信用记录的，视同联合体存在不良信用记录。</w:t>
      </w:r>
    </w:p>
    <w:p w14:paraId="082C36B5">
      <w:pPr>
        <w:snapToGrid w:val="0"/>
        <w:spacing w:before="50" w:after="321" w:afterLines="100" w:line="360" w:lineRule="auto"/>
        <w:jc w:val="left"/>
        <w:rPr>
          <w:rFonts w:hint="eastAsia" w:ascii="宋体" w:hAnsi="宋体"/>
          <w:sz w:val="24"/>
          <w:highlight w:val="none"/>
        </w:rPr>
      </w:pPr>
      <w:r>
        <w:rPr>
          <w:rFonts w:hint="eastAsia" w:ascii="宋体" w:hAnsi="宋体"/>
          <w:sz w:val="24"/>
          <w:highlight w:val="none"/>
        </w:rPr>
        <w:t xml:space="preserve">                                     </w:t>
      </w:r>
    </w:p>
    <w:p w14:paraId="40C20DB9">
      <w:pPr>
        <w:snapToGrid w:val="0"/>
        <w:spacing w:before="50" w:after="321" w:afterLines="100" w:line="360" w:lineRule="auto"/>
        <w:ind w:left="7428" w:leftChars="2223" w:hanging="2760" w:hangingChars="1150"/>
        <w:jc w:val="left"/>
        <w:rPr>
          <w:rFonts w:hint="eastAsia" w:ascii="仿宋_GB2312" w:hAnsi="仿宋" w:eastAsia="仿宋_GB2312" w:cs="仿宋_GB2312"/>
          <w:kern w:val="0"/>
          <w:sz w:val="24"/>
          <w:highlight w:val="none"/>
          <w:lang w:val="zh-CN"/>
        </w:rPr>
      </w:pPr>
      <w:r>
        <w:rPr>
          <w:rFonts w:hint="eastAsia" w:ascii="宋体" w:hAnsi="宋体"/>
          <w:sz w:val="24"/>
          <w:highlight w:val="none"/>
        </w:rPr>
        <w:t xml:space="preserve">  </w:t>
      </w:r>
      <w:r>
        <w:rPr>
          <w:rFonts w:hint="eastAsia" w:ascii="仿宋_GB2312" w:hAnsi="仿宋" w:eastAsia="仿宋_GB2312" w:cs="仿宋_GB2312"/>
          <w:kern w:val="0"/>
          <w:sz w:val="24"/>
          <w:highlight w:val="none"/>
          <w:lang w:val="zh-CN"/>
        </w:rPr>
        <w:t>磋商人名称(电子签章)：</w:t>
      </w:r>
      <w:r>
        <w:rPr>
          <w:rFonts w:hint="eastAsia" w:ascii="宋体" w:hAnsi="宋体"/>
          <w:szCs w:val="21"/>
          <w:highlight w:val="none"/>
        </w:rPr>
        <w:t xml:space="preserve">                                     年    月    日</w:t>
      </w:r>
    </w:p>
    <w:p w14:paraId="2F692080">
      <w:pPr>
        <w:rPr>
          <w:rFonts w:hint="eastAsia"/>
          <w:lang w:val="zh-CN"/>
        </w:rPr>
      </w:pPr>
    </w:p>
    <w:p w14:paraId="71C2A66C">
      <w:pPr>
        <w:pStyle w:val="10"/>
      </w:pPr>
    </w:p>
    <w:p w14:paraId="4DEE7EA4"/>
    <w:p w14:paraId="77357B7B">
      <w:pPr>
        <w:pStyle w:val="10"/>
      </w:pPr>
    </w:p>
    <w:p w14:paraId="508A0391"/>
    <w:p w14:paraId="10145CAB">
      <w:pPr>
        <w:rPr>
          <w:rFonts w:hint="eastAsia" w:ascii="Times New Roman" w:hAnsi="Times New Roman"/>
          <w:b/>
          <w:bCs/>
          <w:sz w:val="30"/>
          <w:szCs w:val="30"/>
          <w:highlight w:val="none"/>
          <w:lang w:val="en-US" w:eastAsia="zh-CN"/>
        </w:rPr>
      </w:pPr>
      <w:r>
        <w:rPr>
          <w:rFonts w:hint="eastAsia" w:ascii="Times New Roman" w:hAnsi="Times New Roman"/>
          <w:b/>
          <w:bCs/>
          <w:sz w:val="30"/>
          <w:szCs w:val="30"/>
          <w:highlight w:val="none"/>
          <w:lang w:val="en-US" w:eastAsia="zh-CN"/>
        </w:rPr>
        <w:br w:type="page"/>
      </w:r>
    </w:p>
    <w:p w14:paraId="2E5B3BB4">
      <w:pPr>
        <w:snapToGrid w:val="0"/>
        <w:spacing w:before="160" w:beforeLines="50" w:after="50"/>
        <w:ind w:left="420"/>
        <w:jc w:val="center"/>
        <w:rPr>
          <w:rFonts w:hint="eastAsia"/>
          <w:b/>
          <w:bCs/>
          <w:sz w:val="30"/>
          <w:szCs w:val="30"/>
          <w:highlight w:val="none"/>
        </w:rPr>
      </w:pPr>
      <w:r>
        <w:rPr>
          <w:rFonts w:hint="eastAsia" w:ascii="Times New Roman" w:hAnsi="Times New Roman"/>
          <w:b/>
          <w:bCs/>
          <w:sz w:val="30"/>
          <w:szCs w:val="30"/>
          <w:highlight w:val="none"/>
          <w:lang w:val="en-US" w:eastAsia="zh-CN"/>
        </w:rPr>
        <w:t>五</w:t>
      </w:r>
      <w:r>
        <w:rPr>
          <w:rFonts w:hint="eastAsia" w:ascii="Times New Roman" w:hAnsi="Times New Roman"/>
          <w:b/>
          <w:bCs/>
          <w:sz w:val="30"/>
          <w:szCs w:val="30"/>
          <w:highlight w:val="none"/>
        </w:rPr>
        <w:t>、</w:t>
      </w:r>
      <w:r>
        <w:rPr>
          <w:rFonts w:hint="eastAsia"/>
          <w:b/>
          <w:bCs/>
          <w:sz w:val="30"/>
          <w:szCs w:val="30"/>
          <w:highlight w:val="none"/>
        </w:rPr>
        <w:t>无串标行为承诺函</w:t>
      </w:r>
    </w:p>
    <w:p w14:paraId="50BB4837">
      <w:pPr>
        <w:snapToGrid w:val="0"/>
        <w:spacing w:before="160" w:beforeLines="50" w:after="50"/>
        <w:ind w:left="420"/>
        <w:jc w:val="center"/>
        <w:rPr>
          <w:rFonts w:hint="eastAsia" w:ascii="宋体" w:hAnsi="宋体"/>
          <w:b/>
          <w:sz w:val="32"/>
          <w:szCs w:val="32"/>
          <w:highlight w:val="none"/>
        </w:rPr>
      </w:pPr>
      <w:r>
        <w:rPr>
          <w:rFonts w:hint="eastAsia" w:ascii="宋体" w:hAnsi="宋体"/>
          <w:b/>
          <w:sz w:val="32"/>
          <w:szCs w:val="32"/>
          <w:highlight w:val="none"/>
          <w:lang w:eastAsia="zh-CN"/>
        </w:rPr>
        <w:t>磋商人</w:t>
      </w:r>
      <w:r>
        <w:rPr>
          <w:rFonts w:hint="eastAsia" w:ascii="宋体" w:hAnsi="宋体"/>
          <w:b/>
          <w:sz w:val="32"/>
          <w:szCs w:val="32"/>
          <w:highlight w:val="none"/>
        </w:rPr>
        <w:t>参加本项目无围标串标行为的承诺函</w:t>
      </w:r>
    </w:p>
    <w:p w14:paraId="3A51ABBB">
      <w:pPr>
        <w:snapToGrid w:val="0"/>
        <w:spacing w:before="160" w:beforeLines="50" w:after="50"/>
        <w:rPr>
          <w:rFonts w:ascii="宋体" w:hAnsi="宋体"/>
          <w:b/>
          <w:szCs w:val="21"/>
          <w:highlight w:val="none"/>
        </w:rPr>
      </w:pPr>
    </w:p>
    <w:p w14:paraId="34FA159A">
      <w:pPr>
        <w:snapToGrid w:val="0"/>
        <w:spacing w:before="160" w:beforeLines="50" w:after="50" w:line="360" w:lineRule="auto"/>
        <w:jc w:val="left"/>
        <w:rPr>
          <w:rFonts w:hint="eastAsia" w:ascii="宋体" w:hAnsi="宋体"/>
          <w:b/>
          <w:szCs w:val="21"/>
          <w:highlight w:val="none"/>
        </w:rPr>
      </w:pPr>
      <w:r>
        <w:rPr>
          <w:rFonts w:hint="eastAsia" w:ascii="宋体" w:hAnsi="宋体"/>
          <w:b/>
          <w:szCs w:val="21"/>
          <w:highlight w:val="none"/>
        </w:rPr>
        <w:t>一、我方承诺无下列相互串通投标的情形：</w:t>
      </w:r>
    </w:p>
    <w:p w14:paraId="0E6ABA63">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1.不同</w:t>
      </w:r>
      <w:r>
        <w:rPr>
          <w:rFonts w:hint="eastAsia" w:ascii="宋体" w:hAnsi="宋体"/>
          <w:szCs w:val="21"/>
          <w:highlight w:val="none"/>
          <w:lang w:eastAsia="zh-CN"/>
        </w:rPr>
        <w:t>磋商人</w:t>
      </w:r>
      <w:r>
        <w:rPr>
          <w:rFonts w:hint="eastAsia" w:ascii="宋体" w:hAnsi="宋体"/>
          <w:szCs w:val="21"/>
          <w:highlight w:val="none"/>
        </w:rPr>
        <w:t>的投标文件由同一单位或者个人编制；或者不同</w:t>
      </w:r>
      <w:r>
        <w:rPr>
          <w:rFonts w:hint="eastAsia" w:ascii="宋体" w:hAnsi="宋体"/>
          <w:szCs w:val="21"/>
          <w:highlight w:val="none"/>
          <w:lang w:eastAsia="zh-CN"/>
        </w:rPr>
        <w:t>磋商人</w:t>
      </w:r>
      <w:r>
        <w:rPr>
          <w:rFonts w:hint="eastAsia" w:ascii="宋体" w:hAnsi="宋体"/>
          <w:szCs w:val="21"/>
          <w:highlight w:val="none"/>
        </w:rPr>
        <w:t>报名的IP地址一致的；</w:t>
      </w:r>
    </w:p>
    <w:p w14:paraId="731D747F">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2.不同</w:t>
      </w:r>
      <w:r>
        <w:rPr>
          <w:rFonts w:hint="eastAsia" w:ascii="宋体" w:hAnsi="宋体"/>
          <w:szCs w:val="21"/>
          <w:highlight w:val="none"/>
          <w:lang w:eastAsia="zh-CN"/>
        </w:rPr>
        <w:t>磋商人</w:t>
      </w:r>
      <w:r>
        <w:rPr>
          <w:rFonts w:hint="eastAsia" w:ascii="宋体" w:hAnsi="宋体"/>
          <w:szCs w:val="21"/>
          <w:highlight w:val="none"/>
        </w:rPr>
        <w:t>委托同一单位或者个人办理投标事宜；</w:t>
      </w:r>
    </w:p>
    <w:p w14:paraId="26741947">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3.不同的</w:t>
      </w:r>
      <w:r>
        <w:rPr>
          <w:rFonts w:hint="eastAsia" w:ascii="宋体" w:hAnsi="宋体"/>
          <w:szCs w:val="21"/>
          <w:highlight w:val="none"/>
          <w:lang w:eastAsia="zh-CN"/>
        </w:rPr>
        <w:t>磋商人</w:t>
      </w:r>
      <w:r>
        <w:rPr>
          <w:rFonts w:hint="eastAsia" w:ascii="宋体" w:hAnsi="宋体"/>
          <w:szCs w:val="21"/>
          <w:highlight w:val="none"/>
        </w:rPr>
        <w:t>的投标文件载明的项目管理员为同一个人；</w:t>
      </w:r>
    </w:p>
    <w:p w14:paraId="7C427201">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4.不同</w:t>
      </w:r>
      <w:r>
        <w:rPr>
          <w:rFonts w:hint="eastAsia" w:ascii="宋体" w:hAnsi="宋体"/>
          <w:szCs w:val="21"/>
          <w:highlight w:val="none"/>
          <w:lang w:eastAsia="zh-CN"/>
        </w:rPr>
        <w:t>磋商人</w:t>
      </w:r>
      <w:r>
        <w:rPr>
          <w:rFonts w:hint="eastAsia" w:ascii="宋体" w:hAnsi="宋体"/>
          <w:szCs w:val="21"/>
          <w:highlight w:val="none"/>
        </w:rPr>
        <w:t>的投标文件异常一致或者投标报价呈规律性差异；</w:t>
      </w:r>
    </w:p>
    <w:p w14:paraId="35D51C87">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5.不同</w:t>
      </w:r>
      <w:r>
        <w:rPr>
          <w:rFonts w:hint="eastAsia" w:ascii="宋体" w:hAnsi="宋体"/>
          <w:szCs w:val="21"/>
          <w:highlight w:val="none"/>
          <w:lang w:eastAsia="zh-CN"/>
        </w:rPr>
        <w:t>磋商人</w:t>
      </w:r>
      <w:r>
        <w:rPr>
          <w:rFonts w:hint="eastAsia" w:ascii="宋体" w:hAnsi="宋体"/>
          <w:szCs w:val="21"/>
          <w:highlight w:val="none"/>
        </w:rPr>
        <w:t>的投标文件相互混装；</w:t>
      </w:r>
    </w:p>
    <w:p w14:paraId="624BD03F">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6.不同</w:t>
      </w:r>
      <w:r>
        <w:rPr>
          <w:rFonts w:hint="eastAsia" w:ascii="宋体" w:hAnsi="宋体"/>
          <w:szCs w:val="21"/>
          <w:highlight w:val="none"/>
          <w:lang w:eastAsia="zh-CN"/>
        </w:rPr>
        <w:t>磋商人</w:t>
      </w:r>
      <w:r>
        <w:rPr>
          <w:rFonts w:hint="eastAsia" w:ascii="宋体" w:hAnsi="宋体"/>
          <w:szCs w:val="21"/>
          <w:highlight w:val="none"/>
        </w:rPr>
        <w:t>的投标保证金从同一单位或者个人账户转出。</w:t>
      </w:r>
    </w:p>
    <w:p w14:paraId="67A654EE">
      <w:pPr>
        <w:snapToGrid w:val="0"/>
        <w:spacing w:before="160" w:beforeLines="50" w:after="50" w:line="360" w:lineRule="auto"/>
        <w:jc w:val="left"/>
        <w:rPr>
          <w:rFonts w:hint="eastAsia" w:ascii="宋体" w:hAnsi="宋体"/>
          <w:szCs w:val="21"/>
          <w:highlight w:val="none"/>
        </w:rPr>
      </w:pPr>
      <w:r>
        <w:rPr>
          <w:rFonts w:hint="eastAsia" w:ascii="宋体" w:hAnsi="宋体"/>
          <w:b/>
          <w:szCs w:val="21"/>
          <w:highlight w:val="none"/>
        </w:rPr>
        <w:t>二、我方承诺无下列恶意串通的情形：</w:t>
      </w:r>
    </w:p>
    <w:p w14:paraId="3848918A">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1.</w:t>
      </w:r>
      <w:r>
        <w:rPr>
          <w:rFonts w:hint="eastAsia" w:ascii="宋体" w:hAnsi="宋体"/>
          <w:szCs w:val="21"/>
          <w:highlight w:val="none"/>
          <w:lang w:eastAsia="zh-CN"/>
        </w:rPr>
        <w:t>磋商人</w:t>
      </w:r>
      <w:r>
        <w:rPr>
          <w:rFonts w:hint="eastAsia" w:ascii="宋体" w:hAnsi="宋体"/>
          <w:szCs w:val="21"/>
          <w:highlight w:val="none"/>
        </w:rPr>
        <w:t>直接或者间接从采购人或者采购代理机构处获得其他</w:t>
      </w:r>
      <w:r>
        <w:rPr>
          <w:rFonts w:hint="eastAsia" w:ascii="宋体" w:hAnsi="宋体"/>
          <w:szCs w:val="21"/>
          <w:highlight w:val="none"/>
          <w:lang w:eastAsia="zh-CN"/>
        </w:rPr>
        <w:t>磋商人</w:t>
      </w:r>
      <w:r>
        <w:rPr>
          <w:rFonts w:hint="eastAsia" w:ascii="宋体" w:hAnsi="宋体"/>
          <w:szCs w:val="21"/>
          <w:highlight w:val="none"/>
        </w:rPr>
        <w:t>的相关信息并修改其投标文件或者投标文件；</w:t>
      </w:r>
    </w:p>
    <w:p w14:paraId="37D46129">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2.</w:t>
      </w:r>
      <w:r>
        <w:rPr>
          <w:rFonts w:hint="eastAsia" w:ascii="宋体" w:hAnsi="宋体"/>
          <w:szCs w:val="21"/>
          <w:highlight w:val="none"/>
          <w:lang w:eastAsia="zh-CN"/>
        </w:rPr>
        <w:t>磋商人</w:t>
      </w:r>
      <w:r>
        <w:rPr>
          <w:rFonts w:hint="eastAsia" w:ascii="宋体" w:hAnsi="宋体"/>
          <w:szCs w:val="21"/>
          <w:highlight w:val="none"/>
        </w:rPr>
        <w:t>按照采购人或者采购代理机构的授意撤换、修改投标文件或者投标文件；</w:t>
      </w:r>
    </w:p>
    <w:p w14:paraId="143F4FDE">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3.</w:t>
      </w:r>
      <w:r>
        <w:rPr>
          <w:rFonts w:hint="eastAsia" w:ascii="宋体" w:hAnsi="宋体"/>
          <w:szCs w:val="21"/>
          <w:highlight w:val="none"/>
          <w:lang w:eastAsia="zh-CN"/>
        </w:rPr>
        <w:t>磋商人</w:t>
      </w:r>
      <w:r>
        <w:rPr>
          <w:rFonts w:hint="eastAsia" w:ascii="宋体" w:hAnsi="宋体"/>
          <w:szCs w:val="21"/>
          <w:highlight w:val="none"/>
        </w:rPr>
        <w:t>之间协商报价、技术方案等投标文件或者投标文件的实质性内容；</w:t>
      </w:r>
    </w:p>
    <w:p w14:paraId="5DD26686">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4.属于同一集团、协会、商会等组织成员的</w:t>
      </w:r>
      <w:r>
        <w:rPr>
          <w:rFonts w:hint="eastAsia" w:ascii="宋体" w:hAnsi="宋体"/>
          <w:szCs w:val="21"/>
          <w:highlight w:val="none"/>
          <w:lang w:eastAsia="zh-CN"/>
        </w:rPr>
        <w:t>磋商人</w:t>
      </w:r>
      <w:r>
        <w:rPr>
          <w:rFonts w:hint="eastAsia" w:ascii="宋体" w:hAnsi="宋体"/>
          <w:szCs w:val="21"/>
          <w:highlight w:val="none"/>
        </w:rPr>
        <w:t>按照该组织要求协同参加政府采购活动；</w:t>
      </w:r>
    </w:p>
    <w:p w14:paraId="79836054">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5.</w:t>
      </w:r>
      <w:r>
        <w:rPr>
          <w:rFonts w:hint="eastAsia" w:ascii="宋体" w:hAnsi="宋体"/>
          <w:szCs w:val="21"/>
          <w:highlight w:val="none"/>
          <w:lang w:eastAsia="zh-CN"/>
        </w:rPr>
        <w:t>磋商人</w:t>
      </w:r>
      <w:r>
        <w:rPr>
          <w:rFonts w:hint="eastAsia" w:ascii="宋体" w:hAnsi="宋体"/>
          <w:szCs w:val="21"/>
          <w:highlight w:val="none"/>
        </w:rPr>
        <w:t>之间事先约定一致抬高或者压低投标报价，或者在招标项目中事先约定轮流以高价位或者低价位中标，或者事先约定由某一特定</w:t>
      </w:r>
      <w:r>
        <w:rPr>
          <w:rFonts w:hint="eastAsia" w:ascii="宋体" w:hAnsi="宋体"/>
          <w:szCs w:val="21"/>
          <w:highlight w:val="none"/>
          <w:lang w:eastAsia="zh-CN"/>
        </w:rPr>
        <w:t>磋商人</w:t>
      </w:r>
      <w:r>
        <w:rPr>
          <w:rFonts w:hint="eastAsia" w:ascii="宋体" w:hAnsi="宋体"/>
          <w:szCs w:val="21"/>
          <w:highlight w:val="none"/>
        </w:rPr>
        <w:t>中标，然后再参加投标；</w:t>
      </w:r>
    </w:p>
    <w:p w14:paraId="6CE8A998">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6.</w:t>
      </w:r>
      <w:r>
        <w:rPr>
          <w:rFonts w:hint="eastAsia" w:ascii="宋体" w:hAnsi="宋体"/>
          <w:szCs w:val="21"/>
          <w:highlight w:val="none"/>
          <w:lang w:eastAsia="zh-CN"/>
        </w:rPr>
        <w:t>磋商人</w:t>
      </w:r>
      <w:r>
        <w:rPr>
          <w:rFonts w:hint="eastAsia" w:ascii="宋体" w:hAnsi="宋体"/>
          <w:szCs w:val="21"/>
          <w:highlight w:val="none"/>
        </w:rPr>
        <w:t>之间商定部分</w:t>
      </w:r>
      <w:r>
        <w:rPr>
          <w:rFonts w:hint="eastAsia" w:ascii="宋体" w:hAnsi="宋体"/>
          <w:szCs w:val="21"/>
          <w:highlight w:val="none"/>
          <w:lang w:eastAsia="zh-CN"/>
        </w:rPr>
        <w:t>磋商人</w:t>
      </w:r>
      <w:r>
        <w:rPr>
          <w:rFonts w:hint="eastAsia" w:ascii="宋体" w:hAnsi="宋体"/>
          <w:szCs w:val="21"/>
          <w:highlight w:val="none"/>
        </w:rPr>
        <w:t>放弃参加政府采购活动或者放弃中标；</w:t>
      </w:r>
    </w:p>
    <w:p w14:paraId="25D93A7B">
      <w:pPr>
        <w:snapToGrid w:val="0"/>
        <w:spacing w:before="160" w:beforeLines="50" w:after="50" w:line="360" w:lineRule="auto"/>
        <w:ind w:firstLine="411" w:firstLineChars="196"/>
        <w:jc w:val="left"/>
        <w:rPr>
          <w:rFonts w:hint="eastAsia" w:ascii="宋体" w:hAnsi="宋体"/>
          <w:szCs w:val="21"/>
          <w:highlight w:val="none"/>
        </w:rPr>
      </w:pPr>
      <w:r>
        <w:rPr>
          <w:rFonts w:hint="eastAsia" w:ascii="宋体" w:hAnsi="宋体"/>
          <w:szCs w:val="21"/>
          <w:highlight w:val="none"/>
        </w:rPr>
        <w:t>7.</w:t>
      </w:r>
      <w:r>
        <w:rPr>
          <w:rFonts w:hint="eastAsia" w:ascii="宋体" w:hAnsi="宋体"/>
          <w:szCs w:val="21"/>
          <w:highlight w:val="none"/>
          <w:lang w:eastAsia="zh-CN"/>
        </w:rPr>
        <w:t>磋商人</w:t>
      </w:r>
      <w:r>
        <w:rPr>
          <w:rFonts w:hint="eastAsia" w:ascii="宋体" w:hAnsi="宋体"/>
          <w:szCs w:val="21"/>
          <w:highlight w:val="none"/>
        </w:rPr>
        <w:t>与采购人或者采购代理机构之间、</w:t>
      </w:r>
      <w:r>
        <w:rPr>
          <w:rFonts w:hint="eastAsia" w:ascii="宋体" w:hAnsi="宋体"/>
          <w:szCs w:val="21"/>
          <w:highlight w:val="none"/>
          <w:lang w:eastAsia="zh-CN"/>
        </w:rPr>
        <w:t>磋商人</w:t>
      </w:r>
      <w:r>
        <w:rPr>
          <w:rFonts w:hint="eastAsia" w:ascii="宋体" w:hAnsi="宋体"/>
          <w:szCs w:val="21"/>
          <w:highlight w:val="none"/>
        </w:rPr>
        <w:t>相互之间，为谋求特定</w:t>
      </w:r>
      <w:r>
        <w:rPr>
          <w:rFonts w:hint="eastAsia" w:ascii="宋体" w:hAnsi="宋体"/>
          <w:szCs w:val="21"/>
          <w:highlight w:val="none"/>
          <w:lang w:eastAsia="zh-CN"/>
        </w:rPr>
        <w:t>磋商人</w:t>
      </w:r>
      <w:r>
        <w:rPr>
          <w:rFonts w:hint="eastAsia" w:ascii="宋体" w:hAnsi="宋体"/>
          <w:szCs w:val="21"/>
          <w:highlight w:val="none"/>
        </w:rPr>
        <w:t>中标或者排斥其他</w:t>
      </w:r>
      <w:r>
        <w:rPr>
          <w:rFonts w:hint="eastAsia" w:ascii="宋体" w:hAnsi="宋体"/>
          <w:szCs w:val="21"/>
          <w:highlight w:val="none"/>
          <w:lang w:eastAsia="zh-CN"/>
        </w:rPr>
        <w:t>磋商人</w:t>
      </w:r>
      <w:r>
        <w:rPr>
          <w:rFonts w:hint="eastAsia" w:ascii="宋体" w:hAnsi="宋体"/>
          <w:szCs w:val="21"/>
          <w:highlight w:val="none"/>
        </w:rPr>
        <w:t>的其他串通行为。</w:t>
      </w:r>
    </w:p>
    <w:p w14:paraId="60CCEB3F">
      <w:pPr>
        <w:snapToGrid w:val="0"/>
        <w:spacing w:before="160" w:beforeLines="50" w:after="50" w:line="360" w:lineRule="auto"/>
        <w:ind w:firstLine="413" w:firstLineChars="196"/>
        <w:jc w:val="left"/>
        <w:rPr>
          <w:rFonts w:hint="eastAsia" w:ascii="宋体" w:hAnsi="宋体"/>
          <w:b/>
          <w:szCs w:val="21"/>
          <w:highlight w:val="none"/>
        </w:rPr>
      </w:pPr>
      <w:r>
        <w:rPr>
          <w:rFonts w:hint="eastAsia" w:ascii="宋体" w:hAnsi="宋体"/>
          <w:b/>
          <w:szCs w:val="21"/>
          <w:highlight w:val="none"/>
        </w:rPr>
        <w:t>以上情形一经核查属实，我方愿意承担一切后果，并不再寻求任何旨在减轻或者免除法律责任的辩解。</w:t>
      </w:r>
    </w:p>
    <w:p w14:paraId="1C0900FB">
      <w:pPr>
        <w:snapToGrid w:val="0"/>
        <w:spacing w:line="360" w:lineRule="auto"/>
        <w:ind w:firstLine="4935" w:firstLineChars="2350"/>
        <w:rPr>
          <w:rFonts w:hint="eastAsia" w:ascii="仿宋_GB2312" w:hAnsi="仿宋" w:eastAsia="仿宋_GB2312" w:cs="仿宋_GB2312"/>
          <w:kern w:val="0"/>
          <w:sz w:val="24"/>
          <w:highlight w:val="none"/>
        </w:rPr>
      </w:pPr>
      <w:r>
        <w:rPr>
          <w:rFonts w:hAnsi="宋体"/>
          <w:szCs w:val="21"/>
          <w:highlight w:val="none"/>
        </w:rPr>
        <w:t xml:space="preserve">  </w:t>
      </w:r>
      <w:r>
        <w:rPr>
          <w:rFonts w:hint="eastAsia" w:ascii="仿宋_GB2312" w:hAnsi="仿宋" w:eastAsia="仿宋_GB2312" w:cs="仿宋_GB2312"/>
          <w:kern w:val="0"/>
          <w:sz w:val="24"/>
          <w:highlight w:val="none"/>
          <w:lang w:val="zh-CN"/>
        </w:rPr>
        <w:t>磋商人名称(电子签章)：</w:t>
      </w:r>
    </w:p>
    <w:p w14:paraId="2D80293E">
      <w:pPr>
        <w:snapToGrid w:val="0"/>
        <w:spacing w:line="360" w:lineRule="auto"/>
        <w:ind w:firstLine="5160" w:firstLineChars="2150"/>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日期</w:t>
      </w:r>
      <w:r>
        <w:rPr>
          <w:rFonts w:hint="eastAsia" w:ascii="仿宋_GB2312" w:hAnsi="仿宋" w:eastAsia="仿宋_GB2312" w:cs="仿宋_GB2312"/>
          <w:kern w:val="0"/>
          <w:sz w:val="24"/>
          <w:highlight w:val="none"/>
        </w:rPr>
        <w:t xml:space="preserve">：  年  </w:t>
      </w:r>
      <w:r>
        <w:rPr>
          <w:rFonts w:hint="eastAsia" w:ascii="仿宋_GB2312" w:hAnsi="仿宋" w:eastAsia="仿宋_GB2312" w:cs="仿宋_GB2312"/>
          <w:kern w:val="0"/>
          <w:sz w:val="24"/>
          <w:highlight w:val="none"/>
          <w:lang w:val="zh-CN"/>
        </w:rPr>
        <w:t>月</w:t>
      </w:r>
      <w:r>
        <w:rPr>
          <w:rFonts w:hint="eastAsia" w:ascii="仿宋_GB2312" w:hAnsi="仿宋" w:eastAsia="仿宋_GB2312" w:cs="仿宋_GB2312"/>
          <w:kern w:val="0"/>
          <w:sz w:val="24"/>
          <w:highlight w:val="none"/>
        </w:rPr>
        <w:t xml:space="preserve">   </w:t>
      </w:r>
      <w:r>
        <w:rPr>
          <w:rFonts w:hint="eastAsia" w:ascii="仿宋_GB2312" w:hAnsi="仿宋" w:eastAsia="仿宋_GB2312" w:cs="仿宋_GB2312"/>
          <w:kern w:val="0"/>
          <w:sz w:val="24"/>
          <w:highlight w:val="none"/>
          <w:lang w:val="zh-CN"/>
        </w:rPr>
        <w:t>日</w:t>
      </w:r>
    </w:p>
    <w:p w14:paraId="082929D1">
      <w:pPr>
        <w:pStyle w:val="14"/>
        <w:snapToGrid w:val="0"/>
        <w:spacing w:before="295" w:after="295" w:line="360" w:lineRule="auto"/>
        <w:jc w:val="center"/>
        <w:rPr>
          <w:rFonts w:hint="eastAsia" w:hAnsi="宋体"/>
          <w:b/>
          <w:sz w:val="24"/>
          <w:highlight w:val="none"/>
        </w:rPr>
      </w:pPr>
      <w:r>
        <w:rPr>
          <w:rFonts w:hAnsi="宋体"/>
          <w:b/>
          <w:sz w:val="24"/>
          <w:highlight w:val="none"/>
        </w:rPr>
        <w:br w:type="page"/>
      </w:r>
      <w:r>
        <w:rPr>
          <w:rFonts w:hint="eastAsia" w:ascii="Times New Roman" w:hAnsi="Times New Roman"/>
          <w:b/>
          <w:bCs/>
          <w:sz w:val="30"/>
          <w:szCs w:val="30"/>
          <w:highlight w:val="none"/>
          <w:lang w:val="en-US" w:eastAsia="zh-CN"/>
        </w:rPr>
        <w:t>六</w:t>
      </w:r>
      <w:r>
        <w:rPr>
          <w:rFonts w:hint="eastAsia" w:ascii="Times New Roman" w:hAnsi="Times New Roman"/>
          <w:b/>
          <w:bCs/>
          <w:sz w:val="30"/>
          <w:szCs w:val="30"/>
          <w:highlight w:val="none"/>
        </w:rPr>
        <w:t>、法定代表人身份证明</w:t>
      </w:r>
    </w:p>
    <w:p w14:paraId="5E0BAB9F">
      <w:pPr>
        <w:spacing w:line="500" w:lineRule="exact"/>
        <w:ind w:left="540"/>
        <w:rPr>
          <w:rFonts w:hint="eastAsia" w:ascii="宋体" w:hAnsi="宋体"/>
          <w:sz w:val="24"/>
          <w:highlight w:val="none"/>
        </w:rPr>
      </w:pPr>
      <w:r>
        <w:rPr>
          <w:rFonts w:hint="eastAsia" w:ascii="宋体" w:hAnsi="宋体"/>
          <w:sz w:val="24"/>
          <w:highlight w:val="none"/>
        </w:rPr>
        <w:t>投 标 人：</w:t>
      </w:r>
      <w:r>
        <w:rPr>
          <w:rFonts w:hint="eastAsia" w:ascii="宋体" w:hAnsi="宋体"/>
          <w:sz w:val="24"/>
          <w:highlight w:val="none"/>
          <w:u w:val="single"/>
        </w:rPr>
        <w:t xml:space="preserve">                                                        </w:t>
      </w:r>
    </w:p>
    <w:p w14:paraId="4D9813B5">
      <w:pPr>
        <w:spacing w:line="500" w:lineRule="exact"/>
        <w:ind w:left="540"/>
        <w:rPr>
          <w:rFonts w:hint="eastAsia" w:ascii="宋体" w:hAnsi="宋体"/>
          <w:sz w:val="24"/>
          <w:highlight w:val="none"/>
        </w:rPr>
      </w:pPr>
      <w:r>
        <w:rPr>
          <w:rFonts w:hint="eastAsia" w:ascii="宋体" w:hAnsi="宋体"/>
          <w:sz w:val="24"/>
          <w:highlight w:val="none"/>
        </w:rPr>
        <w:t>地    址：</w:t>
      </w:r>
      <w:r>
        <w:rPr>
          <w:rFonts w:hint="eastAsia" w:ascii="宋体" w:hAnsi="宋体"/>
          <w:sz w:val="24"/>
          <w:highlight w:val="none"/>
          <w:u w:val="single"/>
        </w:rPr>
        <w:t xml:space="preserve">                                                        </w:t>
      </w:r>
    </w:p>
    <w:p w14:paraId="3B1D33D2">
      <w:pPr>
        <w:spacing w:line="500" w:lineRule="exact"/>
        <w:ind w:left="540"/>
        <w:rPr>
          <w:rFonts w:hint="eastAsia" w:ascii="宋体" w:hAnsi="宋体"/>
          <w:sz w:val="24"/>
          <w:highlight w:val="none"/>
        </w:rPr>
      </w:pPr>
      <w:r>
        <w:rPr>
          <w:rFonts w:hint="eastAsia" w:ascii="宋体" w:hAnsi="宋体"/>
          <w:sz w:val="24"/>
          <w:highlight w:val="none"/>
        </w:rPr>
        <w:t>姓    名：</w:t>
      </w:r>
      <w:r>
        <w:rPr>
          <w:rFonts w:hint="eastAsia" w:ascii="宋体" w:hAnsi="宋体"/>
          <w:sz w:val="24"/>
          <w:highlight w:val="none"/>
          <w:u w:val="single"/>
        </w:rPr>
        <w:t xml:space="preserve">                          </w:t>
      </w:r>
      <w:r>
        <w:rPr>
          <w:rFonts w:hint="eastAsia" w:ascii="宋体" w:hAnsi="宋体"/>
          <w:sz w:val="24"/>
          <w:highlight w:val="none"/>
        </w:rPr>
        <w:t>性      别：</w:t>
      </w:r>
      <w:r>
        <w:rPr>
          <w:rFonts w:hint="eastAsia" w:ascii="宋体" w:hAnsi="宋体"/>
          <w:sz w:val="24"/>
          <w:highlight w:val="none"/>
          <w:u w:val="single"/>
        </w:rPr>
        <w:t xml:space="preserve">                </w:t>
      </w:r>
    </w:p>
    <w:p w14:paraId="58447CED">
      <w:pPr>
        <w:spacing w:line="500" w:lineRule="exact"/>
        <w:ind w:left="540"/>
        <w:rPr>
          <w:rFonts w:hint="eastAsia" w:ascii="宋体" w:hAnsi="宋体"/>
          <w:sz w:val="24"/>
          <w:highlight w:val="none"/>
          <w:u w:val="single"/>
        </w:rPr>
      </w:pPr>
      <w:r>
        <w:rPr>
          <w:rFonts w:hint="eastAsia" w:ascii="宋体" w:hAnsi="宋体"/>
          <w:sz w:val="24"/>
          <w:highlight w:val="none"/>
        </w:rPr>
        <w:t>年    龄：</w:t>
      </w:r>
      <w:r>
        <w:rPr>
          <w:rFonts w:hint="eastAsia" w:ascii="宋体" w:hAnsi="宋体"/>
          <w:sz w:val="24"/>
          <w:highlight w:val="none"/>
          <w:u w:val="single"/>
        </w:rPr>
        <w:t xml:space="preserve">                          </w:t>
      </w:r>
      <w:r>
        <w:rPr>
          <w:rFonts w:hint="eastAsia" w:ascii="宋体" w:hAnsi="宋体"/>
          <w:sz w:val="24"/>
          <w:highlight w:val="none"/>
        </w:rPr>
        <w:t>职      务：</w:t>
      </w:r>
      <w:r>
        <w:rPr>
          <w:rFonts w:hint="eastAsia" w:ascii="宋体" w:hAnsi="宋体"/>
          <w:sz w:val="24"/>
          <w:highlight w:val="none"/>
          <w:u w:val="single"/>
        </w:rPr>
        <w:t xml:space="preserve">                </w:t>
      </w:r>
    </w:p>
    <w:p w14:paraId="695C542E">
      <w:pPr>
        <w:spacing w:line="500" w:lineRule="exact"/>
        <w:ind w:left="540"/>
        <w:rPr>
          <w:rFonts w:hint="eastAsia" w:ascii="宋体" w:hAnsi="宋体"/>
          <w:sz w:val="24"/>
          <w:highlight w:val="none"/>
        </w:rPr>
      </w:pPr>
      <w:r>
        <w:rPr>
          <w:rFonts w:hint="eastAsia" w:ascii="宋体" w:hAnsi="宋体"/>
          <w:sz w:val="24"/>
          <w:highlight w:val="none"/>
        </w:rPr>
        <w:t>身份证</w:t>
      </w:r>
      <w:r>
        <w:rPr>
          <w:rFonts w:hint="eastAsia"/>
          <w:sz w:val="24"/>
          <w:highlight w:val="none"/>
        </w:rPr>
        <w:t>号码：</w:t>
      </w:r>
      <w:r>
        <w:rPr>
          <w:rFonts w:hint="eastAsia"/>
          <w:sz w:val="24"/>
          <w:highlight w:val="none"/>
          <w:u w:val="single"/>
        </w:rPr>
        <w:t xml:space="preserve">                                 </w:t>
      </w:r>
    </w:p>
    <w:p w14:paraId="3BC8A260">
      <w:pPr>
        <w:spacing w:line="500" w:lineRule="exact"/>
        <w:ind w:left="540"/>
        <w:rPr>
          <w:rFonts w:hint="eastAsia" w:ascii="宋体" w:hAnsi="宋体"/>
          <w:sz w:val="24"/>
          <w:highlight w:val="none"/>
        </w:rPr>
      </w:pPr>
      <w:r>
        <w:rPr>
          <w:rFonts w:hint="eastAsia" w:ascii="宋体" w:hAnsi="宋体"/>
          <w:sz w:val="24"/>
          <w:highlight w:val="none"/>
        </w:rPr>
        <w:t>系</w:t>
      </w:r>
      <w:r>
        <w:rPr>
          <w:rFonts w:hint="eastAsia" w:ascii="宋体" w:hAnsi="宋体"/>
          <w:sz w:val="24"/>
          <w:highlight w:val="none"/>
          <w:u w:val="single"/>
        </w:rPr>
        <w:t xml:space="preserve">            （</w:t>
      </w:r>
      <w:r>
        <w:rPr>
          <w:rFonts w:hint="eastAsia" w:ascii="宋体" w:hAnsi="宋体"/>
          <w:sz w:val="24"/>
          <w:highlight w:val="none"/>
          <w:u w:val="single"/>
          <w:lang w:eastAsia="zh-CN"/>
        </w:rPr>
        <w:t>磋商人</w:t>
      </w:r>
      <w:r>
        <w:rPr>
          <w:rFonts w:hint="eastAsia" w:ascii="宋体" w:hAnsi="宋体"/>
          <w:sz w:val="24"/>
          <w:highlight w:val="none"/>
          <w:u w:val="single"/>
        </w:rPr>
        <w:t xml:space="preserve">名称）              </w:t>
      </w:r>
      <w:r>
        <w:rPr>
          <w:rFonts w:hint="eastAsia" w:ascii="宋体" w:hAnsi="宋体"/>
          <w:sz w:val="24"/>
          <w:highlight w:val="none"/>
        </w:rPr>
        <w:t>的法定代表人。</w:t>
      </w:r>
    </w:p>
    <w:p w14:paraId="7EEC11A1">
      <w:pPr>
        <w:spacing w:line="500" w:lineRule="exact"/>
        <w:ind w:left="540"/>
        <w:rPr>
          <w:rFonts w:hint="eastAsia" w:ascii="宋体" w:hAnsi="宋体"/>
          <w:sz w:val="24"/>
          <w:highlight w:val="none"/>
        </w:rPr>
      </w:pPr>
      <w:r>
        <w:rPr>
          <w:rFonts w:hint="eastAsia" w:ascii="宋体" w:hAnsi="宋体"/>
          <w:sz w:val="24"/>
          <w:highlight w:val="none"/>
        </w:rPr>
        <w:t>特此证明。</w:t>
      </w:r>
    </w:p>
    <w:p w14:paraId="16F25DE6">
      <w:pPr>
        <w:spacing w:line="500" w:lineRule="exact"/>
        <w:ind w:left="540"/>
        <w:rPr>
          <w:rFonts w:hint="eastAsia" w:ascii="宋体" w:hAnsi="宋体"/>
          <w:sz w:val="24"/>
          <w:highlight w:val="none"/>
        </w:rPr>
      </w:pPr>
    </w:p>
    <w:p w14:paraId="0CF25110">
      <w:pPr>
        <w:spacing w:line="500" w:lineRule="exact"/>
        <w:ind w:left="540"/>
        <w:rPr>
          <w:rFonts w:hint="eastAsia" w:ascii="宋体" w:hAnsi="宋体"/>
          <w:sz w:val="24"/>
          <w:highlight w:val="none"/>
        </w:rPr>
      </w:pPr>
    </w:p>
    <w:p w14:paraId="54F156BD">
      <w:pPr>
        <w:spacing w:line="500" w:lineRule="exact"/>
        <w:ind w:left="540"/>
        <w:rPr>
          <w:rFonts w:hint="eastAsia" w:ascii="宋体" w:hAnsi="宋体"/>
          <w:sz w:val="24"/>
          <w:highlight w:val="none"/>
        </w:rPr>
      </w:pPr>
      <w:r>
        <w:rPr>
          <w:rFonts w:hint="eastAsia" w:ascii="宋体" w:hAnsi="宋体"/>
          <w:sz w:val="24"/>
          <w:highlight w:val="none"/>
        </w:rPr>
        <w:t>附件：法定代表人有效身份证正反面复印件</w:t>
      </w:r>
    </w:p>
    <w:p w14:paraId="15F582A4">
      <w:pPr>
        <w:spacing w:line="500" w:lineRule="exact"/>
        <w:ind w:left="540"/>
        <w:rPr>
          <w:rFonts w:hint="eastAsia" w:ascii="宋体" w:hAnsi="宋体"/>
          <w:sz w:val="24"/>
          <w:highlight w:val="none"/>
        </w:rPr>
      </w:pPr>
    </w:p>
    <w:p w14:paraId="5F6D1719">
      <w:pPr>
        <w:snapToGrid w:val="0"/>
        <w:spacing w:line="360" w:lineRule="auto"/>
        <w:ind w:firstLine="4935" w:firstLineChars="2350"/>
        <w:rPr>
          <w:rFonts w:hint="eastAsia" w:ascii="仿宋_GB2312" w:hAnsi="仿宋" w:eastAsia="仿宋_GB2312" w:cs="仿宋_GB2312"/>
          <w:kern w:val="0"/>
          <w:sz w:val="24"/>
          <w:highlight w:val="none"/>
        </w:rPr>
      </w:pPr>
      <w:r>
        <w:rPr>
          <w:rFonts w:hAnsi="宋体"/>
          <w:szCs w:val="21"/>
          <w:highlight w:val="none"/>
        </w:rPr>
        <w:t xml:space="preserve">  </w:t>
      </w:r>
      <w:r>
        <w:rPr>
          <w:rFonts w:hint="eastAsia" w:ascii="仿宋_GB2312" w:hAnsi="仿宋" w:eastAsia="仿宋_GB2312" w:cs="仿宋_GB2312"/>
          <w:kern w:val="0"/>
          <w:sz w:val="24"/>
          <w:highlight w:val="none"/>
          <w:lang w:val="zh-CN"/>
        </w:rPr>
        <w:t>磋商人名称(电子签章)：</w:t>
      </w:r>
    </w:p>
    <w:p w14:paraId="12F54813">
      <w:pPr>
        <w:snapToGrid w:val="0"/>
        <w:spacing w:line="360" w:lineRule="auto"/>
        <w:ind w:firstLine="5160" w:firstLineChars="2150"/>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日期</w:t>
      </w:r>
      <w:r>
        <w:rPr>
          <w:rFonts w:hint="eastAsia" w:ascii="仿宋_GB2312" w:hAnsi="仿宋" w:eastAsia="仿宋_GB2312" w:cs="仿宋_GB2312"/>
          <w:kern w:val="0"/>
          <w:sz w:val="24"/>
          <w:highlight w:val="none"/>
        </w:rPr>
        <w:t xml:space="preserve">：  年  </w:t>
      </w:r>
      <w:r>
        <w:rPr>
          <w:rFonts w:hint="eastAsia" w:ascii="仿宋_GB2312" w:hAnsi="仿宋" w:eastAsia="仿宋_GB2312" w:cs="仿宋_GB2312"/>
          <w:kern w:val="0"/>
          <w:sz w:val="24"/>
          <w:highlight w:val="none"/>
          <w:lang w:val="zh-CN"/>
        </w:rPr>
        <w:t>月</w:t>
      </w:r>
      <w:r>
        <w:rPr>
          <w:rFonts w:hint="eastAsia" w:ascii="仿宋_GB2312" w:hAnsi="仿宋" w:eastAsia="仿宋_GB2312" w:cs="仿宋_GB2312"/>
          <w:kern w:val="0"/>
          <w:sz w:val="24"/>
          <w:highlight w:val="none"/>
        </w:rPr>
        <w:t xml:space="preserve">   </w:t>
      </w:r>
      <w:r>
        <w:rPr>
          <w:rFonts w:hint="eastAsia" w:ascii="仿宋_GB2312" w:hAnsi="仿宋" w:eastAsia="仿宋_GB2312" w:cs="仿宋_GB2312"/>
          <w:kern w:val="0"/>
          <w:sz w:val="24"/>
          <w:highlight w:val="none"/>
          <w:lang w:val="zh-CN"/>
        </w:rPr>
        <w:t>日</w:t>
      </w:r>
    </w:p>
    <w:p w14:paraId="2246842E">
      <w:pPr>
        <w:snapToGrid w:val="0"/>
        <w:spacing w:before="160" w:beforeLines="50" w:after="50"/>
        <w:jc w:val="center"/>
        <w:rPr>
          <w:rFonts w:hint="eastAsia" w:ascii="宋体" w:hAnsi="宋体"/>
          <w:b/>
          <w:sz w:val="24"/>
          <w:highlight w:val="none"/>
        </w:rPr>
      </w:pPr>
    </w:p>
    <w:p w14:paraId="4EB05622">
      <w:pPr>
        <w:snapToGrid w:val="0"/>
        <w:spacing w:before="160" w:beforeLines="50" w:after="50"/>
        <w:ind w:firstLine="600" w:firstLineChars="250"/>
        <w:jc w:val="left"/>
        <w:rPr>
          <w:rFonts w:hint="eastAsia" w:ascii="宋体" w:hAnsi="宋体"/>
          <w:sz w:val="24"/>
          <w:highlight w:val="none"/>
        </w:rPr>
      </w:pPr>
      <w:r>
        <w:rPr>
          <w:rFonts w:hint="eastAsia" w:ascii="宋体" w:hAnsi="宋体"/>
          <w:sz w:val="24"/>
          <w:highlight w:val="none"/>
        </w:rPr>
        <w:t>注：自然人投标的无需提供</w:t>
      </w:r>
    </w:p>
    <w:p w14:paraId="6904703E">
      <w:pPr>
        <w:snapToGrid w:val="0"/>
        <w:spacing w:before="160" w:beforeLines="50" w:after="50"/>
        <w:ind w:firstLine="600" w:firstLineChars="250"/>
        <w:jc w:val="left"/>
        <w:rPr>
          <w:rFonts w:hint="eastAsia" w:ascii="宋体" w:hAnsi="宋体"/>
          <w:sz w:val="24"/>
          <w:highlight w:val="none"/>
        </w:rPr>
      </w:pPr>
    </w:p>
    <w:p w14:paraId="5FC0086F">
      <w:pPr>
        <w:snapToGrid w:val="0"/>
        <w:spacing w:before="160" w:beforeLines="50" w:after="50"/>
        <w:ind w:firstLine="602" w:firstLineChars="250"/>
        <w:jc w:val="left"/>
        <w:rPr>
          <w:rFonts w:hint="eastAsia" w:ascii="宋体" w:hAnsi="宋体"/>
          <w:b/>
          <w:sz w:val="24"/>
          <w:szCs w:val="20"/>
          <w:highlight w:val="none"/>
        </w:rPr>
      </w:pPr>
    </w:p>
    <w:tbl>
      <w:tblPr>
        <w:tblStyle w:val="23"/>
        <w:tblpPr w:leftFromText="180" w:rightFromText="180" w:vertAnchor="text" w:horzAnchor="margin" w:tblpY="116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451D7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noWrap w:val="0"/>
            <w:vAlign w:val="top"/>
          </w:tcPr>
          <w:p w14:paraId="7CCD0510">
            <w:pPr>
              <w:spacing w:line="360" w:lineRule="auto"/>
              <w:rPr>
                <w:rFonts w:ascii="宋体"/>
                <w:b/>
                <w:sz w:val="24"/>
                <w:highlight w:val="none"/>
              </w:rPr>
            </w:pPr>
            <w:r>
              <w:rPr>
                <w:rFonts w:hint="eastAsia" w:ascii="宋体"/>
                <w:b/>
                <w:sz w:val="24"/>
                <w:highlight w:val="none"/>
              </w:rPr>
              <w:t>法定代表身份证复印件粘帖处（正、反面）</w:t>
            </w:r>
          </w:p>
        </w:tc>
      </w:tr>
    </w:tbl>
    <w:p w14:paraId="3D8B71D4">
      <w:pPr>
        <w:pStyle w:val="14"/>
        <w:snapToGrid w:val="0"/>
        <w:spacing w:before="295" w:after="295" w:line="360" w:lineRule="auto"/>
        <w:jc w:val="center"/>
        <w:rPr>
          <w:rFonts w:hint="eastAsia" w:hAnsi="宋体"/>
          <w:b/>
          <w:sz w:val="24"/>
          <w:highlight w:val="none"/>
        </w:rPr>
      </w:pPr>
      <w:r>
        <w:rPr>
          <w:rFonts w:hint="eastAsia" w:hAnsi="宋体"/>
          <w:b/>
          <w:sz w:val="24"/>
          <w:highlight w:val="none"/>
        </w:rPr>
        <w:t>附件：</w:t>
      </w:r>
      <w:r>
        <w:rPr>
          <w:rFonts w:hAnsi="宋体"/>
          <w:b/>
          <w:sz w:val="24"/>
          <w:highlight w:val="none"/>
        </w:rPr>
        <w:br w:type="page"/>
      </w:r>
      <w:r>
        <w:rPr>
          <w:rFonts w:hint="eastAsia" w:ascii="Times New Roman" w:hAnsi="Times New Roman"/>
          <w:b/>
          <w:bCs/>
          <w:sz w:val="30"/>
          <w:szCs w:val="30"/>
          <w:highlight w:val="none"/>
          <w:lang w:val="en-US" w:eastAsia="zh-CN"/>
        </w:rPr>
        <w:t>七</w:t>
      </w:r>
      <w:r>
        <w:rPr>
          <w:rFonts w:hint="eastAsia" w:ascii="Times New Roman" w:hAnsi="Times New Roman"/>
          <w:b/>
          <w:bCs/>
          <w:sz w:val="30"/>
          <w:szCs w:val="30"/>
          <w:highlight w:val="none"/>
        </w:rPr>
        <w:t>、法定代表人授权委托书（如有委托时）</w:t>
      </w:r>
    </w:p>
    <w:p w14:paraId="485A098B">
      <w:pPr>
        <w:snapToGrid w:val="0"/>
        <w:spacing w:before="160" w:beforeLines="50" w:after="50"/>
        <w:jc w:val="center"/>
        <w:rPr>
          <w:rFonts w:ascii="宋体" w:hAnsi="宋体"/>
          <w:b/>
          <w:sz w:val="32"/>
          <w:szCs w:val="32"/>
          <w:highlight w:val="none"/>
        </w:rPr>
      </w:pPr>
      <w:r>
        <w:rPr>
          <w:rFonts w:hint="eastAsia" w:ascii="宋体" w:hAnsi="宋体"/>
          <w:b/>
          <w:sz w:val="32"/>
          <w:szCs w:val="32"/>
          <w:highlight w:val="none"/>
        </w:rPr>
        <w:t>法定代表人授权委托书</w:t>
      </w:r>
    </w:p>
    <w:p w14:paraId="00023359">
      <w:pPr>
        <w:pStyle w:val="14"/>
        <w:spacing w:line="440" w:lineRule="exact"/>
        <w:rPr>
          <w:rFonts w:hint="eastAsia" w:ascii="Times New Roman" w:hAnsi="Times New Roman"/>
          <w:highlight w:val="none"/>
        </w:rPr>
      </w:pPr>
    </w:p>
    <w:p w14:paraId="3EB28908">
      <w:pPr>
        <w:pStyle w:val="14"/>
        <w:spacing w:line="440" w:lineRule="exact"/>
        <w:rPr>
          <w:rFonts w:ascii="Times New Roman" w:hAnsi="Times New Roman"/>
          <w:highlight w:val="none"/>
        </w:rPr>
      </w:pPr>
      <w:r>
        <w:rPr>
          <w:rFonts w:hint="eastAsia" w:ascii="Times New Roman" w:hAnsi="Times New Roman"/>
          <w:highlight w:val="none"/>
        </w:rPr>
        <w:t>致：</w:t>
      </w:r>
      <w:r>
        <w:rPr>
          <w:rFonts w:ascii="Times New Roman" w:hAnsi="Times New Roman"/>
          <w:highlight w:val="none"/>
          <w:u w:val="single"/>
        </w:rPr>
        <w:t xml:space="preserve">                      </w:t>
      </w:r>
      <w:r>
        <w:rPr>
          <w:rFonts w:hint="eastAsia" w:ascii="Times New Roman" w:hAnsi="Times New Roman"/>
          <w:highlight w:val="none"/>
        </w:rPr>
        <w:t>（采购代理机构名称）</w:t>
      </w:r>
    </w:p>
    <w:p w14:paraId="35BC1472">
      <w:pPr>
        <w:pStyle w:val="14"/>
        <w:spacing w:line="440" w:lineRule="exact"/>
        <w:ind w:firstLine="420" w:firstLineChars="200"/>
        <w:rPr>
          <w:rFonts w:ascii="Times New Roman" w:hAnsi="Times New Roman"/>
          <w:highlight w:val="none"/>
        </w:rPr>
      </w:pPr>
      <w:r>
        <w:rPr>
          <w:rFonts w:hint="eastAsia" w:ascii="Times New Roman" w:hAnsi="Times New Roman"/>
          <w:highlight w:val="none"/>
        </w:rPr>
        <w:t>本人</w:t>
      </w:r>
      <w:r>
        <w:rPr>
          <w:rFonts w:ascii="Times New Roman" w:hAnsi="Times New Roman"/>
          <w:highlight w:val="none"/>
          <w:u w:val="single"/>
        </w:rPr>
        <w:t xml:space="preserve">        </w:t>
      </w:r>
      <w:r>
        <w:rPr>
          <w:rFonts w:hint="eastAsia" w:ascii="Times New Roman" w:hAnsi="Times New Roman"/>
          <w:highlight w:val="none"/>
        </w:rPr>
        <w:t>（姓名）系</w:t>
      </w:r>
      <w:r>
        <w:rPr>
          <w:rFonts w:ascii="Times New Roman" w:hAnsi="Times New Roman"/>
          <w:highlight w:val="none"/>
          <w:u w:val="single"/>
        </w:rPr>
        <w:t xml:space="preserve">                 </w:t>
      </w:r>
      <w:r>
        <w:rPr>
          <w:rFonts w:hint="eastAsia" w:ascii="Times New Roman" w:hAnsi="Times New Roman"/>
          <w:highlight w:val="none"/>
        </w:rPr>
        <w:t>（</w:t>
      </w:r>
      <w:r>
        <w:rPr>
          <w:rFonts w:hint="eastAsia" w:ascii="Times New Roman" w:hAnsi="Times New Roman"/>
          <w:highlight w:val="none"/>
          <w:lang w:eastAsia="zh-CN"/>
        </w:rPr>
        <w:t>磋商人</w:t>
      </w:r>
      <w:r>
        <w:rPr>
          <w:rFonts w:hint="eastAsia" w:ascii="Times New Roman" w:hAnsi="Times New Roman"/>
          <w:highlight w:val="none"/>
        </w:rPr>
        <w:t>名称）的法定代表人，现授权我单位在职正式员工</w:t>
      </w:r>
      <w:r>
        <w:rPr>
          <w:rFonts w:ascii="Times New Roman" w:hAnsi="Times New Roman"/>
          <w:highlight w:val="none"/>
          <w:u w:val="single"/>
        </w:rPr>
        <w:t xml:space="preserve">        </w:t>
      </w:r>
      <w:r>
        <w:rPr>
          <w:rFonts w:hint="eastAsia" w:ascii="Times New Roman" w:hAnsi="Times New Roman"/>
          <w:highlight w:val="none"/>
        </w:rPr>
        <w:t>（姓名和职务）为我方代理人。代理人根据授权，以我方名义签署、澄清、说明、补正、递交、撤回、修改贵方组织的</w:t>
      </w:r>
      <w:r>
        <w:rPr>
          <w:rFonts w:hint="eastAsia"/>
          <w:highlight w:val="none"/>
          <w:u w:val="single"/>
        </w:rPr>
        <w:t xml:space="preserve">                </w:t>
      </w:r>
      <w:r>
        <w:rPr>
          <w:rFonts w:hint="eastAsia"/>
          <w:highlight w:val="none"/>
        </w:rPr>
        <w:t>项目（项目编号：</w:t>
      </w:r>
      <w:r>
        <w:rPr>
          <w:rFonts w:hint="eastAsia" w:hAnsi="宋体"/>
          <w:highlight w:val="none"/>
          <w:u w:val="single"/>
        </w:rPr>
        <w:t xml:space="preserve">             </w:t>
      </w:r>
      <w:r>
        <w:rPr>
          <w:rFonts w:hint="eastAsia"/>
          <w:highlight w:val="none"/>
        </w:rPr>
        <w:t>）</w:t>
      </w:r>
      <w:r>
        <w:rPr>
          <w:rFonts w:hint="eastAsia" w:ascii="Times New Roman" w:hAnsi="Times New Roman"/>
          <w:highlight w:val="none"/>
        </w:rPr>
        <w:t>的投标文件、签订合同和处理一切有关事宜，其法律后果由我方承担。</w:t>
      </w:r>
    </w:p>
    <w:p w14:paraId="1A4304A4">
      <w:pPr>
        <w:pStyle w:val="14"/>
        <w:spacing w:line="440" w:lineRule="exact"/>
        <w:ind w:firstLine="420" w:firstLineChars="200"/>
        <w:rPr>
          <w:rFonts w:ascii="Times New Roman" w:hAnsi="Times New Roman"/>
          <w:highlight w:val="none"/>
        </w:rPr>
      </w:pPr>
      <w:r>
        <w:rPr>
          <w:rFonts w:hint="eastAsia" w:ascii="Times New Roman" w:hAnsi="Times New Roman"/>
          <w:highlight w:val="none"/>
        </w:rPr>
        <w:t>本授权书于</w:t>
      </w:r>
      <w:r>
        <w:rPr>
          <w:rFonts w:hint="eastAsia"/>
          <w:spacing w:val="10"/>
          <w:sz w:val="24"/>
          <w:highlight w:val="none"/>
          <w:u w:val="single"/>
        </w:rPr>
        <w:t xml:space="preserve">    </w:t>
      </w:r>
      <w:r>
        <w:rPr>
          <w:rFonts w:hint="eastAsia" w:ascii="Times New Roman" w:hAnsi="Times New Roman"/>
          <w:highlight w:val="none"/>
        </w:rPr>
        <w:t>年</w:t>
      </w:r>
      <w:r>
        <w:rPr>
          <w:rFonts w:hint="eastAsia"/>
          <w:spacing w:val="10"/>
          <w:sz w:val="24"/>
          <w:highlight w:val="none"/>
          <w:u w:val="single"/>
        </w:rPr>
        <w:t xml:space="preserve">    </w:t>
      </w:r>
      <w:r>
        <w:rPr>
          <w:rFonts w:hint="eastAsia" w:ascii="Times New Roman" w:hAnsi="Times New Roman"/>
          <w:highlight w:val="none"/>
        </w:rPr>
        <w:t>月</w:t>
      </w:r>
      <w:r>
        <w:rPr>
          <w:rFonts w:hint="eastAsia"/>
          <w:spacing w:val="10"/>
          <w:sz w:val="24"/>
          <w:highlight w:val="none"/>
          <w:u w:val="single"/>
        </w:rPr>
        <w:t xml:space="preserve">    </w:t>
      </w:r>
      <w:r>
        <w:rPr>
          <w:rFonts w:hint="eastAsia" w:ascii="Times New Roman" w:hAnsi="Times New Roman"/>
          <w:highlight w:val="none"/>
        </w:rPr>
        <w:t>日签字生效，委托期限：</w:t>
      </w:r>
      <w:r>
        <w:rPr>
          <w:rFonts w:hint="eastAsia"/>
          <w:spacing w:val="10"/>
          <w:sz w:val="24"/>
          <w:highlight w:val="none"/>
          <w:u w:val="single"/>
        </w:rPr>
        <w:t xml:space="preserve">    </w:t>
      </w:r>
      <w:r>
        <w:rPr>
          <w:rFonts w:hint="eastAsia" w:ascii="Times New Roman" w:hAnsi="Times New Roman"/>
          <w:highlight w:val="none"/>
        </w:rPr>
        <w:t>。</w:t>
      </w:r>
    </w:p>
    <w:p w14:paraId="738C3DFA">
      <w:pPr>
        <w:pStyle w:val="14"/>
        <w:spacing w:line="360" w:lineRule="auto"/>
        <w:ind w:firstLine="420"/>
        <w:rPr>
          <w:rFonts w:ascii="Times New Roman" w:hAnsi="Times New Roman"/>
          <w:highlight w:val="none"/>
        </w:rPr>
      </w:pPr>
      <w:r>
        <w:rPr>
          <w:rFonts w:hint="eastAsia" w:ascii="Times New Roman" w:hAnsi="Times New Roman"/>
          <w:highlight w:val="none"/>
        </w:rPr>
        <w:t>代理人无转委托权。</w:t>
      </w:r>
    </w:p>
    <w:p w14:paraId="32003C43">
      <w:pPr>
        <w:pStyle w:val="14"/>
        <w:spacing w:line="360" w:lineRule="auto"/>
        <w:ind w:firstLine="420"/>
        <w:rPr>
          <w:rFonts w:ascii="Times New Roman" w:hAnsi="Times New Roman"/>
          <w:highlight w:val="none"/>
        </w:rPr>
      </w:pPr>
    </w:p>
    <w:p w14:paraId="560323CA">
      <w:pPr>
        <w:pStyle w:val="14"/>
        <w:spacing w:line="360" w:lineRule="auto"/>
        <w:ind w:firstLine="420"/>
        <w:rPr>
          <w:rFonts w:ascii="Times New Roman" w:hAnsi="Times New Roman"/>
          <w:highlight w:val="none"/>
          <w:u w:val="single"/>
        </w:rPr>
      </w:pPr>
      <w:r>
        <w:rPr>
          <w:rFonts w:hint="eastAsia" w:ascii="Times New Roman" w:hAnsi="Times New Roman"/>
          <w:highlight w:val="none"/>
          <w:lang w:eastAsia="zh-CN"/>
        </w:rPr>
        <w:t>磋商人</w:t>
      </w:r>
      <w:r>
        <w:rPr>
          <w:rFonts w:hint="eastAsia" w:ascii="Times New Roman" w:hAnsi="Times New Roman"/>
          <w:highlight w:val="none"/>
        </w:rPr>
        <w:t>（盖单位公章）：</w:t>
      </w:r>
      <w:r>
        <w:rPr>
          <w:rFonts w:ascii="Times New Roman" w:hAnsi="Times New Roman"/>
          <w:highlight w:val="none"/>
          <w:u w:val="single"/>
        </w:rPr>
        <w:t xml:space="preserve">                                    </w:t>
      </w:r>
    </w:p>
    <w:p w14:paraId="139FB61A">
      <w:pPr>
        <w:pStyle w:val="14"/>
        <w:spacing w:line="360" w:lineRule="auto"/>
        <w:ind w:firstLine="420"/>
        <w:rPr>
          <w:rFonts w:ascii="Times New Roman" w:hAnsi="Times New Roman"/>
          <w:highlight w:val="none"/>
          <w:u w:val="single"/>
        </w:rPr>
      </w:pPr>
      <w:r>
        <w:rPr>
          <w:rFonts w:hint="eastAsia" w:ascii="Times New Roman" w:hAnsi="Times New Roman"/>
          <w:highlight w:val="none"/>
        </w:rPr>
        <w:t>法定代表人（签字）：</w:t>
      </w:r>
      <w:r>
        <w:rPr>
          <w:rFonts w:ascii="Times New Roman" w:hAnsi="Times New Roman"/>
          <w:highlight w:val="none"/>
          <w:u w:val="single"/>
        </w:rPr>
        <w:t xml:space="preserve">                                </w:t>
      </w:r>
    </w:p>
    <w:p w14:paraId="2804595D">
      <w:pPr>
        <w:pStyle w:val="14"/>
        <w:spacing w:line="360" w:lineRule="auto"/>
        <w:ind w:firstLine="420"/>
        <w:rPr>
          <w:rFonts w:ascii="Times New Roman" w:hAnsi="Times New Roman"/>
          <w:highlight w:val="none"/>
          <w:u w:val="single"/>
        </w:rPr>
      </w:pPr>
      <w:r>
        <w:rPr>
          <w:rFonts w:hint="eastAsia" w:ascii="Times New Roman" w:hAnsi="Times New Roman"/>
          <w:highlight w:val="none"/>
        </w:rPr>
        <w:t>法定代表人身份证号码：</w:t>
      </w:r>
      <w:r>
        <w:rPr>
          <w:rFonts w:ascii="Times New Roman" w:hAnsi="Times New Roman"/>
          <w:highlight w:val="none"/>
          <w:u w:val="single"/>
        </w:rPr>
        <w:t xml:space="preserve">                                   </w:t>
      </w:r>
    </w:p>
    <w:p w14:paraId="68974C09">
      <w:pPr>
        <w:pStyle w:val="14"/>
        <w:spacing w:line="360" w:lineRule="auto"/>
        <w:ind w:firstLine="420" w:firstLineChars="200"/>
        <w:rPr>
          <w:rFonts w:ascii="Times New Roman" w:hAnsi="Times New Roman"/>
          <w:highlight w:val="none"/>
        </w:rPr>
      </w:pPr>
      <w:r>
        <w:rPr>
          <w:rFonts w:hint="eastAsia" w:ascii="Times New Roman" w:hAnsi="Times New Roman"/>
          <w:highlight w:val="none"/>
        </w:rPr>
        <w:t>委托代理人（签字）：</w:t>
      </w:r>
      <w:r>
        <w:rPr>
          <w:rFonts w:ascii="Times New Roman" w:hAnsi="Times New Roman"/>
          <w:highlight w:val="none"/>
          <w:u w:val="single"/>
        </w:rPr>
        <w:t xml:space="preserve">                                </w:t>
      </w:r>
    </w:p>
    <w:p w14:paraId="1433FD16">
      <w:pPr>
        <w:pStyle w:val="14"/>
        <w:spacing w:line="360" w:lineRule="auto"/>
        <w:ind w:firstLine="420"/>
        <w:rPr>
          <w:rFonts w:ascii="Times New Roman" w:hAnsi="Times New Roman"/>
          <w:highlight w:val="none"/>
          <w:u w:val="single"/>
        </w:rPr>
      </w:pPr>
      <w:r>
        <w:rPr>
          <w:rFonts w:hint="eastAsia" w:ascii="Times New Roman" w:hAnsi="Times New Roman"/>
          <w:highlight w:val="none"/>
        </w:rPr>
        <w:t>委托代理人身份证号码：</w:t>
      </w:r>
      <w:r>
        <w:rPr>
          <w:rFonts w:ascii="Times New Roman" w:hAnsi="Times New Roman"/>
          <w:highlight w:val="none"/>
          <w:u w:val="single"/>
        </w:rPr>
        <w:t xml:space="preserve">                                   </w:t>
      </w:r>
    </w:p>
    <w:p w14:paraId="170A458D">
      <w:pPr>
        <w:pStyle w:val="14"/>
        <w:spacing w:line="360" w:lineRule="auto"/>
        <w:ind w:firstLine="420"/>
        <w:rPr>
          <w:rFonts w:ascii="Times New Roman" w:hAnsi="Times New Roman"/>
          <w:highlight w:val="none"/>
          <w:u w:val="single"/>
        </w:rPr>
      </w:pPr>
    </w:p>
    <w:p w14:paraId="0A23C2B8">
      <w:pPr>
        <w:spacing w:line="360" w:lineRule="auto"/>
        <w:rPr>
          <w:rFonts w:hint="eastAsia" w:ascii="宋体"/>
          <w:b/>
          <w:sz w:val="24"/>
          <w:highlight w:val="none"/>
        </w:rPr>
      </w:pPr>
    </w:p>
    <w:p w14:paraId="1BA4BACD">
      <w:pPr>
        <w:rPr>
          <w:rFonts w:hint="eastAsia" w:ascii="宋体"/>
          <w:b/>
          <w:sz w:val="24"/>
          <w:highlight w:val="none"/>
        </w:rPr>
      </w:pPr>
      <w:r>
        <w:rPr>
          <w:rFonts w:hint="eastAsia" w:ascii="宋体"/>
          <w:b/>
          <w:sz w:val="24"/>
          <w:highlight w:val="none"/>
        </w:rPr>
        <w:br w:type="page"/>
      </w:r>
    </w:p>
    <w:p w14:paraId="0BAA1844">
      <w:pPr>
        <w:spacing w:line="360" w:lineRule="auto"/>
        <w:rPr>
          <w:b/>
          <w:sz w:val="24"/>
          <w:highlight w:val="none"/>
        </w:rPr>
      </w:pPr>
      <w:r>
        <w:rPr>
          <w:rFonts w:hint="eastAsia" w:ascii="宋体"/>
          <w:b/>
          <w:sz w:val="24"/>
          <w:highlight w:val="none"/>
        </w:rPr>
        <w:t>附件：</w:t>
      </w:r>
    </w:p>
    <w:tbl>
      <w:tblPr>
        <w:tblStyle w:val="23"/>
        <w:tblpPr w:leftFromText="180" w:rightFromText="180" w:vertAnchor="text" w:horzAnchor="margin" w:tblpY="26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5"/>
      </w:tblGrid>
      <w:tr w14:paraId="72BC0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7985" w:type="dxa"/>
            <w:noWrap w:val="0"/>
            <w:vAlign w:val="top"/>
          </w:tcPr>
          <w:p w14:paraId="7E9CD9C6">
            <w:pPr>
              <w:spacing w:line="360" w:lineRule="auto"/>
              <w:rPr>
                <w:rFonts w:ascii="宋体"/>
                <w:b/>
                <w:sz w:val="24"/>
                <w:highlight w:val="none"/>
              </w:rPr>
            </w:pPr>
          </w:p>
          <w:p w14:paraId="1574121D">
            <w:pPr>
              <w:spacing w:line="360" w:lineRule="auto"/>
              <w:rPr>
                <w:rFonts w:ascii="宋体"/>
                <w:b/>
                <w:sz w:val="24"/>
                <w:highlight w:val="none"/>
              </w:rPr>
            </w:pPr>
            <w:r>
              <w:rPr>
                <w:rFonts w:hint="eastAsia" w:ascii="宋体"/>
                <w:b/>
                <w:sz w:val="24"/>
                <w:highlight w:val="none"/>
              </w:rPr>
              <w:t>全权代表身份证复印件粘帖处（正、反面）</w:t>
            </w:r>
          </w:p>
        </w:tc>
      </w:tr>
    </w:tbl>
    <w:p w14:paraId="7922A49A">
      <w:pPr>
        <w:snapToGrid w:val="0"/>
        <w:spacing w:before="50" w:after="160" w:afterLines="50" w:line="360" w:lineRule="auto"/>
        <w:jc w:val="left"/>
        <w:rPr>
          <w:rFonts w:ascii="仿宋_GB2312" w:hAnsi="仿宋_GB2312" w:eastAsia="仿宋_GB2312" w:cs="仿宋_GB2312"/>
          <w:szCs w:val="21"/>
          <w:highlight w:val="none"/>
        </w:rPr>
      </w:pPr>
    </w:p>
    <w:p w14:paraId="4F02E0EE">
      <w:pPr>
        <w:rPr>
          <w:rFonts w:hint="eastAsia" w:ascii="宋体" w:hAnsi="宋体"/>
          <w:b/>
          <w:color w:val="auto"/>
          <w:sz w:val="28"/>
          <w:szCs w:val="30"/>
          <w:highlight w:val="none"/>
          <w:lang w:val="en-US" w:eastAsia="zh-CN"/>
        </w:rPr>
      </w:pPr>
      <w:r>
        <w:rPr>
          <w:rFonts w:hint="eastAsia" w:ascii="宋体" w:hAnsi="宋体"/>
          <w:b/>
          <w:color w:val="auto"/>
          <w:sz w:val="28"/>
          <w:szCs w:val="30"/>
          <w:highlight w:val="none"/>
          <w:lang w:val="en-US" w:eastAsia="zh-CN"/>
        </w:rPr>
        <w:br w:type="page"/>
      </w:r>
    </w:p>
    <w:p w14:paraId="574F564F">
      <w:pPr>
        <w:pStyle w:val="14"/>
        <w:spacing w:line="600" w:lineRule="exact"/>
        <w:jc w:val="center"/>
        <w:rPr>
          <w:rFonts w:hint="eastAsia" w:ascii="Times New Roman" w:hAnsi="Times New Roman"/>
          <w:b/>
          <w:bCs/>
          <w:sz w:val="30"/>
          <w:szCs w:val="30"/>
          <w:highlight w:val="none"/>
        </w:rPr>
      </w:pPr>
      <w:r>
        <w:rPr>
          <w:rFonts w:hint="eastAsia" w:hAnsi="宋体"/>
          <w:b/>
          <w:color w:val="auto"/>
          <w:sz w:val="28"/>
          <w:szCs w:val="30"/>
          <w:highlight w:val="none"/>
          <w:lang w:val="en-US" w:eastAsia="zh-CN"/>
        </w:rPr>
        <w:t>八</w:t>
      </w:r>
      <w:r>
        <w:rPr>
          <w:rFonts w:hint="eastAsia" w:ascii="宋体" w:hAnsi="宋体"/>
          <w:b/>
          <w:color w:val="auto"/>
          <w:sz w:val="28"/>
          <w:szCs w:val="30"/>
          <w:highlight w:val="none"/>
          <w:lang w:val="en-US" w:eastAsia="zh-CN"/>
        </w:rPr>
        <w:t>、</w:t>
      </w:r>
      <w:r>
        <w:rPr>
          <w:rFonts w:hint="eastAsia" w:ascii="Times New Roman" w:hAnsi="Times New Roman"/>
          <w:b/>
          <w:bCs/>
          <w:sz w:val="30"/>
          <w:szCs w:val="30"/>
          <w:highlight w:val="none"/>
        </w:rPr>
        <w:t>符合特定资格条件的有关证明材料</w:t>
      </w:r>
    </w:p>
    <w:p w14:paraId="33251E54">
      <w:pPr>
        <w:pStyle w:val="14"/>
        <w:spacing w:line="600" w:lineRule="exact"/>
        <w:jc w:val="center"/>
        <w:rPr>
          <w:rFonts w:hint="eastAsia" w:ascii="Times New Roman" w:hAnsi="Times New Roman"/>
          <w:b/>
          <w:bCs/>
          <w:sz w:val="30"/>
          <w:szCs w:val="30"/>
          <w:highlight w:val="none"/>
        </w:rPr>
      </w:pPr>
    </w:p>
    <w:p w14:paraId="0BFB89F8">
      <w:pPr>
        <w:pStyle w:val="14"/>
        <w:spacing w:line="600" w:lineRule="exact"/>
        <w:jc w:val="center"/>
        <w:rPr>
          <w:rFonts w:hint="eastAsia" w:ascii="Times New Roman" w:hAnsi="Times New Roman"/>
          <w:b/>
          <w:bCs/>
          <w:sz w:val="30"/>
          <w:szCs w:val="30"/>
          <w:highlight w:val="none"/>
        </w:rPr>
      </w:pPr>
    </w:p>
    <w:p w14:paraId="342DF53E">
      <w:pPr>
        <w:snapToGrid w:val="0"/>
        <w:spacing w:line="360" w:lineRule="auto"/>
        <w:ind w:firstLine="5040" w:firstLineChars="2100"/>
        <w:rPr>
          <w:rFonts w:hint="eastAsia" w:ascii="仿宋_GB2312" w:hAnsi="仿宋" w:eastAsia="仿宋_GB2312" w:cs="仿宋_GB2312"/>
          <w:kern w:val="0"/>
          <w:sz w:val="24"/>
          <w:highlight w:val="none"/>
        </w:rPr>
      </w:pPr>
      <w:r>
        <w:rPr>
          <w:rFonts w:hint="eastAsia" w:ascii="仿宋_GB2312" w:hAnsi="仿宋" w:eastAsia="仿宋_GB2312" w:cs="仿宋_GB2312"/>
          <w:kern w:val="0"/>
          <w:sz w:val="24"/>
          <w:highlight w:val="none"/>
          <w:lang w:val="zh-CN"/>
        </w:rPr>
        <w:t>磋商人名称(电子签章)：</w:t>
      </w:r>
    </w:p>
    <w:p w14:paraId="2E4C5A5E">
      <w:pPr>
        <w:snapToGrid w:val="0"/>
        <w:spacing w:line="360" w:lineRule="auto"/>
        <w:ind w:firstLine="5160" w:firstLineChars="2150"/>
        <w:rPr>
          <w:rFonts w:hint="eastAsia" w:ascii="仿宋_GB2312" w:hAnsi="仿宋" w:eastAsia="仿宋_GB2312" w:cs="仿宋_GB2312"/>
          <w:kern w:val="0"/>
          <w:sz w:val="24"/>
          <w:highlight w:val="none"/>
          <w:lang w:val="zh-CN"/>
        </w:rPr>
      </w:pPr>
      <w:r>
        <w:rPr>
          <w:rFonts w:hint="eastAsia" w:ascii="仿宋_GB2312" w:hAnsi="仿宋" w:eastAsia="仿宋_GB2312" w:cs="仿宋_GB2312"/>
          <w:kern w:val="0"/>
          <w:sz w:val="24"/>
          <w:highlight w:val="none"/>
          <w:lang w:val="zh-CN"/>
        </w:rPr>
        <w:t>日期</w:t>
      </w:r>
      <w:r>
        <w:rPr>
          <w:rFonts w:hint="eastAsia" w:ascii="仿宋_GB2312" w:hAnsi="仿宋" w:eastAsia="仿宋_GB2312" w:cs="仿宋_GB2312"/>
          <w:kern w:val="0"/>
          <w:sz w:val="24"/>
          <w:highlight w:val="none"/>
        </w:rPr>
        <w:t xml:space="preserve">：  年  </w:t>
      </w:r>
      <w:r>
        <w:rPr>
          <w:rFonts w:hint="eastAsia" w:ascii="仿宋_GB2312" w:hAnsi="仿宋" w:eastAsia="仿宋_GB2312" w:cs="仿宋_GB2312"/>
          <w:kern w:val="0"/>
          <w:sz w:val="24"/>
          <w:highlight w:val="none"/>
          <w:lang w:val="zh-CN"/>
        </w:rPr>
        <w:t>月</w:t>
      </w:r>
      <w:r>
        <w:rPr>
          <w:rFonts w:hint="eastAsia" w:ascii="仿宋_GB2312" w:hAnsi="仿宋" w:eastAsia="仿宋_GB2312" w:cs="仿宋_GB2312"/>
          <w:kern w:val="0"/>
          <w:sz w:val="24"/>
          <w:highlight w:val="none"/>
        </w:rPr>
        <w:t xml:space="preserve">   </w:t>
      </w:r>
      <w:r>
        <w:rPr>
          <w:rFonts w:hint="eastAsia" w:ascii="仿宋_GB2312" w:hAnsi="仿宋" w:eastAsia="仿宋_GB2312" w:cs="仿宋_GB2312"/>
          <w:kern w:val="0"/>
          <w:sz w:val="24"/>
          <w:highlight w:val="none"/>
          <w:lang w:val="zh-CN"/>
        </w:rPr>
        <w:t>日</w:t>
      </w:r>
    </w:p>
    <w:p w14:paraId="7E6CB708">
      <w:pPr>
        <w:pStyle w:val="10"/>
        <w:rPr>
          <w:rFonts w:hint="eastAsia" w:ascii="仿宋_GB2312" w:hAnsi="仿宋" w:eastAsia="仿宋_GB2312" w:cs="仿宋_GB2312"/>
          <w:kern w:val="0"/>
          <w:sz w:val="24"/>
          <w:highlight w:val="none"/>
          <w:lang w:val="zh-CN"/>
        </w:rPr>
      </w:pPr>
    </w:p>
    <w:p w14:paraId="414E8EC6">
      <w:pPr>
        <w:rPr>
          <w:rFonts w:hint="eastAsia"/>
          <w:lang w:val="zh-CN"/>
        </w:rPr>
      </w:pPr>
      <w:r>
        <w:rPr>
          <w:rFonts w:hint="eastAsia"/>
          <w:lang w:val="zh-CN"/>
        </w:rPr>
        <w:br w:type="page"/>
      </w:r>
    </w:p>
    <w:p w14:paraId="2FA60EAF">
      <w:pPr>
        <w:jc w:val="center"/>
        <w:rPr>
          <w:rFonts w:hint="eastAsia" w:ascii="宋体" w:hAnsi="宋体"/>
          <w:b/>
          <w:color w:val="auto"/>
          <w:sz w:val="56"/>
          <w:szCs w:val="52"/>
          <w:highlight w:val="none"/>
          <w:lang w:val="en-US" w:eastAsia="zh-CN"/>
        </w:rPr>
      </w:pPr>
    </w:p>
    <w:p w14:paraId="2011088D">
      <w:pPr>
        <w:jc w:val="center"/>
        <w:rPr>
          <w:rFonts w:hint="eastAsia" w:ascii="宋体" w:hAnsi="宋体"/>
          <w:b/>
          <w:color w:val="auto"/>
          <w:sz w:val="56"/>
          <w:szCs w:val="52"/>
          <w:highlight w:val="none"/>
          <w:lang w:val="en-US" w:eastAsia="zh-CN"/>
        </w:rPr>
      </w:pPr>
    </w:p>
    <w:p w14:paraId="3EAEE293">
      <w:pPr>
        <w:jc w:val="center"/>
        <w:rPr>
          <w:rFonts w:ascii="宋体" w:hAnsi="宋体"/>
          <w:b/>
          <w:color w:val="auto"/>
          <w:sz w:val="56"/>
          <w:szCs w:val="52"/>
          <w:highlight w:val="none"/>
        </w:rPr>
      </w:pPr>
      <w:r>
        <w:rPr>
          <w:rFonts w:hint="eastAsia" w:ascii="宋体" w:hAnsi="宋体"/>
          <w:b/>
          <w:color w:val="auto"/>
          <w:sz w:val="56"/>
          <w:szCs w:val="52"/>
          <w:highlight w:val="none"/>
          <w:lang w:val="en-US" w:eastAsia="zh-CN"/>
        </w:rPr>
        <w:t>磋 商</w:t>
      </w:r>
      <w:r>
        <w:rPr>
          <w:rFonts w:hint="eastAsia" w:ascii="宋体" w:hAnsi="宋体"/>
          <w:b/>
          <w:color w:val="auto"/>
          <w:sz w:val="56"/>
          <w:szCs w:val="52"/>
          <w:highlight w:val="none"/>
        </w:rPr>
        <w:t xml:space="preserve"> 文 件</w:t>
      </w:r>
    </w:p>
    <w:p w14:paraId="0B8BD146">
      <w:pPr>
        <w:jc w:val="center"/>
        <w:rPr>
          <w:rFonts w:hint="eastAsia" w:ascii="宋体" w:hAnsi="宋体"/>
          <w:b/>
          <w:color w:val="auto"/>
          <w:sz w:val="28"/>
          <w:szCs w:val="28"/>
          <w:highlight w:val="none"/>
          <w:lang w:val="en-US" w:eastAsia="zh-CN"/>
        </w:rPr>
      </w:pPr>
    </w:p>
    <w:p w14:paraId="7226EC98">
      <w:pPr>
        <w:jc w:val="center"/>
        <w:rPr>
          <w:rFonts w:hint="default" w:ascii="宋体" w:hAnsi="宋体" w:eastAsia="宋体"/>
          <w:b/>
          <w:color w:val="auto"/>
          <w:sz w:val="72"/>
          <w:szCs w:val="72"/>
          <w:highlight w:val="none"/>
          <w:lang w:val="en-US" w:eastAsia="zh-CN"/>
        </w:rPr>
      </w:pPr>
      <w:r>
        <w:rPr>
          <w:rFonts w:hint="eastAsia" w:ascii="宋体" w:hAnsi="宋体"/>
          <w:b/>
          <w:color w:val="auto"/>
          <w:sz w:val="28"/>
          <w:szCs w:val="28"/>
          <w:highlight w:val="none"/>
          <w:lang w:val="en-US" w:eastAsia="zh-CN"/>
        </w:rPr>
        <w:t>(商务技术文件）</w:t>
      </w:r>
    </w:p>
    <w:p w14:paraId="5AFB0867">
      <w:pPr>
        <w:jc w:val="center"/>
        <w:rPr>
          <w:rFonts w:ascii="宋体" w:hAnsi="宋体"/>
          <w:b/>
          <w:color w:val="auto"/>
          <w:sz w:val="44"/>
          <w:szCs w:val="44"/>
          <w:highlight w:val="none"/>
        </w:rPr>
      </w:pPr>
    </w:p>
    <w:p w14:paraId="4EA8B8BB">
      <w:pPr>
        <w:spacing w:line="400" w:lineRule="exact"/>
        <w:ind w:firstLine="2702" w:firstLineChars="841"/>
        <w:rPr>
          <w:rFonts w:ascii="宋体" w:hAnsi="宋体"/>
          <w:b/>
          <w:color w:val="auto"/>
          <w:sz w:val="32"/>
          <w:szCs w:val="32"/>
          <w:highlight w:val="none"/>
        </w:rPr>
      </w:pPr>
      <w:r>
        <w:rPr>
          <w:rFonts w:hint="eastAsia" w:ascii="宋体" w:hAnsi="宋体"/>
          <w:b/>
          <w:color w:val="auto"/>
          <w:sz w:val="32"/>
          <w:szCs w:val="32"/>
          <w:highlight w:val="none"/>
        </w:rPr>
        <w:t>项目名称：×××××××</w:t>
      </w:r>
    </w:p>
    <w:p w14:paraId="1714E0C2">
      <w:pPr>
        <w:spacing w:line="400" w:lineRule="exact"/>
        <w:ind w:firstLine="2878" w:firstLineChars="1024"/>
        <w:rPr>
          <w:rFonts w:ascii="宋体" w:hAnsi="宋体"/>
          <w:b/>
          <w:color w:val="auto"/>
          <w:sz w:val="28"/>
          <w:szCs w:val="28"/>
          <w:highlight w:val="none"/>
        </w:rPr>
      </w:pPr>
    </w:p>
    <w:p w14:paraId="5CC9CBE5">
      <w:pPr>
        <w:spacing w:line="400" w:lineRule="exact"/>
        <w:ind w:firstLine="2702" w:firstLineChars="841"/>
        <w:rPr>
          <w:rFonts w:hint="eastAsia" w:ascii="宋体" w:hAnsi="宋体"/>
          <w:b/>
          <w:color w:val="auto"/>
          <w:sz w:val="32"/>
          <w:szCs w:val="32"/>
          <w:highlight w:val="none"/>
        </w:rPr>
      </w:pPr>
      <w:r>
        <w:rPr>
          <w:rFonts w:hint="eastAsia" w:ascii="宋体" w:hAnsi="宋体"/>
          <w:b/>
          <w:color w:val="auto"/>
          <w:sz w:val="32"/>
          <w:szCs w:val="32"/>
          <w:highlight w:val="none"/>
        </w:rPr>
        <w:t>项目编号：×××××××</w:t>
      </w:r>
    </w:p>
    <w:p w14:paraId="4B386F7E">
      <w:pPr>
        <w:spacing w:line="400" w:lineRule="exact"/>
        <w:ind w:firstLine="2702" w:firstLineChars="841"/>
        <w:rPr>
          <w:rFonts w:hint="eastAsia" w:ascii="宋体" w:hAnsi="宋体"/>
          <w:b/>
          <w:color w:val="auto"/>
          <w:sz w:val="32"/>
          <w:szCs w:val="32"/>
          <w:highlight w:val="none"/>
        </w:rPr>
      </w:pPr>
    </w:p>
    <w:p w14:paraId="5EAED0B9">
      <w:pPr>
        <w:jc w:val="center"/>
        <w:rPr>
          <w:rFonts w:ascii="宋体" w:hAnsi="宋体"/>
          <w:b/>
          <w:color w:val="auto"/>
          <w:sz w:val="24"/>
          <w:highlight w:val="none"/>
        </w:rPr>
      </w:pPr>
    </w:p>
    <w:p w14:paraId="48DDE272">
      <w:pPr>
        <w:spacing w:line="400" w:lineRule="exact"/>
        <w:rPr>
          <w:rFonts w:ascii="宋体" w:hAnsi="宋体"/>
          <w:color w:val="auto"/>
          <w:highlight w:val="none"/>
        </w:rPr>
      </w:pPr>
    </w:p>
    <w:p w14:paraId="0E480881">
      <w:pPr>
        <w:spacing w:line="400" w:lineRule="exact"/>
        <w:rPr>
          <w:rFonts w:hint="eastAsia" w:ascii="宋体" w:hAnsi="宋体"/>
          <w:color w:val="auto"/>
          <w:highlight w:val="none"/>
        </w:rPr>
      </w:pPr>
    </w:p>
    <w:p w14:paraId="7824069D">
      <w:pPr>
        <w:spacing w:line="400" w:lineRule="exact"/>
        <w:rPr>
          <w:rFonts w:hint="eastAsia" w:ascii="宋体" w:hAnsi="宋体"/>
          <w:color w:val="auto"/>
          <w:highlight w:val="none"/>
        </w:rPr>
      </w:pPr>
    </w:p>
    <w:p w14:paraId="71B63C2D">
      <w:pPr>
        <w:spacing w:line="400" w:lineRule="exact"/>
        <w:rPr>
          <w:rFonts w:ascii="宋体" w:hAnsi="宋体"/>
          <w:color w:val="auto"/>
          <w:highlight w:val="none"/>
        </w:rPr>
      </w:pPr>
    </w:p>
    <w:p w14:paraId="48E96F65">
      <w:pPr>
        <w:spacing w:line="400" w:lineRule="exact"/>
        <w:rPr>
          <w:rFonts w:ascii="宋体" w:hAnsi="宋体"/>
          <w:color w:val="auto"/>
          <w:highlight w:val="none"/>
        </w:rPr>
      </w:pPr>
    </w:p>
    <w:p w14:paraId="7F2856A3">
      <w:pPr>
        <w:spacing w:line="400" w:lineRule="exact"/>
        <w:rPr>
          <w:rFonts w:ascii="宋体" w:hAnsi="宋体"/>
          <w:color w:val="auto"/>
          <w:highlight w:val="none"/>
        </w:rPr>
      </w:pPr>
    </w:p>
    <w:p w14:paraId="11E320B4">
      <w:pPr>
        <w:spacing w:line="700" w:lineRule="exact"/>
        <w:ind w:firstLine="1800" w:firstLineChars="600"/>
        <w:rPr>
          <w:rFonts w:ascii="宋体" w:hAnsi="宋体"/>
          <w:color w:val="auto"/>
          <w:sz w:val="30"/>
          <w:szCs w:val="30"/>
          <w:highlight w:val="none"/>
          <w:u w:val="single"/>
        </w:rPr>
      </w:pPr>
      <w:r>
        <w:rPr>
          <w:rFonts w:hint="eastAsia" w:ascii="宋体" w:hAnsi="宋体"/>
          <w:color w:val="auto"/>
          <w:sz w:val="30"/>
          <w:szCs w:val="30"/>
          <w:highlight w:val="none"/>
          <w:lang w:eastAsia="zh-CN"/>
        </w:rPr>
        <w:t>磋商</w:t>
      </w:r>
      <w:r>
        <w:rPr>
          <w:rFonts w:hint="eastAsia" w:ascii="宋体" w:hAnsi="宋体"/>
          <w:color w:val="auto"/>
          <w:sz w:val="30"/>
          <w:szCs w:val="30"/>
          <w:highlight w:val="none"/>
        </w:rPr>
        <w:t>人：</w:t>
      </w:r>
      <w:r>
        <w:rPr>
          <w:rFonts w:hint="eastAsia" w:ascii="宋体" w:hAnsi="宋体"/>
          <w:color w:val="auto"/>
          <w:sz w:val="30"/>
          <w:szCs w:val="30"/>
          <w:highlight w:val="none"/>
          <w:u w:val="single"/>
        </w:rPr>
        <w:t xml:space="preserve">                             （盖章）</w:t>
      </w:r>
    </w:p>
    <w:p w14:paraId="1F31A695">
      <w:pPr>
        <w:spacing w:line="700" w:lineRule="exact"/>
        <w:ind w:firstLine="1800" w:firstLineChars="600"/>
        <w:rPr>
          <w:rFonts w:hint="eastAsia" w:ascii="宋体" w:hAnsi="宋体"/>
          <w:color w:val="auto"/>
          <w:sz w:val="30"/>
          <w:szCs w:val="30"/>
          <w:highlight w:val="none"/>
          <w:u w:val="single"/>
        </w:rPr>
      </w:pPr>
      <w:r>
        <w:rPr>
          <w:rFonts w:hint="eastAsia" w:ascii="宋体" w:hAnsi="宋体"/>
          <w:color w:val="auto"/>
          <w:sz w:val="30"/>
          <w:szCs w:val="30"/>
          <w:highlight w:val="none"/>
        </w:rPr>
        <w:t>法定代表人或其授权委托代理人：</w:t>
      </w:r>
      <w:r>
        <w:rPr>
          <w:rFonts w:hint="eastAsia" w:ascii="宋体" w:hAnsi="宋体"/>
          <w:color w:val="auto"/>
          <w:sz w:val="30"/>
          <w:szCs w:val="30"/>
          <w:highlight w:val="none"/>
          <w:u w:val="single"/>
        </w:rPr>
        <w:t xml:space="preserve">  （签字或盖章）</w:t>
      </w:r>
    </w:p>
    <w:p w14:paraId="46A859B1">
      <w:pPr>
        <w:spacing w:line="700" w:lineRule="exact"/>
        <w:ind w:firstLine="1800" w:firstLineChars="600"/>
        <w:rPr>
          <w:rFonts w:ascii="宋体" w:hAnsi="宋体"/>
          <w:color w:val="auto"/>
          <w:sz w:val="30"/>
          <w:szCs w:val="30"/>
          <w:highlight w:val="none"/>
        </w:rPr>
      </w:pPr>
    </w:p>
    <w:p w14:paraId="6C40AB03">
      <w:pPr>
        <w:spacing w:line="700" w:lineRule="exact"/>
        <w:jc w:val="center"/>
        <w:rPr>
          <w:rFonts w:ascii="宋体" w:hAnsi="宋体"/>
          <w:color w:val="auto"/>
          <w:sz w:val="30"/>
          <w:szCs w:val="30"/>
          <w:highlight w:val="none"/>
        </w:rPr>
      </w:pPr>
      <w:r>
        <w:rPr>
          <w:rFonts w:hint="eastAsia" w:ascii="宋体" w:hAnsi="宋体"/>
          <w:color w:val="auto"/>
          <w:sz w:val="30"/>
          <w:szCs w:val="30"/>
          <w:highlight w:val="none"/>
        </w:rPr>
        <w:t>日期：     年   月   日</w:t>
      </w:r>
    </w:p>
    <w:p w14:paraId="15831D63">
      <w:pPr>
        <w:rPr>
          <w:rFonts w:ascii="宋体" w:hAnsi="宋体"/>
          <w:b/>
          <w:color w:val="auto"/>
          <w:sz w:val="30"/>
          <w:szCs w:val="30"/>
          <w:highlight w:val="none"/>
        </w:rPr>
      </w:pPr>
    </w:p>
    <w:p w14:paraId="63DCA4C2">
      <w:pPr>
        <w:rPr>
          <w:rFonts w:ascii="宋体" w:hAnsi="宋体"/>
          <w:b/>
          <w:color w:val="auto"/>
          <w:sz w:val="30"/>
          <w:szCs w:val="30"/>
          <w:highlight w:val="none"/>
        </w:rPr>
      </w:pPr>
      <w:r>
        <w:rPr>
          <w:rFonts w:ascii="宋体" w:hAnsi="宋体"/>
          <w:b/>
          <w:color w:val="auto"/>
          <w:sz w:val="30"/>
          <w:szCs w:val="30"/>
          <w:highlight w:val="none"/>
        </w:rPr>
        <w:br w:type="page"/>
      </w:r>
    </w:p>
    <w:p w14:paraId="67FC41EA">
      <w:pPr>
        <w:pStyle w:val="22"/>
      </w:pPr>
    </w:p>
    <w:p w14:paraId="2D304BE0">
      <w:pPr>
        <w:spacing w:before="156" w:beforeLines="50" w:after="156" w:afterLines="50" w:line="600" w:lineRule="exact"/>
        <w:jc w:val="center"/>
        <w:rPr>
          <w:rFonts w:hint="eastAsia" w:ascii="宋体" w:hAnsi="宋体"/>
          <w:color w:val="auto"/>
          <w:sz w:val="24"/>
          <w:szCs w:val="24"/>
          <w:highlight w:val="none"/>
        </w:rPr>
      </w:pPr>
      <w:r>
        <w:rPr>
          <w:rFonts w:ascii="宋体" w:hAnsi="宋体"/>
          <w:b/>
          <w:color w:val="auto"/>
          <w:sz w:val="30"/>
          <w:szCs w:val="30"/>
          <w:highlight w:val="none"/>
        </w:rPr>
        <w:t>一、</w:t>
      </w:r>
      <w:r>
        <w:rPr>
          <w:rFonts w:hint="eastAsia" w:ascii="宋体" w:hAnsi="宋体"/>
          <w:b/>
          <w:color w:val="auto"/>
          <w:sz w:val="30"/>
          <w:szCs w:val="30"/>
          <w:highlight w:val="none"/>
          <w:lang w:eastAsia="zh-CN"/>
        </w:rPr>
        <w:t>磋商</w:t>
      </w:r>
      <w:r>
        <w:rPr>
          <w:rFonts w:hint="eastAsia" w:ascii="宋体" w:hAnsi="宋体"/>
          <w:b/>
          <w:color w:val="auto"/>
          <w:sz w:val="30"/>
          <w:szCs w:val="30"/>
          <w:highlight w:val="none"/>
        </w:rPr>
        <w:t>函及</w:t>
      </w:r>
      <w:r>
        <w:rPr>
          <w:rFonts w:hint="eastAsia" w:ascii="宋体" w:hAnsi="宋体"/>
          <w:b/>
          <w:color w:val="auto"/>
          <w:sz w:val="30"/>
          <w:szCs w:val="30"/>
          <w:highlight w:val="none"/>
          <w:lang w:eastAsia="zh-CN"/>
        </w:rPr>
        <w:t>磋商</w:t>
      </w:r>
      <w:r>
        <w:rPr>
          <w:rFonts w:hint="eastAsia" w:ascii="宋体" w:hAnsi="宋体"/>
          <w:b/>
          <w:color w:val="auto"/>
          <w:sz w:val="30"/>
          <w:szCs w:val="30"/>
          <w:highlight w:val="none"/>
        </w:rPr>
        <w:t>函附录</w:t>
      </w:r>
    </w:p>
    <w:p w14:paraId="5238E1B0">
      <w:pPr>
        <w:spacing w:before="156" w:beforeLines="50" w:after="156" w:afterLines="50" w:line="600" w:lineRule="exact"/>
        <w:jc w:val="center"/>
        <w:rPr>
          <w:rFonts w:ascii="宋体" w:hAnsi="宋体"/>
          <w:color w:val="auto"/>
          <w:sz w:val="21"/>
          <w:szCs w:val="21"/>
          <w:highlight w:val="none"/>
        </w:rPr>
      </w:pPr>
      <w:r>
        <w:rPr>
          <w:rFonts w:hint="eastAsia" w:ascii="宋体" w:hAnsi="宋体"/>
          <w:b/>
          <w:color w:val="auto"/>
          <w:sz w:val="21"/>
          <w:szCs w:val="21"/>
          <w:highlight w:val="none"/>
        </w:rPr>
        <w:t>（1）</w:t>
      </w:r>
      <w:r>
        <w:rPr>
          <w:rFonts w:hint="eastAsia" w:ascii="宋体" w:hAnsi="宋体"/>
          <w:b/>
          <w:color w:val="auto"/>
          <w:sz w:val="21"/>
          <w:szCs w:val="21"/>
          <w:highlight w:val="none"/>
          <w:lang w:eastAsia="zh-CN"/>
        </w:rPr>
        <w:t>磋商</w:t>
      </w:r>
      <w:r>
        <w:rPr>
          <w:rFonts w:hint="eastAsia" w:ascii="宋体" w:hAnsi="宋体"/>
          <w:b/>
          <w:color w:val="auto"/>
          <w:sz w:val="21"/>
          <w:szCs w:val="21"/>
          <w:highlight w:val="none"/>
        </w:rPr>
        <w:t>函</w:t>
      </w:r>
    </w:p>
    <w:p w14:paraId="1C3B95CF">
      <w:pPr>
        <w:autoSpaceDE w:val="0"/>
        <w:autoSpaceDN w:val="0"/>
        <w:spacing w:line="420" w:lineRule="exact"/>
        <w:rPr>
          <w:rFonts w:ascii="宋体" w:hAnsi="宋体"/>
          <w:color w:val="auto"/>
          <w:spacing w:val="20"/>
          <w:sz w:val="21"/>
          <w:szCs w:val="21"/>
          <w:highlight w:val="none"/>
        </w:rPr>
      </w:pPr>
      <w:r>
        <w:rPr>
          <w:rFonts w:hint="eastAsia" w:ascii="宋体" w:hAnsi="宋体"/>
          <w:color w:val="auto"/>
          <w:spacing w:val="20"/>
          <w:sz w:val="21"/>
          <w:szCs w:val="21"/>
          <w:highlight w:val="none"/>
        </w:rPr>
        <w:t>致：</w:t>
      </w:r>
      <w:r>
        <w:rPr>
          <w:rFonts w:hint="eastAsia" w:ascii="宋体" w:hAnsi="宋体"/>
          <w:color w:val="auto"/>
          <w:spacing w:val="20"/>
          <w:sz w:val="21"/>
          <w:szCs w:val="21"/>
          <w:highlight w:val="none"/>
          <w:u w:val="single"/>
        </w:rPr>
        <w:t xml:space="preserve">    （采购人名称）  </w:t>
      </w:r>
    </w:p>
    <w:p w14:paraId="04881A48">
      <w:pPr>
        <w:topLinePunct/>
        <w:autoSpaceDE w:val="0"/>
        <w:spacing w:line="460" w:lineRule="exact"/>
        <w:ind w:firstLine="420" w:firstLineChars="200"/>
        <w:rPr>
          <w:rFonts w:ascii="宋体" w:hAnsi="宋体"/>
          <w:color w:val="auto"/>
          <w:sz w:val="21"/>
          <w:szCs w:val="21"/>
          <w:highlight w:val="none"/>
        </w:rPr>
      </w:pPr>
      <w:r>
        <w:rPr>
          <w:rFonts w:hint="eastAsia" w:ascii="宋体" w:hAnsi="宋体"/>
          <w:color w:val="auto"/>
          <w:sz w:val="21"/>
          <w:szCs w:val="21"/>
          <w:highlight w:val="none"/>
        </w:rPr>
        <w:t>1、根据你方项目编号为</w:t>
      </w:r>
      <w:r>
        <w:rPr>
          <w:rFonts w:hint="eastAsia" w:ascii="宋体" w:hAnsi="宋体"/>
          <w:color w:val="auto"/>
          <w:sz w:val="21"/>
          <w:szCs w:val="21"/>
          <w:highlight w:val="none"/>
          <w:u w:val="single"/>
        </w:rPr>
        <w:t xml:space="preserve">  （项目编号）  </w:t>
      </w:r>
      <w:r>
        <w:rPr>
          <w:rFonts w:hint="eastAsia" w:ascii="宋体" w:hAnsi="宋体"/>
          <w:color w:val="auto"/>
          <w:sz w:val="21"/>
          <w:szCs w:val="21"/>
          <w:highlight w:val="none"/>
        </w:rPr>
        <w:t>的</w:t>
      </w:r>
      <w:r>
        <w:rPr>
          <w:rFonts w:hint="eastAsia" w:ascii="宋体" w:hAnsi="宋体"/>
          <w:color w:val="auto"/>
          <w:sz w:val="21"/>
          <w:szCs w:val="21"/>
          <w:highlight w:val="none"/>
          <w:u w:val="single"/>
        </w:rPr>
        <w:t xml:space="preserve">  （工程项目名称）  </w:t>
      </w:r>
      <w:r>
        <w:rPr>
          <w:rFonts w:hint="eastAsia" w:ascii="宋体" w:hAnsi="宋体"/>
          <w:color w:val="auto"/>
          <w:sz w:val="21"/>
          <w:szCs w:val="21"/>
          <w:highlight w:val="none"/>
        </w:rPr>
        <w:t>工程</w:t>
      </w:r>
      <w:r>
        <w:rPr>
          <w:rFonts w:hint="eastAsia" w:ascii="宋体" w:hAnsi="宋体"/>
          <w:color w:val="auto"/>
          <w:sz w:val="21"/>
          <w:szCs w:val="21"/>
          <w:highlight w:val="none"/>
          <w:lang w:eastAsia="zh-CN"/>
        </w:rPr>
        <w:t>竞争性磋商</w:t>
      </w:r>
      <w:r>
        <w:rPr>
          <w:rFonts w:hint="eastAsia" w:ascii="宋体" w:hAnsi="宋体"/>
          <w:color w:val="auto"/>
          <w:sz w:val="21"/>
          <w:szCs w:val="21"/>
          <w:highlight w:val="none"/>
        </w:rPr>
        <w:t>采购文件，遵照《中华人民共和国政府采购法》等有关规定，经踏勘项目现场和研究上述</w:t>
      </w:r>
      <w:r>
        <w:rPr>
          <w:rFonts w:hint="eastAsia" w:ascii="宋体" w:hAnsi="宋体"/>
          <w:color w:val="auto"/>
          <w:sz w:val="21"/>
          <w:szCs w:val="21"/>
          <w:highlight w:val="none"/>
          <w:lang w:eastAsia="zh-CN"/>
        </w:rPr>
        <w:t>竞争性磋商</w:t>
      </w:r>
      <w:r>
        <w:rPr>
          <w:rFonts w:hint="eastAsia" w:ascii="宋体" w:hAnsi="宋体"/>
          <w:color w:val="auto"/>
          <w:sz w:val="21"/>
          <w:szCs w:val="21"/>
          <w:highlight w:val="none"/>
        </w:rPr>
        <w:t>采购文件的</w:t>
      </w: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须知、合同条款、图纸、工程建设标准和工程量清单等文件后，我方愿以人民币（大写）</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元）的</w:t>
      </w: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报价并按上述图纸、合同条款、工程建设标准和工程量清单的条件要求承包上述工程的施工、竣工，并承担任何质量缺陷保修责任。我方保证工程质量达到</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等级。</w:t>
      </w:r>
    </w:p>
    <w:p w14:paraId="38A4D52B">
      <w:pPr>
        <w:autoSpaceDE w:val="0"/>
        <w:autoSpaceDN w:val="0"/>
        <w:spacing w:line="460" w:lineRule="exact"/>
        <w:ind w:firstLine="420" w:firstLineChars="200"/>
        <w:rPr>
          <w:rFonts w:ascii="宋体" w:hAnsi="宋体"/>
          <w:color w:val="auto"/>
          <w:sz w:val="21"/>
          <w:szCs w:val="21"/>
          <w:highlight w:val="none"/>
        </w:rPr>
      </w:pPr>
      <w:r>
        <w:rPr>
          <w:rFonts w:hint="eastAsia" w:ascii="宋体" w:hAnsi="宋体"/>
          <w:color w:val="auto"/>
          <w:sz w:val="21"/>
          <w:szCs w:val="21"/>
          <w:highlight w:val="none"/>
        </w:rPr>
        <w:t>2.我方已详细审核全部</w:t>
      </w:r>
      <w:r>
        <w:rPr>
          <w:rFonts w:hint="eastAsia" w:ascii="宋体" w:hAnsi="宋体"/>
          <w:color w:val="auto"/>
          <w:sz w:val="21"/>
          <w:szCs w:val="21"/>
          <w:highlight w:val="none"/>
          <w:lang w:eastAsia="zh-CN"/>
        </w:rPr>
        <w:t>竞争性磋商</w:t>
      </w:r>
      <w:r>
        <w:rPr>
          <w:rFonts w:hint="eastAsia" w:ascii="宋体" w:hAnsi="宋体"/>
          <w:color w:val="auto"/>
          <w:sz w:val="21"/>
          <w:szCs w:val="21"/>
          <w:highlight w:val="none"/>
        </w:rPr>
        <w:t>采购文件，包括修改文件（如有时）及有关附件。</w:t>
      </w:r>
    </w:p>
    <w:p w14:paraId="703AEF95">
      <w:pPr>
        <w:autoSpaceDE w:val="0"/>
        <w:autoSpaceDN w:val="0"/>
        <w:spacing w:line="460" w:lineRule="exact"/>
        <w:ind w:firstLine="420" w:firstLineChars="200"/>
        <w:rPr>
          <w:rFonts w:ascii="宋体" w:hAnsi="宋体"/>
          <w:color w:val="auto"/>
          <w:sz w:val="21"/>
          <w:szCs w:val="21"/>
          <w:highlight w:val="none"/>
        </w:rPr>
      </w:pPr>
      <w:r>
        <w:rPr>
          <w:rFonts w:hint="eastAsia" w:ascii="宋体" w:hAnsi="宋体"/>
          <w:color w:val="auto"/>
          <w:sz w:val="21"/>
          <w:szCs w:val="21"/>
          <w:highlight w:val="none"/>
        </w:rPr>
        <w:t>3.我方承认</w:t>
      </w: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函附录是我方</w:t>
      </w: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函的组成部分。</w:t>
      </w:r>
    </w:p>
    <w:p w14:paraId="7ED5B56F">
      <w:pPr>
        <w:autoSpaceDE w:val="0"/>
        <w:autoSpaceDN w:val="0"/>
        <w:spacing w:line="460" w:lineRule="exact"/>
        <w:ind w:firstLine="420" w:firstLineChars="200"/>
        <w:rPr>
          <w:rFonts w:ascii="宋体" w:hAnsi="宋体"/>
          <w:color w:val="auto"/>
          <w:sz w:val="21"/>
          <w:szCs w:val="21"/>
          <w:highlight w:val="none"/>
        </w:rPr>
      </w:pPr>
      <w:r>
        <w:rPr>
          <w:rFonts w:hint="eastAsia" w:ascii="宋体" w:hAnsi="宋体"/>
          <w:color w:val="auto"/>
          <w:sz w:val="21"/>
          <w:szCs w:val="21"/>
          <w:highlight w:val="none"/>
        </w:rPr>
        <w:t>4.一旦我方成交，我方保证按合同书中规定的工期</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日历天内完成并移交全部工程。</w:t>
      </w:r>
    </w:p>
    <w:p w14:paraId="20A7E938">
      <w:pPr>
        <w:autoSpaceDE w:val="0"/>
        <w:autoSpaceDN w:val="0"/>
        <w:spacing w:line="460" w:lineRule="exact"/>
        <w:ind w:firstLine="420" w:firstLineChars="200"/>
        <w:rPr>
          <w:rFonts w:ascii="宋体" w:hAnsi="宋体"/>
          <w:color w:val="auto"/>
          <w:sz w:val="21"/>
          <w:szCs w:val="21"/>
          <w:highlight w:val="none"/>
        </w:rPr>
      </w:pPr>
      <w:r>
        <w:rPr>
          <w:rFonts w:hint="eastAsia" w:ascii="宋体" w:hAnsi="宋体"/>
          <w:color w:val="auto"/>
          <w:sz w:val="21"/>
          <w:szCs w:val="21"/>
          <w:highlight w:val="none"/>
        </w:rPr>
        <w:t>5.如果我方成交,我方将按照</w:t>
      </w:r>
      <w:r>
        <w:rPr>
          <w:rFonts w:hint="eastAsia" w:ascii="宋体" w:hAnsi="宋体"/>
          <w:color w:val="auto"/>
          <w:sz w:val="21"/>
          <w:szCs w:val="21"/>
          <w:highlight w:val="none"/>
          <w:lang w:eastAsia="zh-CN"/>
        </w:rPr>
        <w:t>竞争性磋商</w:t>
      </w:r>
      <w:r>
        <w:rPr>
          <w:rFonts w:hint="eastAsia" w:ascii="宋体" w:hAnsi="宋体"/>
          <w:color w:val="auto"/>
          <w:sz w:val="21"/>
          <w:szCs w:val="21"/>
          <w:highlight w:val="none"/>
        </w:rPr>
        <w:t>采购文件规定提交履约担保。</w:t>
      </w:r>
    </w:p>
    <w:p w14:paraId="462744EE">
      <w:pPr>
        <w:autoSpaceDE w:val="0"/>
        <w:autoSpaceDN w:val="0"/>
        <w:spacing w:line="460" w:lineRule="exact"/>
        <w:ind w:firstLine="420" w:firstLineChars="200"/>
        <w:rPr>
          <w:rFonts w:ascii="宋体" w:hAnsi="宋体"/>
          <w:color w:val="auto"/>
          <w:sz w:val="21"/>
          <w:szCs w:val="21"/>
          <w:highlight w:val="none"/>
        </w:rPr>
      </w:pPr>
      <w:r>
        <w:rPr>
          <w:rFonts w:hint="eastAsia" w:ascii="宋体" w:hAnsi="宋体"/>
          <w:color w:val="auto"/>
          <w:sz w:val="21"/>
          <w:szCs w:val="21"/>
          <w:highlight w:val="none"/>
        </w:rPr>
        <w:t>6.我方同意所提交的</w:t>
      </w: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文件在</w:t>
      </w:r>
      <w:r>
        <w:rPr>
          <w:rFonts w:hint="eastAsia" w:ascii="宋体" w:hAnsi="宋体"/>
          <w:color w:val="auto"/>
          <w:sz w:val="21"/>
          <w:szCs w:val="21"/>
          <w:highlight w:val="none"/>
          <w:lang w:eastAsia="zh-CN"/>
        </w:rPr>
        <w:t>竞争性磋商</w:t>
      </w:r>
      <w:r>
        <w:rPr>
          <w:rFonts w:hint="eastAsia" w:ascii="宋体" w:hAnsi="宋体"/>
          <w:color w:val="auto"/>
          <w:sz w:val="21"/>
          <w:szCs w:val="21"/>
          <w:highlight w:val="none"/>
        </w:rPr>
        <w:t>采购文件的“</w:t>
      </w: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须知”中第十条规定的</w:t>
      </w: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有效期内有效，在此期间内如果成交，我方将受此约束。</w:t>
      </w:r>
    </w:p>
    <w:p w14:paraId="06AC6E6B">
      <w:pPr>
        <w:autoSpaceDE w:val="0"/>
        <w:autoSpaceDN w:val="0"/>
        <w:spacing w:line="460" w:lineRule="exact"/>
        <w:ind w:firstLine="420" w:firstLineChars="200"/>
        <w:rPr>
          <w:rFonts w:ascii="宋体" w:hAnsi="宋体"/>
          <w:color w:val="auto"/>
          <w:sz w:val="21"/>
          <w:szCs w:val="21"/>
          <w:highlight w:val="none"/>
        </w:rPr>
      </w:pPr>
      <w:r>
        <w:rPr>
          <w:rFonts w:hint="eastAsia" w:ascii="宋体" w:hAnsi="宋体"/>
          <w:color w:val="auto"/>
          <w:sz w:val="21"/>
          <w:szCs w:val="21"/>
          <w:highlight w:val="none"/>
        </w:rPr>
        <w:t>7.除非另外达成协议并生效，你方的成交通知书和本</w:t>
      </w: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文件将成为约束双方的合同文件的组成部分。</w:t>
      </w:r>
    </w:p>
    <w:p w14:paraId="7F1BC08D">
      <w:pPr>
        <w:spacing w:line="460" w:lineRule="exact"/>
        <w:ind w:firstLine="420" w:firstLineChars="200"/>
        <w:rPr>
          <w:rFonts w:ascii="宋体" w:hAnsi="宋体"/>
          <w:color w:val="auto"/>
          <w:sz w:val="21"/>
          <w:szCs w:val="21"/>
          <w:highlight w:val="none"/>
        </w:rPr>
      </w:pPr>
    </w:p>
    <w:p w14:paraId="3A3DF6F7">
      <w:pPr>
        <w:spacing w:line="420" w:lineRule="exact"/>
        <w:ind w:firstLine="420" w:firstLineChars="200"/>
        <w:rPr>
          <w:rFonts w:ascii="宋体" w:hAnsi="宋体"/>
          <w:color w:val="auto"/>
          <w:sz w:val="21"/>
          <w:szCs w:val="21"/>
          <w:highlight w:val="none"/>
        </w:rPr>
      </w:pPr>
    </w:p>
    <w:p w14:paraId="3001FD09">
      <w:pPr>
        <w:spacing w:line="420" w:lineRule="exact"/>
        <w:ind w:firstLine="490"/>
        <w:rPr>
          <w:rFonts w:ascii="宋体" w:hAnsi="宋体"/>
          <w:color w:val="auto"/>
          <w:sz w:val="21"/>
          <w:szCs w:val="21"/>
          <w:highlight w:val="none"/>
          <w:u w:val="single"/>
        </w:rPr>
      </w:pPr>
      <w:r>
        <w:rPr>
          <w:rFonts w:hint="eastAsia" w:ascii="宋体" w:hAnsi="宋体"/>
          <w:color w:val="auto"/>
          <w:sz w:val="21"/>
          <w:szCs w:val="21"/>
          <w:highlight w:val="none"/>
        </w:rPr>
        <w:t xml:space="preserve">    </w:t>
      </w:r>
      <w:r>
        <w:rPr>
          <w:rFonts w:hint="eastAsia" w:ascii="宋体" w:hAnsi="宋体"/>
          <w:color w:val="auto"/>
          <w:sz w:val="21"/>
          <w:szCs w:val="21"/>
          <w:highlight w:val="none"/>
          <w:lang w:val="en-US" w:eastAsia="zh-CN"/>
        </w:rPr>
        <w:t>磋商</w:t>
      </w:r>
      <w:r>
        <w:rPr>
          <w:rFonts w:hint="eastAsia" w:ascii="宋体" w:hAnsi="宋体"/>
          <w:color w:val="auto"/>
          <w:sz w:val="21"/>
          <w:szCs w:val="21"/>
          <w:highlight w:val="none"/>
        </w:rPr>
        <w:t>人：</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 xml:space="preserve">（盖章） </w:t>
      </w:r>
    </w:p>
    <w:p w14:paraId="3FCB9960">
      <w:pPr>
        <w:spacing w:line="420" w:lineRule="exact"/>
        <w:rPr>
          <w:rFonts w:ascii="宋体" w:hAnsi="宋体"/>
          <w:color w:val="auto"/>
          <w:sz w:val="21"/>
          <w:szCs w:val="21"/>
          <w:highlight w:val="none"/>
          <w:u w:val="single"/>
        </w:rPr>
      </w:pPr>
      <w:r>
        <w:rPr>
          <w:rFonts w:hint="eastAsia" w:ascii="宋体" w:hAnsi="宋体"/>
          <w:color w:val="auto"/>
          <w:sz w:val="21"/>
          <w:szCs w:val="21"/>
          <w:highlight w:val="none"/>
        </w:rPr>
        <w:t xml:space="preserve">         单位地址：</w:t>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p>
    <w:p w14:paraId="001A81B8">
      <w:pPr>
        <w:spacing w:line="420" w:lineRule="exact"/>
        <w:rPr>
          <w:rFonts w:ascii="宋体" w:hAnsi="宋体"/>
          <w:color w:val="auto"/>
          <w:sz w:val="21"/>
          <w:szCs w:val="21"/>
          <w:highlight w:val="none"/>
          <w:u w:val="single"/>
        </w:rPr>
      </w:pPr>
      <w:r>
        <w:rPr>
          <w:rFonts w:hint="eastAsia" w:ascii="宋体" w:hAnsi="宋体"/>
          <w:color w:val="auto"/>
          <w:sz w:val="21"/>
          <w:szCs w:val="21"/>
          <w:highlight w:val="none"/>
        </w:rPr>
        <w:t xml:space="preserve">         法定代表人或其委托代理人：</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（签字或盖章）</w:t>
      </w:r>
    </w:p>
    <w:p w14:paraId="3850067E">
      <w:pPr>
        <w:spacing w:line="420" w:lineRule="exact"/>
        <w:rPr>
          <w:rFonts w:ascii="宋体" w:hAnsi="宋体"/>
          <w:color w:val="auto"/>
          <w:sz w:val="21"/>
          <w:szCs w:val="21"/>
          <w:highlight w:val="none"/>
        </w:rPr>
      </w:pPr>
      <w:r>
        <w:rPr>
          <w:rFonts w:hint="eastAsia" w:ascii="宋体" w:hAnsi="宋体"/>
          <w:color w:val="auto"/>
          <w:sz w:val="21"/>
          <w:szCs w:val="21"/>
          <w:highlight w:val="none"/>
        </w:rPr>
        <w:t xml:space="preserve">         邮政编码：</w:t>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rPr>
        <w:t>电话：</w:t>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rPr>
        <w:t xml:space="preserve"> 传真：</w:t>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 xml:space="preserve"> </w:t>
      </w:r>
    </w:p>
    <w:p w14:paraId="6F7673CE">
      <w:pPr>
        <w:spacing w:line="420" w:lineRule="exact"/>
        <w:rPr>
          <w:rFonts w:ascii="宋体" w:hAnsi="宋体"/>
          <w:color w:val="auto"/>
          <w:sz w:val="21"/>
          <w:szCs w:val="21"/>
          <w:highlight w:val="none"/>
        </w:rPr>
      </w:pPr>
      <w:r>
        <w:rPr>
          <w:rFonts w:hint="eastAsia" w:ascii="宋体" w:hAnsi="宋体"/>
          <w:color w:val="auto"/>
          <w:sz w:val="21"/>
          <w:szCs w:val="21"/>
          <w:highlight w:val="none"/>
        </w:rPr>
        <w:t xml:space="preserve">         开户银行名称：</w:t>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 xml:space="preserve"> </w:t>
      </w:r>
    </w:p>
    <w:p w14:paraId="695B330F">
      <w:pPr>
        <w:spacing w:line="420" w:lineRule="exact"/>
        <w:rPr>
          <w:rFonts w:ascii="宋体" w:hAnsi="宋体"/>
          <w:color w:val="auto"/>
          <w:sz w:val="21"/>
          <w:szCs w:val="21"/>
          <w:highlight w:val="none"/>
        </w:rPr>
      </w:pPr>
      <w:r>
        <w:rPr>
          <w:rFonts w:hint="eastAsia" w:ascii="宋体" w:hAnsi="宋体"/>
          <w:color w:val="auto"/>
          <w:sz w:val="21"/>
          <w:szCs w:val="21"/>
          <w:highlight w:val="none"/>
        </w:rPr>
        <w:t xml:space="preserve">         开户银行账号：</w:t>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 xml:space="preserve"> </w:t>
      </w:r>
    </w:p>
    <w:p w14:paraId="01F7929E">
      <w:pPr>
        <w:spacing w:line="420" w:lineRule="exact"/>
        <w:rPr>
          <w:rFonts w:ascii="宋体" w:hAnsi="宋体"/>
          <w:color w:val="auto"/>
          <w:sz w:val="21"/>
          <w:szCs w:val="21"/>
          <w:highlight w:val="none"/>
        </w:rPr>
      </w:pPr>
      <w:r>
        <w:rPr>
          <w:rFonts w:hint="eastAsia" w:ascii="宋体" w:hAnsi="宋体"/>
          <w:color w:val="auto"/>
          <w:sz w:val="21"/>
          <w:szCs w:val="21"/>
          <w:highlight w:val="none"/>
        </w:rPr>
        <w:t xml:space="preserve">         开户银行地址：</w:t>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 xml:space="preserve"> </w:t>
      </w:r>
    </w:p>
    <w:p w14:paraId="0F7D5C7B">
      <w:pPr>
        <w:spacing w:line="420" w:lineRule="exact"/>
        <w:rPr>
          <w:rFonts w:ascii="宋体" w:hAnsi="宋体"/>
          <w:color w:val="auto"/>
          <w:sz w:val="21"/>
          <w:szCs w:val="21"/>
          <w:highlight w:val="none"/>
        </w:rPr>
      </w:pPr>
      <w:r>
        <w:rPr>
          <w:rFonts w:hint="eastAsia" w:ascii="宋体" w:hAnsi="宋体"/>
          <w:color w:val="auto"/>
          <w:sz w:val="21"/>
          <w:szCs w:val="21"/>
          <w:highlight w:val="none"/>
        </w:rPr>
        <w:t xml:space="preserve">         开户银行电话：</w:t>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ab/>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 xml:space="preserve"> </w:t>
      </w:r>
    </w:p>
    <w:p w14:paraId="453DB602">
      <w:pPr>
        <w:spacing w:line="420" w:lineRule="exact"/>
        <w:ind w:firstLine="5460" w:firstLineChars="2600"/>
        <w:rPr>
          <w:rFonts w:ascii="宋体" w:hAnsi="宋体"/>
          <w:color w:val="auto"/>
          <w:sz w:val="21"/>
          <w:szCs w:val="21"/>
          <w:highlight w:val="none"/>
        </w:rPr>
      </w:pPr>
    </w:p>
    <w:p w14:paraId="1F604330">
      <w:pPr>
        <w:spacing w:line="420" w:lineRule="exact"/>
        <w:ind w:firstLine="4657" w:firstLineChars="2218"/>
        <w:rPr>
          <w:rFonts w:ascii="宋体" w:hAnsi="宋体"/>
          <w:color w:val="auto"/>
          <w:sz w:val="21"/>
          <w:szCs w:val="21"/>
          <w:highlight w:val="none"/>
        </w:rPr>
      </w:pPr>
      <w:r>
        <w:rPr>
          <w:rFonts w:hint="eastAsia" w:ascii="宋体" w:hAnsi="宋体"/>
          <w:color w:val="auto"/>
          <w:sz w:val="21"/>
          <w:szCs w:val="21"/>
          <w:highlight w:val="none"/>
        </w:rPr>
        <w:t>日期：_____年____月____日</w:t>
      </w:r>
    </w:p>
    <w:p w14:paraId="371C54D4">
      <w:pPr>
        <w:spacing w:before="156" w:beforeLines="50" w:after="156" w:afterLines="50"/>
        <w:jc w:val="center"/>
        <w:rPr>
          <w:rFonts w:ascii="宋体" w:hAnsi="宋体"/>
          <w:b/>
          <w:bCs/>
          <w:color w:val="auto"/>
          <w:sz w:val="21"/>
          <w:szCs w:val="21"/>
          <w:highlight w:val="none"/>
        </w:rPr>
      </w:pPr>
      <w:r>
        <w:rPr>
          <w:rFonts w:ascii="宋体" w:hAnsi="宋体"/>
          <w:b/>
          <w:color w:val="auto"/>
          <w:sz w:val="21"/>
          <w:szCs w:val="21"/>
          <w:highlight w:val="none"/>
        </w:rPr>
        <w:br w:type="page"/>
      </w:r>
      <w:r>
        <w:rPr>
          <w:rFonts w:ascii="宋体" w:hAnsi="宋体"/>
          <w:b/>
          <w:color w:val="auto"/>
          <w:sz w:val="21"/>
          <w:szCs w:val="21"/>
          <w:highlight w:val="none"/>
        </w:rPr>
        <w:t>（</w:t>
      </w:r>
      <w:r>
        <w:rPr>
          <w:rFonts w:hint="eastAsia" w:ascii="宋体" w:hAnsi="宋体"/>
          <w:b/>
          <w:color w:val="auto"/>
          <w:sz w:val="21"/>
          <w:szCs w:val="21"/>
          <w:highlight w:val="none"/>
        </w:rPr>
        <w:t>2）</w:t>
      </w:r>
      <w:r>
        <w:rPr>
          <w:rFonts w:hint="eastAsia" w:ascii="宋体" w:hAnsi="宋体"/>
          <w:b/>
          <w:color w:val="auto"/>
          <w:sz w:val="21"/>
          <w:szCs w:val="21"/>
          <w:highlight w:val="none"/>
          <w:lang w:eastAsia="zh-CN"/>
        </w:rPr>
        <w:t>磋商</w:t>
      </w:r>
      <w:r>
        <w:rPr>
          <w:rFonts w:hint="eastAsia" w:ascii="宋体" w:hAnsi="宋体"/>
          <w:b/>
          <w:color w:val="auto"/>
          <w:sz w:val="21"/>
          <w:szCs w:val="21"/>
          <w:highlight w:val="none"/>
        </w:rPr>
        <w:t>函附录</w:t>
      </w:r>
    </w:p>
    <w:tbl>
      <w:tblPr>
        <w:tblStyle w:val="23"/>
        <w:tblW w:w="93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3159"/>
        <w:gridCol w:w="2693"/>
        <w:gridCol w:w="2804"/>
      </w:tblGrid>
      <w:tr w14:paraId="330DD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696" w:type="dxa"/>
            <w:noWrap w:val="0"/>
            <w:vAlign w:val="center"/>
          </w:tcPr>
          <w:p w14:paraId="3DD797DA">
            <w:pPr>
              <w:spacing w:line="300" w:lineRule="auto"/>
              <w:jc w:val="center"/>
              <w:rPr>
                <w:rFonts w:ascii="宋体" w:hAnsi="宋体"/>
                <w:color w:val="auto"/>
                <w:sz w:val="21"/>
                <w:szCs w:val="21"/>
                <w:highlight w:val="none"/>
              </w:rPr>
            </w:pPr>
            <w:r>
              <w:rPr>
                <w:rFonts w:hint="eastAsia" w:ascii="宋体" w:hAnsi="宋体"/>
                <w:color w:val="auto"/>
                <w:sz w:val="21"/>
                <w:szCs w:val="21"/>
                <w:highlight w:val="none"/>
              </w:rPr>
              <w:t>序号</w:t>
            </w:r>
          </w:p>
        </w:tc>
        <w:tc>
          <w:tcPr>
            <w:tcW w:w="3159" w:type="dxa"/>
            <w:noWrap w:val="0"/>
            <w:vAlign w:val="center"/>
          </w:tcPr>
          <w:p w14:paraId="29422B3B">
            <w:pPr>
              <w:spacing w:line="300" w:lineRule="auto"/>
              <w:jc w:val="center"/>
              <w:rPr>
                <w:rFonts w:ascii="宋体" w:hAnsi="宋体"/>
                <w:color w:val="auto"/>
                <w:sz w:val="21"/>
                <w:szCs w:val="21"/>
                <w:highlight w:val="none"/>
              </w:rPr>
            </w:pPr>
            <w:r>
              <w:rPr>
                <w:rFonts w:hint="eastAsia" w:ascii="宋体" w:hAnsi="宋体"/>
                <w:color w:val="auto"/>
                <w:sz w:val="21"/>
                <w:szCs w:val="21"/>
                <w:highlight w:val="none"/>
              </w:rPr>
              <w:t>项 目 内 容</w:t>
            </w:r>
          </w:p>
        </w:tc>
        <w:tc>
          <w:tcPr>
            <w:tcW w:w="2693" w:type="dxa"/>
            <w:noWrap w:val="0"/>
            <w:vAlign w:val="center"/>
          </w:tcPr>
          <w:p w14:paraId="3585CEA4">
            <w:pPr>
              <w:spacing w:line="300" w:lineRule="auto"/>
              <w:jc w:val="center"/>
              <w:rPr>
                <w:rFonts w:ascii="宋体" w:hAnsi="宋体"/>
                <w:color w:val="auto"/>
                <w:sz w:val="21"/>
                <w:szCs w:val="21"/>
                <w:highlight w:val="none"/>
              </w:rPr>
            </w:pPr>
            <w:r>
              <w:rPr>
                <w:rFonts w:hint="eastAsia" w:ascii="宋体" w:hAnsi="宋体"/>
                <w:color w:val="auto"/>
                <w:sz w:val="21"/>
                <w:szCs w:val="21"/>
                <w:highlight w:val="none"/>
              </w:rPr>
              <w:t>合  同  条  款</w:t>
            </w:r>
          </w:p>
        </w:tc>
        <w:tc>
          <w:tcPr>
            <w:tcW w:w="2804" w:type="dxa"/>
            <w:noWrap w:val="0"/>
            <w:vAlign w:val="center"/>
          </w:tcPr>
          <w:p w14:paraId="04F079A5">
            <w:pPr>
              <w:spacing w:line="300" w:lineRule="auto"/>
              <w:jc w:val="center"/>
              <w:rPr>
                <w:rFonts w:ascii="宋体" w:hAnsi="宋体"/>
                <w:color w:val="auto"/>
                <w:sz w:val="21"/>
                <w:szCs w:val="21"/>
                <w:highlight w:val="none"/>
              </w:rPr>
            </w:pPr>
            <w:r>
              <w:rPr>
                <w:rFonts w:hint="eastAsia" w:ascii="宋体" w:hAnsi="宋体"/>
                <w:color w:val="auto"/>
                <w:sz w:val="21"/>
                <w:szCs w:val="21"/>
                <w:highlight w:val="none"/>
              </w:rPr>
              <w:t>竞  标  响  应</w:t>
            </w:r>
          </w:p>
        </w:tc>
      </w:tr>
      <w:tr w14:paraId="677CA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696" w:type="dxa"/>
            <w:noWrap w:val="0"/>
            <w:vAlign w:val="center"/>
          </w:tcPr>
          <w:p w14:paraId="707A5F01">
            <w:pPr>
              <w:spacing w:line="300" w:lineRule="auto"/>
              <w:jc w:val="center"/>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1</w:t>
            </w:r>
          </w:p>
        </w:tc>
        <w:tc>
          <w:tcPr>
            <w:tcW w:w="3159" w:type="dxa"/>
            <w:noWrap w:val="0"/>
            <w:vAlign w:val="center"/>
          </w:tcPr>
          <w:p w14:paraId="31FDA56F">
            <w:pPr>
              <w:spacing w:line="300" w:lineRule="auto"/>
              <w:rPr>
                <w:rFonts w:ascii="宋体" w:hAnsi="宋体"/>
                <w:color w:val="auto"/>
                <w:sz w:val="21"/>
                <w:szCs w:val="21"/>
                <w:highlight w:val="none"/>
              </w:rPr>
            </w:pPr>
            <w:r>
              <w:rPr>
                <w:rFonts w:hint="eastAsia" w:ascii="宋体" w:hAnsi="宋体"/>
                <w:color w:val="auto"/>
                <w:sz w:val="21"/>
                <w:szCs w:val="21"/>
                <w:highlight w:val="none"/>
              </w:rPr>
              <w:t>履约保证金</w:t>
            </w:r>
          </w:p>
        </w:tc>
        <w:tc>
          <w:tcPr>
            <w:tcW w:w="2693" w:type="dxa"/>
            <w:noWrap w:val="0"/>
            <w:vAlign w:val="center"/>
          </w:tcPr>
          <w:p w14:paraId="40841B4A">
            <w:pPr>
              <w:spacing w:line="300" w:lineRule="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须知第2</w:t>
            </w:r>
            <w:r>
              <w:rPr>
                <w:rFonts w:hint="eastAsia" w:ascii="宋体" w:hAnsi="宋体"/>
                <w:color w:val="auto"/>
                <w:sz w:val="21"/>
                <w:szCs w:val="21"/>
                <w:highlight w:val="none"/>
                <w:lang w:val="en-US" w:eastAsia="zh-CN"/>
              </w:rPr>
              <w:t>8</w:t>
            </w:r>
          </w:p>
        </w:tc>
        <w:tc>
          <w:tcPr>
            <w:tcW w:w="2804" w:type="dxa"/>
            <w:noWrap w:val="0"/>
            <w:vAlign w:val="center"/>
          </w:tcPr>
          <w:p w14:paraId="217AFC47">
            <w:pPr>
              <w:spacing w:line="300" w:lineRule="auto"/>
              <w:rPr>
                <w:rFonts w:ascii="宋体" w:hAnsi="宋体"/>
                <w:color w:val="auto"/>
                <w:sz w:val="21"/>
                <w:szCs w:val="21"/>
                <w:highlight w:val="none"/>
              </w:rPr>
            </w:pPr>
          </w:p>
        </w:tc>
      </w:tr>
      <w:tr w14:paraId="74694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jc w:val="center"/>
        </w:trPr>
        <w:tc>
          <w:tcPr>
            <w:tcW w:w="696" w:type="dxa"/>
            <w:noWrap w:val="0"/>
            <w:vAlign w:val="center"/>
          </w:tcPr>
          <w:p w14:paraId="5E4C2FC2">
            <w:pPr>
              <w:spacing w:line="300" w:lineRule="auto"/>
              <w:jc w:val="center"/>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2</w:t>
            </w:r>
          </w:p>
        </w:tc>
        <w:tc>
          <w:tcPr>
            <w:tcW w:w="3159" w:type="dxa"/>
            <w:noWrap w:val="0"/>
            <w:vAlign w:val="center"/>
          </w:tcPr>
          <w:p w14:paraId="6DAED77E">
            <w:pPr>
              <w:spacing w:line="300" w:lineRule="auto"/>
              <w:rPr>
                <w:rFonts w:ascii="宋体" w:hAnsi="宋体"/>
                <w:color w:val="auto"/>
                <w:sz w:val="21"/>
                <w:szCs w:val="21"/>
                <w:highlight w:val="none"/>
              </w:rPr>
            </w:pP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有效期</w:t>
            </w:r>
          </w:p>
        </w:tc>
        <w:tc>
          <w:tcPr>
            <w:tcW w:w="2693" w:type="dxa"/>
            <w:noWrap w:val="0"/>
            <w:vAlign w:val="center"/>
          </w:tcPr>
          <w:p w14:paraId="0C6D4E53">
            <w:pPr>
              <w:spacing w:line="300" w:lineRule="auto"/>
              <w:rPr>
                <w:rFonts w:ascii="宋体" w:hAnsi="宋体"/>
                <w:color w:val="auto"/>
                <w:sz w:val="21"/>
                <w:szCs w:val="21"/>
                <w:highlight w:val="none"/>
              </w:rPr>
            </w:pP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须知第1</w:t>
            </w:r>
            <w:r>
              <w:rPr>
                <w:rFonts w:hint="eastAsia" w:ascii="宋体" w:hAnsi="宋体"/>
                <w:color w:val="auto"/>
                <w:sz w:val="21"/>
                <w:szCs w:val="21"/>
                <w:highlight w:val="none"/>
                <w:lang w:val="en-US" w:eastAsia="zh-CN"/>
              </w:rPr>
              <w:t>4</w:t>
            </w:r>
            <w:r>
              <w:rPr>
                <w:rFonts w:hint="eastAsia" w:ascii="宋体" w:hAnsi="宋体"/>
                <w:color w:val="auto"/>
                <w:sz w:val="21"/>
                <w:szCs w:val="21"/>
                <w:highlight w:val="none"/>
              </w:rPr>
              <w:t>.1</w:t>
            </w:r>
          </w:p>
        </w:tc>
        <w:tc>
          <w:tcPr>
            <w:tcW w:w="2804" w:type="dxa"/>
            <w:noWrap w:val="0"/>
            <w:vAlign w:val="center"/>
          </w:tcPr>
          <w:p w14:paraId="5827882F">
            <w:pPr>
              <w:spacing w:line="300" w:lineRule="auto"/>
              <w:rPr>
                <w:rFonts w:ascii="宋体" w:hAnsi="宋体"/>
                <w:color w:val="auto"/>
                <w:sz w:val="21"/>
                <w:szCs w:val="21"/>
                <w:highlight w:val="none"/>
              </w:rPr>
            </w:pPr>
          </w:p>
        </w:tc>
      </w:tr>
      <w:tr w14:paraId="32EA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6" w:hRule="atLeast"/>
          <w:jc w:val="center"/>
        </w:trPr>
        <w:tc>
          <w:tcPr>
            <w:tcW w:w="696" w:type="dxa"/>
            <w:noWrap w:val="0"/>
            <w:vAlign w:val="center"/>
          </w:tcPr>
          <w:p w14:paraId="48A3331F">
            <w:pPr>
              <w:spacing w:line="300" w:lineRule="auto"/>
              <w:jc w:val="center"/>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3</w:t>
            </w:r>
          </w:p>
        </w:tc>
        <w:tc>
          <w:tcPr>
            <w:tcW w:w="3159" w:type="dxa"/>
            <w:noWrap w:val="0"/>
            <w:vAlign w:val="center"/>
          </w:tcPr>
          <w:p w14:paraId="3248E93E">
            <w:pPr>
              <w:spacing w:line="300" w:lineRule="auto"/>
              <w:rPr>
                <w:rFonts w:ascii="宋体" w:hAnsi="宋体"/>
                <w:color w:val="auto"/>
                <w:sz w:val="21"/>
                <w:szCs w:val="21"/>
                <w:highlight w:val="none"/>
              </w:rPr>
            </w:pPr>
            <w:r>
              <w:rPr>
                <w:rFonts w:hint="eastAsia" w:ascii="宋体" w:hAnsi="宋体"/>
                <w:color w:val="auto"/>
                <w:sz w:val="21"/>
                <w:szCs w:val="21"/>
                <w:highlight w:val="none"/>
              </w:rPr>
              <w:t>工期</w:t>
            </w:r>
          </w:p>
        </w:tc>
        <w:tc>
          <w:tcPr>
            <w:tcW w:w="2693" w:type="dxa"/>
            <w:noWrap w:val="0"/>
            <w:vAlign w:val="center"/>
          </w:tcPr>
          <w:p w14:paraId="1BD412CB">
            <w:pPr>
              <w:spacing w:line="300" w:lineRule="auto"/>
              <w:rPr>
                <w:rFonts w:hint="default" w:ascii="宋体" w:hAnsi="宋体" w:eastAsia="宋体"/>
                <w:color w:val="auto"/>
                <w:sz w:val="21"/>
                <w:szCs w:val="21"/>
                <w:highlight w:val="none"/>
                <w:lang w:val="en-US" w:eastAsia="zh-CN"/>
              </w:rPr>
            </w:pP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须知</w:t>
            </w:r>
            <w:r>
              <w:rPr>
                <w:rFonts w:hint="eastAsia" w:ascii="宋体" w:hAnsi="宋体"/>
                <w:color w:val="auto"/>
                <w:sz w:val="21"/>
                <w:szCs w:val="21"/>
                <w:highlight w:val="none"/>
                <w:lang w:val="en-US" w:eastAsia="zh-CN"/>
              </w:rPr>
              <w:t>前附表第1.2</w:t>
            </w:r>
          </w:p>
        </w:tc>
        <w:tc>
          <w:tcPr>
            <w:tcW w:w="2804" w:type="dxa"/>
            <w:noWrap w:val="0"/>
            <w:vAlign w:val="center"/>
          </w:tcPr>
          <w:p w14:paraId="2AA429FB">
            <w:pPr>
              <w:spacing w:line="300" w:lineRule="auto"/>
              <w:ind w:firstLine="105" w:firstLineChars="50"/>
              <w:jc w:val="left"/>
              <w:rPr>
                <w:rFonts w:ascii="宋体" w:hAnsi="宋体"/>
                <w:color w:val="auto"/>
                <w:sz w:val="21"/>
                <w:szCs w:val="21"/>
                <w:highlight w:val="none"/>
              </w:rPr>
            </w:pPr>
          </w:p>
        </w:tc>
      </w:tr>
      <w:tr w14:paraId="3E319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jc w:val="center"/>
        </w:trPr>
        <w:tc>
          <w:tcPr>
            <w:tcW w:w="696" w:type="dxa"/>
            <w:noWrap w:val="0"/>
            <w:vAlign w:val="center"/>
          </w:tcPr>
          <w:p w14:paraId="7437A617">
            <w:pPr>
              <w:spacing w:line="300" w:lineRule="auto"/>
              <w:jc w:val="center"/>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4</w:t>
            </w:r>
          </w:p>
        </w:tc>
        <w:tc>
          <w:tcPr>
            <w:tcW w:w="3159" w:type="dxa"/>
            <w:noWrap w:val="0"/>
            <w:vAlign w:val="center"/>
          </w:tcPr>
          <w:p w14:paraId="3732475D">
            <w:pPr>
              <w:spacing w:line="300" w:lineRule="auto"/>
              <w:rPr>
                <w:rFonts w:ascii="宋体" w:hAnsi="宋体"/>
                <w:color w:val="auto"/>
                <w:sz w:val="21"/>
                <w:szCs w:val="21"/>
                <w:highlight w:val="none"/>
              </w:rPr>
            </w:pPr>
            <w:r>
              <w:rPr>
                <w:rFonts w:ascii="宋体" w:hAnsi="宋体"/>
                <w:color w:val="auto"/>
                <w:sz w:val="21"/>
                <w:szCs w:val="21"/>
                <w:highlight w:val="none"/>
              </w:rPr>
              <w:t>逾期竣工违约金</w:t>
            </w:r>
          </w:p>
        </w:tc>
        <w:tc>
          <w:tcPr>
            <w:tcW w:w="2693" w:type="dxa"/>
            <w:noWrap w:val="0"/>
            <w:vAlign w:val="center"/>
          </w:tcPr>
          <w:p w14:paraId="08AFC354">
            <w:pPr>
              <w:spacing w:line="300" w:lineRule="auto"/>
              <w:rPr>
                <w:rFonts w:ascii="宋体" w:hAnsi="宋体"/>
                <w:color w:val="auto"/>
                <w:sz w:val="21"/>
                <w:szCs w:val="21"/>
                <w:highlight w:val="none"/>
              </w:rPr>
            </w:pPr>
            <w:r>
              <w:rPr>
                <w:rFonts w:hint="eastAsia" w:ascii="宋体" w:hAnsi="宋体"/>
                <w:color w:val="auto"/>
                <w:sz w:val="21"/>
                <w:szCs w:val="21"/>
                <w:highlight w:val="none"/>
              </w:rPr>
              <w:t>专用条款7.5.2</w:t>
            </w:r>
          </w:p>
        </w:tc>
        <w:tc>
          <w:tcPr>
            <w:tcW w:w="2804" w:type="dxa"/>
            <w:noWrap w:val="0"/>
            <w:vAlign w:val="center"/>
          </w:tcPr>
          <w:p w14:paraId="54DE4A69">
            <w:pPr>
              <w:autoSpaceDE w:val="0"/>
              <w:autoSpaceDN w:val="0"/>
              <w:spacing w:line="300" w:lineRule="auto"/>
              <w:rPr>
                <w:rFonts w:ascii="宋体" w:hAnsi="宋体"/>
                <w:color w:val="auto"/>
                <w:spacing w:val="20"/>
                <w:sz w:val="21"/>
                <w:szCs w:val="21"/>
                <w:highlight w:val="none"/>
              </w:rPr>
            </w:pPr>
          </w:p>
        </w:tc>
      </w:tr>
      <w:tr w14:paraId="1C76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jc w:val="center"/>
        </w:trPr>
        <w:tc>
          <w:tcPr>
            <w:tcW w:w="696" w:type="dxa"/>
            <w:noWrap w:val="0"/>
            <w:vAlign w:val="center"/>
          </w:tcPr>
          <w:p w14:paraId="15BEC07E">
            <w:pPr>
              <w:spacing w:line="300" w:lineRule="auto"/>
              <w:jc w:val="center"/>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val="en-US" w:eastAsia="zh-CN"/>
              </w:rPr>
              <w:t>5</w:t>
            </w:r>
          </w:p>
        </w:tc>
        <w:tc>
          <w:tcPr>
            <w:tcW w:w="3159" w:type="dxa"/>
            <w:noWrap w:val="0"/>
            <w:vAlign w:val="center"/>
          </w:tcPr>
          <w:p w14:paraId="52CFA526">
            <w:pPr>
              <w:spacing w:line="300" w:lineRule="auto"/>
              <w:rPr>
                <w:rFonts w:ascii="宋体" w:hAnsi="宋体"/>
                <w:color w:val="auto"/>
                <w:sz w:val="21"/>
                <w:szCs w:val="21"/>
                <w:highlight w:val="none"/>
              </w:rPr>
            </w:pPr>
            <w:r>
              <w:rPr>
                <w:rFonts w:ascii="宋体" w:hAnsi="宋体"/>
                <w:color w:val="auto"/>
                <w:sz w:val="21"/>
                <w:szCs w:val="21"/>
                <w:highlight w:val="none"/>
              </w:rPr>
              <w:t>逾期竣工违约金最高限额</w:t>
            </w:r>
          </w:p>
        </w:tc>
        <w:tc>
          <w:tcPr>
            <w:tcW w:w="2693" w:type="dxa"/>
            <w:noWrap w:val="0"/>
            <w:vAlign w:val="center"/>
          </w:tcPr>
          <w:p w14:paraId="436B4C06">
            <w:pPr>
              <w:spacing w:line="300" w:lineRule="auto"/>
              <w:rPr>
                <w:rFonts w:ascii="宋体" w:hAnsi="宋体"/>
                <w:color w:val="auto"/>
                <w:sz w:val="21"/>
                <w:szCs w:val="21"/>
                <w:highlight w:val="none"/>
              </w:rPr>
            </w:pPr>
            <w:r>
              <w:rPr>
                <w:rFonts w:hint="eastAsia" w:ascii="宋体" w:hAnsi="宋体"/>
                <w:color w:val="auto"/>
                <w:sz w:val="21"/>
                <w:szCs w:val="21"/>
                <w:highlight w:val="none"/>
              </w:rPr>
              <w:t>专用条款7.5.2</w:t>
            </w:r>
          </w:p>
        </w:tc>
        <w:tc>
          <w:tcPr>
            <w:tcW w:w="2804" w:type="dxa"/>
            <w:noWrap w:val="0"/>
            <w:vAlign w:val="center"/>
          </w:tcPr>
          <w:p w14:paraId="11F5DEFA">
            <w:pPr>
              <w:autoSpaceDE w:val="0"/>
              <w:autoSpaceDN w:val="0"/>
              <w:spacing w:line="300" w:lineRule="auto"/>
              <w:rPr>
                <w:rFonts w:ascii="宋体" w:hAnsi="宋体"/>
                <w:color w:val="auto"/>
                <w:spacing w:val="20"/>
                <w:sz w:val="21"/>
                <w:szCs w:val="21"/>
                <w:highlight w:val="none"/>
              </w:rPr>
            </w:pPr>
          </w:p>
        </w:tc>
      </w:tr>
      <w:tr w14:paraId="3671F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7" w:hRule="atLeast"/>
          <w:jc w:val="center"/>
        </w:trPr>
        <w:tc>
          <w:tcPr>
            <w:tcW w:w="9352" w:type="dxa"/>
            <w:gridSpan w:val="4"/>
            <w:noWrap w:val="0"/>
            <w:vAlign w:val="center"/>
          </w:tcPr>
          <w:p w14:paraId="21BE13A8">
            <w:pPr>
              <w:autoSpaceDE w:val="0"/>
              <w:autoSpaceDN w:val="0"/>
              <w:spacing w:line="300" w:lineRule="auto"/>
              <w:rPr>
                <w:rFonts w:ascii="宋体" w:hAnsi="宋体"/>
                <w:color w:val="auto"/>
                <w:spacing w:val="20"/>
                <w:sz w:val="21"/>
                <w:szCs w:val="21"/>
                <w:highlight w:val="none"/>
              </w:rPr>
            </w:pPr>
            <w:r>
              <w:rPr>
                <w:color w:val="auto"/>
                <w:sz w:val="21"/>
                <w:szCs w:val="21"/>
                <w:highlight w:val="none"/>
              </w:rPr>
              <w:t>备注：</w:t>
            </w:r>
            <w:r>
              <w:rPr>
                <w:rFonts w:hint="eastAsia"/>
                <w:color w:val="auto"/>
                <w:sz w:val="21"/>
                <w:szCs w:val="21"/>
                <w:highlight w:val="none"/>
                <w:lang w:eastAsia="zh-CN"/>
              </w:rPr>
              <w:t>磋商</w:t>
            </w:r>
            <w:r>
              <w:rPr>
                <w:rFonts w:hint="eastAsia"/>
                <w:color w:val="auto"/>
                <w:sz w:val="21"/>
                <w:szCs w:val="21"/>
                <w:highlight w:val="none"/>
              </w:rPr>
              <w:t>人</w:t>
            </w:r>
            <w:r>
              <w:rPr>
                <w:color w:val="auto"/>
                <w:sz w:val="21"/>
                <w:szCs w:val="21"/>
                <w:highlight w:val="none"/>
              </w:rPr>
              <w:t>在响应采购文件中规定的实质性要求和条件的基础上，可做出其他有利于采购人的承诺。此类承诺可在本表中予以补充填写。</w:t>
            </w:r>
          </w:p>
        </w:tc>
      </w:tr>
    </w:tbl>
    <w:p w14:paraId="367BC98C">
      <w:pPr>
        <w:autoSpaceDE w:val="0"/>
        <w:autoSpaceDN w:val="0"/>
        <w:spacing w:line="300" w:lineRule="auto"/>
        <w:rPr>
          <w:rFonts w:ascii="宋体" w:hAnsi="宋体"/>
          <w:color w:val="auto"/>
          <w:sz w:val="21"/>
          <w:szCs w:val="21"/>
          <w:highlight w:val="none"/>
        </w:rPr>
      </w:pPr>
    </w:p>
    <w:p w14:paraId="6877A7C7">
      <w:pPr>
        <w:autoSpaceDE w:val="0"/>
        <w:autoSpaceDN w:val="0"/>
        <w:spacing w:line="300" w:lineRule="auto"/>
        <w:rPr>
          <w:rFonts w:ascii="宋体" w:hAnsi="宋体"/>
          <w:color w:val="auto"/>
          <w:sz w:val="21"/>
          <w:szCs w:val="21"/>
          <w:highlight w:val="none"/>
        </w:rPr>
      </w:pPr>
    </w:p>
    <w:p w14:paraId="0103C433">
      <w:pPr>
        <w:autoSpaceDE w:val="0"/>
        <w:autoSpaceDN w:val="0"/>
        <w:spacing w:line="300" w:lineRule="auto"/>
        <w:rPr>
          <w:rFonts w:ascii="宋体" w:hAnsi="宋体"/>
          <w:color w:val="auto"/>
          <w:sz w:val="21"/>
          <w:szCs w:val="21"/>
          <w:highlight w:val="none"/>
        </w:rPr>
      </w:pPr>
    </w:p>
    <w:p w14:paraId="53422C88">
      <w:pPr>
        <w:autoSpaceDE w:val="0"/>
        <w:autoSpaceDN w:val="0"/>
        <w:spacing w:line="300" w:lineRule="auto"/>
        <w:rPr>
          <w:rFonts w:ascii="宋体" w:hAnsi="宋体"/>
          <w:color w:val="auto"/>
          <w:sz w:val="21"/>
          <w:szCs w:val="21"/>
          <w:highlight w:val="none"/>
        </w:rPr>
      </w:pPr>
    </w:p>
    <w:p w14:paraId="00D5E3B9">
      <w:pPr>
        <w:autoSpaceDE w:val="0"/>
        <w:autoSpaceDN w:val="0"/>
        <w:spacing w:line="300" w:lineRule="auto"/>
        <w:ind w:firstLine="210" w:firstLineChars="100"/>
        <w:rPr>
          <w:rFonts w:ascii="宋体" w:hAnsi="宋体"/>
          <w:color w:val="auto"/>
          <w:sz w:val="21"/>
          <w:szCs w:val="21"/>
          <w:highlight w:val="none"/>
        </w:rPr>
      </w:pP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人（盖章）：</w:t>
      </w:r>
    </w:p>
    <w:p w14:paraId="1642A246">
      <w:pPr>
        <w:autoSpaceDE w:val="0"/>
        <w:autoSpaceDN w:val="0"/>
        <w:spacing w:line="300" w:lineRule="auto"/>
        <w:rPr>
          <w:rFonts w:ascii="宋体" w:hAnsi="宋体"/>
          <w:color w:val="auto"/>
          <w:sz w:val="21"/>
          <w:szCs w:val="21"/>
          <w:highlight w:val="none"/>
        </w:rPr>
      </w:pPr>
    </w:p>
    <w:p w14:paraId="050BB35A">
      <w:pPr>
        <w:autoSpaceDE w:val="0"/>
        <w:autoSpaceDN w:val="0"/>
        <w:spacing w:line="300" w:lineRule="auto"/>
        <w:ind w:firstLine="210" w:firstLineChars="100"/>
        <w:rPr>
          <w:rFonts w:ascii="宋体" w:hAnsi="宋体"/>
          <w:color w:val="auto"/>
          <w:sz w:val="21"/>
          <w:szCs w:val="21"/>
          <w:highlight w:val="none"/>
        </w:rPr>
      </w:pPr>
      <w:r>
        <w:rPr>
          <w:rFonts w:hint="eastAsia" w:ascii="宋体" w:hAnsi="宋体"/>
          <w:color w:val="auto"/>
          <w:sz w:val="21"/>
          <w:szCs w:val="21"/>
          <w:highlight w:val="none"/>
        </w:rPr>
        <w:t>法定代表人或其委托代理人（签字或盖章）：</w:t>
      </w:r>
    </w:p>
    <w:p w14:paraId="7F7B428B">
      <w:pPr>
        <w:autoSpaceDE w:val="0"/>
        <w:autoSpaceDN w:val="0"/>
        <w:spacing w:line="300" w:lineRule="auto"/>
        <w:rPr>
          <w:rFonts w:ascii="宋体" w:hAnsi="宋体"/>
          <w:color w:val="auto"/>
          <w:sz w:val="21"/>
          <w:szCs w:val="21"/>
          <w:highlight w:val="none"/>
        </w:rPr>
      </w:pPr>
      <w:r>
        <w:rPr>
          <w:rFonts w:hint="eastAsia" w:ascii="宋体" w:hAnsi="宋体"/>
          <w:color w:val="auto"/>
          <w:sz w:val="21"/>
          <w:szCs w:val="21"/>
          <w:highlight w:val="none"/>
        </w:rPr>
        <w:t xml:space="preserve"> </w:t>
      </w:r>
    </w:p>
    <w:p w14:paraId="045B9599">
      <w:pPr>
        <w:autoSpaceDE w:val="0"/>
        <w:autoSpaceDN w:val="0"/>
        <w:spacing w:line="300" w:lineRule="auto"/>
        <w:ind w:firstLine="210" w:firstLineChars="100"/>
        <w:rPr>
          <w:rFonts w:ascii="宋体" w:hAnsi="宋体"/>
          <w:color w:val="auto"/>
          <w:sz w:val="21"/>
          <w:szCs w:val="21"/>
          <w:highlight w:val="none"/>
        </w:rPr>
      </w:pPr>
      <w:r>
        <w:rPr>
          <w:rFonts w:hint="eastAsia" w:ascii="宋体" w:hAnsi="宋体"/>
          <w:color w:val="auto"/>
          <w:sz w:val="21"/>
          <w:szCs w:val="21"/>
          <w:highlight w:val="none"/>
        </w:rPr>
        <w:t>日期：      年    月    日</w:t>
      </w:r>
    </w:p>
    <w:p w14:paraId="212599D4">
      <w:pPr>
        <w:spacing w:line="400" w:lineRule="exact"/>
        <w:jc w:val="center"/>
        <w:rPr>
          <w:rFonts w:hint="eastAsia" w:ascii="宋体" w:hAnsi="宋体"/>
          <w:b/>
          <w:color w:val="auto"/>
          <w:sz w:val="30"/>
          <w:szCs w:val="30"/>
          <w:highlight w:val="none"/>
        </w:rPr>
      </w:pPr>
      <w:r>
        <w:rPr>
          <w:color w:val="auto"/>
          <w:highlight w:val="none"/>
        </w:rPr>
        <w:br w:type="page"/>
      </w:r>
      <w:r>
        <w:rPr>
          <w:rFonts w:ascii="宋体" w:hAnsi="宋体"/>
          <w:b/>
          <w:color w:val="auto"/>
          <w:sz w:val="30"/>
          <w:szCs w:val="30"/>
          <w:highlight w:val="none"/>
        </w:rPr>
        <w:t>二、</w:t>
      </w:r>
      <w:r>
        <w:rPr>
          <w:rFonts w:hint="eastAsia" w:ascii="宋体" w:hAnsi="宋体"/>
          <w:b/>
          <w:color w:val="auto"/>
          <w:sz w:val="32"/>
          <w:szCs w:val="32"/>
          <w:highlight w:val="none"/>
        </w:rPr>
        <w:t>工程量清单报价文件</w:t>
      </w:r>
    </w:p>
    <w:p w14:paraId="4D98DADE">
      <w:pPr>
        <w:spacing w:line="400" w:lineRule="exact"/>
        <w:jc w:val="center"/>
        <w:rPr>
          <w:rFonts w:hint="eastAsia" w:ascii="宋体" w:hAnsi="宋体"/>
          <w:b/>
          <w:color w:val="auto"/>
          <w:szCs w:val="21"/>
          <w:highlight w:val="none"/>
        </w:rPr>
      </w:pPr>
    </w:p>
    <w:p w14:paraId="77D01922">
      <w:pPr>
        <w:snapToGrid w:val="0"/>
        <w:spacing w:line="500" w:lineRule="atLeast"/>
        <w:ind w:firstLine="424" w:firstLineChars="202"/>
        <w:rPr>
          <w:rFonts w:hint="eastAsia" w:ascii="宋体" w:hAnsi="宋体"/>
          <w:color w:val="auto"/>
          <w:sz w:val="21"/>
          <w:szCs w:val="21"/>
          <w:highlight w:val="none"/>
        </w:rPr>
      </w:pPr>
      <w:r>
        <w:rPr>
          <w:rFonts w:hint="eastAsia" w:ascii="宋体" w:hAnsi="宋体"/>
          <w:color w:val="auto"/>
          <w:sz w:val="21"/>
          <w:szCs w:val="21"/>
          <w:highlight w:val="none"/>
        </w:rPr>
        <w:t>1.已标价工程量清单应按第五章“工程量清单”中的相关表格及</w:t>
      </w: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报价说明填写。构成合同文件的已标价工程量清单包括第五章“工程量清单”有关工程量清单、</w:t>
      </w: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报价以及其他说明的内容。</w:t>
      </w:r>
    </w:p>
    <w:p w14:paraId="6F2F74E6">
      <w:pPr>
        <w:snapToGrid w:val="0"/>
        <w:spacing w:line="500" w:lineRule="atLeast"/>
        <w:ind w:firstLine="424" w:firstLineChars="202"/>
        <w:rPr>
          <w:rFonts w:ascii="宋体" w:hAnsi="宋体"/>
          <w:color w:val="auto"/>
          <w:sz w:val="21"/>
          <w:szCs w:val="21"/>
          <w:highlight w:val="none"/>
        </w:rPr>
      </w:pPr>
      <w:r>
        <w:rPr>
          <w:rFonts w:hint="eastAsia" w:ascii="宋体" w:hAnsi="宋体"/>
          <w:color w:val="auto"/>
          <w:sz w:val="21"/>
          <w:szCs w:val="21"/>
          <w:highlight w:val="none"/>
        </w:rPr>
        <w:t>2. 一般计税法建设工程已标价工程量清单表格按《关于建筑业实施营业税改征增值税后广西壮族自治区建设工程计价依据调整的通知》（桂建标〔2016〕17号）附件“增值税一般计税方法工程计价表”要求提供。</w:t>
      </w:r>
    </w:p>
    <w:p w14:paraId="3F5BBAE3">
      <w:pPr>
        <w:spacing w:line="400" w:lineRule="exact"/>
        <w:jc w:val="center"/>
        <w:rPr>
          <w:rFonts w:hint="eastAsia" w:ascii="宋体" w:hAnsi="宋体"/>
          <w:b/>
          <w:color w:val="auto"/>
          <w:sz w:val="21"/>
          <w:szCs w:val="21"/>
          <w:highlight w:val="none"/>
        </w:rPr>
      </w:pPr>
    </w:p>
    <w:p w14:paraId="72116F41">
      <w:pPr>
        <w:spacing w:line="400" w:lineRule="exact"/>
        <w:jc w:val="center"/>
        <w:rPr>
          <w:rFonts w:hint="eastAsia" w:ascii="宋体" w:hAnsi="宋体"/>
          <w:b/>
          <w:color w:val="auto"/>
          <w:sz w:val="30"/>
          <w:szCs w:val="30"/>
          <w:highlight w:val="none"/>
        </w:rPr>
      </w:pPr>
    </w:p>
    <w:p w14:paraId="0F891F8D">
      <w:pPr>
        <w:spacing w:line="400" w:lineRule="exact"/>
        <w:jc w:val="center"/>
        <w:rPr>
          <w:rFonts w:hint="eastAsia" w:ascii="宋体" w:hAnsi="宋体"/>
          <w:b/>
          <w:color w:val="auto"/>
          <w:sz w:val="30"/>
          <w:szCs w:val="30"/>
          <w:highlight w:val="none"/>
        </w:rPr>
      </w:pPr>
    </w:p>
    <w:p w14:paraId="453A2558">
      <w:pPr>
        <w:spacing w:line="400" w:lineRule="exact"/>
        <w:jc w:val="center"/>
        <w:rPr>
          <w:rFonts w:hint="eastAsia" w:ascii="宋体" w:hAnsi="宋体"/>
          <w:b/>
          <w:color w:val="auto"/>
          <w:sz w:val="30"/>
          <w:szCs w:val="30"/>
          <w:highlight w:val="none"/>
        </w:rPr>
      </w:pPr>
    </w:p>
    <w:p w14:paraId="3D920092">
      <w:pPr>
        <w:spacing w:line="400" w:lineRule="exact"/>
        <w:jc w:val="center"/>
        <w:rPr>
          <w:rFonts w:hint="eastAsia" w:ascii="宋体" w:hAnsi="宋体"/>
          <w:b/>
          <w:color w:val="auto"/>
          <w:sz w:val="30"/>
          <w:szCs w:val="30"/>
          <w:highlight w:val="none"/>
        </w:rPr>
      </w:pPr>
    </w:p>
    <w:p w14:paraId="0F9E0D80">
      <w:pPr>
        <w:spacing w:line="400" w:lineRule="exact"/>
        <w:jc w:val="center"/>
        <w:rPr>
          <w:rFonts w:hint="eastAsia" w:ascii="宋体" w:hAnsi="宋体"/>
          <w:b/>
          <w:color w:val="auto"/>
          <w:sz w:val="30"/>
          <w:szCs w:val="30"/>
          <w:highlight w:val="none"/>
        </w:rPr>
      </w:pPr>
    </w:p>
    <w:p w14:paraId="23EC5EE2">
      <w:pPr>
        <w:spacing w:line="400" w:lineRule="exact"/>
        <w:jc w:val="center"/>
        <w:rPr>
          <w:rFonts w:hint="eastAsia" w:ascii="宋体" w:hAnsi="宋体"/>
          <w:b/>
          <w:color w:val="auto"/>
          <w:sz w:val="30"/>
          <w:szCs w:val="30"/>
          <w:highlight w:val="none"/>
        </w:rPr>
      </w:pPr>
    </w:p>
    <w:p w14:paraId="02971B55">
      <w:pPr>
        <w:spacing w:line="400" w:lineRule="exact"/>
        <w:jc w:val="center"/>
        <w:rPr>
          <w:rFonts w:hint="eastAsia" w:ascii="宋体" w:hAnsi="宋体"/>
          <w:b/>
          <w:color w:val="auto"/>
          <w:sz w:val="30"/>
          <w:szCs w:val="30"/>
          <w:highlight w:val="none"/>
        </w:rPr>
      </w:pPr>
    </w:p>
    <w:p w14:paraId="3B0CD956">
      <w:pPr>
        <w:spacing w:line="400" w:lineRule="exact"/>
        <w:jc w:val="center"/>
        <w:rPr>
          <w:rFonts w:hint="eastAsia" w:ascii="宋体" w:hAnsi="宋体"/>
          <w:b/>
          <w:color w:val="auto"/>
          <w:sz w:val="30"/>
          <w:szCs w:val="30"/>
          <w:highlight w:val="none"/>
        </w:rPr>
      </w:pPr>
    </w:p>
    <w:p w14:paraId="4C614E99">
      <w:pPr>
        <w:spacing w:line="400" w:lineRule="exact"/>
        <w:jc w:val="center"/>
        <w:rPr>
          <w:rFonts w:hint="eastAsia" w:ascii="宋体" w:hAnsi="宋体"/>
          <w:b/>
          <w:color w:val="auto"/>
          <w:sz w:val="30"/>
          <w:szCs w:val="30"/>
          <w:highlight w:val="none"/>
        </w:rPr>
      </w:pPr>
    </w:p>
    <w:p w14:paraId="2965E0EF">
      <w:pPr>
        <w:spacing w:line="400" w:lineRule="exact"/>
        <w:jc w:val="center"/>
        <w:rPr>
          <w:rFonts w:hint="eastAsia" w:ascii="宋体" w:hAnsi="宋体"/>
          <w:b/>
          <w:color w:val="auto"/>
          <w:sz w:val="30"/>
          <w:szCs w:val="30"/>
          <w:highlight w:val="none"/>
        </w:rPr>
      </w:pPr>
    </w:p>
    <w:p w14:paraId="315D7DB0">
      <w:pPr>
        <w:spacing w:line="400" w:lineRule="exact"/>
        <w:jc w:val="center"/>
        <w:rPr>
          <w:rFonts w:hint="eastAsia" w:ascii="宋体" w:hAnsi="宋体"/>
          <w:b/>
          <w:color w:val="auto"/>
          <w:sz w:val="30"/>
          <w:szCs w:val="30"/>
          <w:highlight w:val="none"/>
        </w:rPr>
      </w:pPr>
    </w:p>
    <w:p w14:paraId="485ABBC5">
      <w:pPr>
        <w:spacing w:line="400" w:lineRule="exact"/>
        <w:jc w:val="center"/>
        <w:rPr>
          <w:rFonts w:hint="eastAsia" w:ascii="宋体" w:hAnsi="宋体"/>
          <w:b/>
          <w:color w:val="auto"/>
          <w:sz w:val="30"/>
          <w:szCs w:val="30"/>
          <w:highlight w:val="none"/>
        </w:rPr>
        <w:sectPr>
          <w:footerReference r:id="rId4" w:type="default"/>
          <w:pgSz w:w="11905" w:h="16838"/>
          <w:pgMar w:top="1134" w:right="1134" w:bottom="1134" w:left="1417" w:header="850" w:footer="907" w:gutter="0"/>
          <w:pgNumType w:fmt="decimal" w:start="1"/>
          <w:cols w:space="0" w:num="1"/>
          <w:rtlGutter w:val="0"/>
          <w:docGrid w:type="lines" w:linePitch="316" w:charSpace="0"/>
        </w:sectPr>
      </w:pPr>
    </w:p>
    <w:p w14:paraId="77B6F17C">
      <w:pPr>
        <w:numPr>
          <w:ilvl w:val="0"/>
          <w:numId w:val="0"/>
        </w:numPr>
        <w:spacing w:line="400" w:lineRule="exact"/>
        <w:jc w:val="center"/>
        <w:rPr>
          <w:rFonts w:hint="eastAsia" w:ascii="宋体" w:hAnsi="宋体"/>
          <w:b/>
          <w:color w:val="auto"/>
          <w:sz w:val="30"/>
          <w:szCs w:val="30"/>
          <w:highlight w:val="none"/>
          <w:lang w:eastAsia="zh-CN"/>
        </w:rPr>
      </w:pPr>
      <w:r>
        <w:rPr>
          <w:rFonts w:hint="eastAsia" w:ascii="宋体" w:hAnsi="宋体"/>
          <w:b/>
          <w:color w:val="auto"/>
          <w:sz w:val="30"/>
          <w:szCs w:val="30"/>
          <w:highlight w:val="none"/>
          <w:lang w:val="en-US" w:eastAsia="zh-CN"/>
        </w:rPr>
        <w:t>三、</w:t>
      </w:r>
      <w:r>
        <w:rPr>
          <w:rFonts w:hint="eastAsia" w:ascii="宋体" w:hAnsi="宋体"/>
          <w:b/>
          <w:color w:val="auto"/>
          <w:sz w:val="30"/>
          <w:szCs w:val="30"/>
          <w:highlight w:val="none"/>
          <w:lang w:eastAsia="zh-CN"/>
        </w:rPr>
        <w:t>磋商人对农民工工资保障承诺书</w:t>
      </w:r>
    </w:p>
    <w:p w14:paraId="44E6F981">
      <w:pPr>
        <w:widowControl w:val="0"/>
        <w:numPr>
          <w:ilvl w:val="0"/>
          <w:numId w:val="0"/>
        </w:numPr>
        <w:adjustRightInd w:val="0"/>
        <w:spacing w:line="400" w:lineRule="exact"/>
        <w:jc w:val="center"/>
        <w:textAlignment w:val="baseline"/>
        <w:rPr>
          <w:rFonts w:hint="eastAsia" w:ascii="宋体" w:hAnsi="宋体"/>
          <w:b/>
          <w:color w:val="auto"/>
          <w:sz w:val="30"/>
          <w:szCs w:val="30"/>
          <w:highlight w:val="none"/>
          <w:lang w:eastAsia="zh-CN"/>
        </w:rPr>
      </w:pPr>
    </w:p>
    <w:p w14:paraId="59636BEF">
      <w:pPr>
        <w:spacing w:line="360" w:lineRule="auto"/>
        <w:textAlignment w:val="baseline"/>
        <w:rPr>
          <w:rFonts w:hint="eastAsia" w:ascii="宋体" w:hAnsi="宋体"/>
          <w:b/>
          <w:color w:val="auto"/>
          <w:highlight w:val="none"/>
          <w:u w:val="single"/>
        </w:rPr>
      </w:pPr>
      <w:r>
        <w:rPr>
          <w:rFonts w:hint="eastAsia" w:ascii="宋体" w:hAnsi="宋体"/>
          <w:color w:val="auto"/>
          <w:highlight w:val="none"/>
          <w:u w:val="none"/>
        </w:rPr>
        <w:t xml:space="preserve">    </w:t>
      </w:r>
      <w:r>
        <w:rPr>
          <w:rFonts w:hint="eastAsia" w:ascii="宋体" w:hAnsi="宋体"/>
          <w:color w:val="auto"/>
          <w:highlight w:val="none"/>
          <w:u w:val="single"/>
        </w:rPr>
        <w:t>致：</w:t>
      </w:r>
      <w:r>
        <w:rPr>
          <w:rFonts w:hint="eastAsia" w:ascii="宋体" w:hAnsi="宋体"/>
          <w:b/>
          <w:color w:val="auto"/>
          <w:highlight w:val="none"/>
          <w:u w:val="single"/>
        </w:rPr>
        <w:t xml:space="preserve">          </w:t>
      </w:r>
      <w:r>
        <w:rPr>
          <w:rFonts w:hint="eastAsia" w:ascii="宋体" w:hAnsi="宋体"/>
          <w:color w:val="auto"/>
          <w:highlight w:val="none"/>
          <w:u w:val="single"/>
        </w:rPr>
        <w:t>（建设单位名称）</w:t>
      </w:r>
      <w:r>
        <w:rPr>
          <w:rFonts w:hint="eastAsia" w:ascii="宋体" w:hAnsi="宋体"/>
          <w:b/>
          <w:color w:val="auto"/>
          <w:highlight w:val="none"/>
          <w:u w:val="single"/>
        </w:rPr>
        <w:t xml:space="preserve"> </w:t>
      </w:r>
    </w:p>
    <w:p w14:paraId="6808E833">
      <w:pPr>
        <w:spacing w:line="360" w:lineRule="auto"/>
        <w:ind w:firstLine="420" w:firstLineChars="200"/>
        <w:rPr>
          <w:rFonts w:hint="eastAsia" w:ascii="宋体" w:hAnsi="宋体"/>
          <w:color w:val="auto"/>
          <w:highlight w:val="none"/>
          <w:u w:val="none" w:color="auto"/>
        </w:rPr>
      </w:pPr>
      <w:r>
        <w:rPr>
          <w:rFonts w:hint="eastAsia" w:ascii="宋体" w:hAnsi="宋体"/>
          <w:color w:val="auto"/>
          <w:highlight w:val="none"/>
          <w:u w:val="none" w:color="auto"/>
        </w:rPr>
        <w:t>根据广西壮族自治区劳动和社会保障厅、广西壮族自治区建设厅桂劳社发</w:t>
      </w:r>
      <w:r>
        <w:rPr>
          <w:rFonts w:hint="eastAsia"/>
          <w:color w:val="auto"/>
          <w:highlight w:val="none"/>
          <w:u w:val="none" w:color="auto"/>
        </w:rPr>
        <w:t>[2009]50号</w:t>
      </w:r>
      <w:r>
        <w:rPr>
          <w:rFonts w:hint="eastAsia" w:ascii="宋体" w:hAnsi="宋体"/>
          <w:color w:val="auto"/>
          <w:highlight w:val="none"/>
          <w:u w:val="none" w:color="auto"/>
        </w:rPr>
        <w:t>《广西壮族自治区劳动和社会保障厅、广西壮族自治区建设厅关于建立建农民工工资保障金制度的通知》文件规定，我方在此向业主承诺：</w:t>
      </w:r>
    </w:p>
    <w:p w14:paraId="1E28AE4E">
      <w:pPr>
        <w:spacing w:line="360" w:lineRule="auto"/>
        <w:ind w:firstLine="420" w:firstLineChars="200"/>
        <w:rPr>
          <w:rFonts w:hint="eastAsia" w:ascii="宋体" w:hAnsi="宋体"/>
          <w:color w:val="auto"/>
          <w:highlight w:val="none"/>
          <w:u w:val="none" w:color="auto"/>
        </w:rPr>
      </w:pPr>
      <w:r>
        <w:rPr>
          <w:rFonts w:hint="eastAsia" w:ascii="宋体" w:hAnsi="宋体"/>
          <w:color w:val="auto"/>
          <w:highlight w:val="none"/>
          <w:u w:val="none" w:color="auto"/>
        </w:rPr>
        <w:t>1. 我方参与</w:t>
      </w:r>
      <w:r>
        <w:rPr>
          <w:rFonts w:hint="eastAsia" w:ascii="宋体" w:hAnsi="宋体"/>
          <w:color w:val="auto"/>
          <w:highlight w:val="none"/>
          <w:u w:val="none" w:color="auto"/>
          <w:lang w:eastAsia="zh-CN"/>
        </w:rPr>
        <w:t>磋商</w:t>
      </w:r>
      <w:r>
        <w:rPr>
          <w:rFonts w:hint="eastAsia" w:ascii="宋体" w:hAnsi="宋体"/>
          <w:color w:val="auto"/>
          <w:highlight w:val="none"/>
          <w:u w:val="none" w:color="auto"/>
        </w:rPr>
        <w:t>的</w:t>
      </w:r>
      <w:r>
        <w:rPr>
          <w:rFonts w:hint="eastAsia" w:ascii="宋体" w:hAnsi="宋体"/>
          <w:color w:val="auto"/>
          <w:highlight w:val="none"/>
          <w:u w:val="single" w:color="auto"/>
        </w:rPr>
        <w:t xml:space="preserve">            （工程名称）         </w:t>
      </w:r>
      <w:r>
        <w:rPr>
          <w:rFonts w:hint="eastAsia" w:ascii="宋体" w:hAnsi="宋体"/>
          <w:color w:val="auto"/>
          <w:highlight w:val="none"/>
          <w:u w:val="none" w:color="auto"/>
        </w:rPr>
        <w:t>，一旦中标，我方保证按</w:t>
      </w:r>
      <w:r>
        <w:rPr>
          <w:rFonts w:hint="eastAsia" w:ascii="宋体" w:hAnsi="宋体"/>
          <w:color w:val="auto"/>
          <w:highlight w:val="none"/>
          <w:u w:val="none" w:color="auto"/>
          <w:lang w:eastAsia="zh-CN"/>
        </w:rPr>
        <w:t>竞争性磋商</w:t>
      </w:r>
      <w:r>
        <w:rPr>
          <w:rFonts w:hint="eastAsia" w:ascii="宋体" w:hAnsi="宋体"/>
          <w:color w:val="auto"/>
          <w:highlight w:val="none"/>
          <w:u w:val="none" w:color="auto"/>
        </w:rPr>
        <w:t>文件的要求，及时并足额将农民工工资保障金转入指定的资金专户，作为本项目农民工工资保障金。</w:t>
      </w:r>
    </w:p>
    <w:p w14:paraId="3EB5C652">
      <w:pPr>
        <w:spacing w:line="360" w:lineRule="auto"/>
        <w:ind w:firstLine="420" w:firstLineChars="200"/>
        <w:rPr>
          <w:rFonts w:hint="eastAsia" w:ascii="宋体" w:hAnsi="宋体"/>
          <w:color w:val="auto"/>
          <w:highlight w:val="none"/>
          <w:u w:val="none" w:color="auto"/>
        </w:rPr>
      </w:pPr>
      <w:r>
        <w:rPr>
          <w:rFonts w:hint="eastAsia" w:ascii="宋体" w:hAnsi="宋体"/>
          <w:color w:val="auto"/>
          <w:highlight w:val="none"/>
          <w:u w:val="none" w:color="auto"/>
        </w:rPr>
        <w:t>2. 如我方在承包的</w:t>
      </w:r>
      <w:r>
        <w:rPr>
          <w:rFonts w:hint="eastAsia" w:ascii="宋体" w:hAnsi="宋体"/>
          <w:color w:val="auto"/>
          <w:highlight w:val="none"/>
          <w:u w:val="single" w:color="auto"/>
        </w:rPr>
        <w:t xml:space="preserve">            （工程名称）         </w:t>
      </w:r>
      <w:r>
        <w:rPr>
          <w:rFonts w:hint="eastAsia" w:ascii="宋体" w:hAnsi="宋体"/>
          <w:color w:val="auto"/>
          <w:highlight w:val="none"/>
          <w:u w:val="none" w:color="auto"/>
          <w:lang w:eastAsia="zh-CN"/>
        </w:rPr>
        <w:t>，</w:t>
      </w:r>
      <w:r>
        <w:rPr>
          <w:rFonts w:hint="eastAsia" w:ascii="宋体" w:hAnsi="宋体"/>
          <w:color w:val="auto"/>
          <w:highlight w:val="none"/>
          <w:u w:val="none" w:color="auto"/>
        </w:rPr>
        <w:t>中出现拖欠农民工和工人工资情况的，由建设行政主管部门从其农民工工资保障金中先予划支。</w:t>
      </w:r>
    </w:p>
    <w:p w14:paraId="2B4C7AF0">
      <w:pPr>
        <w:spacing w:line="600" w:lineRule="exact"/>
        <w:ind w:firstLine="420" w:firstLineChars="200"/>
        <w:rPr>
          <w:rFonts w:hint="eastAsia" w:ascii="宋体" w:hAnsi="宋体"/>
          <w:color w:val="auto"/>
          <w:highlight w:val="none"/>
          <w:u w:val="none" w:color="auto"/>
        </w:rPr>
      </w:pPr>
      <w:r>
        <w:rPr>
          <w:rFonts w:hint="eastAsia" w:ascii="宋体" w:hAnsi="宋体"/>
          <w:color w:val="auto"/>
          <w:highlight w:val="none"/>
          <w:u w:val="none" w:color="auto"/>
        </w:rPr>
        <w:t>3. 如我方不按时、足额存入农民工工资保障金，建设单位有权取消我方成交资格。</w:t>
      </w:r>
    </w:p>
    <w:p w14:paraId="34EA5B9E">
      <w:pPr>
        <w:spacing w:line="600" w:lineRule="exact"/>
        <w:ind w:firstLine="420" w:firstLineChars="200"/>
        <w:rPr>
          <w:rFonts w:hint="eastAsia" w:ascii="宋体" w:hAnsi="宋体"/>
          <w:color w:val="auto"/>
          <w:highlight w:val="none"/>
          <w:u w:val="none" w:color="auto"/>
        </w:rPr>
      </w:pPr>
    </w:p>
    <w:p w14:paraId="08FC1A81">
      <w:pPr>
        <w:spacing w:line="600" w:lineRule="exact"/>
        <w:ind w:firstLine="420" w:firstLineChars="200"/>
        <w:rPr>
          <w:rFonts w:hint="eastAsia" w:ascii="宋体" w:hAnsi="宋体"/>
          <w:color w:val="auto"/>
          <w:highlight w:val="none"/>
        </w:rPr>
      </w:pPr>
    </w:p>
    <w:p w14:paraId="7DEE2F01">
      <w:pPr>
        <w:spacing w:line="600" w:lineRule="exact"/>
        <w:ind w:firstLine="420" w:firstLineChars="200"/>
        <w:rPr>
          <w:rFonts w:hint="eastAsia" w:ascii="宋体" w:hAnsi="宋体"/>
          <w:color w:val="auto"/>
          <w:highlight w:val="none"/>
        </w:rPr>
      </w:pPr>
      <w:r>
        <w:rPr>
          <w:rFonts w:hint="eastAsia" w:ascii="宋体" w:hAnsi="宋体"/>
          <w:color w:val="auto"/>
          <w:highlight w:val="none"/>
          <w:lang w:eastAsia="zh-CN"/>
        </w:rPr>
        <w:t>磋商</w:t>
      </w:r>
      <w:r>
        <w:rPr>
          <w:rFonts w:hint="eastAsia" w:ascii="宋体" w:hAnsi="宋体"/>
          <w:color w:val="auto"/>
          <w:highlight w:val="none"/>
        </w:rPr>
        <w:t>人：</w:t>
      </w:r>
      <w:r>
        <w:rPr>
          <w:rFonts w:hint="eastAsia" w:ascii="宋体" w:hAnsi="宋体"/>
          <w:color w:val="auto"/>
          <w:highlight w:val="none"/>
          <w:u w:val="single"/>
        </w:rPr>
        <w:t xml:space="preserve">                                         </w:t>
      </w:r>
      <w:r>
        <w:rPr>
          <w:rFonts w:hint="eastAsia" w:ascii="宋体" w:hAnsi="宋体"/>
          <w:color w:val="auto"/>
          <w:highlight w:val="none"/>
        </w:rPr>
        <w:t>（盖单位公章）</w:t>
      </w:r>
    </w:p>
    <w:p w14:paraId="3163B7D5">
      <w:pPr>
        <w:spacing w:line="600" w:lineRule="exact"/>
        <w:ind w:firstLine="420" w:firstLineChars="200"/>
        <w:rPr>
          <w:rFonts w:hint="eastAsia" w:ascii="宋体" w:hAnsi="宋体"/>
          <w:color w:val="auto"/>
          <w:highlight w:val="none"/>
        </w:rPr>
      </w:pPr>
    </w:p>
    <w:p w14:paraId="514DF6A1">
      <w:pPr>
        <w:spacing w:line="600" w:lineRule="exact"/>
        <w:ind w:firstLine="420" w:firstLineChars="200"/>
        <w:rPr>
          <w:rFonts w:hint="eastAsia" w:ascii="宋体" w:hAnsi="宋体"/>
          <w:color w:val="auto"/>
          <w:highlight w:val="none"/>
        </w:rPr>
      </w:pPr>
      <w:r>
        <w:rPr>
          <w:rFonts w:hint="eastAsia" w:ascii="宋体" w:hAnsi="宋体"/>
          <w:color w:val="auto"/>
          <w:highlight w:val="none"/>
        </w:rPr>
        <w:t>法定代表人或其委托代理人：</w:t>
      </w:r>
      <w:r>
        <w:rPr>
          <w:rFonts w:hint="eastAsia" w:ascii="宋体" w:hAnsi="宋体"/>
          <w:color w:val="auto"/>
          <w:highlight w:val="none"/>
          <w:u w:val="single"/>
        </w:rPr>
        <w:t xml:space="preserve">                       </w:t>
      </w:r>
      <w:r>
        <w:rPr>
          <w:rFonts w:hint="eastAsia" w:ascii="宋体" w:hAnsi="宋体"/>
          <w:color w:val="auto"/>
          <w:highlight w:val="none"/>
        </w:rPr>
        <w:t xml:space="preserve"> </w:t>
      </w:r>
      <w:r>
        <w:rPr>
          <w:rFonts w:hint="eastAsia"/>
          <w:color w:val="auto"/>
          <w:highlight w:val="none"/>
        </w:rPr>
        <w:t>(签字或盖章)</w:t>
      </w:r>
    </w:p>
    <w:p w14:paraId="56B4BF82">
      <w:pPr>
        <w:spacing w:line="600" w:lineRule="exact"/>
        <w:ind w:firstLine="420" w:firstLineChars="200"/>
        <w:rPr>
          <w:rFonts w:hint="eastAsia" w:ascii="宋体" w:hAnsi="宋体"/>
          <w:color w:val="auto"/>
          <w:highlight w:val="none"/>
          <w:u w:val="single"/>
        </w:rPr>
      </w:pPr>
    </w:p>
    <w:p w14:paraId="582C0E11">
      <w:pPr>
        <w:spacing w:line="600" w:lineRule="exact"/>
        <w:ind w:firstLine="420" w:firstLineChars="200"/>
        <w:rPr>
          <w:rFonts w:hint="eastAsia" w:ascii="宋体" w:hAnsi="宋体"/>
          <w:color w:val="auto"/>
          <w:highlight w:val="none"/>
          <w:u w:val="single"/>
        </w:rPr>
      </w:pPr>
      <w:r>
        <w:rPr>
          <w:rFonts w:hint="eastAsia" w:ascii="宋体" w:hAnsi="宋体"/>
          <w:color w:val="auto"/>
          <w:highlight w:val="none"/>
          <w:u w:val="none" w:color="auto"/>
          <w:lang w:val="en-US" w:eastAsia="zh-CN"/>
        </w:rPr>
        <w:t xml:space="preserve">                                                    </w:t>
      </w:r>
      <w:r>
        <w:rPr>
          <w:rFonts w:hint="eastAsia" w:ascii="宋体" w:hAnsi="宋体"/>
          <w:color w:val="auto"/>
          <w:highlight w:val="none"/>
          <w:u w:val="single" w:color="auto"/>
          <w:lang w:val="en-US" w:eastAsia="zh-CN"/>
        </w:rPr>
        <w:t xml:space="preserve">          </w:t>
      </w:r>
      <w:r>
        <w:rPr>
          <w:rFonts w:hint="eastAsia" w:ascii="宋体" w:hAnsi="宋体"/>
          <w:color w:val="auto"/>
          <w:highlight w:val="none"/>
        </w:rPr>
        <w:t>年</w:t>
      </w:r>
      <w:r>
        <w:rPr>
          <w:rFonts w:hint="eastAsia" w:ascii="宋体" w:hAnsi="宋体"/>
          <w:color w:val="auto"/>
          <w:highlight w:val="none"/>
          <w:u w:val="single"/>
        </w:rPr>
        <w:t xml:space="preserve"> </w:t>
      </w:r>
      <w:r>
        <w:rPr>
          <w:rFonts w:hint="eastAsia" w:ascii="宋体" w:hAnsi="宋体"/>
          <w:color w:val="auto"/>
          <w:highlight w:val="none"/>
          <w:u w:val="single"/>
          <w:lang w:val="en-US" w:eastAsia="zh-CN"/>
        </w:rPr>
        <w:t xml:space="preserve">   </w:t>
      </w:r>
      <w:r>
        <w:rPr>
          <w:rFonts w:hint="eastAsia" w:ascii="宋体" w:hAnsi="宋体"/>
          <w:color w:val="auto"/>
          <w:highlight w:val="none"/>
          <w:u w:val="single"/>
        </w:rPr>
        <w:t xml:space="preserve">  </w:t>
      </w:r>
      <w:r>
        <w:rPr>
          <w:rFonts w:hint="eastAsia" w:ascii="宋体" w:hAnsi="宋体"/>
          <w:color w:val="auto"/>
          <w:highlight w:val="none"/>
        </w:rPr>
        <w:t>月</w:t>
      </w:r>
      <w:r>
        <w:rPr>
          <w:rFonts w:hint="eastAsia" w:ascii="宋体" w:hAnsi="宋体"/>
          <w:color w:val="auto"/>
          <w:highlight w:val="none"/>
          <w:u w:val="single"/>
        </w:rPr>
        <w:t xml:space="preserve">      </w:t>
      </w:r>
      <w:r>
        <w:rPr>
          <w:rFonts w:hint="eastAsia" w:ascii="宋体" w:hAnsi="宋体"/>
          <w:color w:val="auto"/>
          <w:highlight w:val="none"/>
        </w:rPr>
        <w:t>日</w:t>
      </w:r>
    </w:p>
    <w:p w14:paraId="668AA968">
      <w:pPr>
        <w:widowControl w:val="0"/>
        <w:numPr>
          <w:ilvl w:val="0"/>
          <w:numId w:val="0"/>
        </w:numPr>
        <w:adjustRightInd w:val="0"/>
        <w:spacing w:line="400" w:lineRule="exact"/>
        <w:jc w:val="center"/>
        <w:textAlignment w:val="baseline"/>
        <w:rPr>
          <w:rFonts w:hint="eastAsia" w:ascii="宋体" w:hAnsi="宋体"/>
          <w:b/>
          <w:color w:val="auto"/>
          <w:sz w:val="30"/>
          <w:szCs w:val="30"/>
          <w:highlight w:val="none"/>
          <w:lang w:eastAsia="zh-CN"/>
        </w:rPr>
        <w:sectPr>
          <w:pgSz w:w="11905" w:h="16838"/>
          <w:pgMar w:top="1134" w:right="1134" w:bottom="1134" w:left="1417" w:header="850" w:footer="907" w:gutter="0"/>
          <w:pgNumType w:fmt="decimal"/>
          <w:cols w:space="0" w:num="1"/>
          <w:rtlGutter w:val="0"/>
          <w:docGrid w:type="lines" w:linePitch="316" w:charSpace="0"/>
        </w:sectPr>
      </w:pPr>
    </w:p>
    <w:p w14:paraId="7D1DEF67">
      <w:pPr>
        <w:spacing w:before="156" w:beforeLines="50" w:after="156" w:afterLines="50" w:line="600" w:lineRule="exact"/>
        <w:jc w:val="center"/>
        <w:rPr>
          <w:rFonts w:ascii="宋体" w:hAnsi="宋体"/>
          <w:b/>
          <w:color w:val="auto"/>
          <w:sz w:val="30"/>
          <w:szCs w:val="30"/>
          <w:highlight w:val="none"/>
        </w:rPr>
      </w:pPr>
      <w:r>
        <w:rPr>
          <w:rFonts w:hint="eastAsia" w:ascii="宋体" w:hAnsi="宋体"/>
          <w:b/>
          <w:color w:val="auto"/>
          <w:sz w:val="30"/>
          <w:szCs w:val="30"/>
          <w:highlight w:val="none"/>
          <w:lang w:val="en-US" w:eastAsia="zh-CN"/>
        </w:rPr>
        <w:t>四</w:t>
      </w:r>
      <w:r>
        <w:rPr>
          <w:rFonts w:hint="eastAsia" w:ascii="宋体" w:hAnsi="宋体"/>
          <w:b/>
          <w:color w:val="auto"/>
          <w:sz w:val="30"/>
          <w:szCs w:val="30"/>
          <w:highlight w:val="none"/>
        </w:rPr>
        <w:t>、安全防护、文明施工措施方案的承诺书</w:t>
      </w:r>
    </w:p>
    <w:p w14:paraId="20F73460">
      <w:pPr>
        <w:spacing w:line="400" w:lineRule="exact"/>
        <w:rPr>
          <w:rFonts w:ascii="宋体" w:hAnsi="宋体"/>
          <w:b/>
          <w:color w:val="auto"/>
          <w:szCs w:val="21"/>
          <w:highlight w:val="none"/>
        </w:rPr>
      </w:pPr>
    </w:p>
    <w:p w14:paraId="02AE9D2B">
      <w:pPr>
        <w:spacing w:line="480" w:lineRule="auto"/>
        <w:jc w:val="left"/>
        <w:rPr>
          <w:rFonts w:ascii="宋体" w:hAnsi="宋体"/>
          <w:bCs/>
          <w:color w:val="auto"/>
          <w:sz w:val="21"/>
          <w:szCs w:val="21"/>
          <w:highlight w:val="none"/>
        </w:rPr>
      </w:pPr>
      <w:r>
        <w:rPr>
          <w:rFonts w:hint="eastAsia" w:ascii="宋体" w:hAnsi="宋体"/>
          <w:bCs/>
          <w:color w:val="auto"/>
          <w:sz w:val="21"/>
          <w:szCs w:val="21"/>
          <w:highlight w:val="none"/>
        </w:rPr>
        <w:t>致</w:t>
      </w:r>
      <w:r>
        <w:rPr>
          <w:rFonts w:hint="eastAsia" w:ascii="宋体" w:hAnsi="宋体"/>
          <w:bCs/>
          <w:color w:val="auto"/>
          <w:sz w:val="21"/>
          <w:szCs w:val="21"/>
          <w:highlight w:val="none"/>
          <w:u w:val="single"/>
        </w:rPr>
        <w:t xml:space="preserve">      （采购人名称）     </w:t>
      </w:r>
      <w:r>
        <w:rPr>
          <w:rFonts w:hint="eastAsia" w:ascii="宋体" w:hAnsi="宋体"/>
          <w:bCs/>
          <w:color w:val="auto"/>
          <w:sz w:val="21"/>
          <w:szCs w:val="21"/>
          <w:highlight w:val="none"/>
        </w:rPr>
        <w:t>：</w:t>
      </w:r>
    </w:p>
    <w:p w14:paraId="21CC2640">
      <w:pPr>
        <w:spacing w:line="480" w:lineRule="auto"/>
        <w:ind w:firstLine="422" w:firstLineChars="201"/>
        <w:jc w:val="left"/>
        <w:rPr>
          <w:rFonts w:ascii="宋体" w:hAnsi="宋体"/>
          <w:bCs/>
          <w:color w:val="auto"/>
          <w:sz w:val="21"/>
          <w:szCs w:val="21"/>
          <w:highlight w:val="none"/>
        </w:rPr>
      </w:pPr>
      <w:r>
        <w:rPr>
          <w:rFonts w:hint="eastAsia" w:ascii="宋体" w:hAnsi="宋体"/>
          <w:bCs/>
          <w:color w:val="auto"/>
          <w:sz w:val="21"/>
          <w:szCs w:val="21"/>
          <w:highlight w:val="none"/>
        </w:rPr>
        <w:t>根据桂建质[2015]16号文件规定，我方在此向采购人承诺：</w:t>
      </w:r>
    </w:p>
    <w:p w14:paraId="7388ED08">
      <w:pPr>
        <w:spacing w:line="480" w:lineRule="auto"/>
        <w:ind w:firstLine="455" w:firstLineChars="217"/>
        <w:jc w:val="left"/>
        <w:rPr>
          <w:rFonts w:ascii="宋体" w:hAnsi="宋体"/>
          <w:bCs/>
          <w:color w:val="auto"/>
          <w:sz w:val="21"/>
          <w:szCs w:val="21"/>
          <w:highlight w:val="none"/>
        </w:rPr>
      </w:pPr>
      <w:r>
        <w:rPr>
          <w:rFonts w:hint="eastAsia" w:ascii="宋体" w:hAnsi="宋体"/>
          <w:bCs/>
          <w:color w:val="auto"/>
          <w:sz w:val="21"/>
          <w:szCs w:val="21"/>
          <w:highlight w:val="none"/>
        </w:rPr>
        <w:t>1、我方参与</w:t>
      </w:r>
      <w:r>
        <w:rPr>
          <w:rFonts w:hint="eastAsia" w:ascii="宋体" w:hAnsi="宋体"/>
          <w:bCs/>
          <w:color w:val="auto"/>
          <w:sz w:val="21"/>
          <w:szCs w:val="21"/>
          <w:highlight w:val="none"/>
          <w:lang w:eastAsia="zh-CN"/>
        </w:rPr>
        <w:t>磋商</w:t>
      </w:r>
      <w:r>
        <w:rPr>
          <w:rFonts w:hint="eastAsia" w:ascii="宋体" w:hAnsi="宋体"/>
          <w:bCs/>
          <w:color w:val="auto"/>
          <w:sz w:val="21"/>
          <w:szCs w:val="21"/>
          <w:highlight w:val="none"/>
        </w:rPr>
        <w:t>的</w:t>
      </w:r>
      <w:r>
        <w:rPr>
          <w:rFonts w:hint="eastAsia" w:ascii="宋体" w:hAnsi="宋体"/>
          <w:bCs/>
          <w:color w:val="auto"/>
          <w:sz w:val="21"/>
          <w:szCs w:val="21"/>
          <w:highlight w:val="none"/>
          <w:u w:val="single"/>
        </w:rPr>
        <w:t xml:space="preserve">    （工程名称）   </w:t>
      </w:r>
      <w:r>
        <w:rPr>
          <w:rFonts w:hint="eastAsia" w:ascii="宋体" w:hAnsi="宋体"/>
          <w:bCs/>
          <w:color w:val="auto"/>
          <w:sz w:val="21"/>
          <w:szCs w:val="21"/>
          <w:highlight w:val="none"/>
        </w:rPr>
        <w:t>项目，一旦成交，我方保证在施工过程中，严格执行《广西壮族自治区建设工程安全文明施工费使用管理细则》（桂建质[2015]16号）的有关规定，确保建设工程各项安全防护、文明施工措施落实到位。</w:t>
      </w:r>
    </w:p>
    <w:p w14:paraId="58A523DC">
      <w:pPr>
        <w:spacing w:line="480" w:lineRule="auto"/>
        <w:ind w:firstLine="455" w:firstLineChars="217"/>
        <w:jc w:val="left"/>
        <w:rPr>
          <w:rFonts w:ascii="宋体" w:hAnsi="宋体"/>
          <w:bCs/>
          <w:color w:val="auto"/>
          <w:sz w:val="21"/>
          <w:szCs w:val="21"/>
          <w:highlight w:val="none"/>
        </w:rPr>
      </w:pPr>
      <w:r>
        <w:rPr>
          <w:rFonts w:hint="eastAsia" w:ascii="宋体" w:hAnsi="宋体"/>
          <w:bCs/>
          <w:color w:val="auto"/>
          <w:sz w:val="21"/>
          <w:szCs w:val="21"/>
          <w:highlight w:val="none"/>
        </w:rPr>
        <w:t>2、如我方在承包的</w:t>
      </w:r>
      <w:r>
        <w:rPr>
          <w:rFonts w:hint="eastAsia" w:ascii="宋体" w:hAnsi="宋体"/>
          <w:bCs/>
          <w:color w:val="auto"/>
          <w:sz w:val="21"/>
          <w:szCs w:val="21"/>
          <w:highlight w:val="none"/>
          <w:u w:val="single"/>
        </w:rPr>
        <w:t xml:space="preserve">    （工程名称）    </w:t>
      </w:r>
      <w:r>
        <w:rPr>
          <w:rFonts w:hint="eastAsia" w:ascii="宋体" w:hAnsi="宋体"/>
          <w:bCs/>
          <w:color w:val="auto"/>
          <w:sz w:val="21"/>
          <w:szCs w:val="21"/>
          <w:highlight w:val="none"/>
        </w:rPr>
        <w:t>项目中出现未按桂建质[2015]16号文附件一规定执行的情形，我方愿意按照相关规定接受建设单位及有关主管部门的处罚。</w:t>
      </w:r>
    </w:p>
    <w:p w14:paraId="11F4E100">
      <w:pPr>
        <w:spacing w:line="560" w:lineRule="exact"/>
        <w:ind w:firstLine="420" w:firstLineChars="200"/>
        <w:rPr>
          <w:rFonts w:ascii="宋体" w:hAnsi="宋体"/>
          <w:bCs/>
          <w:color w:val="auto"/>
          <w:sz w:val="21"/>
          <w:szCs w:val="21"/>
          <w:highlight w:val="none"/>
        </w:rPr>
      </w:pPr>
    </w:p>
    <w:p w14:paraId="25FF7532">
      <w:pPr>
        <w:autoSpaceDE w:val="0"/>
        <w:autoSpaceDN w:val="0"/>
        <w:spacing w:line="300" w:lineRule="auto"/>
        <w:ind w:firstLine="210" w:firstLineChars="100"/>
        <w:rPr>
          <w:rFonts w:ascii="宋体" w:hAnsi="宋体"/>
          <w:color w:val="auto"/>
          <w:sz w:val="21"/>
          <w:szCs w:val="21"/>
          <w:highlight w:val="none"/>
        </w:rPr>
      </w:pPr>
      <w:r>
        <w:rPr>
          <w:rFonts w:hint="eastAsia" w:ascii="宋体" w:hAnsi="宋体"/>
          <w:color w:val="auto"/>
          <w:sz w:val="21"/>
          <w:szCs w:val="21"/>
          <w:highlight w:val="none"/>
          <w:lang w:eastAsia="zh-CN"/>
        </w:rPr>
        <w:t>磋商</w:t>
      </w:r>
      <w:r>
        <w:rPr>
          <w:rFonts w:hint="eastAsia" w:ascii="宋体" w:hAnsi="宋体"/>
          <w:color w:val="auto"/>
          <w:sz w:val="21"/>
          <w:szCs w:val="21"/>
          <w:highlight w:val="none"/>
        </w:rPr>
        <w:t>人（盖章）：</w:t>
      </w:r>
    </w:p>
    <w:p w14:paraId="463FD0A8">
      <w:pPr>
        <w:autoSpaceDE w:val="0"/>
        <w:autoSpaceDN w:val="0"/>
        <w:spacing w:line="300" w:lineRule="auto"/>
        <w:rPr>
          <w:rFonts w:ascii="宋体" w:hAnsi="宋体"/>
          <w:color w:val="auto"/>
          <w:sz w:val="21"/>
          <w:szCs w:val="21"/>
          <w:highlight w:val="none"/>
        </w:rPr>
      </w:pPr>
    </w:p>
    <w:p w14:paraId="0FC02459">
      <w:pPr>
        <w:autoSpaceDE w:val="0"/>
        <w:autoSpaceDN w:val="0"/>
        <w:spacing w:line="300" w:lineRule="auto"/>
        <w:ind w:firstLine="210" w:firstLineChars="100"/>
        <w:rPr>
          <w:rFonts w:ascii="宋体" w:hAnsi="宋体"/>
          <w:color w:val="auto"/>
          <w:sz w:val="21"/>
          <w:szCs w:val="21"/>
          <w:highlight w:val="none"/>
        </w:rPr>
      </w:pPr>
      <w:r>
        <w:rPr>
          <w:rFonts w:hint="eastAsia" w:ascii="宋体" w:hAnsi="宋体"/>
          <w:color w:val="auto"/>
          <w:sz w:val="21"/>
          <w:szCs w:val="21"/>
          <w:highlight w:val="none"/>
        </w:rPr>
        <w:t>法定代表人或其委托代理人（签字或盖章）：</w:t>
      </w:r>
    </w:p>
    <w:p w14:paraId="48FBF623">
      <w:pPr>
        <w:autoSpaceDE w:val="0"/>
        <w:autoSpaceDN w:val="0"/>
        <w:spacing w:line="300" w:lineRule="auto"/>
        <w:rPr>
          <w:rFonts w:ascii="宋体" w:hAnsi="宋体"/>
          <w:color w:val="auto"/>
          <w:sz w:val="21"/>
          <w:szCs w:val="21"/>
          <w:highlight w:val="none"/>
        </w:rPr>
      </w:pPr>
      <w:r>
        <w:rPr>
          <w:rFonts w:hint="eastAsia" w:ascii="宋体" w:hAnsi="宋体"/>
          <w:color w:val="auto"/>
          <w:sz w:val="21"/>
          <w:szCs w:val="21"/>
          <w:highlight w:val="none"/>
        </w:rPr>
        <w:t xml:space="preserve"> </w:t>
      </w:r>
    </w:p>
    <w:p w14:paraId="56BFE8C6">
      <w:pPr>
        <w:spacing w:before="156" w:beforeLines="50" w:line="360" w:lineRule="auto"/>
        <w:ind w:firstLine="420" w:firstLineChars="200"/>
        <w:rPr>
          <w:color w:val="auto"/>
          <w:highlight w:val="none"/>
        </w:rPr>
      </w:pPr>
      <w:r>
        <w:rPr>
          <w:rFonts w:hint="eastAsia" w:ascii="宋体" w:hAnsi="宋体"/>
          <w:color w:val="auto"/>
          <w:sz w:val="21"/>
          <w:szCs w:val="21"/>
          <w:highlight w:val="none"/>
        </w:rPr>
        <w:t>日期：      年    月    日</w:t>
      </w:r>
      <w:r>
        <w:rPr>
          <w:rFonts w:ascii="宋体" w:hAnsi="宋体"/>
          <w:bCs/>
          <w:color w:val="auto"/>
          <w:sz w:val="21"/>
          <w:szCs w:val="21"/>
          <w:highlight w:val="none"/>
        </w:rPr>
        <w:br w:type="page"/>
      </w:r>
    </w:p>
    <w:p w14:paraId="2914D453">
      <w:pPr>
        <w:spacing w:line="400" w:lineRule="exact"/>
        <w:jc w:val="center"/>
        <w:rPr>
          <w:rFonts w:ascii="宋体" w:hAnsi="宋体"/>
          <w:bCs/>
          <w:color w:val="auto"/>
          <w:highlight w:val="none"/>
        </w:rPr>
        <w:sectPr>
          <w:pgSz w:w="11905" w:h="16838"/>
          <w:pgMar w:top="1134" w:right="1134" w:bottom="1134" w:left="1417" w:header="850" w:footer="907" w:gutter="0"/>
          <w:pgNumType w:fmt="decimal"/>
          <w:cols w:space="0" w:num="1"/>
          <w:rtlGutter w:val="0"/>
          <w:docGrid w:type="lines" w:linePitch="316" w:charSpace="0"/>
        </w:sectPr>
      </w:pPr>
    </w:p>
    <w:p w14:paraId="248DE5B3">
      <w:pPr>
        <w:spacing w:before="156" w:beforeLines="50" w:after="156" w:afterLines="50" w:line="600" w:lineRule="exact"/>
        <w:jc w:val="center"/>
        <w:rPr>
          <w:rFonts w:ascii="宋体" w:hAnsi="宋体"/>
          <w:bCs/>
          <w:color w:val="auto"/>
          <w:highlight w:val="none"/>
        </w:rPr>
      </w:pPr>
      <w:r>
        <w:rPr>
          <w:rFonts w:hint="eastAsia" w:ascii="宋体" w:hAnsi="宋体"/>
          <w:b/>
          <w:color w:val="auto"/>
          <w:sz w:val="30"/>
          <w:szCs w:val="30"/>
          <w:highlight w:val="none"/>
          <w:lang w:val="en-US" w:eastAsia="zh-CN"/>
        </w:rPr>
        <w:t>五</w:t>
      </w:r>
      <w:r>
        <w:rPr>
          <w:rFonts w:hint="eastAsia" w:ascii="宋体" w:hAnsi="宋体"/>
          <w:b/>
          <w:color w:val="auto"/>
          <w:sz w:val="30"/>
          <w:szCs w:val="30"/>
          <w:highlight w:val="none"/>
          <w:lang w:eastAsia="zh-CN"/>
        </w:rPr>
        <w:t>、</w:t>
      </w:r>
      <w:r>
        <w:rPr>
          <w:rFonts w:hint="eastAsia" w:ascii="宋体" w:hAnsi="宋体"/>
          <w:b/>
          <w:color w:val="auto"/>
          <w:sz w:val="30"/>
          <w:szCs w:val="30"/>
          <w:highlight w:val="none"/>
        </w:rPr>
        <w:t>施工组织方案</w:t>
      </w:r>
    </w:p>
    <w:p w14:paraId="02554148">
      <w:pPr>
        <w:spacing w:line="440" w:lineRule="exact"/>
        <w:ind w:firstLine="420" w:firstLineChars="200"/>
        <w:jc w:val="left"/>
        <w:rPr>
          <w:rFonts w:ascii="宋体" w:hAnsi="宋体" w:cs="宋体"/>
          <w:bCs/>
          <w:sz w:val="21"/>
          <w:szCs w:val="21"/>
        </w:rPr>
      </w:pPr>
      <w:r>
        <w:rPr>
          <w:rFonts w:hint="eastAsia" w:ascii="宋体" w:hAnsi="宋体" w:cs="宋体"/>
          <w:bCs/>
          <w:sz w:val="21"/>
          <w:szCs w:val="21"/>
          <w:lang w:val="en-US" w:eastAsia="zh-CN"/>
        </w:rPr>
        <w:t>格式自拟，</w:t>
      </w:r>
      <w:r>
        <w:rPr>
          <w:rFonts w:hint="eastAsia" w:ascii="宋体" w:hAnsi="宋体" w:cs="宋体"/>
          <w:bCs/>
          <w:sz w:val="21"/>
          <w:szCs w:val="21"/>
          <w:lang w:eastAsia="zh-CN"/>
        </w:rPr>
        <w:t>磋商人</w:t>
      </w:r>
      <w:r>
        <w:rPr>
          <w:rFonts w:hint="eastAsia" w:ascii="宋体" w:hAnsi="宋体" w:cs="宋体"/>
          <w:bCs/>
          <w:sz w:val="21"/>
          <w:szCs w:val="21"/>
        </w:rPr>
        <w:t>编制施工组织设计的要求：编制时应采用文字并结合图表形式说明施工方法；拟投入本工程的主要施工设备情况、拟配备本工程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14:paraId="65B01075">
      <w:pPr>
        <w:spacing w:line="440" w:lineRule="exact"/>
        <w:ind w:firstLine="420" w:firstLineChars="200"/>
        <w:jc w:val="left"/>
        <w:rPr>
          <w:rFonts w:hint="eastAsia" w:ascii="宋体" w:hAnsi="宋体" w:eastAsia="宋体" w:cs="宋体"/>
          <w:bCs/>
          <w:sz w:val="21"/>
          <w:szCs w:val="21"/>
          <w:lang w:val="en-US" w:eastAsia="zh-CN"/>
        </w:rPr>
      </w:pPr>
    </w:p>
    <w:p w14:paraId="04A9A643">
      <w:pPr>
        <w:pStyle w:val="5"/>
        <w:keepNext w:val="0"/>
        <w:keepLines w:val="0"/>
        <w:jc w:val="center"/>
        <w:rPr>
          <w:sz w:val="28"/>
          <w:szCs w:val="28"/>
        </w:rPr>
      </w:pPr>
      <w:r>
        <w:rPr>
          <w:rFonts w:hint="eastAsia" w:ascii="宋体" w:hAnsi="宋体" w:cs="宋体"/>
          <w:b/>
          <w:szCs w:val="21"/>
        </w:rPr>
        <w:br w:type="page"/>
      </w:r>
      <w:r>
        <w:rPr>
          <w:rFonts w:hint="eastAsia" w:ascii="宋体" w:hAnsi="宋体" w:cs="宋体"/>
          <w:b/>
          <w:szCs w:val="21"/>
          <w:lang w:val="en-US" w:eastAsia="zh-CN"/>
        </w:rPr>
        <w:t>六、</w:t>
      </w:r>
      <w:r>
        <w:rPr>
          <w:rFonts w:hint="eastAsia"/>
          <w:sz w:val="28"/>
          <w:szCs w:val="28"/>
        </w:rPr>
        <w:t>项目管理机构</w:t>
      </w:r>
    </w:p>
    <w:p w14:paraId="6C38D36D">
      <w:pPr>
        <w:spacing w:before="156" w:beforeLines="50" w:after="312" w:afterLines="100" w:line="500" w:lineRule="exact"/>
        <w:jc w:val="center"/>
        <w:rPr>
          <w:rFonts w:ascii="宋体" w:hAnsi="宋体"/>
          <w:color w:val="auto"/>
          <w:szCs w:val="21"/>
          <w:highlight w:val="none"/>
        </w:rPr>
      </w:pPr>
      <w:r>
        <w:rPr>
          <w:rFonts w:hint="eastAsia" w:ascii="宋体" w:hAnsi="宋体"/>
          <w:b/>
          <w:color w:val="auto"/>
          <w:sz w:val="28"/>
          <w:szCs w:val="21"/>
          <w:highlight w:val="none"/>
          <w:lang w:val="en-US" w:eastAsia="zh-CN"/>
        </w:rPr>
        <w:t>2.1</w:t>
      </w:r>
      <w:r>
        <w:rPr>
          <w:rFonts w:hint="eastAsia" w:ascii="宋体" w:hAnsi="宋体"/>
          <w:b/>
          <w:color w:val="auto"/>
          <w:sz w:val="28"/>
          <w:szCs w:val="21"/>
          <w:highlight w:val="none"/>
        </w:rPr>
        <w:t>项目管理机构配备情况表</w:t>
      </w:r>
    </w:p>
    <w:p w14:paraId="0B1550CB">
      <w:pPr>
        <w:spacing w:line="400" w:lineRule="exact"/>
        <w:rPr>
          <w:rFonts w:ascii="宋体" w:hAnsi="宋体"/>
          <w:color w:val="auto"/>
          <w:sz w:val="21"/>
          <w:szCs w:val="21"/>
          <w:highlight w:val="none"/>
        </w:rPr>
      </w:pPr>
      <w:r>
        <w:rPr>
          <w:rFonts w:hint="eastAsia" w:ascii="宋体" w:hAnsi="宋体"/>
          <w:color w:val="auto"/>
          <w:sz w:val="21"/>
          <w:szCs w:val="21"/>
          <w:highlight w:val="none"/>
          <w:u w:val="single"/>
        </w:rPr>
        <w:t xml:space="preserve">    （工程项目名称）   </w:t>
      </w:r>
      <w:r>
        <w:rPr>
          <w:rFonts w:hint="eastAsia" w:ascii="宋体" w:hAnsi="宋体"/>
          <w:color w:val="auto"/>
          <w:sz w:val="21"/>
          <w:szCs w:val="21"/>
          <w:highlight w:val="none"/>
        </w:rPr>
        <w:t>工程</w:t>
      </w:r>
    </w:p>
    <w:tbl>
      <w:tblPr>
        <w:tblStyle w:val="23"/>
        <w:tblW w:w="99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900"/>
        <w:gridCol w:w="900"/>
        <w:gridCol w:w="2115"/>
        <w:gridCol w:w="1313"/>
        <w:gridCol w:w="1637"/>
        <w:gridCol w:w="1213"/>
        <w:gridCol w:w="1029"/>
      </w:tblGrid>
      <w:tr w14:paraId="37A1E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trPr>
        <w:tc>
          <w:tcPr>
            <w:tcW w:w="828" w:type="dxa"/>
            <w:vMerge w:val="restart"/>
            <w:noWrap w:val="0"/>
            <w:vAlign w:val="center"/>
          </w:tcPr>
          <w:p w14:paraId="66CA7A0B">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职务</w:t>
            </w:r>
          </w:p>
        </w:tc>
        <w:tc>
          <w:tcPr>
            <w:tcW w:w="900" w:type="dxa"/>
            <w:vMerge w:val="restart"/>
            <w:noWrap w:val="0"/>
            <w:vAlign w:val="center"/>
          </w:tcPr>
          <w:p w14:paraId="4182CE35">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姓名</w:t>
            </w:r>
          </w:p>
        </w:tc>
        <w:tc>
          <w:tcPr>
            <w:tcW w:w="900" w:type="dxa"/>
            <w:vMerge w:val="restart"/>
            <w:noWrap w:val="0"/>
            <w:vAlign w:val="center"/>
          </w:tcPr>
          <w:p w14:paraId="224A5418">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职称</w:t>
            </w:r>
          </w:p>
        </w:tc>
        <w:tc>
          <w:tcPr>
            <w:tcW w:w="6278" w:type="dxa"/>
            <w:gridSpan w:val="4"/>
            <w:noWrap w:val="0"/>
            <w:vAlign w:val="center"/>
          </w:tcPr>
          <w:p w14:paraId="2C197313">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执业或职业资格证明</w:t>
            </w:r>
          </w:p>
        </w:tc>
        <w:tc>
          <w:tcPr>
            <w:tcW w:w="1029" w:type="dxa"/>
            <w:vMerge w:val="restart"/>
            <w:noWrap w:val="0"/>
            <w:vAlign w:val="center"/>
          </w:tcPr>
          <w:p w14:paraId="62EF0793">
            <w:pPr>
              <w:spacing w:line="400" w:lineRule="exact"/>
              <w:jc w:val="center"/>
              <w:rPr>
                <w:rFonts w:hint="eastAsia" w:ascii="宋体" w:hAnsi="宋体" w:eastAsia="宋体"/>
                <w:color w:val="auto"/>
                <w:sz w:val="21"/>
                <w:szCs w:val="21"/>
                <w:highlight w:val="none"/>
                <w:lang w:eastAsia="zh-CN"/>
              </w:rPr>
            </w:pPr>
            <w:r>
              <w:rPr>
                <w:rFonts w:hint="eastAsia" w:ascii="宋体" w:hAnsi="宋体"/>
                <w:color w:val="auto"/>
                <w:sz w:val="21"/>
                <w:szCs w:val="21"/>
                <w:highlight w:val="none"/>
                <w:lang w:eastAsia="zh-CN"/>
              </w:rPr>
              <w:t>备注</w:t>
            </w:r>
          </w:p>
        </w:tc>
      </w:tr>
      <w:tr w14:paraId="42C7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trPr>
        <w:tc>
          <w:tcPr>
            <w:tcW w:w="828" w:type="dxa"/>
            <w:vMerge w:val="continue"/>
            <w:noWrap w:val="0"/>
            <w:vAlign w:val="center"/>
          </w:tcPr>
          <w:p w14:paraId="3A61E0E9">
            <w:pPr>
              <w:spacing w:line="400" w:lineRule="exact"/>
              <w:jc w:val="center"/>
              <w:rPr>
                <w:rFonts w:ascii="宋体" w:hAnsi="宋体"/>
                <w:color w:val="auto"/>
                <w:sz w:val="21"/>
                <w:szCs w:val="21"/>
                <w:highlight w:val="none"/>
              </w:rPr>
            </w:pPr>
          </w:p>
        </w:tc>
        <w:tc>
          <w:tcPr>
            <w:tcW w:w="900" w:type="dxa"/>
            <w:vMerge w:val="continue"/>
            <w:noWrap w:val="0"/>
            <w:vAlign w:val="center"/>
          </w:tcPr>
          <w:p w14:paraId="1BD0D691">
            <w:pPr>
              <w:spacing w:line="400" w:lineRule="exact"/>
              <w:jc w:val="center"/>
              <w:rPr>
                <w:rFonts w:ascii="宋体" w:hAnsi="宋体"/>
                <w:color w:val="auto"/>
                <w:sz w:val="21"/>
                <w:szCs w:val="21"/>
                <w:highlight w:val="none"/>
              </w:rPr>
            </w:pPr>
          </w:p>
        </w:tc>
        <w:tc>
          <w:tcPr>
            <w:tcW w:w="900" w:type="dxa"/>
            <w:vMerge w:val="continue"/>
            <w:noWrap w:val="0"/>
            <w:vAlign w:val="center"/>
          </w:tcPr>
          <w:p w14:paraId="35181E69">
            <w:pPr>
              <w:spacing w:line="400" w:lineRule="exact"/>
              <w:jc w:val="center"/>
              <w:rPr>
                <w:rFonts w:ascii="宋体" w:hAnsi="宋体"/>
                <w:color w:val="auto"/>
                <w:sz w:val="21"/>
                <w:szCs w:val="21"/>
                <w:highlight w:val="none"/>
              </w:rPr>
            </w:pPr>
          </w:p>
        </w:tc>
        <w:tc>
          <w:tcPr>
            <w:tcW w:w="2115" w:type="dxa"/>
            <w:noWrap w:val="0"/>
            <w:vAlign w:val="center"/>
          </w:tcPr>
          <w:p w14:paraId="4DAB78F0">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证书名称</w:t>
            </w:r>
          </w:p>
        </w:tc>
        <w:tc>
          <w:tcPr>
            <w:tcW w:w="1313" w:type="dxa"/>
            <w:noWrap w:val="0"/>
            <w:vAlign w:val="center"/>
          </w:tcPr>
          <w:p w14:paraId="6E6EA73A">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级别</w:t>
            </w:r>
          </w:p>
        </w:tc>
        <w:tc>
          <w:tcPr>
            <w:tcW w:w="1637" w:type="dxa"/>
            <w:noWrap w:val="0"/>
            <w:vAlign w:val="center"/>
          </w:tcPr>
          <w:p w14:paraId="5397477C">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证号</w:t>
            </w:r>
          </w:p>
        </w:tc>
        <w:tc>
          <w:tcPr>
            <w:tcW w:w="1213" w:type="dxa"/>
            <w:noWrap w:val="0"/>
            <w:vAlign w:val="center"/>
          </w:tcPr>
          <w:p w14:paraId="1BA7043C">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专业</w:t>
            </w:r>
          </w:p>
        </w:tc>
        <w:tc>
          <w:tcPr>
            <w:tcW w:w="1029" w:type="dxa"/>
            <w:vMerge w:val="continue"/>
            <w:noWrap w:val="0"/>
            <w:vAlign w:val="center"/>
          </w:tcPr>
          <w:p w14:paraId="10DF5032">
            <w:pPr>
              <w:spacing w:line="400" w:lineRule="exact"/>
              <w:jc w:val="center"/>
              <w:rPr>
                <w:rFonts w:ascii="宋体" w:hAnsi="宋体"/>
                <w:color w:val="auto"/>
                <w:sz w:val="21"/>
                <w:szCs w:val="21"/>
                <w:highlight w:val="none"/>
              </w:rPr>
            </w:pPr>
          </w:p>
        </w:tc>
      </w:tr>
      <w:tr w14:paraId="2D87A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28" w:type="dxa"/>
            <w:noWrap w:val="0"/>
            <w:vAlign w:val="center"/>
          </w:tcPr>
          <w:p w14:paraId="7E7C3028">
            <w:pPr>
              <w:spacing w:line="400" w:lineRule="exact"/>
              <w:jc w:val="center"/>
              <w:rPr>
                <w:rFonts w:ascii="宋体" w:hAnsi="宋体"/>
                <w:color w:val="auto"/>
                <w:sz w:val="21"/>
                <w:szCs w:val="21"/>
                <w:highlight w:val="none"/>
              </w:rPr>
            </w:pPr>
          </w:p>
        </w:tc>
        <w:tc>
          <w:tcPr>
            <w:tcW w:w="900" w:type="dxa"/>
            <w:noWrap w:val="0"/>
            <w:vAlign w:val="center"/>
          </w:tcPr>
          <w:p w14:paraId="39F34C87">
            <w:pPr>
              <w:spacing w:line="400" w:lineRule="exact"/>
              <w:jc w:val="center"/>
              <w:rPr>
                <w:rFonts w:ascii="宋体" w:hAnsi="宋体"/>
                <w:color w:val="auto"/>
                <w:sz w:val="21"/>
                <w:szCs w:val="21"/>
                <w:highlight w:val="none"/>
              </w:rPr>
            </w:pPr>
          </w:p>
        </w:tc>
        <w:tc>
          <w:tcPr>
            <w:tcW w:w="900" w:type="dxa"/>
            <w:noWrap w:val="0"/>
            <w:vAlign w:val="center"/>
          </w:tcPr>
          <w:p w14:paraId="3D7BBDBB">
            <w:pPr>
              <w:spacing w:line="400" w:lineRule="exact"/>
              <w:jc w:val="center"/>
              <w:rPr>
                <w:rFonts w:ascii="宋体" w:hAnsi="宋体"/>
                <w:color w:val="auto"/>
                <w:sz w:val="21"/>
                <w:szCs w:val="21"/>
                <w:highlight w:val="none"/>
              </w:rPr>
            </w:pPr>
          </w:p>
        </w:tc>
        <w:tc>
          <w:tcPr>
            <w:tcW w:w="2115" w:type="dxa"/>
            <w:noWrap w:val="0"/>
            <w:vAlign w:val="center"/>
          </w:tcPr>
          <w:p w14:paraId="122F2B61">
            <w:pPr>
              <w:spacing w:line="400" w:lineRule="exact"/>
              <w:jc w:val="center"/>
              <w:rPr>
                <w:rFonts w:ascii="宋体" w:hAnsi="宋体"/>
                <w:color w:val="auto"/>
                <w:sz w:val="21"/>
                <w:szCs w:val="21"/>
                <w:highlight w:val="none"/>
              </w:rPr>
            </w:pPr>
          </w:p>
        </w:tc>
        <w:tc>
          <w:tcPr>
            <w:tcW w:w="1313" w:type="dxa"/>
            <w:noWrap w:val="0"/>
            <w:vAlign w:val="center"/>
          </w:tcPr>
          <w:p w14:paraId="558DC61B">
            <w:pPr>
              <w:spacing w:line="400" w:lineRule="exact"/>
              <w:jc w:val="center"/>
              <w:rPr>
                <w:rFonts w:ascii="宋体" w:hAnsi="宋体"/>
                <w:color w:val="auto"/>
                <w:sz w:val="21"/>
                <w:szCs w:val="21"/>
                <w:highlight w:val="none"/>
              </w:rPr>
            </w:pPr>
          </w:p>
        </w:tc>
        <w:tc>
          <w:tcPr>
            <w:tcW w:w="1637" w:type="dxa"/>
            <w:noWrap w:val="0"/>
            <w:vAlign w:val="center"/>
          </w:tcPr>
          <w:p w14:paraId="3A0859DD">
            <w:pPr>
              <w:spacing w:line="400" w:lineRule="exact"/>
              <w:jc w:val="center"/>
              <w:rPr>
                <w:rFonts w:ascii="宋体" w:hAnsi="宋体"/>
                <w:color w:val="auto"/>
                <w:sz w:val="21"/>
                <w:szCs w:val="21"/>
                <w:highlight w:val="none"/>
              </w:rPr>
            </w:pPr>
          </w:p>
        </w:tc>
        <w:tc>
          <w:tcPr>
            <w:tcW w:w="1213" w:type="dxa"/>
            <w:noWrap w:val="0"/>
            <w:vAlign w:val="center"/>
          </w:tcPr>
          <w:p w14:paraId="06E20245">
            <w:pPr>
              <w:spacing w:line="400" w:lineRule="exact"/>
              <w:jc w:val="center"/>
              <w:rPr>
                <w:rFonts w:ascii="宋体" w:hAnsi="宋体"/>
                <w:color w:val="auto"/>
                <w:sz w:val="21"/>
                <w:szCs w:val="21"/>
                <w:highlight w:val="none"/>
              </w:rPr>
            </w:pPr>
          </w:p>
        </w:tc>
        <w:tc>
          <w:tcPr>
            <w:tcW w:w="1029" w:type="dxa"/>
            <w:noWrap w:val="0"/>
            <w:vAlign w:val="center"/>
          </w:tcPr>
          <w:p w14:paraId="7CDB83DC">
            <w:pPr>
              <w:spacing w:line="400" w:lineRule="exact"/>
              <w:jc w:val="center"/>
              <w:rPr>
                <w:rFonts w:ascii="宋体" w:hAnsi="宋体"/>
                <w:color w:val="auto"/>
                <w:sz w:val="21"/>
                <w:szCs w:val="21"/>
                <w:highlight w:val="none"/>
              </w:rPr>
            </w:pPr>
          </w:p>
        </w:tc>
      </w:tr>
      <w:tr w14:paraId="3712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28" w:type="dxa"/>
            <w:noWrap w:val="0"/>
            <w:vAlign w:val="center"/>
          </w:tcPr>
          <w:p w14:paraId="234AAAD3">
            <w:pPr>
              <w:spacing w:line="400" w:lineRule="exact"/>
              <w:jc w:val="center"/>
              <w:rPr>
                <w:rFonts w:ascii="宋体" w:hAnsi="宋体"/>
                <w:color w:val="auto"/>
                <w:sz w:val="21"/>
                <w:szCs w:val="21"/>
                <w:highlight w:val="none"/>
              </w:rPr>
            </w:pPr>
          </w:p>
        </w:tc>
        <w:tc>
          <w:tcPr>
            <w:tcW w:w="900" w:type="dxa"/>
            <w:noWrap w:val="0"/>
            <w:vAlign w:val="center"/>
          </w:tcPr>
          <w:p w14:paraId="66D82297">
            <w:pPr>
              <w:spacing w:line="400" w:lineRule="exact"/>
              <w:jc w:val="center"/>
              <w:rPr>
                <w:rFonts w:ascii="宋体" w:hAnsi="宋体"/>
                <w:color w:val="auto"/>
                <w:sz w:val="21"/>
                <w:szCs w:val="21"/>
                <w:highlight w:val="none"/>
              </w:rPr>
            </w:pPr>
          </w:p>
        </w:tc>
        <w:tc>
          <w:tcPr>
            <w:tcW w:w="900" w:type="dxa"/>
            <w:noWrap w:val="0"/>
            <w:vAlign w:val="center"/>
          </w:tcPr>
          <w:p w14:paraId="1AC15AAD">
            <w:pPr>
              <w:spacing w:line="400" w:lineRule="exact"/>
              <w:jc w:val="center"/>
              <w:rPr>
                <w:rFonts w:ascii="宋体" w:hAnsi="宋体"/>
                <w:color w:val="auto"/>
                <w:sz w:val="21"/>
                <w:szCs w:val="21"/>
                <w:highlight w:val="none"/>
              </w:rPr>
            </w:pPr>
          </w:p>
        </w:tc>
        <w:tc>
          <w:tcPr>
            <w:tcW w:w="2115" w:type="dxa"/>
            <w:noWrap w:val="0"/>
            <w:vAlign w:val="center"/>
          </w:tcPr>
          <w:p w14:paraId="0E0DE8E4">
            <w:pPr>
              <w:spacing w:line="400" w:lineRule="exact"/>
              <w:jc w:val="center"/>
              <w:rPr>
                <w:rFonts w:ascii="宋体" w:hAnsi="宋体"/>
                <w:color w:val="auto"/>
                <w:sz w:val="21"/>
                <w:szCs w:val="21"/>
                <w:highlight w:val="none"/>
              </w:rPr>
            </w:pPr>
          </w:p>
        </w:tc>
        <w:tc>
          <w:tcPr>
            <w:tcW w:w="1313" w:type="dxa"/>
            <w:noWrap w:val="0"/>
            <w:vAlign w:val="center"/>
          </w:tcPr>
          <w:p w14:paraId="665DC3B5">
            <w:pPr>
              <w:spacing w:line="400" w:lineRule="exact"/>
              <w:jc w:val="center"/>
              <w:rPr>
                <w:rFonts w:ascii="宋体" w:hAnsi="宋体"/>
                <w:color w:val="auto"/>
                <w:sz w:val="21"/>
                <w:szCs w:val="21"/>
                <w:highlight w:val="none"/>
              </w:rPr>
            </w:pPr>
          </w:p>
        </w:tc>
        <w:tc>
          <w:tcPr>
            <w:tcW w:w="1637" w:type="dxa"/>
            <w:noWrap w:val="0"/>
            <w:vAlign w:val="center"/>
          </w:tcPr>
          <w:p w14:paraId="60E89DD4">
            <w:pPr>
              <w:spacing w:line="400" w:lineRule="exact"/>
              <w:jc w:val="center"/>
              <w:rPr>
                <w:rFonts w:ascii="宋体" w:hAnsi="宋体"/>
                <w:color w:val="auto"/>
                <w:sz w:val="21"/>
                <w:szCs w:val="21"/>
                <w:highlight w:val="none"/>
              </w:rPr>
            </w:pPr>
          </w:p>
        </w:tc>
        <w:tc>
          <w:tcPr>
            <w:tcW w:w="1213" w:type="dxa"/>
            <w:noWrap w:val="0"/>
            <w:vAlign w:val="center"/>
          </w:tcPr>
          <w:p w14:paraId="0CA87857">
            <w:pPr>
              <w:spacing w:line="400" w:lineRule="exact"/>
              <w:jc w:val="center"/>
              <w:rPr>
                <w:rFonts w:ascii="宋体" w:hAnsi="宋体"/>
                <w:color w:val="auto"/>
                <w:sz w:val="21"/>
                <w:szCs w:val="21"/>
                <w:highlight w:val="none"/>
              </w:rPr>
            </w:pPr>
          </w:p>
        </w:tc>
        <w:tc>
          <w:tcPr>
            <w:tcW w:w="1029" w:type="dxa"/>
            <w:noWrap w:val="0"/>
            <w:vAlign w:val="center"/>
          </w:tcPr>
          <w:p w14:paraId="7342A31A">
            <w:pPr>
              <w:spacing w:line="400" w:lineRule="exact"/>
              <w:jc w:val="center"/>
              <w:rPr>
                <w:rFonts w:ascii="宋体" w:hAnsi="宋体"/>
                <w:color w:val="auto"/>
                <w:sz w:val="21"/>
                <w:szCs w:val="21"/>
                <w:highlight w:val="none"/>
              </w:rPr>
            </w:pPr>
          </w:p>
        </w:tc>
      </w:tr>
      <w:tr w14:paraId="75EF4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1" w:hRule="atLeast"/>
        </w:trPr>
        <w:tc>
          <w:tcPr>
            <w:tcW w:w="828" w:type="dxa"/>
            <w:noWrap w:val="0"/>
            <w:vAlign w:val="center"/>
          </w:tcPr>
          <w:p w14:paraId="6BF13D80">
            <w:pPr>
              <w:spacing w:line="400" w:lineRule="exact"/>
              <w:jc w:val="center"/>
              <w:rPr>
                <w:rFonts w:ascii="宋体" w:hAnsi="宋体"/>
                <w:color w:val="auto"/>
                <w:sz w:val="21"/>
                <w:szCs w:val="21"/>
                <w:highlight w:val="none"/>
              </w:rPr>
            </w:pPr>
          </w:p>
        </w:tc>
        <w:tc>
          <w:tcPr>
            <w:tcW w:w="900" w:type="dxa"/>
            <w:noWrap w:val="0"/>
            <w:vAlign w:val="center"/>
          </w:tcPr>
          <w:p w14:paraId="606E7A8F">
            <w:pPr>
              <w:spacing w:line="400" w:lineRule="exact"/>
              <w:jc w:val="center"/>
              <w:rPr>
                <w:rFonts w:ascii="宋体" w:hAnsi="宋体"/>
                <w:color w:val="auto"/>
                <w:sz w:val="21"/>
                <w:szCs w:val="21"/>
                <w:highlight w:val="none"/>
              </w:rPr>
            </w:pPr>
          </w:p>
        </w:tc>
        <w:tc>
          <w:tcPr>
            <w:tcW w:w="900" w:type="dxa"/>
            <w:noWrap w:val="0"/>
            <w:vAlign w:val="center"/>
          </w:tcPr>
          <w:p w14:paraId="34D62080">
            <w:pPr>
              <w:spacing w:line="400" w:lineRule="exact"/>
              <w:jc w:val="center"/>
              <w:rPr>
                <w:rFonts w:ascii="宋体" w:hAnsi="宋体"/>
                <w:color w:val="auto"/>
                <w:sz w:val="21"/>
                <w:szCs w:val="21"/>
                <w:highlight w:val="none"/>
              </w:rPr>
            </w:pPr>
          </w:p>
        </w:tc>
        <w:tc>
          <w:tcPr>
            <w:tcW w:w="2115" w:type="dxa"/>
            <w:noWrap w:val="0"/>
            <w:vAlign w:val="center"/>
          </w:tcPr>
          <w:p w14:paraId="5D4C8D05">
            <w:pPr>
              <w:spacing w:line="400" w:lineRule="exact"/>
              <w:jc w:val="center"/>
              <w:rPr>
                <w:rFonts w:ascii="宋体" w:hAnsi="宋体"/>
                <w:color w:val="auto"/>
                <w:sz w:val="21"/>
                <w:szCs w:val="21"/>
                <w:highlight w:val="none"/>
              </w:rPr>
            </w:pPr>
          </w:p>
        </w:tc>
        <w:tc>
          <w:tcPr>
            <w:tcW w:w="1313" w:type="dxa"/>
            <w:noWrap w:val="0"/>
            <w:vAlign w:val="center"/>
          </w:tcPr>
          <w:p w14:paraId="099EB256">
            <w:pPr>
              <w:spacing w:line="400" w:lineRule="exact"/>
              <w:jc w:val="center"/>
              <w:rPr>
                <w:rFonts w:ascii="宋体" w:hAnsi="宋体"/>
                <w:color w:val="auto"/>
                <w:sz w:val="21"/>
                <w:szCs w:val="21"/>
                <w:highlight w:val="none"/>
              </w:rPr>
            </w:pPr>
          </w:p>
        </w:tc>
        <w:tc>
          <w:tcPr>
            <w:tcW w:w="1637" w:type="dxa"/>
            <w:noWrap w:val="0"/>
            <w:vAlign w:val="center"/>
          </w:tcPr>
          <w:p w14:paraId="365923E4">
            <w:pPr>
              <w:spacing w:line="400" w:lineRule="exact"/>
              <w:jc w:val="center"/>
              <w:rPr>
                <w:rFonts w:ascii="宋体" w:hAnsi="宋体"/>
                <w:color w:val="auto"/>
                <w:sz w:val="21"/>
                <w:szCs w:val="21"/>
                <w:highlight w:val="none"/>
              </w:rPr>
            </w:pPr>
          </w:p>
        </w:tc>
        <w:tc>
          <w:tcPr>
            <w:tcW w:w="1213" w:type="dxa"/>
            <w:noWrap w:val="0"/>
            <w:vAlign w:val="center"/>
          </w:tcPr>
          <w:p w14:paraId="30799E00">
            <w:pPr>
              <w:spacing w:line="400" w:lineRule="exact"/>
              <w:jc w:val="center"/>
              <w:rPr>
                <w:rFonts w:ascii="宋体" w:hAnsi="宋体"/>
                <w:color w:val="auto"/>
                <w:sz w:val="21"/>
                <w:szCs w:val="21"/>
                <w:highlight w:val="none"/>
              </w:rPr>
            </w:pPr>
          </w:p>
        </w:tc>
        <w:tc>
          <w:tcPr>
            <w:tcW w:w="1029" w:type="dxa"/>
            <w:noWrap w:val="0"/>
            <w:vAlign w:val="center"/>
          </w:tcPr>
          <w:p w14:paraId="02EB01D9">
            <w:pPr>
              <w:spacing w:line="400" w:lineRule="exact"/>
              <w:jc w:val="center"/>
              <w:rPr>
                <w:rFonts w:ascii="宋体" w:hAnsi="宋体"/>
                <w:color w:val="auto"/>
                <w:sz w:val="21"/>
                <w:szCs w:val="21"/>
                <w:highlight w:val="none"/>
              </w:rPr>
            </w:pPr>
          </w:p>
        </w:tc>
      </w:tr>
      <w:tr w14:paraId="1037E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28" w:type="dxa"/>
            <w:noWrap w:val="0"/>
            <w:vAlign w:val="center"/>
          </w:tcPr>
          <w:p w14:paraId="77821D18">
            <w:pPr>
              <w:spacing w:line="400" w:lineRule="exact"/>
              <w:jc w:val="center"/>
              <w:rPr>
                <w:rFonts w:ascii="宋体" w:hAnsi="宋体"/>
                <w:color w:val="auto"/>
                <w:sz w:val="21"/>
                <w:szCs w:val="21"/>
                <w:highlight w:val="none"/>
              </w:rPr>
            </w:pPr>
          </w:p>
        </w:tc>
        <w:tc>
          <w:tcPr>
            <w:tcW w:w="900" w:type="dxa"/>
            <w:noWrap w:val="0"/>
            <w:vAlign w:val="center"/>
          </w:tcPr>
          <w:p w14:paraId="76A1D676">
            <w:pPr>
              <w:spacing w:line="400" w:lineRule="exact"/>
              <w:jc w:val="center"/>
              <w:rPr>
                <w:rFonts w:ascii="宋体" w:hAnsi="宋体"/>
                <w:color w:val="auto"/>
                <w:sz w:val="21"/>
                <w:szCs w:val="21"/>
                <w:highlight w:val="none"/>
              </w:rPr>
            </w:pPr>
          </w:p>
        </w:tc>
        <w:tc>
          <w:tcPr>
            <w:tcW w:w="900" w:type="dxa"/>
            <w:noWrap w:val="0"/>
            <w:vAlign w:val="center"/>
          </w:tcPr>
          <w:p w14:paraId="1C824268">
            <w:pPr>
              <w:spacing w:line="400" w:lineRule="exact"/>
              <w:jc w:val="center"/>
              <w:rPr>
                <w:rFonts w:ascii="宋体" w:hAnsi="宋体"/>
                <w:color w:val="auto"/>
                <w:sz w:val="21"/>
                <w:szCs w:val="21"/>
                <w:highlight w:val="none"/>
              </w:rPr>
            </w:pPr>
          </w:p>
        </w:tc>
        <w:tc>
          <w:tcPr>
            <w:tcW w:w="2115" w:type="dxa"/>
            <w:noWrap w:val="0"/>
            <w:vAlign w:val="center"/>
          </w:tcPr>
          <w:p w14:paraId="31D822CE">
            <w:pPr>
              <w:spacing w:line="400" w:lineRule="exact"/>
              <w:jc w:val="center"/>
              <w:rPr>
                <w:rFonts w:ascii="宋体" w:hAnsi="宋体"/>
                <w:color w:val="auto"/>
                <w:sz w:val="21"/>
                <w:szCs w:val="21"/>
                <w:highlight w:val="none"/>
              </w:rPr>
            </w:pPr>
          </w:p>
        </w:tc>
        <w:tc>
          <w:tcPr>
            <w:tcW w:w="1313" w:type="dxa"/>
            <w:noWrap w:val="0"/>
            <w:vAlign w:val="center"/>
          </w:tcPr>
          <w:p w14:paraId="099CEFDC">
            <w:pPr>
              <w:spacing w:line="400" w:lineRule="exact"/>
              <w:jc w:val="center"/>
              <w:rPr>
                <w:rFonts w:ascii="宋体" w:hAnsi="宋体"/>
                <w:color w:val="auto"/>
                <w:sz w:val="21"/>
                <w:szCs w:val="21"/>
                <w:highlight w:val="none"/>
              </w:rPr>
            </w:pPr>
          </w:p>
        </w:tc>
        <w:tc>
          <w:tcPr>
            <w:tcW w:w="1637" w:type="dxa"/>
            <w:noWrap w:val="0"/>
            <w:vAlign w:val="center"/>
          </w:tcPr>
          <w:p w14:paraId="7545D2E1">
            <w:pPr>
              <w:spacing w:line="400" w:lineRule="exact"/>
              <w:jc w:val="center"/>
              <w:rPr>
                <w:rFonts w:ascii="宋体" w:hAnsi="宋体"/>
                <w:color w:val="auto"/>
                <w:sz w:val="21"/>
                <w:szCs w:val="21"/>
                <w:highlight w:val="none"/>
              </w:rPr>
            </w:pPr>
          </w:p>
        </w:tc>
        <w:tc>
          <w:tcPr>
            <w:tcW w:w="1213" w:type="dxa"/>
            <w:noWrap w:val="0"/>
            <w:vAlign w:val="center"/>
          </w:tcPr>
          <w:p w14:paraId="7CDB4CFD">
            <w:pPr>
              <w:spacing w:line="400" w:lineRule="exact"/>
              <w:jc w:val="center"/>
              <w:rPr>
                <w:rFonts w:ascii="宋体" w:hAnsi="宋体"/>
                <w:color w:val="auto"/>
                <w:sz w:val="21"/>
                <w:szCs w:val="21"/>
                <w:highlight w:val="none"/>
              </w:rPr>
            </w:pPr>
          </w:p>
        </w:tc>
        <w:tc>
          <w:tcPr>
            <w:tcW w:w="1029" w:type="dxa"/>
            <w:noWrap w:val="0"/>
            <w:vAlign w:val="center"/>
          </w:tcPr>
          <w:p w14:paraId="6833012F">
            <w:pPr>
              <w:spacing w:line="400" w:lineRule="exact"/>
              <w:jc w:val="center"/>
              <w:rPr>
                <w:rFonts w:ascii="宋体" w:hAnsi="宋体"/>
                <w:color w:val="auto"/>
                <w:sz w:val="21"/>
                <w:szCs w:val="21"/>
                <w:highlight w:val="none"/>
              </w:rPr>
            </w:pPr>
          </w:p>
        </w:tc>
      </w:tr>
      <w:tr w14:paraId="7253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28" w:type="dxa"/>
            <w:noWrap w:val="0"/>
            <w:vAlign w:val="center"/>
          </w:tcPr>
          <w:p w14:paraId="1CACDBBE">
            <w:pPr>
              <w:spacing w:line="400" w:lineRule="exact"/>
              <w:jc w:val="center"/>
              <w:rPr>
                <w:rFonts w:ascii="宋体" w:hAnsi="宋体"/>
                <w:color w:val="auto"/>
                <w:sz w:val="21"/>
                <w:szCs w:val="21"/>
                <w:highlight w:val="none"/>
              </w:rPr>
            </w:pPr>
          </w:p>
        </w:tc>
        <w:tc>
          <w:tcPr>
            <w:tcW w:w="900" w:type="dxa"/>
            <w:noWrap w:val="0"/>
            <w:vAlign w:val="center"/>
          </w:tcPr>
          <w:p w14:paraId="23909803">
            <w:pPr>
              <w:spacing w:line="400" w:lineRule="exact"/>
              <w:jc w:val="center"/>
              <w:rPr>
                <w:rFonts w:ascii="宋体" w:hAnsi="宋体"/>
                <w:color w:val="auto"/>
                <w:sz w:val="21"/>
                <w:szCs w:val="21"/>
                <w:highlight w:val="none"/>
              </w:rPr>
            </w:pPr>
          </w:p>
        </w:tc>
        <w:tc>
          <w:tcPr>
            <w:tcW w:w="900" w:type="dxa"/>
            <w:noWrap w:val="0"/>
            <w:vAlign w:val="center"/>
          </w:tcPr>
          <w:p w14:paraId="5C7DDAC2">
            <w:pPr>
              <w:spacing w:line="400" w:lineRule="exact"/>
              <w:jc w:val="center"/>
              <w:rPr>
                <w:rFonts w:ascii="宋体" w:hAnsi="宋体"/>
                <w:color w:val="auto"/>
                <w:sz w:val="21"/>
                <w:szCs w:val="21"/>
                <w:highlight w:val="none"/>
              </w:rPr>
            </w:pPr>
          </w:p>
        </w:tc>
        <w:tc>
          <w:tcPr>
            <w:tcW w:w="2115" w:type="dxa"/>
            <w:noWrap w:val="0"/>
            <w:vAlign w:val="center"/>
          </w:tcPr>
          <w:p w14:paraId="100EFB35">
            <w:pPr>
              <w:spacing w:line="400" w:lineRule="exact"/>
              <w:jc w:val="center"/>
              <w:rPr>
                <w:rFonts w:ascii="宋体" w:hAnsi="宋体"/>
                <w:color w:val="auto"/>
                <w:sz w:val="21"/>
                <w:szCs w:val="21"/>
                <w:highlight w:val="none"/>
              </w:rPr>
            </w:pPr>
          </w:p>
        </w:tc>
        <w:tc>
          <w:tcPr>
            <w:tcW w:w="1313" w:type="dxa"/>
            <w:noWrap w:val="0"/>
            <w:vAlign w:val="center"/>
          </w:tcPr>
          <w:p w14:paraId="4BE65BC0">
            <w:pPr>
              <w:spacing w:line="400" w:lineRule="exact"/>
              <w:jc w:val="center"/>
              <w:rPr>
                <w:rFonts w:ascii="宋体" w:hAnsi="宋体"/>
                <w:color w:val="auto"/>
                <w:sz w:val="21"/>
                <w:szCs w:val="21"/>
                <w:highlight w:val="none"/>
              </w:rPr>
            </w:pPr>
          </w:p>
        </w:tc>
        <w:tc>
          <w:tcPr>
            <w:tcW w:w="1637" w:type="dxa"/>
            <w:noWrap w:val="0"/>
            <w:vAlign w:val="center"/>
          </w:tcPr>
          <w:p w14:paraId="698A2E48">
            <w:pPr>
              <w:spacing w:line="400" w:lineRule="exact"/>
              <w:jc w:val="center"/>
              <w:rPr>
                <w:rFonts w:ascii="宋体" w:hAnsi="宋体"/>
                <w:color w:val="auto"/>
                <w:sz w:val="21"/>
                <w:szCs w:val="21"/>
                <w:highlight w:val="none"/>
              </w:rPr>
            </w:pPr>
          </w:p>
        </w:tc>
        <w:tc>
          <w:tcPr>
            <w:tcW w:w="1213" w:type="dxa"/>
            <w:noWrap w:val="0"/>
            <w:vAlign w:val="center"/>
          </w:tcPr>
          <w:p w14:paraId="758D4D5C">
            <w:pPr>
              <w:spacing w:line="400" w:lineRule="exact"/>
              <w:jc w:val="center"/>
              <w:rPr>
                <w:rFonts w:ascii="宋体" w:hAnsi="宋体"/>
                <w:color w:val="auto"/>
                <w:sz w:val="21"/>
                <w:szCs w:val="21"/>
                <w:highlight w:val="none"/>
              </w:rPr>
            </w:pPr>
          </w:p>
        </w:tc>
        <w:tc>
          <w:tcPr>
            <w:tcW w:w="1029" w:type="dxa"/>
            <w:noWrap w:val="0"/>
            <w:vAlign w:val="center"/>
          </w:tcPr>
          <w:p w14:paraId="2166A2EF">
            <w:pPr>
              <w:spacing w:line="400" w:lineRule="exact"/>
              <w:jc w:val="center"/>
              <w:rPr>
                <w:rFonts w:ascii="宋体" w:hAnsi="宋体"/>
                <w:color w:val="auto"/>
                <w:sz w:val="21"/>
                <w:szCs w:val="21"/>
                <w:highlight w:val="none"/>
              </w:rPr>
            </w:pPr>
          </w:p>
        </w:tc>
      </w:tr>
      <w:tr w14:paraId="5E716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28" w:type="dxa"/>
            <w:noWrap w:val="0"/>
            <w:vAlign w:val="center"/>
          </w:tcPr>
          <w:p w14:paraId="0640CB6A">
            <w:pPr>
              <w:spacing w:line="400" w:lineRule="exact"/>
              <w:jc w:val="center"/>
              <w:rPr>
                <w:rFonts w:ascii="宋体" w:hAnsi="宋体"/>
                <w:color w:val="auto"/>
                <w:sz w:val="21"/>
                <w:szCs w:val="21"/>
                <w:highlight w:val="none"/>
              </w:rPr>
            </w:pPr>
          </w:p>
        </w:tc>
        <w:tc>
          <w:tcPr>
            <w:tcW w:w="900" w:type="dxa"/>
            <w:noWrap w:val="0"/>
            <w:vAlign w:val="center"/>
          </w:tcPr>
          <w:p w14:paraId="1607B566">
            <w:pPr>
              <w:spacing w:line="400" w:lineRule="exact"/>
              <w:jc w:val="center"/>
              <w:rPr>
                <w:rFonts w:ascii="宋体" w:hAnsi="宋体"/>
                <w:color w:val="auto"/>
                <w:sz w:val="21"/>
                <w:szCs w:val="21"/>
                <w:highlight w:val="none"/>
              </w:rPr>
            </w:pPr>
          </w:p>
        </w:tc>
        <w:tc>
          <w:tcPr>
            <w:tcW w:w="900" w:type="dxa"/>
            <w:noWrap w:val="0"/>
            <w:vAlign w:val="center"/>
          </w:tcPr>
          <w:p w14:paraId="50E6173B">
            <w:pPr>
              <w:spacing w:line="400" w:lineRule="exact"/>
              <w:jc w:val="center"/>
              <w:rPr>
                <w:rFonts w:ascii="宋体" w:hAnsi="宋体"/>
                <w:color w:val="auto"/>
                <w:sz w:val="21"/>
                <w:szCs w:val="21"/>
                <w:highlight w:val="none"/>
              </w:rPr>
            </w:pPr>
          </w:p>
        </w:tc>
        <w:tc>
          <w:tcPr>
            <w:tcW w:w="2115" w:type="dxa"/>
            <w:noWrap w:val="0"/>
            <w:vAlign w:val="center"/>
          </w:tcPr>
          <w:p w14:paraId="1404850F">
            <w:pPr>
              <w:spacing w:line="400" w:lineRule="exact"/>
              <w:jc w:val="center"/>
              <w:rPr>
                <w:rFonts w:ascii="宋体" w:hAnsi="宋体"/>
                <w:color w:val="auto"/>
                <w:sz w:val="21"/>
                <w:szCs w:val="21"/>
                <w:highlight w:val="none"/>
              </w:rPr>
            </w:pPr>
          </w:p>
        </w:tc>
        <w:tc>
          <w:tcPr>
            <w:tcW w:w="1313" w:type="dxa"/>
            <w:noWrap w:val="0"/>
            <w:vAlign w:val="center"/>
          </w:tcPr>
          <w:p w14:paraId="572000B8">
            <w:pPr>
              <w:spacing w:line="400" w:lineRule="exact"/>
              <w:jc w:val="center"/>
              <w:rPr>
                <w:rFonts w:ascii="宋体" w:hAnsi="宋体"/>
                <w:color w:val="auto"/>
                <w:sz w:val="21"/>
                <w:szCs w:val="21"/>
                <w:highlight w:val="none"/>
              </w:rPr>
            </w:pPr>
          </w:p>
        </w:tc>
        <w:tc>
          <w:tcPr>
            <w:tcW w:w="1637" w:type="dxa"/>
            <w:noWrap w:val="0"/>
            <w:vAlign w:val="center"/>
          </w:tcPr>
          <w:p w14:paraId="7BD3D86F">
            <w:pPr>
              <w:spacing w:line="400" w:lineRule="exact"/>
              <w:jc w:val="center"/>
              <w:rPr>
                <w:rFonts w:ascii="宋体" w:hAnsi="宋体"/>
                <w:color w:val="auto"/>
                <w:sz w:val="21"/>
                <w:szCs w:val="21"/>
                <w:highlight w:val="none"/>
              </w:rPr>
            </w:pPr>
          </w:p>
        </w:tc>
        <w:tc>
          <w:tcPr>
            <w:tcW w:w="1213" w:type="dxa"/>
            <w:noWrap w:val="0"/>
            <w:vAlign w:val="center"/>
          </w:tcPr>
          <w:p w14:paraId="3AEB33FE">
            <w:pPr>
              <w:spacing w:line="400" w:lineRule="exact"/>
              <w:jc w:val="center"/>
              <w:rPr>
                <w:rFonts w:ascii="宋体" w:hAnsi="宋体"/>
                <w:color w:val="auto"/>
                <w:sz w:val="21"/>
                <w:szCs w:val="21"/>
                <w:highlight w:val="none"/>
              </w:rPr>
            </w:pPr>
          </w:p>
        </w:tc>
        <w:tc>
          <w:tcPr>
            <w:tcW w:w="1029" w:type="dxa"/>
            <w:noWrap w:val="0"/>
            <w:vAlign w:val="center"/>
          </w:tcPr>
          <w:p w14:paraId="5B21E884">
            <w:pPr>
              <w:spacing w:line="400" w:lineRule="exact"/>
              <w:jc w:val="center"/>
              <w:rPr>
                <w:rFonts w:ascii="宋体" w:hAnsi="宋体"/>
                <w:color w:val="auto"/>
                <w:sz w:val="21"/>
                <w:szCs w:val="21"/>
                <w:highlight w:val="none"/>
              </w:rPr>
            </w:pPr>
          </w:p>
        </w:tc>
      </w:tr>
      <w:tr w14:paraId="7192A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28" w:type="dxa"/>
            <w:noWrap w:val="0"/>
            <w:vAlign w:val="center"/>
          </w:tcPr>
          <w:p w14:paraId="1E7A2D2A">
            <w:pPr>
              <w:spacing w:line="400" w:lineRule="exact"/>
              <w:jc w:val="center"/>
              <w:rPr>
                <w:rFonts w:ascii="宋体" w:hAnsi="宋体"/>
                <w:color w:val="auto"/>
                <w:sz w:val="21"/>
                <w:szCs w:val="21"/>
                <w:highlight w:val="none"/>
              </w:rPr>
            </w:pPr>
          </w:p>
        </w:tc>
        <w:tc>
          <w:tcPr>
            <w:tcW w:w="900" w:type="dxa"/>
            <w:noWrap w:val="0"/>
            <w:vAlign w:val="center"/>
          </w:tcPr>
          <w:p w14:paraId="69A402A0">
            <w:pPr>
              <w:spacing w:line="400" w:lineRule="exact"/>
              <w:jc w:val="center"/>
              <w:rPr>
                <w:rFonts w:ascii="宋体" w:hAnsi="宋体"/>
                <w:color w:val="auto"/>
                <w:sz w:val="21"/>
                <w:szCs w:val="21"/>
                <w:highlight w:val="none"/>
              </w:rPr>
            </w:pPr>
          </w:p>
        </w:tc>
        <w:tc>
          <w:tcPr>
            <w:tcW w:w="900" w:type="dxa"/>
            <w:noWrap w:val="0"/>
            <w:vAlign w:val="center"/>
          </w:tcPr>
          <w:p w14:paraId="40EA2C7C">
            <w:pPr>
              <w:spacing w:line="400" w:lineRule="exact"/>
              <w:jc w:val="center"/>
              <w:rPr>
                <w:rFonts w:ascii="宋体" w:hAnsi="宋体"/>
                <w:color w:val="auto"/>
                <w:sz w:val="21"/>
                <w:szCs w:val="21"/>
                <w:highlight w:val="none"/>
              </w:rPr>
            </w:pPr>
          </w:p>
        </w:tc>
        <w:tc>
          <w:tcPr>
            <w:tcW w:w="2115" w:type="dxa"/>
            <w:noWrap w:val="0"/>
            <w:vAlign w:val="center"/>
          </w:tcPr>
          <w:p w14:paraId="621DFC91">
            <w:pPr>
              <w:spacing w:line="400" w:lineRule="exact"/>
              <w:jc w:val="center"/>
              <w:rPr>
                <w:rFonts w:ascii="宋体" w:hAnsi="宋体"/>
                <w:color w:val="auto"/>
                <w:sz w:val="21"/>
                <w:szCs w:val="21"/>
                <w:highlight w:val="none"/>
              </w:rPr>
            </w:pPr>
          </w:p>
        </w:tc>
        <w:tc>
          <w:tcPr>
            <w:tcW w:w="1313" w:type="dxa"/>
            <w:noWrap w:val="0"/>
            <w:vAlign w:val="center"/>
          </w:tcPr>
          <w:p w14:paraId="29B9027F">
            <w:pPr>
              <w:spacing w:line="400" w:lineRule="exact"/>
              <w:jc w:val="center"/>
              <w:rPr>
                <w:rFonts w:ascii="宋体" w:hAnsi="宋体"/>
                <w:color w:val="auto"/>
                <w:sz w:val="21"/>
                <w:szCs w:val="21"/>
                <w:highlight w:val="none"/>
              </w:rPr>
            </w:pPr>
          </w:p>
        </w:tc>
        <w:tc>
          <w:tcPr>
            <w:tcW w:w="1637" w:type="dxa"/>
            <w:noWrap w:val="0"/>
            <w:vAlign w:val="center"/>
          </w:tcPr>
          <w:p w14:paraId="19FFDF39">
            <w:pPr>
              <w:spacing w:line="400" w:lineRule="exact"/>
              <w:jc w:val="center"/>
              <w:rPr>
                <w:rFonts w:ascii="宋体" w:hAnsi="宋体"/>
                <w:color w:val="auto"/>
                <w:sz w:val="21"/>
                <w:szCs w:val="21"/>
                <w:highlight w:val="none"/>
              </w:rPr>
            </w:pPr>
          </w:p>
        </w:tc>
        <w:tc>
          <w:tcPr>
            <w:tcW w:w="1213" w:type="dxa"/>
            <w:noWrap w:val="0"/>
            <w:vAlign w:val="center"/>
          </w:tcPr>
          <w:p w14:paraId="0447F380">
            <w:pPr>
              <w:spacing w:line="400" w:lineRule="exact"/>
              <w:jc w:val="center"/>
              <w:rPr>
                <w:rFonts w:ascii="宋体" w:hAnsi="宋体"/>
                <w:color w:val="auto"/>
                <w:sz w:val="21"/>
                <w:szCs w:val="21"/>
                <w:highlight w:val="none"/>
              </w:rPr>
            </w:pPr>
          </w:p>
        </w:tc>
        <w:tc>
          <w:tcPr>
            <w:tcW w:w="1029" w:type="dxa"/>
            <w:noWrap w:val="0"/>
            <w:vAlign w:val="center"/>
          </w:tcPr>
          <w:p w14:paraId="1145108B">
            <w:pPr>
              <w:spacing w:line="400" w:lineRule="exact"/>
              <w:jc w:val="center"/>
              <w:rPr>
                <w:rFonts w:ascii="宋体" w:hAnsi="宋体"/>
                <w:color w:val="auto"/>
                <w:sz w:val="21"/>
                <w:szCs w:val="21"/>
                <w:highlight w:val="none"/>
              </w:rPr>
            </w:pPr>
          </w:p>
        </w:tc>
      </w:tr>
      <w:tr w14:paraId="38DB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28" w:type="dxa"/>
            <w:noWrap w:val="0"/>
            <w:vAlign w:val="center"/>
          </w:tcPr>
          <w:p w14:paraId="2EB8DC38">
            <w:pPr>
              <w:spacing w:line="400" w:lineRule="exact"/>
              <w:jc w:val="center"/>
              <w:rPr>
                <w:rFonts w:ascii="宋体" w:hAnsi="宋体"/>
                <w:color w:val="auto"/>
                <w:sz w:val="21"/>
                <w:szCs w:val="21"/>
                <w:highlight w:val="none"/>
              </w:rPr>
            </w:pPr>
          </w:p>
        </w:tc>
        <w:tc>
          <w:tcPr>
            <w:tcW w:w="900" w:type="dxa"/>
            <w:noWrap w:val="0"/>
            <w:vAlign w:val="center"/>
          </w:tcPr>
          <w:p w14:paraId="5DB12DFC">
            <w:pPr>
              <w:spacing w:line="400" w:lineRule="exact"/>
              <w:jc w:val="center"/>
              <w:rPr>
                <w:rFonts w:ascii="宋体" w:hAnsi="宋体"/>
                <w:color w:val="auto"/>
                <w:sz w:val="21"/>
                <w:szCs w:val="21"/>
                <w:highlight w:val="none"/>
              </w:rPr>
            </w:pPr>
          </w:p>
        </w:tc>
        <w:tc>
          <w:tcPr>
            <w:tcW w:w="900" w:type="dxa"/>
            <w:noWrap w:val="0"/>
            <w:vAlign w:val="center"/>
          </w:tcPr>
          <w:p w14:paraId="096A2329">
            <w:pPr>
              <w:spacing w:line="400" w:lineRule="exact"/>
              <w:jc w:val="center"/>
              <w:rPr>
                <w:rFonts w:ascii="宋体" w:hAnsi="宋体"/>
                <w:color w:val="auto"/>
                <w:sz w:val="21"/>
                <w:szCs w:val="21"/>
                <w:highlight w:val="none"/>
              </w:rPr>
            </w:pPr>
          </w:p>
        </w:tc>
        <w:tc>
          <w:tcPr>
            <w:tcW w:w="2115" w:type="dxa"/>
            <w:noWrap w:val="0"/>
            <w:vAlign w:val="center"/>
          </w:tcPr>
          <w:p w14:paraId="235DA903">
            <w:pPr>
              <w:spacing w:line="400" w:lineRule="exact"/>
              <w:jc w:val="center"/>
              <w:rPr>
                <w:rFonts w:ascii="宋体" w:hAnsi="宋体"/>
                <w:color w:val="auto"/>
                <w:sz w:val="21"/>
                <w:szCs w:val="21"/>
                <w:highlight w:val="none"/>
              </w:rPr>
            </w:pPr>
          </w:p>
        </w:tc>
        <w:tc>
          <w:tcPr>
            <w:tcW w:w="1313" w:type="dxa"/>
            <w:noWrap w:val="0"/>
            <w:vAlign w:val="center"/>
          </w:tcPr>
          <w:p w14:paraId="487C0047">
            <w:pPr>
              <w:spacing w:line="400" w:lineRule="exact"/>
              <w:jc w:val="center"/>
              <w:rPr>
                <w:rFonts w:ascii="宋体" w:hAnsi="宋体"/>
                <w:color w:val="auto"/>
                <w:sz w:val="21"/>
                <w:szCs w:val="21"/>
                <w:highlight w:val="none"/>
              </w:rPr>
            </w:pPr>
          </w:p>
        </w:tc>
        <w:tc>
          <w:tcPr>
            <w:tcW w:w="1637" w:type="dxa"/>
            <w:noWrap w:val="0"/>
            <w:vAlign w:val="center"/>
          </w:tcPr>
          <w:p w14:paraId="01BA7174">
            <w:pPr>
              <w:spacing w:line="400" w:lineRule="exact"/>
              <w:jc w:val="center"/>
              <w:rPr>
                <w:rFonts w:ascii="宋体" w:hAnsi="宋体"/>
                <w:color w:val="auto"/>
                <w:sz w:val="21"/>
                <w:szCs w:val="21"/>
                <w:highlight w:val="none"/>
              </w:rPr>
            </w:pPr>
          </w:p>
        </w:tc>
        <w:tc>
          <w:tcPr>
            <w:tcW w:w="1213" w:type="dxa"/>
            <w:noWrap w:val="0"/>
            <w:vAlign w:val="center"/>
          </w:tcPr>
          <w:p w14:paraId="6B5806AD">
            <w:pPr>
              <w:spacing w:line="400" w:lineRule="exact"/>
              <w:jc w:val="center"/>
              <w:rPr>
                <w:rFonts w:ascii="宋体" w:hAnsi="宋体"/>
                <w:color w:val="auto"/>
                <w:sz w:val="21"/>
                <w:szCs w:val="21"/>
                <w:highlight w:val="none"/>
              </w:rPr>
            </w:pPr>
          </w:p>
        </w:tc>
        <w:tc>
          <w:tcPr>
            <w:tcW w:w="1029" w:type="dxa"/>
            <w:noWrap w:val="0"/>
            <w:vAlign w:val="center"/>
          </w:tcPr>
          <w:p w14:paraId="0907E188">
            <w:pPr>
              <w:spacing w:line="400" w:lineRule="exact"/>
              <w:jc w:val="center"/>
              <w:rPr>
                <w:rFonts w:ascii="宋体" w:hAnsi="宋体"/>
                <w:color w:val="auto"/>
                <w:sz w:val="21"/>
                <w:szCs w:val="21"/>
                <w:highlight w:val="none"/>
              </w:rPr>
            </w:pPr>
          </w:p>
        </w:tc>
      </w:tr>
      <w:tr w14:paraId="503D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28" w:type="dxa"/>
            <w:noWrap w:val="0"/>
            <w:vAlign w:val="center"/>
          </w:tcPr>
          <w:p w14:paraId="0FBF1BC6">
            <w:pPr>
              <w:spacing w:line="400" w:lineRule="exact"/>
              <w:jc w:val="center"/>
              <w:rPr>
                <w:rFonts w:ascii="宋体" w:hAnsi="宋体"/>
                <w:color w:val="auto"/>
                <w:sz w:val="21"/>
                <w:szCs w:val="21"/>
                <w:highlight w:val="none"/>
              </w:rPr>
            </w:pPr>
          </w:p>
        </w:tc>
        <w:tc>
          <w:tcPr>
            <w:tcW w:w="900" w:type="dxa"/>
            <w:noWrap w:val="0"/>
            <w:vAlign w:val="center"/>
          </w:tcPr>
          <w:p w14:paraId="5A9E7CB3">
            <w:pPr>
              <w:spacing w:line="400" w:lineRule="exact"/>
              <w:jc w:val="center"/>
              <w:rPr>
                <w:rFonts w:ascii="宋体" w:hAnsi="宋体"/>
                <w:color w:val="auto"/>
                <w:sz w:val="21"/>
                <w:szCs w:val="21"/>
                <w:highlight w:val="none"/>
              </w:rPr>
            </w:pPr>
          </w:p>
        </w:tc>
        <w:tc>
          <w:tcPr>
            <w:tcW w:w="900" w:type="dxa"/>
            <w:noWrap w:val="0"/>
            <w:vAlign w:val="center"/>
          </w:tcPr>
          <w:p w14:paraId="7C25DDAD">
            <w:pPr>
              <w:spacing w:line="400" w:lineRule="exact"/>
              <w:jc w:val="center"/>
              <w:rPr>
                <w:rFonts w:ascii="宋体" w:hAnsi="宋体"/>
                <w:color w:val="auto"/>
                <w:sz w:val="21"/>
                <w:szCs w:val="21"/>
                <w:highlight w:val="none"/>
              </w:rPr>
            </w:pPr>
          </w:p>
        </w:tc>
        <w:tc>
          <w:tcPr>
            <w:tcW w:w="2115" w:type="dxa"/>
            <w:noWrap w:val="0"/>
            <w:vAlign w:val="center"/>
          </w:tcPr>
          <w:p w14:paraId="3CBAD469">
            <w:pPr>
              <w:spacing w:line="400" w:lineRule="exact"/>
              <w:jc w:val="center"/>
              <w:rPr>
                <w:rFonts w:ascii="宋体" w:hAnsi="宋体"/>
                <w:color w:val="auto"/>
                <w:sz w:val="21"/>
                <w:szCs w:val="21"/>
                <w:highlight w:val="none"/>
              </w:rPr>
            </w:pPr>
          </w:p>
        </w:tc>
        <w:tc>
          <w:tcPr>
            <w:tcW w:w="1313" w:type="dxa"/>
            <w:noWrap w:val="0"/>
            <w:vAlign w:val="center"/>
          </w:tcPr>
          <w:p w14:paraId="7E0A35F3">
            <w:pPr>
              <w:spacing w:line="400" w:lineRule="exact"/>
              <w:jc w:val="center"/>
              <w:rPr>
                <w:rFonts w:ascii="宋体" w:hAnsi="宋体"/>
                <w:color w:val="auto"/>
                <w:sz w:val="21"/>
                <w:szCs w:val="21"/>
                <w:highlight w:val="none"/>
              </w:rPr>
            </w:pPr>
          </w:p>
        </w:tc>
        <w:tc>
          <w:tcPr>
            <w:tcW w:w="1637" w:type="dxa"/>
            <w:noWrap w:val="0"/>
            <w:vAlign w:val="center"/>
          </w:tcPr>
          <w:p w14:paraId="4F667F96">
            <w:pPr>
              <w:spacing w:line="400" w:lineRule="exact"/>
              <w:jc w:val="center"/>
              <w:rPr>
                <w:rFonts w:ascii="宋体" w:hAnsi="宋体"/>
                <w:color w:val="auto"/>
                <w:sz w:val="21"/>
                <w:szCs w:val="21"/>
                <w:highlight w:val="none"/>
              </w:rPr>
            </w:pPr>
          </w:p>
        </w:tc>
        <w:tc>
          <w:tcPr>
            <w:tcW w:w="1213" w:type="dxa"/>
            <w:noWrap w:val="0"/>
            <w:vAlign w:val="center"/>
          </w:tcPr>
          <w:p w14:paraId="7403A116">
            <w:pPr>
              <w:spacing w:line="400" w:lineRule="exact"/>
              <w:jc w:val="center"/>
              <w:rPr>
                <w:rFonts w:ascii="宋体" w:hAnsi="宋体"/>
                <w:color w:val="auto"/>
                <w:sz w:val="21"/>
                <w:szCs w:val="21"/>
                <w:highlight w:val="none"/>
              </w:rPr>
            </w:pPr>
          </w:p>
        </w:tc>
        <w:tc>
          <w:tcPr>
            <w:tcW w:w="1029" w:type="dxa"/>
            <w:noWrap w:val="0"/>
            <w:vAlign w:val="center"/>
          </w:tcPr>
          <w:p w14:paraId="36BDA9BE">
            <w:pPr>
              <w:spacing w:line="400" w:lineRule="exact"/>
              <w:jc w:val="center"/>
              <w:rPr>
                <w:rFonts w:ascii="宋体" w:hAnsi="宋体"/>
                <w:color w:val="auto"/>
                <w:sz w:val="21"/>
                <w:szCs w:val="21"/>
                <w:highlight w:val="none"/>
              </w:rPr>
            </w:pPr>
          </w:p>
        </w:tc>
      </w:tr>
      <w:tr w14:paraId="56706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28" w:type="dxa"/>
            <w:noWrap w:val="0"/>
            <w:vAlign w:val="center"/>
          </w:tcPr>
          <w:p w14:paraId="05FDEB6A">
            <w:pPr>
              <w:spacing w:line="400" w:lineRule="exact"/>
              <w:jc w:val="center"/>
              <w:rPr>
                <w:rFonts w:ascii="宋体" w:hAnsi="宋体"/>
                <w:color w:val="auto"/>
                <w:sz w:val="21"/>
                <w:szCs w:val="21"/>
                <w:highlight w:val="none"/>
              </w:rPr>
            </w:pPr>
          </w:p>
        </w:tc>
        <w:tc>
          <w:tcPr>
            <w:tcW w:w="900" w:type="dxa"/>
            <w:noWrap w:val="0"/>
            <w:vAlign w:val="center"/>
          </w:tcPr>
          <w:p w14:paraId="7C71B4AF">
            <w:pPr>
              <w:spacing w:line="400" w:lineRule="exact"/>
              <w:jc w:val="center"/>
              <w:rPr>
                <w:rFonts w:ascii="宋体" w:hAnsi="宋体"/>
                <w:color w:val="auto"/>
                <w:sz w:val="21"/>
                <w:szCs w:val="21"/>
                <w:highlight w:val="none"/>
              </w:rPr>
            </w:pPr>
          </w:p>
        </w:tc>
        <w:tc>
          <w:tcPr>
            <w:tcW w:w="900" w:type="dxa"/>
            <w:noWrap w:val="0"/>
            <w:vAlign w:val="center"/>
          </w:tcPr>
          <w:p w14:paraId="488EFD69">
            <w:pPr>
              <w:spacing w:line="400" w:lineRule="exact"/>
              <w:jc w:val="center"/>
              <w:rPr>
                <w:rFonts w:ascii="宋体" w:hAnsi="宋体"/>
                <w:color w:val="auto"/>
                <w:sz w:val="21"/>
                <w:szCs w:val="21"/>
                <w:highlight w:val="none"/>
              </w:rPr>
            </w:pPr>
          </w:p>
        </w:tc>
        <w:tc>
          <w:tcPr>
            <w:tcW w:w="2115" w:type="dxa"/>
            <w:noWrap w:val="0"/>
            <w:vAlign w:val="center"/>
          </w:tcPr>
          <w:p w14:paraId="22B1CDD4">
            <w:pPr>
              <w:spacing w:line="400" w:lineRule="exact"/>
              <w:jc w:val="center"/>
              <w:rPr>
                <w:rFonts w:ascii="宋体" w:hAnsi="宋体"/>
                <w:color w:val="auto"/>
                <w:sz w:val="21"/>
                <w:szCs w:val="21"/>
                <w:highlight w:val="none"/>
              </w:rPr>
            </w:pPr>
          </w:p>
        </w:tc>
        <w:tc>
          <w:tcPr>
            <w:tcW w:w="1313" w:type="dxa"/>
            <w:noWrap w:val="0"/>
            <w:vAlign w:val="center"/>
          </w:tcPr>
          <w:p w14:paraId="6E95006B">
            <w:pPr>
              <w:spacing w:line="400" w:lineRule="exact"/>
              <w:jc w:val="center"/>
              <w:rPr>
                <w:rFonts w:ascii="宋体" w:hAnsi="宋体"/>
                <w:color w:val="auto"/>
                <w:sz w:val="21"/>
                <w:szCs w:val="21"/>
                <w:highlight w:val="none"/>
              </w:rPr>
            </w:pPr>
          </w:p>
        </w:tc>
        <w:tc>
          <w:tcPr>
            <w:tcW w:w="1637" w:type="dxa"/>
            <w:noWrap w:val="0"/>
            <w:vAlign w:val="center"/>
          </w:tcPr>
          <w:p w14:paraId="05BA5F4D">
            <w:pPr>
              <w:spacing w:line="400" w:lineRule="exact"/>
              <w:jc w:val="center"/>
              <w:rPr>
                <w:rFonts w:ascii="宋体" w:hAnsi="宋体"/>
                <w:color w:val="auto"/>
                <w:sz w:val="21"/>
                <w:szCs w:val="21"/>
                <w:highlight w:val="none"/>
              </w:rPr>
            </w:pPr>
          </w:p>
        </w:tc>
        <w:tc>
          <w:tcPr>
            <w:tcW w:w="1213" w:type="dxa"/>
            <w:noWrap w:val="0"/>
            <w:vAlign w:val="center"/>
          </w:tcPr>
          <w:p w14:paraId="23A0847D">
            <w:pPr>
              <w:spacing w:line="400" w:lineRule="exact"/>
              <w:jc w:val="center"/>
              <w:rPr>
                <w:rFonts w:ascii="宋体" w:hAnsi="宋体"/>
                <w:color w:val="auto"/>
                <w:sz w:val="21"/>
                <w:szCs w:val="21"/>
                <w:highlight w:val="none"/>
              </w:rPr>
            </w:pPr>
          </w:p>
        </w:tc>
        <w:tc>
          <w:tcPr>
            <w:tcW w:w="1029" w:type="dxa"/>
            <w:noWrap w:val="0"/>
            <w:vAlign w:val="center"/>
          </w:tcPr>
          <w:p w14:paraId="50DE4A56">
            <w:pPr>
              <w:spacing w:line="400" w:lineRule="exact"/>
              <w:jc w:val="center"/>
              <w:rPr>
                <w:rFonts w:ascii="宋体" w:hAnsi="宋体"/>
                <w:color w:val="auto"/>
                <w:sz w:val="21"/>
                <w:szCs w:val="21"/>
                <w:highlight w:val="none"/>
              </w:rPr>
            </w:pPr>
          </w:p>
        </w:tc>
      </w:tr>
      <w:tr w14:paraId="1305B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28" w:type="dxa"/>
            <w:noWrap w:val="0"/>
            <w:vAlign w:val="center"/>
          </w:tcPr>
          <w:p w14:paraId="0F4B4771">
            <w:pPr>
              <w:spacing w:line="400" w:lineRule="exact"/>
              <w:jc w:val="center"/>
              <w:rPr>
                <w:rFonts w:ascii="宋体" w:hAnsi="宋体"/>
                <w:color w:val="auto"/>
                <w:sz w:val="21"/>
                <w:szCs w:val="21"/>
                <w:highlight w:val="none"/>
              </w:rPr>
            </w:pPr>
          </w:p>
        </w:tc>
        <w:tc>
          <w:tcPr>
            <w:tcW w:w="900" w:type="dxa"/>
            <w:noWrap w:val="0"/>
            <w:vAlign w:val="center"/>
          </w:tcPr>
          <w:p w14:paraId="4EE3FAEB">
            <w:pPr>
              <w:spacing w:line="400" w:lineRule="exact"/>
              <w:jc w:val="center"/>
              <w:rPr>
                <w:rFonts w:ascii="宋体" w:hAnsi="宋体"/>
                <w:color w:val="auto"/>
                <w:sz w:val="21"/>
                <w:szCs w:val="21"/>
                <w:highlight w:val="none"/>
              </w:rPr>
            </w:pPr>
          </w:p>
        </w:tc>
        <w:tc>
          <w:tcPr>
            <w:tcW w:w="900" w:type="dxa"/>
            <w:noWrap w:val="0"/>
            <w:vAlign w:val="center"/>
          </w:tcPr>
          <w:p w14:paraId="65FF7BE9">
            <w:pPr>
              <w:spacing w:line="400" w:lineRule="exact"/>
              <w:jc w:val="center"/>
              <w:rPr>
                <w:rFonts w:ascii="宋体" w:hAnsi="宋体"/>
                <w:color w:val="auto"/>
                <w:sz w:val="21"/>
                <w:szCs w:val="21"/>
                <w:highlight w:val="none"/>
              </w:rPr>
            </w:pPr>
          </w:p>
        </w:tc>
        <w:tc>
          <w:tcPr>
            <w:tcW w:w="2115" w:type="dxa"/>
            <w:noWrap w:val="0"/>
            <w:vAlign w:val="center"/>
          </w:tcPr>
          <w:p w14:paraId="2289CBCB">
            <w:pPr>
              <w:spacing w:line="400" w:lineRule="exact"/>
              <w:jc w:val="center"/>
              <w:rPr>
                <w:rFonts w:ascii="宋体" w:hAnsi="宋体"/>
                <w:color w:val="auto"/>
                <w:sz w:val="21"/>
                <w:szCs w:val="21"/>
                <w:highlight w:val="none"/>
              </w:rPr>
            </w:pPr>
          </w:p>
        </w:tc>
        <w:tc>
          <w:tcPr>
            <w:tcW w:w="1313" w:type="dxa"/>
            <w:noWrap w:val="0"/>
            <w:vAlign w:val="center"/>
          </w:tcPr>
          <w:p w14:paraId="6E178E96">
            <w:pPr>
              <w:spacing w:line="400" w:lineRule="exact"/>
              <w:jc w:val="center"/>
              <w:rPr>
                <w:rFonts w:ascii="宋体" w:hAnsi="宋体"/>
                <w:color w:val="auto"/>
                <w:sz w:val="21"/>
                <w:szCs w:val="21"/>
                <w:highlight w:val="none"/>
              </w:rPr>
            </w:pPr>
          </w:p>
        </w:tc>
        <w:tc>
          <w:tcPr>
            <w:tcW w:w="1637" w:type="dxa"/>
            <w:noWrap w:val="0"/>
            <w:vAlign w:val="center"/>
          </w:tcPr>
          <w:p w14:paraId="42799467">
            <w:pPr>
              <w:spacing w:line="400" w:lineRule="exact"/>
              <w:jc w:val="center"/>
              <w:rPr>
                <w:rFonts w:ascii="宋体" w:hAnsi="宋体"/>
                <w:color w:val="auto"/>
                <w:sz w:val="21"/>
                <w:szCs w:val="21"/>
                <w:highlight w:val="none"/>
              </w:rPr>
            </w:pPr>
          </w:p>
        </w:tc>
        <w:tc>
          <w:tcPr>
            <w:tcW w:w="1213" w:type="dxa"/>
            <w:noWrap w:val="0"/>
            <w:vAlign w:val="center"/>
          </w:tcPr>
          <w:p w14:paraId="38425EF1">
            <w:pPr>
              <w:spacing w:line="400" w:lineRule="exact"/>
              <w:jc w:val="center"/>
              <w:rPr>
                <w:rFonts w:ascii="宋体" w:hAnsi="宋体"/>
                <w:color w:val="auto"/>
                <w:sz w:val="21"/>
                <w:szCs w:val="21"/>
                <w:highlight w:val="none"/>
              </w:rPr>
            </w:pPr>
          </w:p>
        </w:tc>
        <w:tc>
          <w:tcPr>
            <w:tcW w:w="1029" w:type="dxa"/>
            <w:noWrap w:val="0"/>
            <w:vAlign w:val="center"/>
          </w:tcPr>
          <w:p w14:paraId="5C3E03B2">
            <w:pPr>
              <w:spacing w:line="400" w:lineRule="exact"/>
              <w:jc w:val="center"/>
              <w:rPr>
                <w:rFonts w:ascii="宋体" w:hAnsi="宋体"/>
                <w:color w:val="auto"/>
                <w:sz w:val="21"/>
                <w:szCs w:val="21"/>
                <w:highlight w:val="none"/>
              </w:rPr>
            </w:pPr>
          </w:p>
        </w:tc>
      </w:tr>
      <w:tr w14:paraId="1609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828" w:type="dxa"/>
            <w:noWrap w:val="0"/>
            <w:vAlign w:val="center"/>
          </w:tcPr>
          <w:p w14:paraId="53EDC77F">
            <w:pPr>
              <w:spacing w:line="400" w:lineRule="exact"/>
              <w:jc w:val="center"/>
              <w:rPr>
                <w:rFonts w:ascii="宋体" w:hAnsi="宋体"/>
                <w:color w:val="auto"/>
                <w:sz w:val="21"/>
                <w:szCs w:val="21"/>
                <w:highlight w:val="none"/>
              </w:rPr>
            </w:pPr>
          </w:p>
        </w:tc>
        <w:tc>
          <w:tcPr>
            <w:tcW w:w="900" w:type="dxa"/>
            <w:noWrap w:val="0"/>
            <w:vAlign w:val="center"/>
          </w:tcPr>
          <w:p w14:paraId="64A20598">
            <w:pPr>
              <w:spacing w:line="400" w:lineRule="exact"/>
              <w:jc w:val="center"/>
              <w:rPr>
                <w:rFonts w:ascii="宋体" w:hAnsi="宋体"/>
                <w:color w:val="auto"/>
                <w:sz w:val="21"/>
                <w:szCs w:val="21"/>
                <w:highlight w:val="none"/>
              </w:rPr>
            </w:pPr>
          </w:p>
        </w:tc>
        <w:tc>
          <w:tcPr>
            <w:tcW w:w="900" w:type="dxa"/>
            <w:noWrap w:val="0"/>
            <w:vAlign w:val="center"/>
          </w:tcPr>
          <w:p w14:paraId="643EF9E0">
            <w:pPr>
              <w:spacing w:line="400" w:lineRule="exact"/>
              <w:jc w:val="center"/>
              <w:rPr>
                <w:rFonts w:ascii="宋体" w:hAnsi="宋体"/>
                <w:color w:val="auto"/>
                <w:sz w:val="21"/>
                <w:szCs w:val="21"/>
                <w:highlight w:val="none"/>
              </w:rPr>
            </w:pPr>
          </w:p>
        </w:tc>
        <w:tc>
          <w:tcPr>
            <w:tcW w:w="2115" w:type="dxa"/>
            <w:noWrap w:val="0"/>
            <w:vAlign w:val="center"/>
          </w:tcPr>
          <w:p w14:paraId="5065F4F2">
            <w:pPr>
              <w:spacing w:line="400" w:lineRule="exact"/>
              <w:jc w:val="center"/>
              <w:rPr>
                <w:rFonts w:ascii="宋体" w:hAnsi="宋体"/>
                <w:color w:val="auto"/>
                <w:sz w:val="21"/>
                <w:szCs w:val="21"/>
                <w:highlight w:val="none"/>
              </w:rPr>
            </w:pPr>
          </w:p>
        </w:tc>
        <w:tc>
          <w:tcPr>
            <w:tcW w:w="1313" w:type="dxa"/>
            <w:noWrap w:val="0"/>
            <w:vAlign w:val="center"/>
          </w:tcPr>
          <w:p w14:paraId="258D7D2C">
            <w:pPr>
              <w:spacing w:line="400" w:lineRule="exact"/>
              <w:jc w:val="center"/>
              <w:rPr>
                <w:rFonts w:ascii="宋体" w:hAnsi="宋体"/>
                <w:color w:val="auto"/>
                <w:sz w:val="21"/>
                <w:szCs w:val="21"/>
                <w:highlight w:val="none"/>
              </w:rPr>
            </w:pPr>
          </w:p>
        </w:tc>
        <w:tc>
          <w:tcPr>
            <w:tcW w:w="1637" w:type="dxa"/>
            <w:noWrap w:val="0"/>
            <w:vAlign w:val="center"/>
          </w:tcPr>
          <w:p w14:paraId="749DAA91">
            <w:pPr>
              <w:spacing w:line="400" w:lineRule="exact"/>
              <w:jc w:val="center"/>
              <w:rPr>
                <w:rFonts w:ascii="宋体" w:hAnsi="宋体"/>
                <w:color w:val="auto"/>
                <w:sz w:val="21"/>
                <w:szCs w:val="21"/>
                <w:highlight w:val="none"/>
              </w:rPr>
            </w:pPr>
          </w:p>
        </w:tc>
        <w:tc>
          <w:tcPr>
            <w:tcW w:w="1213" w:type="dxa"/>
            <w:noWrap w:val="0"/>
            <w:vAlign w:val="center"/>
          </w:tcPr>
          <w:p w14:paraId="774D14D1">
            <w:pPr>
              <w:spacing w:line="400" w:lineRule="exact"/>
              <w:jc w:val="center"/>
              <w:rPr>
                <w:rFonts w:ascii="宋体" w:hAnsi="宋体"/>
                <w:color w:val="auto"/>
                <w:sz w:val="21"/>
                <w:szCs w:val="21"/>
                <w:highlight w:val="none"/>
              </w:rPr>
            </w:pPr>
          </w:p>
        </w:tc>
        <w:tc>
          <w:tcPr>
            <w:tcW w:w="1029" w:type="dxa"/>
            <w:noWrap w:val="0"/>
            <w:vAlign w:val="center"/>
          </w:tcPr>
          <w:p w14:paraId="5FF79341">
            <w:pPr>
              <w:spacing w:line="400" w:lineRule="exact"/>
              <w:jc w:val="center"/>
              <w:rPr>
                <w:rFonts w:ascii="宋体" w:hAnsi="宋体"/>
                <w:color w:val="auto"/>
                <w:sz w:val="21"/>
                <w:szCs w:val="21"/>
                <w:highlight w:val="none"/>
              </w:rPr>
            </w:pPr>
          </w:p>
        </w:tc>
      </w:tr>
      <w:tr w14:paraId="2CCB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28" w:type="dxa"/>
            <w:noWrap w:val="0"/>
            <w:vAlign w:val="center"/>
          </w:tcPr>
          <w:p w14:paraId="54A294DE">
            <w:pPr>
              <w:spacing w:line="400" w:lineRule="exact"/>
              <w:jc w:val="center"/>
              <w:rPr>
                <w:rFonts w:ascii="宋体" w:hAnsi="宋体"/>
                <w:color w:val="auto"/>
                <w:sz w:val="21"/>
                <w:szCs w:val="21"/>
                <w:highlight w:val="none"/>
              </w:rPr>
            </w:pPr>
          </w:p>
        </w:tc>
        <w:tc>
          <w:tcPr>
            <w:tcW w:w="900" w:type="dxa"/>
            <w:noWrap w:val="0"/>
            <w:vAlign w:val="center"/>
          </w:tcPr>
          <w:p w14:paraId="21C205E9">
            <w:pPr>
              <w:spacing w:line="400" w:lineRule="exact"/>
              <w:jc w:val="center"/>
              <w:rPr>
                <w:rFonts w:ascii="宋体" w:hAnsi="宋体"/>
                <w:color w:val="auto"/>
                <w:sz w:val="21"/>
                <w:szCs w:val="21"/>
                <w:highlight w:val="none"/>
              </w:rPr>
            </w:pPr>
          </w:p>
        </w:tc>
        <w:tc>
          <w:tcPr>
            <w:tcW w:w="900" w:type="dxa"/>
            <w:noWrap w:val="0"/>
            <w:vAlign w:val="center"/>
          </w:tcPr>
          <w:p w14:paraId="0620DD3F">
            <w:pPr>
              <w:spacing w:line="400" w:lineRule="exact"/>
              <w:jc w:val="center"/>
              <w:rPr>
                <w:rFonts w:ascii="宋体" w:hAnsi="宋体"/>
                <w:color w:val="auto"/>
                <w:sz w:val="21"/>
                <w:szCs w:val="21"/>
                <w:highlight w:val="none"/>
              </w:rPr>
            </w:pPr>
          </w:p>
        </w:tc>
        <w:tc>
          <w:tcPr>
            <w:tcW w:w="2115" w:type="dxa"/>
            <w:noWrap w:val="0"/>
            <w:vAlign w:val="center"/>
          </w:tcPr>
          <w:p w14:paraId="1ACE234A">
            <w:pPr>
              <w:spacing w:line="400" w:lineRule="exact"/>
              <w:jc w:val="center"/>
              <w:rPr>
                <w:rFonts w:ascii="宋体" w:hAnsi="宋体"/>
                <w:color w:val="auto"/>
                <w:sz w:val="21"/>
                <w:szCs w:val="21"/>
                <w:highlight w:val="none"/>
              </w:rPr>
            </w:pPr>
          </w:p>
        </w:tc>
        <w:tc>
          <w:tcPr>
            <w:tcW w:w="1313" w:type="dxa"/>
            <w:noWrap w:val="0"/>
            <w:vAlign w:val="center"/>
          </w:tcPr>
          <w:p w14:paraId="1E3C3B75">
            <w:pPr>
              <w:spacing w:line="400" w:lineRule="exact"/>
              <w:jc w:val="center"/>
              <w:rPr>
                <w:rFonts w:ascii="宋体" w:hAnsi="宋体"/>
                <w:color w:val="auto"/>
                <w:sz w:val="21"/>
                <w:szCs w:val="21"/>
                <w:highlight w:val="none"/>
              </w:rPr>
            </w:pPr>
          </w:p>
        </w:tc>
        <w:tc>
          <w:tcPr>
            <w:tcW w:w="1637" w:type="dxa"/>
            <w:noWrap w:val="0"/>
            <w:vAlign w:val="center"/>
          </w:tcPr>
          <w:p w14:paraId="6FDB2004">
            <w:pPr>
              <w:spacing w:line="400" w:lineRule="exact"/>
              <w:jc w:val="center"/>
              <w:rPr>
                <w:rFonts w:ascii="宋体" w:hAnsi="宋体"/>
                <w:color w:val="auto"/>
                <w:sz w:val="21"/>
                <w:szCs w:val="21"/>
                <w:highlight w:val="none"/>
              </w:rPr>
            </w:pPr>
          </w:p>
        </w:tc>
        <w:tc>
          <w:tcPr>
            <w:tcW w:w="1213" w:type="dxa"/>
            <w:noWrap w:val="0"/>
            <w:vAlign w:val="center"/>
          </w:tcPr>
          <w:p w14:paraId="664B23B8">
            <w:pPr>
              <w:spacing w:line="400" w:lineRule="exact"/>
              <w:jc w:val="center"/>
              <w:rPr>
                <w:rFonts w:ascii="宋体" w:hAnsi="宋体"/>
                <w:color w:val="auto"/>
                <w:sz w:val="21"/>
                <w:szCs w:val="21"/>
                <w:highlight w:val="none"/>
              </w:rPr>
            </w:pPr>
          </w:p>
        </w:tc>
        <w:tc>
          <w:tcPr>
            <w:tcW w:w="1029" w:type="dxa"/>
            <w:noWrap w:val="0"/>
            <w:vAlign w:val="center"/>
          </w:tcPr>
          <w:p w14:paraId="1001EE54">
            <w:pPr>
              <w:spacing w:line="400" w:lineRule="exact"/>
              <w:jc w:val="center"/>
              <w:rPr>
                <w:rFonts w:ascii="宋体" w:hAnsi="宋体"/>
                <w:color w:val="auto"/>
                <w:sz w:val="21"/>
                <w:szCs w:val="21"/>
                <w:highlight w:val="none"/>
              </w:rPr>
            </w:pPr>
          </w:p>
        </w:tc>
      </w:tr>
      <w:tr w14:paraId="1D26E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828" w:type="dxa"/>
            <w:noWrap w:val="0"/>
            <w:vAlign w:val="center"/>
          </w:tcPr>
          <w:p w14:paraId="79BE2201">
            <w:pPr>
              <w:spacing w:line="400" w:lineRule="exact"/>
              <w:jc w:val="center"/>
              <w:rPr>
                <w:rFonts w:ascii="宋体" w:hAnsi="宋体"/>
                <w:color w:val="auto"/>
                <w:sz w:val="21"/>
                <w:szCs w:val="21"/>
                <w:highlight w:val="none"/>
              </w:rPr>
            </w:pPr>
          </w:p>
        </w:tc>
        <w:tc>
          <w:tcPr>
            <w:tcW w:w="900" w:type="dxa"/>
            <w:noWrap w:val="0"/>
            <w:vAlign w:val="center"/>
          </w:tcPr>
          <w:p w14:paraId="47791F1C">
            <w:pPr>
              <w:spacing w:line="400" w:lineRule="exact"/>
              <w:jc w:val="center"/>
              <w:rPr>
                <w:rFonts w:ascii="宋体" w:hAnsi="宋体"/>
                <w:color w:val="auto"/>
                <w:sz w:val="21"/>
                <w:szCs w:val="21"/>
                <w:highlight w:val="none"/>
              </w:rPr>
            </w:pPr>
          </w:p>
        </w:tc>
        <w:tc>
          <w:tcPr>
            <w:tcW w:w="900" w:type="dxa"/>
            <w:noWrap w:val="0"/>
            <w:vAlign w:val="center"/>
          </w:tcPr>
          <w:p w14:paraId="3F930B05">
            <w:pPr>
              <w:spacing w:line="400" w:lineRule="exact"/>
              <w:jc w:val="center"/>
              <w:rPr>
                <w:rFonts w:ascii="宋体" w:hAnsi="宋体"/>
                <w:color w:val="auto"/>
                <w:sz w:val="21"/>
                <w:szCs w:val="21"/>
                <w:highlight w:val="none"/>
              </w:rPr>
            </w:pPr>
          </w:p>
        </w:tc>
        <w:tc>
          <w:tcPr>
            <w:tcW w:w="2115" w:type="dxa"/>
            <w:noWrap w:val="0"/>
            <w:vAlign w:val="center"/>
          </w:tcPr>
          <w:p w14:paraId="74842EEC">
            <w:pPr>
              <w:spacing w:line="400" w:lineRule="exact"/>
              <w:jc w:val="center"/>
              <w:rPr>
                <w:rFonts w:ascii="宋体" w:hAnsi="宋体"/>
                <w:color w:val="auto"/>
                <w:sz w:val="21"/>
                <w:szCs w:val="21"/>
                <w:highlight w:val="none"/>
              </w:rPr>
            </w:pPr>
          </w:p>
        </w:tc>
        <w:tc>
          <w:tcPr>
            <w:tcW w:w="1313" w:type="dxa"/>
            <w:noWrap w:val="0"/>
            <w:vAlign w:val="center"/>
          </w:tcPr>
          <w:p w14:paraId="42DC8FA0">
            <w:pPr>
              <w:spacing w:line="400" w:lineRule="exact"/>
              <w:jc w:val="center"/>
              <w:rPr>
                <w:rFonts w:ascii="宋体" w:hAnsi="宋体"/>
                <w:color w:val="auto"/>
                <w:sz w:val="21"/>
                <w:szCs w:val="21"/>
                <w:highlight w:val="none"/>
              </w:rPr>
            </w:pPr>
          </w:p>
        </w:tc>
        <w:tc>
          <w:tcPr>
            <w:tcW w:w="1637" w:type="dxa"/>
            <w:noWrap w:val="0"/>
            <w:vAlign w:val="center"/>
          </w:tcPr>
          <w:p w14:paraId="39AB4BCD">
            <w:pPr>
              <w:spacing w:line="400" w:lineRule="exact"/>
              <w:jc w:val="center"/>
              <w:rPr>
                <w:rFonts w:ascii="宋体" w:hAnsi="宋体"/>
                <w:color w:val="auto"/>
                <w:sz w:val="21"/>
                <w:szCs w:val="21"/>
                <w:highlight w:val="none"/>
              </w:rPr>
            </w:pPr>
          </w:p>
        </w:tc>
        <w:tc>
          <w:tcPr>
            <w:tcW w:w="1213" w:type="dxa"/>
            <w:noWrap w:val="0"/>
            <w:vAlign w:val="center"/>
          </w:tcPr>
          <w:p w14:paraId="685AAB74">
            <w:pPr>
              <w:spacing w:line="400" w:lineRule="exact"/>
              <w:jc w:val="center"/>
              <w:rPr>
                <w:rFonts w:ascii="宋体" w:hAnsi="宋体"/>
                <w:color w:val="auto"/>
                <w:sz w:val="21"/>
                <w:szCs w:val="21"/>
                <w:highlight w:val="none"/>
              </w:rPr>
            </w:pPr>
          </w:p>
        </w:tc>
        <w:tc>
          <w:tcPr>
            <w:tcW w:w="1029" w:type="dxa"/>
            <w:noWrap w:val="0"/>
            <w:vAlign w:val="center"/>
          </w:tcPr>
          <w:p w14:paraId="196170B6">
            <w:pPr>
              <w:spacing w:line="400" w:lineRule="exact"/>
              <w:jc w:val="center"/>
              <w:rPr>
                <w:rFonts w:ascii="宋体" w:hAnsi="宋体"/>
                <w:color w:val="auto"/>
                <w:sz w:val="21"/>
                <w:szCs w:val="21"/>
                <w:highlight w:val="none"/>
              </w:rPr>
            </w:pPr>
          </w:p>
        </w:tc>
      </w:tr>
      <w:tr w14:paraId="5F7DD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6" w:hRule="atLeast"/>
        </w:trPr>
        <w:tc>
          <w:tcPr>
            <w:tcW w:w="9935" w:type="dxa"/>
            <w:gridSpan w:val="8"/>
            <w:noWrap w:val="0"/>
            <w:vAlign w:val="center"/>
          </w:tcPr>
          <w:p w14:paraId="2ACFF122">
            <w:pPr>
              <w:spacing w:line="400" w:lineRule="exact"/>
              <w:rPr>
                <w:rFonts w:ascii="宋体" w:hAnsi="宋体"/>
                <w:color w:val="auto"/>
                <w:sz w:val="21"/>
                <w:szCs w:val="21"/>
                <w:highlight w:val="none"/>
              </w:rPr>
            </w:pPr>
            <w:r>
              <w:rPr>
                <w:rFonts w:hint="eastAsia" w:ascii="宋体" w:hAnsi="宋体"/>
                <w:color w:val="auto"/>
                <w:sz w:val="21"/>
                <w:szCs w:val="21"/>
                <w:highlight w:val="none"/>
              </w:rPr>
              <w:t>一旦我单位成交，将实行项目经理负责制，我方保证并配备上述项目管理机构。上述填报内容真实，若不真实，愿接有关规定接受处理。项目管理班子机构设置、职责分工等情况另附资料说明。</w:t>
            </w:r>
          </w:p>
        </w:tc>
      </w:tr>
    </w:tbl>
    <w:p w14:paraId="04FF520A">
      <w:pPr>
        <w:spacing w:line="500" w:lineRule="exact"/>
        <w:rPr>
          <w:rFonts w:ascii="宋体" w:hAnsi="宋体"/>
          <w:b/>
          <w:color w:val="auto"/>
          <w:sz w:val="21"/>
          <w:szCs w:val="21"/>
          <w:highlight w:val="none"/>
        </w:rPr>
      </w:pPr>
      <w:r>
        <w:rPr>
          <w:rFonts w:hint="eastAsia" w:ascii="宋体" w:hAnsi="宋体"/>
          <w:b/>
          <w:color w:val="auto"/>
          <w:szCs w:val="21"/>
          <w:highlight w:val="none"/>
        </w:rPr>
        <w:t>【备注：</w:t>
      </w:r>
      <w:r>
        <w:rPr>
          <w:rFonts w:hint="eastAsia" w:ascii="宋体" w:hAnsi="宋体"/>
          <w:b/>
          <w:color w:val="auto"/>
          <w:szCs w:val="21"/>
          <w:highlight w:val="none"/>
          <w:lang w:eastAsia="zh-CN"/>
        </w:rPr>
        <w:t>必须</w:t>
      </w:r>
      <w:r>
        <w:rPr>
          <w:rFonts w:hint="eastAsia" w:ascii="宋体" w:hAnsi="宋体"/>
          <w:b/>
          <w:color w:val="auto"/>
          <w:szCs w:val="21"/>
          <w:highlight w:val="none"/>
        </w:rPr>
        <w:t>附各岗位人员资格证件复印件，复印件须加盖</w:t>
      </w:r>
      <w:r>
        <w:rPr>
          <w:rFonts w:hint="eastAsia" w:ascii="宋体" w:hAnsi="宋体"/>
          <w:b/>
          <w:color w:val="auto"/>
          <w:szCs w:val="21"/>
          <w:highlight w:val="none"/>
          <w:lang w:eastAsia="zh-CN"/>
        </w:rPr>
        <w:t>磋商</w:t>
      </w:r>
      <w:r>
        <w:rPr>
          <w:rFonts w:hint="eastAsia" w:ascii="宋体" w:hAnsi="宋体"/>
          <w:b/>
          <w:color w:val="auto"/>
          <w:szCs w:val="21"/>
          <w:highlight w:val="none"/>
        </w:rPr>
        <w:t>人单位公章】</w:t>
      </w:r>
    </w:p>
    <w:p w14:paraId="6E2D7BAA">
      <w:pPr>
        <w:spacing w:before="156" w:beforeLines="50" w:after="312" w:afterLines="100" w:line="500" w:lineRule="exact"/>
        <w:jc w:val="center"/>
        <w:rPr>
          <w:rFonts w:ascii="宋体" w:hAnsi="宋体"/>
          <w:color w:val="auto"/>
          <w:szCs w:val="21"/>
          <w:highlight w:val="none"/>
        </w:rPr>
      </w:pPr>
      <w:r>
        <w:rPr>
          <w:rFonts w:ascii="宋体" w:hAnsi="宋体"/>
          <w:color w:val="auto"/>
          <w:szCs w:val="21"/>
          <w:highlight w:val="none"/>
        </w:rPr>
        <w:br w:type="page"/>
      </w:r>
      <w:r>
        <w:rPr>
          <w:rFonts w:hint="eastAsia" w:ascii="宋体" w:hAnsi="宋体"/>
          <w:b/>
          <w:color w:val="auto"/>
          <w:sz w:val="28"/>
          <w:szCs w:val="28"/>
          <w:highlight w:val="none"/>
          <w:lang w:val="en-US" w:eastAsia="zh-CN"/>
        </w:rPr>
        <w:t>2.2</w:t>
      </w:r>
      <w:r>
        <w:rPr>
          <w:rFonts w:hint="eastAsia" w:ascii="宋体" w:hAnsi="宋体"/>
          <w:b/>
          <w:color w:val="auto"/>
          <w:sz w:val="28"/>
          <w:szCs w:val="28"/>
          <w:highlight w:val="none"/>
        </w:rPr>
        <w:t>项目经理简历表</w:t>
      </w:r>
    </w:p>
    <w:p w14:paraId="4B173355">
      <w:pPr>
        <w:spacing w:line="400" w:lineRule="exact"/>
        <w:rPr>
          <w:rFonts w:ascii="宋体" w:hAnsi="宋体"/>
          <w:color w:val="auto"/>
          <w:sz w:val="21"/>
          <w:szCs w:val="21"/>
          <w:highlight w:val="none"/>
        </w:rPr>
      </w:pPr>
      <w:r>
        <w:rPr>
          <w:rFonts w:hint="eastAsia" w:ascii="宋体" w:hAnsi="宋体"/>
          <w:color w:val="auto"/>
          <w:sz w:val="21"/>
          <w:szCs w:val="21"/>
          <w:highlight w:val="none"/>
          <w:u w:val="single"/>
        </w:rPr>
        <w:t xml:space="preserve">（工程项目名称）  </w:t>
      </w:r>
      <w:r>
        <w:rPr>
          <w:rFonts w:hint="eastAsia" w:ascii="宋体" w:hAnsi="宋体"/>
          <w:color w:val="auto"/>
          <w:sz w:val="21"/>
          <w:szCs w:val="21"/>
          <w:highlight w:val="none"/>
        </w:rPr>
        <w:t xml:space="preserve">工程   </w:t>
      </w:r>
    </w:p>
    <w:tbl>
      <w:tblPr>
        <w:tblStyle w:val="23"/>
        <w:tblW w:w="98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8"/>
        <w:gridCol w:w="1640"/>
        <w:gridCol w:w="1638"/>
        <w:gridCol w:w="1638"/>
        <w:gridCol w:w="740"/>
        <w:gridCol w:w="899"/>
        <w:gridCol w:w="1643"/>
      </w:tblGrid>
      <w:tr w14:paraId="22ECE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638" w:type="dxa"/>
            <w:noWrap w:val="0"/>
            <w:vAlign w:val="center"/>
          </w:tcPr>
          <w:p w14:paraId="3756E36C">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姓名</w:t>
            </w:r>
          </w:p>
        </w:tc>
        <w:tc>
          <w:tcPr>
            <w:tcW w:w="1640" w:type="dxa"/>
            <w:noWrap w:val="0"/>
            <w:vAlign w:val="center"/>
          </w:tcPr>
          <w:p w14:paraId="4CF2080F">
            <w:pPr>
              <w:spacing w:line="400" w:lineRule="exact"/>
              <w:jc w:val="center"/>
              <w:rPr>
                <w:rFonts w:ascii="宋体" w:hAnsi="宋体"/>
                <w:color w:val="auto"/>
                <w:sz w:val="21"/>
                <w:szCs w:val="21"/>
                <w:highlight w:val="none"/>
              </w:rPr>
            </w:pPr>
          </w:p>
        </w:tc>
        <w:tc>
          <w:tcPr>
            <w:tcW w:w="1638" w:type="dxa"/>
            <w:noWrap w:val="0"/>
            <w:vAlign w:val="center"/>
          </w:tcPr>
          <w:p w14:paraId="3E241A2A">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性别</w:t>
            </w:r>
          </w:p>
        </w:tc>
        <w:tc>
          <w:tcPr>
            <w:tcW w:w="1638" w:type="dxa"/>
            <w:noWrap w:val="0"/>
            <w:vAlign w:val="center"/>
          </w:tcPr>
          <w:p w14:paraId="5F6003B8">
            <w:pPr>
              <w:spacing w:line="400" w:lineRule="exact"/>
              <w:jc w:val="center"/>
              <w:rPr>
                <w:rFonts w:ascii="宋体" w:hAnsi="宋体"/>
                <w:color w:val="auto"/>
                <w:sz w:val="21"/>
                <w:szCs w:val="21"/>
                <w:highlight w:val="none"/>
              </w:rPr>
            </w:pPr>
          </w:p>
        </w:tc>
        <w:tc>
          <w:tcPr>
            <w:tcW w:w="1639" w:type="dxa"/>
            <w:gridSpan w:val="2"/>
            <w:noWrap w:val="0"/>
            <w:vAlign w:val="center"/>
          </w:tcPr>
          <w:p w14:paraId="75A0A9C4">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年龄</w:t>
            </w:r>
          </w:p>
        </w:tc>
        <w:tc>
          <w:tcPr>
            <w:tcW w:w="1643" w:type="dxa"/>
            <w:noWrap w:val="0"/>
            <w:vAlign w:val="center"/>
          </w:tcPr>
          <w:p w14:paraId="3C9ED41E">
            <w:pPr>
              <w:spacing w:line="400" w:lineRule="exact"/>
              <w:jc w:val="center"/>
              <w:rPr>
                <w:rFonts w:ascii="宋体" w:hAnsi="宋体"/>
                <w:color w:val="auto"/>
                <w:sz w:val="21"/>
                <w:szCs w:val="21"/>
                <w:highlight w:val="none"/>
              </w:rPr>
            </w:pPr>
          </w:p>
        </w:tc>
      </w:tr>
      <w:tr w14:paraId="6275B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638" w:type="dxa"/>
            <w:noWrap w:val="0"/>
            <w:vAlign w:val="center"/>
          </w:tcPr>
          <w:p w14:paraId="30ED6B97">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职务</w:t>
            </w:r>
          </w:p>
        </w:tc>
        <w:tc>
          <w:tcPr>
            <w:tcW w:w="1640" w:type="dxa"/>
            <w:noWrap w:val="0"/>
            <w:vAlign w:val="center"/>
          </w:tcPr>
          <w:p w14:paraId="36BB7E56">
            <w:pPr>
              <w:spacing w:line="400" w:lineRule="exact"/>
              <w:jc w:val="center"/>
              <w:rPr>
                <w:rFonts w:ascii="宋体" w:hAnsi="宋体"/>
                <w:color w:val="auto"/>
                <w:sz w:val="21"/>
                <w:szCs w:val="21"/>
                <w:highlight w:val="none"/>
              </w:rPr>
            </w:pPr>
          </w:p>
        </w:tc>
        <w:tc>
          <w:tcPr>
            <w:tcW w:w="1638" w:type="dxa"/>
            <w:noWrap w:val="0"/>
            <w:vAlign w:val="center"/>
          </w:tcPr>
          <w:p w14:paraId="2B76E0C3">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职称</w:t>
            </w:r>
          </w:p>
        </w:tc>
        <w:tc>
          <w:tcPr>
            <w:tcW w:w="1638" w:type="dxa"/>
            <w:noWrap w:val="0"/>
            <w:vAlign w:val="center"/>
          </w:tcPr>
          <w:p w14:paraId="071C37A7">
            <w:pPr>
              <w:spacing w:line="400" w:lineRule="exact"/>
              <w:jc w:val="center"/>
              <w:rPr>
                <w:rFonts w:ascii="宋体" w:hAnsi="宋体"/>
                <w:color w:val="auto"/>
                <w:sz w:val="21"/>
                <w:szCs w:val="21"/>
                <w:highlight w:val="none"/>
              </w:rPr>
            </w:pPr>
          </w:p>
        </w:tc>
        <w:tc>
          <w:tcPr>
            <w:tcW w:w="1639" w:type="dxa"/>
            <w:gridSpan w:val="2"/>
            <w:noWrap w:val="0"/>
            <w:vAlign w:val="center"/>
          </w:tcPr>
          <w:p w14:paraId="7F99F0B0">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学历</w:t>
            </w:r>
          </w:p>
        </w:tc>
        <w:tc>
          <w:tcPr>
            <w:tcW w:w="1643" w:type="dxa"/>
            <w:noWrap w:val="0"/>
            <w:vAlign w:val="center"/>
          </w:tcPr>
          <w:p w14:paraId="4D611C8D">
            <w:pPr>
              <w:spacing w:line="400" w:lineRule="exact"/>
              <w:jc w:val="center"/>
              <w:rPr>
                <w:rFonts w:ascii="宋体" w:hAnsi="宋体"/>
                <w:color w:val="auto"/>
                <w:sz w:val="21"/>
                <w:szCs w:val="21"/>
                <w:highlight w:val="none"/>
              </w:rPr>
            </w:pPr>
          </w:p>
        </w:tc>
      </w:tr>
      <w:tr w14:paraId="7D71F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3278" w:type="dxa"/>
            <w:gridSpan w:val="2"/>
            <w:noWrap w:val="0"/>
            <w:vAlign w:val="center"/>
          </w:tcPr>
          <w:p w14:paraId="169F9294">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参加工作时间</w:t>
            </w:r>
          </w:p>
        </w:tc>
        <w:tc>
          <w:tcPr>
            <w:tcW w:w="1638" w:type="dxa"/>
            <w:noWrap w:val="0"/>
            <w:vAlign w:val="center"/>
          </w:tcPr>
          <w:p w14:paraId="620FD8B5">
            <w:pPr>
              <w:spacing w:line="400" w:lineRule="exact"/>
              <w:jc w:val="center"/>
              <w:rPr>
                <w:rFonts w:ascii="宋体" w:hAnsi="宋体"/>
                <w:color w:val="auto"/>
                <w:sz w:val="21"/>
                <w:szCs w:val="21"/>
                <w:highlight w:val="none"/>
              </w:rPr>
            </w:pPr>
          </w:p>
        </w:tc>
        <w:tc>
          <w:tcPr>
            <w:tcW w:w="2378" w:type="dxa"/>
            <w:gridSpan w:val="2"/>
            <w:noWrap w:val="0"/>
            <w:vAlign w:val="center"/>
          </w:tcPr>
          <w:p w14:paraId="5AEC656D">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担任项目经理年限</w:t>
            </w:r>
          </w:p>
        </w:tc>
        <w:tc>
          <w:tcPr>
            <w:tcW w:w="2542" w:type="dxa"/>
            <w:gridSpan w:val="2"/>
            <w:noWrap w:val="0"/>
            <w:vAlign w:val="center"/>
          </w:tcPr>
          <w:p w14:paraId="76FCB458">
            <w:pPr>
              <w:spacing w:line="400" w:lineRule="exact"/>
              <w:jc w:val="center"/>
              <w:rPr>
                <w:rFonts w:ascii="宋体" w:hAnsi="宋体"/>
                <w:color w:val="auto"/>
                <w:sz w:val="21"/>
                <w:szCs w:val="21"/>
                <w:highlight w:val="none"/>
              </w:rPr>
            </w:pPr>
          </w:p>
        </w:tc>
      </w:tr>
      <w:tr w14:paraId="5173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3278" w:type="dxa"/>
            <w:gridSpan w:val="2"/>
            <w:noWrap w:val="0"/>
            <w:vAlign w:val="center"/>
          </w:tcPr>
          <w:p w14:paraId="7BAF9E48">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项目经理资格证书编号</w:t>
            </w:r>
          </w:p>
        </w:tc>
        <w:tc>
          <w:tcPr>
            <w:tcW w:w="6558" w:type="dxa"/>
            <w:gridSpan w:val="5"/>
            <w:noWrap w:val="0"/>
            <w:vAlign w:val="center"/>
          </w:tcPr>
          <w:p w14:paraId="0DFAF198">
            <w:pPr>
              <w:spacing w:line="400" w:lineRule="exact"/>
              <w:jc w:val="center"/>
              <w:rPr>
                <w:rFonts w:ascii="宋体" w:hAnsi="宋体"/>
                <w:color w:val="auto"/>
                <w:sz w:val="21"/>
                <w:szCs w:val="21"/>
                <w:highlight w:val="none"/>
              </w:rPr>
            </w:pPr>
          </w:p>
        </w:tc>
      </w:tr>
      <w:tr w14:paraId="3C5CB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836" w:type="dxa"/>
            <w:gridSpan w:val="7"/>
            <w:noWrap w:val="0"/>
            <w:vAlign w:val="center"/>
          </w:tcPr>
          <w:p w14:paraId="1BEAC626">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在建和已完工程项目情况</w:t>
            </w:r>
          </w:p>
        </w:tc>
      </w:tr>
      <w:tr w14:paraId="342FF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638" w:type="dxa"/>
            <w:noWrap w:val="0"/>
            <w:vAlign w:val="center"/>
          </w:tcPr>
          <w:p w14:paraId="400ED265">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建设单位</w:t>
            </w:r>
          </w:p>
        </w:tc>
        <w:tc>
          <w:tcPr>
            <w:tcW w:w="1640" w:type="dxa"/>
            <w:noWrap w:val="0"/>
            <w:vAlign w:val="center"/>
          </w:tcPr>
          <w:p w14:paraId="7580BB50">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项目名称</w:t>
            </w:r>
          </w:p>
        </w:tc>
        <w:tc>
          <w:tcPr>
            <w:tcW w:w="1638" w:type="dxa"/>
            <w:noWrap w:val="0"/>
            <w:vAlign w:val="center"/>
          </w:tcPr>
          <w:p w14:paraId="66A3BD79">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建设规格</w:t>
            </w:r>
          </w:p>
        </w:tc>
        <w:tc>
          <w:tcPr>
            <w:tcW w:w="1638" w:type="dxa"/>
            <w:noWrap w:val="0"/>
            <w:vAlign w:val="center"/>
          </w:tcPr>
          <w:p w14:paraId="4925C7EC">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开、竣工日期</w:t>
            </w:r>
          </w:p>
        </w:tc>
        <w:tc>
          <w:tcPr>
            <w:tcW w:w="1639" w:type="dxa"/>
            <w:gridSpan w:val="2"/>
            <w:noWrap w:val="0"/>
            <w:vAlign w:val="center"/>
          </w:tcPr>
          <w:p w14:paraId="06A3AF95">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在建或</w:t>
            </w:r>
          </w:p>
          <w:p w14:paraId="096D39CE">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已 完</w:t>
            </w:r>
          </w:p>
        </w:tc>
        <w:tc>
          <w:tcPr>
            <w:tcW w:w="1643" w:type="dxa"/>
            <w:noWrap w:val="0"/>
            <w:vAlign w:val="center"/>
          </w:tcPr>
          <w:p w14:paraId="14FD42DA">
            <w:pPr>
              <w:spacing w:line="400" w:lineRule="exact"/>
              <w:jc w:val="center"/>
              <w:rPr>
                <w:rFonts w:ascii="宋体" w:hAnsi="宋体"/>
                <w:color w:val="auto"/>
                <w:sz w:val="21"/>
                <w:szCs w:val="21"/>
                <w:highlight w:val="none"/>
              </w:rPr>
            </w:pPr>
            <w:r>
              <w:rPr>
                <w:rFonts w:hint="eastAsia" w:ascii="宋体" w:hAnsi="宋体"/>
                <w:color w:val="auto"/>
                <w:sz w:val="21"/>
                <w:szCs w:val="21"/>
                <w:highlight w:val="none"/>
              </w:rPr>
              <w:t>工程质量</w:t>
            </w:r>
          </w:p>
        </w:tc>
      </w:tr>
      <w:tr w14:paraId="56A05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638" w:type="dxa"/>
            <w:noWrap w:val="0"/>
            <w:vAlign w:val="center"/>
          </w:tcPr>
          <w:p w14:paraId="0E6CBE2C">
            <w:pPr>
              <w:spacing w:line="400" w:lineRule="exact"/>
              <w:jc w:val="center"/>
              <w:rPr>
                <w:rFonts w:ascii="宋体" w:hAnsi="宋体"/>
                <w:color w:val="auto"/>
                <w:sz w:val="21"/>
                <w:szCs w:val="21"/>
                <w:highlight w:val="none"/>
              </w:rPr>
            </w:pPr>
          </w:p>
        </w:tc>
        <w:tc>
          <w:tcPr>
            <w:tcW w:w="1640" w:type="dxa"/>
            <w:noWrap w:val="0"/>
            <w:vAlign w:val="center"/>
          </w:tcPr>
          <w:p w14:paraId="1B411B69">
            <w:pPr>
              <w:spacing w:line="400" w:lineRule="exact"/>
              <w:jc w:val="center"/>
              <w:rPr>
                <w:rFonts w:ascii="宋体" w:hAnsi="宋体"/>
                <w:color w:val="auto"/>
                <w:sz w:val="21"/>
                <w:szCs w:val="21"/>
                <w:highlight w:val="none"/>
              </w:rPr>
            </w:pPr>
          </w:p>
        </w:tc>
        <w:tc>
          <w:tcPr>
            <w:tcW w:w="1638" w:type="dxa"/>
            <w:noWrap w:val="0"/>
            <w:vAlign w:val="center"/>
          </w:tcPr>
          <w:p w14:paraId="328700D7">
            <w:pPr>
              <w:spacing w:line="400" w:lineRule="exact"/>
              <w:jc w:val="center"/>
              <w:rPr>
                <w:rFonts w:ascii="宋体" w:hAnsi="宋体"/>
                <w:color w:val="auto"/>
                <w:sz w:val="21"/>
                <w:szCs w:val="21"/>
                <w:highlight w:val="none"/>
              </w:rPr>
            </w:pPr>
          </w:p>
        </w:tc>
        <w:tc>
          <w:tcPr>
            <w:tcW w:w="1638" w:type="dxa"/>
            <w:noWrap w:val="0"/>
            <w:vAlign w:val="center"/>
          </w:tcPr>
          <w:p w14:paraId="4506168B">
            <w:pPr>
              <w:spacing w:line="400" w:lineRule="exact"/>
              <w:jc w:val="center"/>
              <w:rPr>
                <w:rFonts w:ascii="宋体" w:hAnsi="宋体"/>
                <w:color w:val="auto"/>
                <w:sz w:val="21"/>
                <w:szCs w:val="21"/>
                <w:highlight w:val="none"/>
              </w:rPr>
            </w:pPr>
          </w:p>
        </w:tc>
        <w:tc>
          <w:tcPr>
            <w:tcW w:w="1639" w:type="dxa"/>
            <w:gridSpan w:val="2"/>
            <w:noWrap w:val="0"/>
            <w:vAlign w:val="center"/>
          </w:tcPr>
          <w:p w14:paraId="6A07B38E">
            <w:pPr>
              <w:spacing w:line="400" w:lineRule="exact"/>
              <w:jc w:val="center"/>
              <w:rPr>
                <w:rFonts w:ascii="宋体" w:hAnsi="宋体"/>
                <w:color w:val="auto"/>
                <w:sz w:val="21"/>
                <w:szCs w:val="21"/>
                <w:highlight w:val="none"/>
              </w:rPr>
            </w:pPr>
          </w:p>
        </w:tc>
        <w:tc>
          <w:tcPr>
            <w:tcW w:w="1643" w:type="dxa"/>
            <w:noWrap w:val="0"/>
            <w:vAlign w:val="center"/>
          </w:tcPr>
          <w:p w14:paraId="597EDAA3">
            <w:pPr>
              <w:spacing w:line="400" w:lineRule="exact"/>
              <w:jc w:val="center"/>
              <w:rPr>
                <w:rFonts w:ascii="宋体" w:hAnsi="宋体"/>
                <w:color w:val="auto"/>
                <w:sz w:val="21"/>
                <w:szCs w:val="21"/>
                <w:highlight w:val="none"/>
              </w:rPr>
            </w:pPr>
          </w:p>
        </w:tc>
      </w:tr>
      <w:tr w14:paraId="23347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638" w:type="dxa"/>
            <w:noWrap w:val="0"/>
            <w:vAlign w:val="center"/>
          </w:tcPr>
          <w:p w14:paraId="28E4152C">
            <w:pPr>
              <w:spacing w:line="400" w:lineRule="exact"/>
              <w:jc w:val="center"/>
              <w:rPr>
                <w:rFonts w:ascii="宋体" w:hAnsi="宋体"/>
                <w:color w:val="auto"/>
                <w:sz w:val="21"/>
                <w:szCs w:val="21"/>
                <w:highlight w:val="none"/>
              </w:rPr>
            </w:pPr>
          </w:p>
        </w:tc>
        <w:tc>
          <w:tcPr>
            <w:tcW w:w="1640" w:type="dxa"/>
            <w:noWrap w:val="0"/>
            <w:vAlign w:val="center"/>
          </w:tcPr>
          <w:p w14:paraId="288D375E">
            <w:pPr>
              <w:spacing w:line="400" w:lineRule="exact"/>
              <w:jc w:val="center"/>
              <w:rPr>
                <w:rFonts w:ascii="宋体" w:hAnsi="宋体"/>
                <w:color w:val="auto"/>
                <w:sz w:val="21"/>
                <w:szCs w:val="21"/>
                <w:highlight w:val="none"/>
              </w:rPr>
            </w:pPr>
          </w:p>
        </w:tc>
        <w:tc>
          <w:tcPr>
            <w:tcW w:w="1638" w:type="dxa"/>
            <w:noWrap w:val="0"/>
            <w:vAlign w:val="center"/>
          </w:tcPr>
          <w:p w14:paraId="44C08968">
            <w:pPr>
              <w:spacing w:line="400" w:lineRule="exact"/>
              <w:jc w:val="center"/>
              <w:rPr>
                <w:rFonts w:ascii="宋体" w:hAnsi="宋体"/>
                <w:color w:val="auto"/>
                <w:sz w:val="21"/>
                <w:szCs w:val="21"/>
                <w:highlight w:val="none"/>
              </w:rPr>
            </w:pPr>
          </w:p>
        </w:tc>
        <w:tc>
          <w:tcPr>
            <w:tcW w:w="1638" w:type="dxa"/>
            <w:noWrap w:val="0"/>
            <w:vAlign w:val="center"/>
          </w:tcPr>
          <w:p w14:paraId="2AA8F4F3">
            <w:pPr>
              <w:spacing w:line="400" w:lineRule="exact"/>
              <w:jc w:val="center"/>
              <w:rPr>
                <w:rFonts w:ascii="宋体" w:hAnsi="宋体"/>
                <w:color w:val="auto"/>
                <w:sz w:val="21"/>
                <w:szCs w:val="21"/>
                <w:highlight w:val="none"/>
              </w:rPr>
            </w:pPr>
          </w:p>
        </w:tc>
        <w:tc>
          <w:tcPr>
            <w:tcW w:w="1639" w:type="dxa"/>
            <w:gridSpan w:val="2"/>
            <w:noWrap w:val="0"/>
            <w:vAlign w:val="center"/>
          </w:tcPr>
          <w:p w14:paraId="075D9FB0">
            <w:pPr>
              <w:spacing w:line="400" w:lineRule="exact"/>
              <w:jc w:val="center"/>
              <w:rPr>
                <w:rFonts w:ascii="宋体" w:hAnsi="宋体"/>
                <w:color w:val="auto"/>
                <w:sz w:val="21"/>
                <w:szCs w:val="21"/>
                <w:highlight w:val="none"/>
              </w:rPr>
            </w:pPr>
          </w:p>
        </w:tc>
        <w:tc>
          <w:tcPr>
            <w:tcW w:w="1643" w:type="dxa"/>
            <w:noWrap w:val="0"/>
            <w:vAlign w:val="center"/>
          </w:tcPr>
          <w:p w14:paraId="455073A8">
            <w:pPr>
              <w:spacing w:line="400" w:lineRule="exact"/>
              <w:jc w:val="center"/>
              <w:rPr>
                <w:rFonts w:ascii="宋体" w:hAnsi="宋体"/>
                <w:color w:val="auto"/>
                <w:sz w:val="21"/>
                <w:szCs w:val="21"/>
                <w:highlight w:val="none"/>
              </w:rPr>
            </w:pPr>
          </w:p>
        </w:tc>
      </w:tr>
      <w:tr w14:paraId="6C741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638" w:type="dxa"/>
            <w:noWrap w:val="0"/>
            <w:vAlign w:val="center"/>
          </w:tcPr>
          <w:p w14:paraId="3BF873A1">
            <w:pPr>
              <w:spacing w:line="400" w:lineRule="exact"/>
              <w:jc w:val="center"/>
              <w:rPr>
                <w:rFonts w:ascii="宋体" w:hAnsi="宋体"/>
                <w:color w:val="auto"/>
                <w:sz w:val="21"/>
                <w:szCs w:val="21"/>
                <w:highlight w:val="none"/>
              </w:rPr>
            </w:pPr>
          </w:p>
        </w:tc>
        <w:tc>
          <w:tcPr>
            <w:tcW w:w="1640" w:type="dxa"/>
            <w:noWrap w:val="0"/>
            <w:vAlign w:val="center"/>
          </w:tcPr>
          <w:p w14:paraId="2A368A8A">
            <w:pPr>
              <w:spacing w:line="400" w:lineRule="exact"/>
              <w:jc w:val="center"/>
              <w:rPr>
                <w:rFonts w:ascii="宋体" w:hAnsi="宋体"/>
                <w:color w:val="auto"/>
                <w:sz w:val="21"/>
                <w:szCs w:val="21"/>
                <w:highlight w:val="none"/>
              </w:rPr>
            </w:pPr>
          </w:p>
        </w:tc>
        <w:tc>
          <w:tcPr>
            <w:tcW w:w="1638" w:type="dxa"/>
            <w:noWrap w:val="0"/>
            <w:vAlign w:val="center"/>
          </w:tcPr>
          <w:p w14:paraId="0C9CB1B4">
            <w:pPr>
              <w:spacing w:line="400" w:lineRule="exact"/>
              <w:jc w:val="center"/>
              <w:rPr>
                <w:rFonts w:ascii="宋体" w:hAnsi="宋体"/>
                <w:color w:val="auto"/>
                <w:sz w:val="21"/>
                <w:szCs w:val="21"/>
                <w:highlight w:val="none"/>
              </w:rPr>
            </w:pPr>
          </w:p>
        </w:tc>
        <w:tc>
          <w:tcPr>
            <w:tcW w:w="1638" w:type="dxa"/>
            <w:noWrap w:val="0"/>
            <w:vAlign w:val="center"/>
          </w:tcPr>
          <w:p w14:paraId="7DCCFAB0">
            <w:pPr>
              <w:spacing w:line="400" w:lineRule="exact"/>
              <w:jc w:val="center"/>
              <w:rPr>
                <w:rFonts w:ascii="宋体" w:hAnsi="宋体"/>
                <w:color w:val="auto"/>
                <w:sz w:val="21"/>
                <w:szCs w:val="21"/>
                <w:highlight w:val="none"/>
              </w:rPr>
            </w:pPr>
          </w:p>
        </w:tc>
        <w:tc>
          <w:tcPr>
            <w:tcW w:w="1639" w:type="dxa"/>
            <w:gridSpan w:val="2"/>
            <w:noWrap w:val="0"/>
            <w:vAlign w:val="center"/>
          </w:tcPr>
          <w:p w14:paraId="64B1E2E9">
            <w:pPr>
              <w:spacing w:line="400" w:lineRule="exact"/>
              <w:jc w:val="center"/>
              <w:rPr>
                <w:rFonts w:ascii="宋体" w:hAnsi="宋体"/>
                <w:color w:val="auto"/>
                <w:sz w:val="21"/>
                <w:szCs w:val="21"/>
                <w:highlight w:val="none"/>
              </w:rPr>
            </w:pPr>
          </w:p>
        </w:tc>
        <w:tc>
          <w:tcPr>
            <w:tcW w:w="1643" w:type="dxa"/>
            <w:noWrap w:val="0"/>
            <w:vAlign w:val="center"/>
          </w:tcPr>
          <w:p w14:paraId="415EE535">
            <w:pPr>
              <w:spacing w:line="400" w:lineRule="exact"/>
              <w:jc w:val="center"/>
              <w:rPr>
                <w:rFonts w:ascii="宋体" w:hAnsi="宋体"/>
                <w:color w:val="auto"/>
                <w:sz w:val="21"/>
                <w:szCs w:val="21"/>
                <w:highlight w:val="none"/>
              </w:rPr>
            </w:pPr>
          </w:p>
        </w:tc>
      </w:tr>
      <w:tr w14:paraId="00CED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638" w:type="dxa"/>
            <w:noWrap w:val="0"/>
            <w:vAlign w:val="center"/>
          </w:tcPr>
          <w:p w14:paraId="1965B75E">
            <w:pPr>
              <w:spacing w:line="400" w:lineRule="exact"/>
              <w:jc w:val="center"/>
              <w:rPr>
                <w:rFonts w:ascii="宋体" w:hAnsi="宋体"/>
                <w:color w:val="auto"/>
                <w:sz w:val="21"/>
                <w:szCs w:val="21"/>
                <w:highlight w:val="none"/>
              </w:rPr>
            </w:pPr>
          </w:p>
        </w:tc>
        <w:tc>
          <w:tcPr>
            <w:tcW w:w="1640" w:type="dxa"/>
            <w:noWrap w:val="0"/>
            <w:vAlign w:val="center"/>
          </w:tcPr>
          <w:p w14:paraId="35DE9C82">
            <w:pPr>
              <w:spacing w:line="400" w:lineRule="exact"/>
              <w:jc w:val="center"/>
              <w:rPr>
                <w:rFonts w:ascii="宋体" w:hAnsi="宋体"/>
                <w:color w:val="auto"/>
                <w:sz w:val="21"/>
                <w:szCs w:val="21"/>
                <w:highlight w:val="none"/>
              </w:rPr>
            </w:pPr>
          </w:p>
        </w:tc>
        <w:tc>
          <w:tcPr>
            <w:tcW w:w="1638" w:type="dxa"/>
            <w:noWrap w:val="0"/>
            <w:vAlign w:val="center"/>
          </w:tcPr>
          <w:p w14:paraId="7CF1109F">
            <w:pPr>
              <w:spacing w:line="400" w:lineRule="exact"/>
              <w:jc w:val="center"/>
              <w:rPr>
                <w:rFonts w:ascii="宋体" w:hAnsi="宋体"/>
                <w:color w:val="auto"/>
                <w:sz w:val="21"/>
                <w:szCs w:val="21"/>
                <w:highlight w:val="none"/>
              </w:rPr>
            </w:pPr>
          </w:p>
        </w:tc>
        <w:tc>
          <w:tcPr>
            <w:tcW w:w="1638" w:type="dxa"/>
            <w:noWrap w:val="0"/>
            <w:vAlign w:val="center"/>
          </w:tcPr>
          <w:p w14:paraId="6E0D3104">
            <w:pPr>
              <w:spacing w:line="400" w:lineRule="exact"/>
              <w:jc w:val="center"/>
              <w:rPr>
                <w:rFonts w:ascii="宋体" w:hAnsi="宋体"/>
                <w:color w:val="auto"/>
                <w:sz w:val="21"/>
                <w:szCs w:val="21"/>
                <w:highlight w:val="none"/>
              </w:rPr>
            </w:pPr>
          </w:p>
        </w:tc>
        <w:tc>
          <w:tcPr>
            <w:tcW w:w="1639" w:type="dxa"/>
            <w:gridSpan w:val="2"/>
            <w:noWrap w:val="0"/>
            <w:vAlign w:val="center"/>
          </w:tcPr>
          <w:p w14:paraId="2CB00C80">
            <w:pPr>
              <w:spacing w:line="400" w:lineRule="exact"/>
              <w:jc w:val="center"/>
              <w:rPr>
                <w:rFonts w:ascii="宋体" w:hAnsi="宋体"/>
                <w:color w:val="auto"/>
                <w:sz w:val="21"/>
                <w:szCs w:val="21"/>
                <w:highlight w:val="none"/>
              </w:rPr>
            </w:pPr>
          </w:p>
        </w:tc>
        <w:tc>
          <w:tcPr>
            <w:tcW w:w="1643" w:type="dxa"/>
            <w:noWrap w:val="0"/>
            <w:vAlign w:val="center"/>
          </w:tcPr>
          <w:p w14:paraId="3843A469">
            <w:pPr>
              <w:spacing w:line="400" w:lineRule="exact"/>
              <w:jc w:val="center"/>
              <w:rPr>
                <w:rFonts w:ascii="宋体" w:hAnsi="宋体"/>
                <w:color w:val="auto"/>
                <w:sz w:val="21"/>
                <w:szCs w:val="21"/>
                <w:highlight w:val="none"/>
              </w:rPr>
            </w:pPr>
          </w:p>
        </w:tc>
      </w:tr>
      <w:tr w14:paraId="3F81D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638" w:type="dxa"/>
            <w:noWrap w:val="0"/>
            <w:vAlign w:val="center"/>
          </w:tcPr>
          <w:p w14:paraId="1C91D7B8">
            <w:pPr>
              <w:spacing w:line="400" w:lineRule="exact"/>
              <w:jc w:val="center"/>
              <w:rPr>
                <w:rFonts w:ascii="宋体" w:hAnsi="宋体"/>
                <w:color w:val="auto"/>
                <w:sz w:val="21"/>
                <w:szCs w:val="21"/>
                <w:highlight w:val="none"/>
              </w:rPr>
            </w:pPr>
          </w:p>
        </w:tc>
        <w:tc>
          <w:tcPr>
            <w:tcW w:w="1640" w:type="dxa"/>
            <w:noWrap w:val="0"/>
            <w:vAlign w:val="center"/>
          </w:tcPr>
          <w:p w14:paraId="6D9FD50E">
            <w:pPr>
              <w:spacing w:line="400" w:lineRule="exact"/>
              <w:jc w:val="center"/>
              <w:rPr>
                <w:rFonts w:ascii="宋体" w:hAnsi="宋体"/>
                <w:color w:val="auto"/>
                <w:sz w:val="21"/>
                <w:szCs w:val="21"/>
                <w:highlight w:val="none"/>
              </w:rPr>
            </w:pPr>
          </w:p>
        </w:tc>
        <w:tc>
          <w:tcPr>
            <w:tcW w:w="1638" w:type="dxa"/>
            <w:noWrap w:val="0"/>
            <w:vAlign w:val="center"/>
          </w:tcPr>
          <w:p w14:paraId="32BEAFE8">
            <w:pPr>
              <w:spacing w:line="400" w:lineRule="exact"/>
              <w:jc w:val="center"/>
              <w:rPr>
                <w:rFonts w:ascii="宋体" w:hAnsi="宋体"/>
                <w:color w:val="auto"/>
                <w:sz w:val="21"/>
                <w:szCs w:val="21"/>
                <w:highlight w:val="none"/>
              </w:rPr>
            </w:pPr>
          </w:p>
        </w:tc>
        <w:tc>
          <w:tcPr>
            <w:tcW w:w="1638" w:type="dxa"/>
            <w:noWrap w:val="0"/>
            <w:vAlign w:val="center"/>
          </w:tcPr>
          <w:p w14:paraId="1E22A485">
            <w:pPr>
              <w:spacing w:line="400" w:lineRule="exact"/>
              <w:jc w:val="center"/>
              <w:rPr>
                <w:rFonts w:ascii="宋体" w:hAnsi="宋体"/>
                <w:color w:val="auto"/>
                <w:sz w:val="21"/>
                <w:szCs w:val="21"/>
                <w:highlight w:val="none"/>
              </w:rPr>
            </w:pPr>
          </w:p>
        </w:tc>
        <w:tc>
          <w:tcPr>
            <w:tcW w:w="1639" w:type="dxa"/>
            <w:gridSpan w:val="2"/>
            <w:noWrap w:val="0"/>
            <w:vAlign w:val="center"/>
          </w:tcPr>
          <w:p w14:paraId="34A61374">
            <w:pPr>
              <w:spacing w:line="400" w:lineRule="exact"/>
              <w:jc w:val="center"/>
              <w:rPr>
                <w:rFonts w:ascii="宋体" w:hAnsi="宋体"/>
                <w:color w:val="auto"/>
                <w:sz w:val="21"/>
                <w:szCs w:val="21"/>
                <w:highlight w:val="none"/>
              </w:rPr>
            </w:pPr>
          </w:p>
        </w:tc>
        <w:tc>
          <w:tcPr>
            <w:tcW w:w="1643" w:type="dxa"/>
            <w:noWrap w:val="0"/>
            <w:vAlign w:val="center"/>
          </w:tcPr>
          <w:p w14:paraId="1E4002EF">
            <w:pPr>
              <w:spacing w:line="400" w:lineRule="exact"/>
              <w:jc w:val="center"/>
              <w:rPr>
                <w:rFonts w:ascii="宋体" w:hAnsi="宋体"/>
                <w:color w:val="auto"/>
                <w:sz w:val="21"/>
                <w:szCs w:val="21"/>
                <w:highlight w:val="none"/>
              </w:rPr>
            </w:pPr>
          </w:p>
        </w:tc>
      </w:tr>
      <w:tr w14:paraId="4FA4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638" w:type="dxa"/>
            <w:noWrap w:val="0"/>
            <w:vAlign w:val="center"/>
          </w:tcPr>
          <w:p w14:paraId="08235AB5">
            <w:pPr>
              <w:spacing w:line="400" w:lineRule="exact"/>
              <w:jc w:val="center"/>
              <w:rPr>
                <w:rFonts w:ascii="宋体" w:hAnsi="宋体"/>
                <w:color w:val="auto"/>
                <w:sz w:val="21"/>
                <w:szCs w:val="21"/>
                <w:highlight w:val="none"/>
              </w:rPr>
            </w:pPr>
          </w:p>
        </w:tc>
        <w:tc>
          <w:tcPr>
            <w:tcW w:w="1640" w:type="dxa"/>
            <w:noWrap w:val="0"/>
            <w:vAlign w:val="center"/>
          </w:tcPr>
          <w:p w14:paraId="100B5BB1">
            <w:pPr>
              <w:spacing w:line="400" w:lineRule="exact"/>
              <w:jc w:val="center"/>
              <w:rPr>
                <w:rFonts w:ascii="宋体" w:hAnsi="宋体"/>
                <w:color w:val="auto"/>
                <w:sz w:val="21"/>
                <w:szCs w:val="21"/>
                <w:highlight w:val="none"/>
              </w:rPr>
            </w:pPr>
          </w:p>
        </w:tc>
        <w:tc>
          <w:tcPr>
            <w:tcW w:w="1638" w:type="dxa"/>
            <w:noWrap w:val="0"/>
            <w:vAlign w:val="center"/>
          </w:tcPr>
          <w:p w14:paraId="23EC93DE">
            <w:pPr>
              <w:spacing w:line="400" w:lineRule="exact"/>
              <w:jc w:val="center"/>
              <w:rPr>
                <w:rFonts w:ascii="宋体" w:hAnsi="宋体"/>
                <w:color w:val="auto"/>
                <w:sz w:val="21"/>
                <w:szCs w:val="21"/>
                <w:highlight w:val="none"/>
              </w:rPr>
            </w:pPr>
          </w:p>
        </w:tc>
        <w:tc>
          <w:tcPr>
            <w:tcW w:w="1638" w:type="dxa"/>
            <w:noWrap w:val="0"/>
            <w:vAlign w:val="center"/>
          </w:tcPr>
          <w:p w14:paraId="7337E87B">
            <w:pPr>
              <w:spacing w:line="400" w:lineRule="exact"/>
              <w:jc w:val="center"/>
              <w:rPr>
                <w:rFonts w:ascii="宋体" w:hAnsi="宋体"/>
                <w:color w:val="auto"/>
                <w:sz w:val="21"/>
                <w:szCs w:val="21"/>
                <w:highlight w:val="none"/>
              </w:rPr>
            </w:pPr>
          </w:p>
        </w:tc>
        <w:tc>
          <w:tcPr>
            <w:tcW w:w="1639" w:type="dxa"/>
            <w:gridSpan w:val="2"/>
            <w:noWrap w:val="0"/>
            <w:vAlign w:val="center"/>
          </w:tcPr>
          <w:p w14:paraId="658DC9E2">
            <w:pPr>
              <w:spacing w:line="400" w:lineRule="exact"/>
              <w:jc w:val="center"/>
              <w:rPr>
                <w:rFonts w:ascii="宋体" w:hAnsi="宋体"/>
                <w:color w:val="auto"/>
                <w:sz w:val="21"/>
                <w:szCs w:val="21"/>
                <w:highlight w:val="none"/>
              </w:rPr>
            </w:pPr>
          </w:p>
        </w:tc>
        <w:tc>
          <w:tcPr>
            <w:tcW w:w="1643" w:type="dxa"/>
            <w:noWrap w:val="0"/>
            <w:vAlign w:val="center"/>
          </w:tcPr>
          <w:p w14:paraId="7C639F10">
            <w:pPr>
              <w:spacing w:line="400" w:lineRule="exact"/>
              <w:jc w:val="center"/>
              <w:rPr>
                <w:rFonts w:ascii="宋体" w:hAnsi="宋体"/>
                <w:color w:val="auto"/>
                <w:sz w:val="21"/>
                <w:szCs w:val="21"/>
                <w:highlight w:val="none"/>
              </w:rPr>
            </w:pPr>
          </w:p>
        </w:tc>
      </w:tr>
      <w:tr w14:paraId="132D9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638" w:type="dxa"/>
            <w:noWrap w:val="0"/>
            <w:vAlign w:val="center"/>
          </w:tcPr>
          <w:p w14:paraId="09DEF4B4">
            <w:pPr>
              <w:spacing w:line="400" w:lineRule="exact"/>
              <w:jc w:val="center"/>
              <w:rPr>
                <w:rFonts w:ascii="宋体" w:hAnsi="宋体"/>
                <w:color w:val="auto"/>
                <w:sz w:val="21"/>
                <w:szCs w:val="21"/>
                <w:highlight w:val="none"/>
              </w:rPr>
            </w:pPr>
          </w:p>
        </w:tc>
        <w:tc>
          <w:tcPr>
            <w:tcW w:w="1640" w:type="dxa"/>
            <w:noWrap w:val="0"/>
            <w:vAlign w:val="center"/>
          </w:tcPr>
          <w:p w14:paraId="64977FDB">
            <w:pPr>
              <w:spacing w:line="400" w:lineRule="exact"/>
              <w:jc w:val="center"/>
              <w:rPr>
                <w:rFonts w:ascii="宋体" w:hAnsi="宋体"/>
                <w:color w:val="auto"/>
                <w:sz w:val="21"/>
                <w:szCs w:val="21"/>
                <w:highlight w:val="none"/>
              </w:rPr>
            </w:pPr>
          </w:p>
        </w:tc>
        <w:tc>
          <w:tcPr>
            <w:tcW w:w="1638" w:type="dxa"/>
            <w:noWrap w:val="0"/>
            <w:vAlign w:val="center"/>
          </w:tcPr>
          <w:p w14:paraId="2480C006">
            <w:pPr>
              <w:spacing w:line="400" w:lineRule="exact"/>
              <w:jc w:val="center"/>
              <w:rPr>
                <w:rFonts w:ascii="宋体" w:hAnsi="宋体"/>
                <w:color w:val="auto"/>
                <w:sz w:val="21"/>
                <w:szCs w:val="21"/>
                <w:highlight w:val="none"/>
              </w:rPr>
            </w:pPr>
          </w:p>
        </w:tc>
        <w:tc>
          <w:tcPr>
            <w:tcW w:w="1638" w:type="dxa"/>
            <w:noWrap w:val="0"/>
            <w:vAlign w:val="center"/>
          </w:tcPr>
          <w:p w14:paraId="4187AF1E">
            <w:pPr>
              <w:spacing w:line="400" w:lineRule="exact"/>
              <w:jc w:val="center"/>
              <w:rPr>
                <w:rFonts w:ascii="宋体" w:hAnsi="宋体"/>
                <w:color w:val="auto"/>
                <w:sz w:val="21"/>
                <w:szCs w:val="21"/>
                <w:highlight w:val="none"/>
              </w:rPr>
            </w:pPr>
          </w:p>
        </w:tc>
        <w:tc>
          <w:tcPr>
            <w:tcW w:w="1639" w:type="dxa"/>
            <w:gridSpan w:val="2"/>
            <w:noWrap w:val="0"/>
            <w:vAlign w:val="center"/>
          </w:tcPr>
          <w:p w14:paraId="07300A29">
            <w:pPr>
              <w:spacing w:line="400" w:lineRule="exact"/>
              <w:jc w:val="center"/>
              <w:rPr>
                <w:rFonts w:ascii="宋体" w:hAnsi="宋体"/>
                <w:color w:val="auto"/>
                <w:sz w:val="21"/>
                <w:szCs w:val="21"/>
                <w:highlight w:val="none"/>
              </w:rPr>
            </w:pPr>
          </w:p>
        </w:tc>
        <w:tc>
          <w:tcPr>
            <w:tcW w:w="1643" w:type="dxa"/>
            <w:noWrap w:val="0"/>
            <w:vAlign w:val="center"/>
          </w:tcPr>
          <w:p w14:paraId="21D7DA1A">
            <w:pPr>
              <w:spacing w:line="400" w:lineRule="exact"/>
              <w:jc w:val="center"/>
              <w:rPr>
                <w:rFonts w:ascii="宋体" w:hAnsi="宋体"/>
                <w:color w:val="auto"/>
                <w:sz w:val="21"/>
                <w:szCs w:val="21"/>
                <w:highlight w:val="none"/>
              </w:rPr>
            </w:pPr>
          </w:p>
        </w:tc>
      </w:tr>
      <w:tr w14:paraId="0F7C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638" w:type="dxa"/>
            <w:noWrap w:val="0"/>
            <w:vAlign w:val="center"/>
          </w:tcPr>
          <w:p w14:paraId="49F71478">
            <w:pPr>
              <w:spacing w:line="400" w:lineRule="exact"/>
              <w:jc w:val="center"/>
              <w:rPr>
                <w:rFonts w:ascii="宋体" w:hAnsi="宋体"/>
                <w:color w:val="auto"/>
                <w:sz w:val="21"/>
                <w:szCs w:val="21"/>
                <w:highlight w:val="none"/>
              </w:rPr>
            </w:pPr>
          </w:p>
        </w:tc>
        <w:tc>
          <w:tcPr>
            <w:tcW w:w="1640" w:type="dxa"/>
            <w:noWrap w:val="0"/>
            <w:vAlign w:val="center"/>
          </w:tcPr>
          <w:p w14:paraId="60140748">
            <w:pPr>
              <w:spacing w:line="400" w:lineRule="exact"/>
              <w:jc w:val="center"/>
              <w:rPr>
                <w:rFonts w:ascii="宋体" w:hAnsi="宋体"/>
                <w:color w:val="auto"/>
                <w:sz w:val="21"/>
                <w:szCs w:val="21"/>
                <w:highlight w:val="none"/>
              </w:rPr>
            </w:pPr>
          </w:p>
        </w:tc>
        <w:tc>
          <w:tcPr>
            <w:tcW w:w="1638" w:type="dxa"/>
            <w:noWrap w:val="0"/>
            <w:vAlign w:val="center"/>
          </w:tcPr>
          <w:p w14:paraId="73F59CC9">
            <w:pPr>
              <w:spacing w:line="400" w:lineRule="exact"/>
              <w:jc w:val="center"/>
              <w:rPr>
                <w:rFonts w:ascii="宋体" w:hAnsi="宋体"/>
                <w:color w:val="auto"/>
                <w:sz w:val="21"/>
                <w:szCs w:val="21"/>
                <w:highlight w:val="none"/>
              </w:rPr>
            </w:pPr>
          </w:p>
        </w:tc>
        <w:tc>
          <w:tcPr>
            <w:tcW w:w="1638" w:type="dxa"/>
            <w:noWrap w:val="0"/>
            <w:vAlign w:val="center"/>
          </w:tcPr>
          <w:p w14:paraId="4D28EBD3">
            <w:pPr>
              <w:spacing w:line="400" w:lineRule="exact"/>
              <w:jc w:val="center"/>
              <w:rPr>
                <w:rFonts w:ascii="宋体" w:hAnsi="宋体"/>
                <w:color w:val="auto"/>
                <w:sz w:val="21"/>
                <w:szCs w:val="21"/>
                <w:highlight w:val="none"/>
              </w:rPr>
            </w:pPr>
          </w:p>
        </w:tc>
        <w:tc>
          <w:tcPr>
            <w:tcW w:w="1639" w:type="dxa"/>
            <w:gridSpan w:val="2"/>
            <w:noWrap w:val="0"/>
            <w:vAlign w:val="center"/>
          </w:tcPr>
          <w:p w14:paraId="7E671920">
            <w:pPr>
              <w:spacing w:line="400" w:lineRule="exact"/>
              <w:jc w:val="center"/>
              <w:rPr>
                <w:rFonts w:ascii="宋体" w:hAnsi="宋体"/>
                <w:color w:val="auto"/>
                <w:sz w:val="21"/>
                <w:szCs w:val="21"/>
                <w:highlight w:val="none"/>
              </w:rPr>
            </w:pPr>
          </w:p>
        </w:tc>
        <w:tc>
          <w:tcPr>
            <w:tcW w:w="1643" w:type="dxa"/>
            <w:noWrap w:val="0"/>
            <w:vAlign w:val="center"/>
          </w:tcPr>
          <w:p w14:paraId="32EDF881">
            <w:pPr>
              <w:spacing w:line="400" w:lineRule="exact"/>
              <w:jc w:val="center"/>
              <w:rPr>
                <w:rFonts w:ascii="宋体" w:hAnsi="宋体"/>
                <w:color w:val="auto"/>
                <w:sz w:val="21"/>
                <w:szCs w:val="21"/>
                <w:highlight w:val="none"/>
              </w:rPr>
            </w:pPr>
          </w:p>
        </w:tc>
      </w:tr>
    </w:tbl>
    <w:p w14:paraId="391724DB">
      <w:pPr>
        <w:spacing w:line="360" w:lineRule="auto"/>
        <w:rPr>
          <w:rFonts w:hint="eastAsia" w:ascii="宋体" w:hAnsi="宋体"/>
          <w:color w:val="auto"/>
          <w:szCs w:val="21"/>
          <w:highlight w:val="none"/>
        </w:rPr>
      </w:pPr>
    </w:p>
    <w:p w14:paraId="0E82E2CE">
      <w:pPr>
        <w:spacing w:line="360" w:lineRule="auto"/>
        <w:rPr>
          <w:rFonts w:ascii="宋体" w:hAnsi="宋体"/>
          <w:bCs/>
          <w:color w:val="auto"/>
          <w:szCs w:val="21"/>
          <w:highlight w:val="none"/>
        </w:rPr>
        <w:sectPr>
          <w:pgSz w:w="11905" w:h="16838"/>
          <w:pgMar w:top="1134" w:right="1134" w:bottom="1134" w:left="1417" w:header="850" w:footer="907" w:gutter="0"/>
          <w:pgNumType w:fmt="decimal"/>
          <w:cols w:space="0" w:num="1"/>
          <w:rtlGutter w:val="0"/>
          <w:docGrid w:type="lines" w:linePitch="316" w:charSpace="0"/>
        </w:sectPr>
      </w:pPr>
      <w:r>
        <w:rPr>
          <w:rFonts w:ascii="宋体" w:hAnsi="宋体"/>
          <w:color w:val="auto"/>
          <w:szCs w:val="21"/>
          <w:highlight w:val="none"/>
        </w:rPr>
        <w:t>备注：</w:t>
      </w:r>
      <w:r>
        <w:rPr>
          <w:rFonts w:hint="eastAsia" w:ascii="宋体" w:hAnsi="宋体"/>
          <w:color w:val="auto"/>
          <w:szCs w:val="21"/>
          <w:highlight w:val="none"/>
          <w:lang w:eastAsia="zh-CN"/>
        </w:rPr>
        <w:t>附项目经理资格证件复印件、</w:t>
      </w:r>
      <w:r>
        <w:rPr>
          <w:rFonts w:ascii="宋体" w:hAnsi="宋体"/>
          <w:color w:val="auto"/>
          <w:szCs w:val="21"/>
          <w:highlight w:val="none"/>
        </w:rPr>
        <w:t>已完成的类似工程（如有）应附中标通知书</w:t>
      </w:r>
      <w:r>
        <w:rPr>
          <w:rFonts w:hint="eastAsia" w:ascii="宋体" w:hAnsi="宋体"/>
          <w:color w:val="auto"/>
          <w:szCs w:val="21"/>
          <w:highlight w:val="none"/>
        </w:rPr>
        <w:t>或</w:t>
      </w:r>
      <w:r>
        <w:rPr>
          <w:rFonts w:ascii="宋体" w:hAnsi="宋体"/>
          <w:color w:val="auto"/>
          <w:szCs w:val="21"/>
          <w:highlight w:val="none"/>
        </w:rPr>
        <w:t>合同协议书</w:t>
      </w:r>
      <w:r>
        <w:rPr>
          <w:rFonts w:hint="eastAsia" w:ascii="宋体" w:hAnsi="宋体"/>
          <w:color w:val="auto"/>
          <w:szCs w:val="21"/>
          <w:highlight w:val="none"/>
        </w:rPr>
        <w:t>有关页面</w:t>
      </w:r>
      <w:r>
        <w:rPr>
          <w:rFonts w:ascii="宋体" w:hAnsi="宋体"/>
          <w:color w:val="auto"/>
          <w:szCs w:val="21"/>
          <w:highlight w:val="none"/>
        </w:rPr>
        <w:t>、</w:t>
      </w:r>
      <w:r>
        <w:rPr>
          <w:rFonts w:hint="eastAsia" w:ascii="宋体" w:hAnsi="宋体"/>
          <w:color w:val="auto"/>
          <w:szCs w:val="21"/>
          <w:highlight w:val="none"/>
        </w:rPr>
        <w:t>工程竣工验收证明材料</w:t>
      </w:r>
      <w:r>
        <w:rPr>
          <w:rFonts w:ascii="宋体" w:hAnsi="宋体"/>
          <w:color w:val="auto"/>
          <w:szCs w:val="21"/>
          <w:highlight w:val="none"/>
        </w:rPr>
        <w:t>的复印件。在建类似工程</w:t>
      </w:r>
      <w:r>
        <w:rPr>
          <w:rFonts w:hint="eastAsia" w:ascii="宋体" w:hAnsi="宋体"/>
          <w:color w:val="auto"/>
          <w:szCs w:val="21"/>
          <w:highlight w:val="none"/>
        </w:rPr>
        <w:t>（如有）</w:t>
      </w:r>
      <w:r>
        <w:rPr>
          <w:rFonts w:ascii="宋体" w:hAnsi="宋体"/>
          <w:color w:val="auto"/>
          <w:szCs w:val="21"/>
          <w:highlight w:val="none"/>
        </w:rPr>
        <w:t>应附中标通知书</w:t>
      </w:r>
      <w:r>
        <w:rPr>
          <w:rFonts w:hint="eastAsia" w:ascii="宋体" w:hAnsi="宋体"/>
          <w:color w:val="auto"/>
          <w:szCs w:val="21"/>
          <w:highlight w:val="none"/>
        </w:rPr>
        <w:t>或工程</w:t>
      </w:r>
      <w:r>
        <w:rPr>
          <w:rFonts w:ascii="宋体" w:hAnsi="宋体"/>
          <w:color w:val="auto"/>
          <w:szCs w:val="21"/>
          <w:highlight w:val="none"/>
        </w:rPr>
        <w:t>合同协议书</w:t>
      </w:r>
      <w:r>
        <w:rPr>
          <w:rFonts w:hint="eastAsia" w:ascii="宋体" w:hAnsi="宋体"/>
          <w:color w:val="auto"/>
          <w:szCs w:val="21"/>
          <w:highlight w:val="none"/>
        </w:rPr>
        <w:t>有关页面</w:t>
      </w:r>
      <w:r>
        <w:rPr>
          <w:rFonts w:ascii="宋体" w:hAnsi="宋体"/>
          <w:color w:val="auto"/>
          <w:szCs w:val="21"/>
          <w:highlight w:val="none"/>
        </w:rPr>
        <w:t>复印件</w:t>
      </w:r>
      <w:r>
        <w:rPr>
          <w:rFonts w:hint="eastAsia" w:ascii="宋体" w:hAnsi="宋体"/>
          <w:color w:val="auto"/>
          <w:szCs w:val="21"/>
          <w:highlight w:val="none"/>
        </w:rPr>
        <w:t>，</w:t>
      </w:r>
      <w:r>
        <w:rPr>
          <w:rFonts w:ascii="宋体" w:hAnsi="宋体"/>
          <w:color w:val="auto"/>
          <w:szCs w:val="21"/>
          <w:highlight w:val="none"/>
        </w:rPr>
        <w:t>复印件加盖</w:t>
      </w:r>
      <w:r>
        <w:rPr>
          <w:rFonts w:hint="eastAsia" w:ascii="宋体" w:hAnsi="宋体"/>
          <w:color w:val="auto"/>
          <w:szCs w:val="21"/>
          <w:highlight w:val="none"/>
          <w:lang w:eastAsia="zh-CN"/>
        </w:rPr>
        <w:t>磋商</w:t>
      </w:r>
      <w:r>
        <w:rPr>
          <w:rFonts w:ascii="宋体" w:hAnsi="宋体"/>
          <w:color w:val="auto"/>
          <w:szCs w:val="21"/>
          <w:highlight w:val="none"/>
        </w:rPr>
        <w:t>人单位公章</w:t>
      </w:r>
      <w:r>
        <w:rPr>
          <w:rFonts w:hint="eastAsia" w:ascii="宋体" w:hAnsi="宋体"/>
          <w:color w:val="auto"/>
          <w:szCs w:val="21"/>
          <w:highlight w:val="none"/>
        </w:rPr>
        <w:t>。</w:t>
      </w:r>
    </w:p>
    <w:p w14:paraId="643BFC8A">
      <w:pPr>
        <w:numPr>
          <w:ilvl w:val="0"/>
          <w:numId w:val="0"/>
        </w:numPr>
        <w:spacing w:before="156" w:beforeLines="50" w:after="312" w:afterLines="100" w:line="500" w:lineRule="exact"/>
        <w:jc w:val="center"/>
        <w:rPr>
          <w:rFonts w:hint="eastAsia" w:ascii="宋体" w:hAnsi="宋体" w:eastAsia="宋体"/>
          <w:b/>
          <w:color w:val="auto"/>
          <w:sz w:val="28"/>
          <w:szCs w:val="21"/>
          <w:highlight w:val="none"/>
          <w:lang w:val="en-US" w:eastAsia="zh-CN"/>
        </w:rPr>
      </w:pPr>
      <w:r>
        <w:rPr>
          <w:rFonts w:hint="eastAsia"/>
          <w:b/>
          <w:bCs/>
          <w:sz w:val="30"/>
          <w:szCs w:val="30"/>
          <w:highlight w:val="none"/>
          <w:lang w:val="en-US" w:eastAsia="zh-CN"/>
        </w:rPr>
        <w:t>七、</w:t>
      </w:r>
      <w:r>
        <w:rPr>
          <w:rFonts w:hint="eastAsia" w:ascii="宋体" w:hAnsi="宋体"/>
          <w:b/>
          <w:color w:val="auto"/>
          <w:sz w:val="28"/>
          <w:szCs w:val="30"/>
          <w:highlight w:val="none"/>
        </w:rPr>
        <w:t>其他资料</w:t>
      </w:r>
      <w:r>
        <w:rPr>
          <w:rFonts w:hint="eastAsia" w:ascii="宋体" w:hAnsi="宋体"/>
          <w:b/>
          <w:color w:val="auto"/>
          <w:sz w:val="28"/>
          <w:szCs w:val="21"/>
          <w:highlight w:val="none"/>
          <w:lang w:eastAsia="zh-CN"/>
        </w:rPr>
        <w:t>（</w:t>
      </w:r>
      <w:r>
        <w:rPr>
          <w:rFonts w:hint="eastAsia" w:ascii="宋体" w:hAnsi="宋体"/>
          <w:b/>
          <w:color w:val="auto"/>
          <w:sz w:val="28"/>
          <w:szCs w:val="21"/>
          <w:highlight w:val="none"/>
          <w:lang w:val="en-US" w:eastAsia="zh-CN"/>
        </w:rPr>
        <w:t>格式自拟</w:t>
      </w:r>
      <w:r>
        <w:rPr>
          <w:rFonts w:hint="eastAsia" w:ascii="宋体" w:hAnsi="宋体"/>
          <w:b/>
          <w:color w:val="auto"/>
          <w:sz w:val="28"/>
          <w:szCs w:val="21"/>
          <w:highlight w:val="none"/>
          <w:lang w:eastAsia="zh-CN"/>
        </w:rPr>
        <w:t>）</w:t>
      </w:r>
    </w:p>
    <w:p w14:paraId="55F2179B">
      <w:pPr>
        <w:numPr>
          <w:ilvl w:val="0"/>
          <w:numId w:val="0"/>
        </w:numPr>
        <w:spacing w:before="156" w:beforeLines="50" w:after="312" w:afterLines="100" w:line="500" w:lineRule="exact"/>
        <w:jc w:val="left"/>
        <w:rPr>
          <w:rFonts w:hint="eastAsia" w:ascii="宋体" w:hAnsi="宋体"/>
          <w:b/>
          <w:color w:val="auto"/>
          <w:sz w:val="28"/>
          <w:szCs w:val="30"/>
          <w:highlight w:val="none"/>
          <w:lang w:eastAsia="zh-CN"/>
        </w:rPr>
      </w:pPr>
    </w:p>
    <w:p w14:paraId="5EF29122">
      <w:pPr>
        <w:spacing w:line="420" w:lineRule="exact"/>
        <w:ind w:firstLine="420" w:firstLineChars="200"/>
        <w:rPr>
          <w:rFonts w:ascii="宋体" w:hAnsi="宋体"/>
          <w:color w:val="auto"/>
          <w:highlight w:val="none"/>
        </w:rPr>
      </w:pPr>
    </w:p>
    <w:p w14:paraId="43CC3740">
      <w:pPr>
        <w:spacing w:line="420" w:lineRule="exact"/>
        <w:ind w:firstLine="420" w:firstLineChars="200"/>
        <w:jc w:val="center"/>
        <w:rPr>
          <w:rStyle w:val="61"/>
          <w:rFonts w:hint="eastAsia"/>
          <w:color w:val="auto"/>
          <w:sz w:val="36"/>
          <w:szCs w:val="36"/>
        </w:rPr>
      </w:pPr>
      <w:r>
        <w:rPr>
          <w:rFonts w:ascii="宋体" w:hAnsi="宋体"/>
          <w:color w:val="auto"/>
          <w:highlight w:val="none"/>
        </w:rPr>
        <w:br w:type="page"/>
      </w:r>
      <w:bookmarkEnd w:id="608"/>
    </w:p>
    <w:p w14:paraId="18B31316">
      <w:pPr>
        <w:pStyle w:val="21"/>
        <w:keepNext w:val="0"/>
        <w:keepLines w:val="0"/>
        <w:pageBreakBefore w:val="0"/>
        <w:widowControl w:val="0"/>
        <w:numPr>
          <w:ilvl w:val="0"/>
          <w:numId w:val="6"/>
        </w:numPr>
        <w:kinsoku/>
        <w:wordWrap/>
        <w:overflowPunct/>
        <w:topLinePunct w:val="0"/>
        <w:autoSpaceDE/>
        <w:autoSpaceDN/>
        <w:bidi w:val="0"/>
        <w:adjustRightInd w:val="0"/>
        <w:snapToGrid/>
        <w:spacing w:before="0" w:after="0" w:line="400" w:lineRule="exact"/>
        <w:ind w:left="0" w:leftChars="0" w:right="0" w:rightChars="0"/>
        <w:textAlignment w:val="baseline"/>
        <w:rPr>
          <w:rStyle w:val="61"/>
          <w:rFonts w:hint="eastAsia"/>
          <w:b/>
          <w:bCs w:val="0"/>
          <w:color w:val="auto"/>
          <w:sz w:val="36"/>
          <w:szCs w:val="36"/>
        </w:rPr>
      </w:pPr>
      <w:bookmarkStart w:id="609" w:name="_Toc2755"/>
      <w:bookmarkStart w:id="610" w:name="_Toc10159"/>
      <w:bookmarkStart w:id="611" w:name="_Toc7869"/>
      <w:r>
        <w:rPr>
          <w:rStyle w:val="61"/>
          <w:rFonts w:hint="eastAsia"/>
          <w:b/>
          <w:bCs w:val="0"/>
          <w:color w:val="auto"/>
          <w:sz w:val="36"/>
          <w:szCs w:val="36"/>
        </w:rPr>
        <w:t>评审程序、评审方法和评审标准</w:t>
      </w:r>
      <w:bookmarkEnd w:id="609"/>
      <w:bookmarkEnd w:id="610"/>
    </w:p>
    <w:bookmarkEnd w:id="611"/>
    <w:p w14:paraId="32AC2598">
      <w:pPr>
        <w:spacing w:before="120" w:beforeLines="50" w:line="600" w:lineRule="exact"/>
        <w:jc w:val="center"/>
        <w:rPr>
          <w:rFonts w:hint="eastAsia" w:ascii="新宋体" w:hAnsi="新宋体" w:eastAsia="新宋体" w:cs="新宋体"/>
          <w:b/>
          <w:sz w:val="21"/>
          <w:szCs w:val="21"/>
        </w:rPr>
      </w:pPr>
      <w:r>
        <w:rPr>
          <w:rFonts w:hint="eastAsia" w:ascii="新宋体" w:hAnsi="新宋体" w:eastAsia="新宋体" w:cs="新宋体"/>
          <w:b/>
          <w:sz w:val="28"/>
          <w:szCs w:val="28"/>
        </w:rPr>
        <w:t>一、评审程序</w:t>
      </w:r>
      <w:r>
        <w:rPr>
          <w:rFonts w:hint="eastAsia" w:ascii="新宋体" w:hAnsi="新宋体" w:eastAsia="新宋体" w:cs="新宋体"/>
          <w:b/>
          <w:sz w:val="28"/>
          <w:szCs w:val="28"/>
          <w:lang w:val="en-US" w:eastAsia="zh-CN"/>
        </w:rPr>
        <w:t>和</w:t>
      </w:r>
      <w:r>
        <w:rPr>
          <w:rFonts w:hint="eastAsia" w:ascii="新宋体" w:hAnsi="新宋体" w:eastAsia="新宋体" w:cs="新宋体"/>
          <w:b/>
          <w:sz w:val="28"/>
          <w:szCs w:val="28"/>
        </w:rPr>
        <w:t>评审方法</w:t>
      </w:r>
    </w:p>
    <w:p w14:paraId="5B345F1E">
      <w:pPr>
        <w:spacing w:line="360" w:lineRule="auto"/>
        <w:ind w:firstLine="310" w:firstLineChars="147"/>
        <w:jc w:val="left"/>
        <w:rPr>
          <w:rFonts w:hint="eastAsia" w:ascii="新宋体" w:hAnsi="新宋体" w:eastAsia="新宋体" w:cs="新宋体"/>
          <w:b/>
          <w:bCs/>
          <w:sz w:val="21"/>
          <w:szCs w:val="21"/>
        </w:rPr>
      </w:pPr>
      <w:r>
        <w:rPr>
          <w:rFonts w:hint="eastAsia" w:ascii="新宋体" w:hAnsi="新宋体" w:eastAsia="新宋体" w:cs="新宋体"/>
          <w:b/>
          <w:bCs/>
          <w:sz w:val="21"/>
          <w:szCs w:val="21"/>
        </w:rPr>
        <w:t>1.资格审查</w:t>
      </w:r>
    </w:p>
    <w:p w14:paraId="5D08ABF3">
      <w:pPr>
        <w:snapToGrid w:val="0"/>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1.1响应文件开启后，磋商小组依法对供应商的资格证明文件进行审查。</w:t>
      </w:r>
    </w:p>
    <w:p w14:paraId="62E7343D">
      <w:pPr>
        <w:snapToGrid w:val="0"/>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注：磋商小组在资格审查结束前，对供应商进行信用查询。</w:t>
      </w:r>
    </w:p>
    <w:p w14:paraId="08ABA277">
      <w:pPr>
        <w:snapToGrid w:val="0"/>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（1）查询渠道：“信用中国”网站（www.creditchina.gov.cn）、中国政府采购网（www.ccgp.gov.cn）链接入口。</w:t>
      </w:r>
    </w:p>
    <w:p w14:paraId="1F757A46">
      <w:pPr>
        <w:snapToGrid w:val="0"/>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（2）信用查询截止时点：资格审查结束前。</w:t>
      </w:r>
    </w:p>
    <w:p w14:paraId="73F28C02">
      <w:pPr>
        <w:snapToGrid w:val="0"/>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（3）查询记录和证据留存方式：在查询网站中直接查询，截图另存为电子文档作为评审资料保存。</w:t>
      </w:r>
    </w:p>
    <w:p w14:paraId="79237B99">
      <w:pPr>
        <w:snapToGrid w:val="0"/>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信用信息使用规则：对在“信用中国”网站（www.creditchina.gov.cn）、中国政府采购网（www.ccgp.gov.cn）被列入失信被执行人、重大税收违法失信主体、政府采购严重违法失信行为记录名单及其他不符合《中华人民共和国政府采购法》第二十二条规定条件的供应商，资格审查不通过，不得参与政府采购活动。两个以上的自然人、法人或者其他组织组成一个联合体，以一个供应商的身份共同参加政府采购活动的，应当对所有联合体成员进行信用记录查询，联合体成员存在不良信用记录（被列入失信被执行人、重大税收违法失信主体、政府采购严重违法失信行为记录名单及其他不符合《中华人民共和国政府采购法》第二十二条规定条件的供应商）的，视同联合体存在不良信用记录。</w:t>
      </w:r>
    </w:p>
    <w:p w14:paraId="1B457554">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1.2资格审查标准为本磋商文件中载明对供应商资格要求的条件。资格审查采用合格制，凡符合磋商文件规定的供应商资格要求的响应文件均通过资格审查。</w:t>
      </w:r>
    </w:p>
    <w:p w14:paraId="390C6FD5">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1.3供应商有下列情形之一的，资格审查不通过，其响应文件按无效处理：</w:t>
      </w:r>
    </w:p>
    <w:p w14:paraId="73E82F11">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（1）不具备磋商文件中规定的资格要求的；</w:t>
      </w:r>
    </w:p>
    <w:p w14:paraId="686083DB">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（2）未按磋商文件规定的方式获取本磋商文件的供应商；</w:t>
      </w:r>
    </w:p>
    <w:p w14:paraId="7363FF90">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（3）响应文件的资格证明文件缺少任一项“供应商须知前附表”资格证明文件规定的“必须提供”的文件资料的；</w:t>
      </w:r>
    </w:p>
    <w:p w14:paraId="3E4582FF">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（4）响应文件中的资格证明文件出现任一项不符合“供应商须知前附表”资格证明文件规定的“必须提供”的文件资料要求或者无效的；</w:t>
      </w:r>
    </w:p>
    <w:p w14:paraId="4F687C9B">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（5）同一合同项下的不同供应商，单位负责人为同一人或者存在直接控股、管理关系的；为本项目提供过整体设计、规范编制或者项目管理、监理、检测等服务的供应商，再参加该采购项目的其他采购活动的。</w:t>
      </w:r>
    </w:p>
    <w:p w14:paraId="38A48C8F">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1.4通过资格审查的合格供应商不足3家的，不得进入符合性审查环节，应当重新开展采购活动。</w:t>
      </w:r>
    </w:p>
    <w:p w14:paraId="5F271392">
      <w:pPr>
        <w:spacing w:line="360" w:lineRule="auto"/>
        <w:ind w:firstLine="422" w:firstLineChars="200"/>
        <w:rPr>
          <w:rFonts w:hint="eastAsia" w:ascii="新宋体" w:hAnsi="新宋体" w:eastAsia="新宋体" w:cs="新宋体"/>
          <w:b/>
          <w:bCs/>
          <w:sz w:val="21"/>
          <w:szCs w:val="21"/>
        </w:rPr>
      </w:pPr>
      <w:r>
        <w:rPr>
          <w:rFonts w:hint="eastAsia" w:ascii="新宋体" w:hAnsi="新宋体" w:eastAsia="新宋体" w:cs="新宋体"/>
          <w:b/>
          <w:bCs/>
          <w:sz w:val="21"/>
          <w:szCs w:val="21"/>
        </w:rPr>
        <w:t>2.符合性审查</w:t>
      </w:r>
    </w:p>
    <w:p w14:paraId="6F5CEA95">
      <w:pPr>
        <w:spacing w:line="360" w:lineRule="auto"/>
        <w:ind w:firstLine="420" w:firstLineChars="200"/>
        <w:rPr>
          <w:rFonts w:hint="eastAsia" w:ascii="新宋体" w:hAnsi="新宋体" w:eastAsia="新宋体" w:cs="新宋体"/>
          <w:sz w:val="21"/>
          <w:szCs w:val="21"/>
        </w:rPr>
      </w:pPr>
      <w:bookmarkStart w:id="612" w:name="_Hlk42528882"/>
      <w:r>
        <w:rPr>
          <w:rFonts w:hint="eastAsia" w:ascii="新宋体" w:hAnsi="新宋体" w:eastAsia="新宋体" w:cs="新宋体"/>
          <w:sz w:val="21"/>
          <w:szCs w:val="21"/>
        </w:rPr>
        <w:t>2.1磋商小组对通过资格审查的合格供应商的响应文件的竞标报价、商务、技术等实质性要求进行符合性审查，以确定其是否满足磋商文件的实质性要求。</w:t>
      </w:r>
    </w:p>
    <w:bookmarkEnd w:id="612"/>
    <w:p w14:paraId="16DD605C">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502715F">
      <w:pPr>
        <w:spacing w:line="360" w:lineRule="auto"/>
        <w:ind w:firstLine="420" w:firstLineChars="200"/>
        <w:rPr>
          <w:rFonts w:hint="eastAsia" w:ascii="新宋体" w:hAnsi="新宋体" w:eastAsia="新宋体" w:cs="新宋体"/>
          <w:spacing w:val="-6"/>
          <w:sz w:val="21"/>
          <w:szCs w:val="21"/>
        </w:rPr>
      </w:pPr>
      <w:r>
        <w:rPr>
          <w:rFonts w:hint="eastAsia" w:ascii="新宋体" w:hAnsi="新宋体" w:eastAsia="新宋体" w:cs="新宋体"/>
          <w:sz w:val="21"/>
          <w:szCs w:val="21"/>
        </w:rPr>
        <w:t>2.3磋商小组要求供应商澄清、说明或者更正响应文件应当以电子澄清函形式作出。供应商的澄清、说明或者更正应当已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签章</w:t>
      </w:r>
      <w:r>
        <w:rPr>
          <w:rFonts w:hint="eastAsia" w:ascii="新宋体" w:hAnsi="新宋体" w:eastAsia="新宋体" w:cs="新宋体"/>
          <w:spacing w:val="-6"/>
          <w:sz w:val="21"/>
          <w:szCs w:val="21"/>
        </w:rPr>
        <w:t>。</w:t>
      </w:r>
    </w:p>
    <w:p w14:paraId="610B4F12">
      <w:pPr>
        <w:spacing w:line="360" w:lineRule="auto"/>
        <w:ind w:firstLine="420" w:firstLineChars="200"/>
        <w:rPr>
          <w:rFonts w:hint="eastAsia" w:ascii="新宋体" w:hAnsi="新宋体" w:eastAsia="新宋体" w:cs="新宋体"/>
          <w:spacing w:val="-6"/>
          <w:sz w:val="21"/>
          <w:szCs w:val="21"/>
        </w:rPr>
      </w:pPr>
      <w:r>
        <w:rPr>
          <w:rFonts w:hint="eastAsia" w:ascii="新宋体" w:hAnsi="新宋体" w:eastAsia="新宋体" w:cs="新宋体"/>
          <w:sz w:val="21"/>
          <w:szCs w:val="21"/>
        </w:rPr>
        <w:t>异常情况处理：如遇无法正常使用线上发送澄清函的情况，将启动书面形式办理。启动书面形式办理的情况下，磋商小组以书面形式要求供应商在规定时间内作出必要的澄清、说明或者补正。供应商的澄清、说明或者补正必须采用书面形式，并加盖公章，或者由法定代表人或者其授权的代表签字。</w:t>
      </w:r>
    </w:p>
    <w:p w14:paraId="3C69564F">
      <w:pPr>
        <w:spacing w:line="360" w:lineRule="auto"/>
        <w:ind w:firstLine="396" w:firstLineChars="200"/>
        <w:rPr>
          <w:rFonts w:hint="eastAsia" w:ascii="新宋体" w:hAnsi="新宋体" w:eastAsia="新宋体" w:cs="新宋体"/>
          <w:sz w:val="21"/>
          <w:szCs w:val="21"/>
        </w:rPr>
      </w:pPr>
      <w:r>
        <w:rPr>
          <w:rFonts w:hint="eastAsia" w:ascii="新宋体" w:hAnsi="新宋体" w:eastAsia="新宋体" w:cs="新宋体"/>
          <w:spacing w:val="-6"/>
          <w:sz w:val="21"/>
          <w:szCs w:val="21"/>
        </w:rPr>
        <w:t>2.4</w:t>
      </w:r>
      <w:r>
        <w:rPr>
          <w:rFonts w:hint="eastAsia" w:ascii="新宋体" w:hAnsi="新宋体" w:eastAsia="新宋体" w:cs="新宋体"/>
          <w:sz w:val="21"/>
          <w:szCs w:val="21"/>
        </w:rPr>
        <w:t>首次响应文件报价出现前后不一致的，按照下列规定修正：</w:t>
      </w:r>
    </w:p>
    <w:p w14:paraId="385BFB54">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（1）响应文件中报价表内容与响应文件中相应内容不一致的，以报价表为准；</w:t>
      </w:r>
    </w:p>
    <w:p w14:paraId="642F72BB">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（2）大写金额和小写金额不一致的，以大写金额为准；</w:t>
      </w:r>
    </w:p>
    <w:p w14:paraId="58B5D8FF">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（3）单价金额小数点或者百分比有明显错位的，以报价表的总价为准，并修改单价；</w:t>
      </w:r>
    </w:p>
    <w:p w14:paraId="14DDDCB4">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（4）总价金额与按单价汇总金额不一致的，以单价金额计算结果为准。</w:t>
      </w:r>
    </w:p>
    <w:p w14:paraId="34449535">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同时出现两种以上不一致的，按照以上（1）-（4）规定的顺序逐条进行修正。修正后的报价经供应商确认后产生约束力，供应商不确认的，其响应文件按无效处理。</w:t>
      </w:r>
    </w:p>
    <w:p w14:paraId="6532C2FE">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2.5商务技术报价评审</w:t>
      </w:r>
    </w:p>
    <w:p w14:paraId="173E32BB">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在评审时，如发现下列情形之一的，将被视为响应文件无效处理：</w:t>
      </w:r>
    </w:p>
    <w:p w14:paraId="757A2D94">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（1）商务技术评审</w:t>
      </w:r>
    </w:p>
    <w:p w14:paraId="47D166B7">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1）响应文件未按磋商文件要求签署、盖章的；</w:t>
      </w:r>
    </w:p>
    <w:p w14:paraId="381D0177">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2）委托代理人未能出具有效身份证或者出具的身份证与授权委托书中的信息不符的；</w:t>
      </w:r>
    </w:p>
    <w:p w14:paraId="4C700E2B">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3）提交的磋商保证金无效的或者未按照磋商文件的规定提交磋商保证金的；</w:t>
      </w:r>
    </w:p>
    <w:p w14:paraId="4B89250E">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4）响应文件未提供任一项“供应商须知前附表”商务技术文件中“必须提供”或者“委托时必须提供”的文件资料；响应文件提供的商务技术文件出现任一项不符合“供应商须知前附表”商务技术文件中“必须提供”或者“委托时必须提供”文件资料要求的规定或者提供的商务技术文件无效的。</w:t>
      </w:r>
    </w:p>
    <w:p w14:paraId="11C1CD57">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5）商务要求允许负偏离的条款数超过“供应商须知前附表”规定项数的；</w:t>
      </w:r>
    </w:p>
    <w:p w14:paraId="27CCF4B1">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6）未对竞标有效期作出响应或者响应文件承诺的竞标有效期不满足磋商文件要求的；</w:t>
      </w:r>
    </w:p>
    <w:p w14:paraId="5CF34EE7">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7）响应文件的实质性内容未使用中文表述、使用计量单位不符合磋商文件要求的；</w:t>
      </w:r>
    </w:p>
    <w:p w14:paraId="6AB330FC">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8）响应文件中的文件资料因填写不齐全或者内容虚假或者出现其他情形而导致被磋商小组认定无效的；</w:t>
      </w:r>
    </w:p>
    <w:p w14:paraId="54237653">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9）响应文件含有采购人不能接受的附加条件的；</w:t>
      </w:r>
    </w:p>
    <w:p w14:paraId="19E4B098">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10）属于“供应商须知正文”第7.5条供应商相互串通竞标情形的；</w:t>
      </w:r>
    </w:p>
    <w:p w14:paraId="2C843AAE">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11）技术要求允许负偏离的条款数超过“供应商须知前附表”规定项数的；</w:t>
      </w:r>
    </w:p>
    <w:p w14:paraId="62C79D57">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12）虚假竞标，或者出现其他情形而导致被磋商小组认定无效的；</w:t>
      </w:r>
    </w:p>
    <w:p w14:paraId="50A3069A">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13）</w:t>
      </w:r>
      <w:bookmarkStart w:id="613" w:name="_Hlk71704147"/>
      <w:r>
        <w:rPr>
          <w:rFonts w:hint="eastAsia" w:ascii="新宋体" w:hAnsi="新宋体" w:eastAsia="新宋体" w:cs="新宋体"/>
          <w:b/>
          <w:sz w:val="21"/>
          <w:szCs w:val="21"/>
        </w:rPr>
        <w:t>磋商文件未载明允许提供备选（替代）竞标方案或明确不允许提供备选（替代）竞标方案时，供应商提供了备选（替代）竞标方案的；</w:t>
      </w:r>
      <w:bookmarkEnd w:id="613"/>
    </w:p>
    <w:p w14:paraId="51D4FA65">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14）响应文件标注的项目名称或者项目编号与磋商文件标注的项目名称或者项目编号不一致的；</w:t>
      </w:r>
    </w:p>
    <w:p w14:paraId="5F8F2855">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15）竞争性磋商文件明确不允许分包，响应文件拟分包的；</w:t>
      </w:r>
    </w:p>
    <w:p w14:paraId="1F21DD04">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16）未响应磋商文件实质性要求的；</w:t>
      </w:r>
    </w:p>
    <w:p w14:paraId="6458EC32">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17）法律、法规和磋商文件规定的其他无效情形。</w:t>
      </w:r>
    </w:p>
    <w:p w14:paraId="62B54828">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（2）报价评审</w:t>
      </w:r>
    </w:p>
    <w:p w14:paraId="1E4DDEE8">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1）响应文件未提供“供应商须知前附表”报价文件中规定的“竞标报价表”的；</w:t>
      </w:r>
    </w:p>
    <w:p w14:paraId="3E83B13F">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2）未采用人民币报价或者未按照磋商文件标明的币种报价的；</w:t>
      </w:r>
    </w:p>
    <w:p w14:paraId="553A9328">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3）供应商未就所竞标分标进行报价或者存在漏项报价；供应商未就所竞标分标的单项内容作唯一报价；供应商未就所竞标分标的全部内容作完整唯一总价报价；供应商响应文件中存在有选择、有条件报价的（磋商文件允许有备选方案或者其他约定的除外）；</w:t>
      </w:r>
    </w:p>
    <w:p w14:paraId="6E21BD33">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4）竞标报价（包含首次报价、最后报价）超过所竞标分标规定的采购预算金额或者最高限价的（如本项目公布了最高限价）；</w:t>
      </w:r>
      <w:bookmarkStart w:id="614" w:name="_Hlk42596405"/>
      <w:r>
        <w:rPr>
          <w:rFonts w:hint="eastAsia" w:ascii="新宋体" w:hAnsi="新宋体" w:eastAsia="新宋体" w:cs="新宋体"/>
          <w:b/>
          <w:sz w:val="21"/>
          <w:szCs w:val="21"/>
        </w:rPr>
        <w:t>竞标报价（包含首次报价、最后报价）</w:t>
      </w:r>
      <w:bookmarkEnd w:id="614"/>
      <w:bookmarkStart w:id="615" w:name="_Hlk42596276"/>
      <w:r>
        <w:rPr>
          <w:rFonts w:hint="eastAsia" w:ascii="新宋体" w:hAnsi="新宋体" w:eastAsia="新宋体" w:cs="新宋体"/>
          <w:b/>
          <w:sz w:val="21"/>
          <w:szCs w:val="21"/>
        </w:rPr>
        <w:t>超过磋商文件分项采购预算金额或者最高限价的</w:t>
      </w:r>
      <w:bookmarkEnd w:id="615"/>
      <w:r>
        <w:rPr>
          <w:rFonts w:hint="eastAsia" w:ascii="新宋体" w:hAnsi="新宋体" w:eastAsia="新宋体" w:cs="新宋体"/>
          <w:b/>
          <w:sz w:val="21"/>
          <w:szCs w:val="21"/>
        </w:rPr>
        <w:t>（如本项目有要求并公布了分项采购预算金额或者最高限价）；</w:t>
      </w:r>
    </w:p>
    <w:p w14:paraId="4952D2E7">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分项采购预算金额或者最高限价的（如本项目有要求并公布了分项采购预算金额或者最高限价）。</w:t>
      </w:r>
    </w:p>
    <w:p w14:paraId="31F1AA70">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6）在单价合同工程中供应商采用总价优惠或以总价百分比优惠的方式进行竞标报价的；</w:t>
      </w:r>
    </w:p>
    <w:p w14:paraId="5825E8B5">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7）竞标总报价与已标价工程量清单汇总表不一致的；</w:t>
      </w:r>
    </w:p>
    <w:p w14:paraId="407B8CF2">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8）安全文明施工费和规费、增值税不按广西区费用定额及造价管理相关文件规定报价的（园林绿化及仿古建筑工程除外）；（适用于房屋建筑和</w:t>
      </w:r>
      <w:r>
        <w:rPr>
          <w:rFonts w:hint="eastAsia" w:ascii="新宋体" w:hAnsi="新宋体" w:eastAsia="新宋体" w:cs="新宋体"/>
          <w:b/>
          <w:sz w:val="21"/>
          <w:szCs w:val="21"/>
          <w:lang w:eastAsia="zh-CN"/>
        </w:rPr>
        <w:t>建筑工程</w:t>
      </w:r>
      <w:r>
        <w:rPr>
          <w:rFonts w:hint="eastAsia" w:ascii="新宋体" w:hAnsi="新宋体" w:eastAsia="新宋体" w:cs="新宋体"/>
          <w:b/>
          <w:sz w:val="21"/>
          <w:szCs w:val="21"/>
        </w:rPr>
        <w:t>项目）</w:t>
      </w:r>
    </w:p>
    <w:p w14:paraId="017D9213">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9）供应商已标价工程量清单的项目编码（12位）、计量单位、工程量任何一处与工程量清单不一致的；</w:t>
      </w:r>
    </w:p>
    <w:p w14:paraId="7D1C3B39">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10）供应商已标价工程量清单的项目名称或项目特征与工程量清单不一致，评标委员会要求澄清、说明或补正，但供应商拒绝澄清、说明或补正的；（适用于房屋建筑和</w:t>
      </w:r>
      <w:r>
        <w:rPr>
          <w:rFonts w:hint="eastAsia" w:ascii="新宋体" w:hAnsi="新宋体" w:eastAsia="新宋体" w:cs="新宋体"/>
          <w:b/>
          <w:sz w:val="21"/>
          <w:szCs w:val="21"/>
          <w:lang w:eastAsia="zh-CN"/>
        </w:rPr>
        <w:t>建筑工程</w:t>
      </w:r>
      <w:r>
        <w:rPr>
          <w:rFonts w:hint="eastAsia" w:ascii="新宋体" w:hAnsi="新宋体" w:eastAsia="新宋体" w:cs="新宋体"/>
          <w:b/>
          <w:sz w:val="21"/>
          <w:szCs w:val="21"/>
        </w:rPr>
        <w:t>项目）</w:t>
      </w:r>
    </w:p>
    <w:p w14:paraId="5D6B25BC">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11）设有暂估价、暂列金额的，竞标时未按工程量清单给出的暂估价总价、暂列金额总价计入竞标总报价中的；</w:t>
      </w:r>
    </w:p>
    <w:p w14:paraId="30127728">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12）供应商对工程量清单内容进行增减或对竞标范围进行调整的；</w:t>
      </w:r>
    </w:p>
    <w:p w14:paraId="09D19195">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13）响应文件响应的标的数量及单位与竞争性磋商采购文件要求实质性不一致的；</w:t>
      </w:r>
    </w:p>
    <w:p w14:paraId="62367240">
      <w:pPr>
        <w:spacing w:line="360" w:lineRule="auto"/>
        <w:ind w:firstLine="422" w:firstLineChars="200"/>
        <w:rPr>
          <w:rFonts w:hint="eastAsia" w:ascii="新宋体" w:hAnsi="新宋体" w:eastAsia="新宋体" w:cs="新宋体"/>
          <w:b/>
          <w:sz w:val="21"/>
          <w:szCs w:val="21"/>
        </w:rPr>
      </w:pPr>
      <w:r>
        <w:rPr>
          <w:rFonts w:hint="eastAsia" w:ascii="新宋体" w:hAnsi="新宋体" w:eastAsia="新宋体" w:cs="新宋体"/>
          <w:b/>
          <w:sz w:val="21"/>
          <w:szCs w:val="21"/>
        </w:rPr>
        <w:t>14）未响应磋商文件实质性要求的。</w:t>
      </w:r>
    </w:p>
    <w:p w14:paraId="63DAC444">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2.6磋商小组对响应文件进行评审，未实质性响应磋商文件的响应文件按无效处理，磋商小组应当将资格和符合性不通过的情况告知有关供应商。</w:t>
      </w:r>
    </w:p>
    <w:p w14:paraId="6A89378C">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2.7通过符合性审查的合格供应商不足3家的，不得进入磋商环节，应当重新开展采购活动。</w:t>
      </w:r>
    </w:p>
    <w:p w14:paraId="2CE00CBA">
      <w:pPr>
        <w:spacing w:line="360" w:lineRule="auto"/>
        <w:ind w:firstLine="422" w:firstLineChars="200"/>
        <w:rPr>
          <w:rFonts w:hint="eastAsia" w:ascii="新宋体" w:hAnsi="新宋体" w:eastAsia="新宋体" w:cs="新宋体"/>
          <w:b/>
          <w:bCs/>
          <w:sz w:val="21"/>
          <w:szCs w:val="21"/>
        </w:rPr>
      </w:pPr>
      <w:r>
        <w:rPr>
          <w:rFonts w:hint="eastAsia" w:ascii="新宋体" w:hAnsi="新宋体" w:eastAsia="新宋体" w:cs="新宋体"/>
          <w:b/>
          <w:bCs/>
          <w:sz w:val="21"/>
          <w:szCs w:val="21"/>
        </w:rPr>
        <w:t>3.磋商程序</w:t>
      </w:r>
    </w:p>
    <w:p w14:paraId="6D5881E9">
      <w:pPr>
        <w:spacing w:line="360" w:lineRule="auto"/>
        <w:ind w:firstLine="420" w:firstLineChars="200"/>
        <w:rPr>
          <w:rFonts w:hint="eastAsia" w:ascii="新宋体" w:hAnsi="新宋体" w:eastAsia="新宋体" w:cs="新宋体"/>
          <w:kern w:val="0"/>
          <w:sz w:val="21"/>
          <w:szCs w:val="21"/>
        </w:rPr>
      </w:pPr>
      <w:r>
        <w:rPr>
          <w:rFonts w:hint="eastAsia" w:ascii="新宋体" w:hAnsi="新宋体" w:eastAsia="新宋体" w:cs="新宋体"/>
          <w:kern w:val="0"/>
          <w:sz w:val="21"/>
          <w:szCs w:val="21"/>
        </w:rPr>
        <w:t>3.1磋商小组</w:t>
      </w:r>
      <w:r>
        <w:rPr>
          <w:rFonts w:hint="eastAsia" w:ascii="新宋体" w:hAnsi="新宋体" w:eastAsia="新宋体" w:cs="新宋体"/>
          <w:sz w:val="21"/>
          <w:szCs w:val="21"/>
        </w:rPr>
        <w:t>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处理。</w:t>
      </w:r>
    </w:p>
    <w:p w14:paraId="347B1600">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5FC476C">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3.3对磋商文件作出的实质性变动是磋商文件的有效组成部分，由磋商小组及时以电子澄清函形式同时通知所有参加磋商的供应商。</w:t>
      </w:r>
    </w:p>
    <w:p w14:paraId="7BC60055">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3.4供应商必须按照磋商文件的变动情况和磋商小组的要求以回函的形式重新提交响应文件，并加盖电子签章。参加磋商的供应商未在规定时间内重新提交响应文件的，视同退出磋商，其响应文件按无效处理。</w:t>
      </w:r>
    </w:p>
    <w:p w14:paraId="3703305E">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3.5磋商中，磋商的任何一方不得透露与磋商有关的其他供应商的技术资料、价格和其他信息</w:t>
      </w:r>
      <w:r>
        <w:rPr>
          <w:rFonts w:hint="eastAsia" w:ascii="新宋体" w:hAnsi="新宋体" w:eastAsia="新宋体" w:cs="新宋体"/>
          <w:spacing w:val="-6"/>
          <w:sz w:val="21"/>
          <w:szCs w:val="21"/>
        </w:rPr>
        <w:t>。</w:t>
      </w:r>
    </w:p>
    <w:p w14:paraId="04317FAB">
      <w:pPr>
        <w:widowControl/>
        <w:tabs>
          <w:tab w:val="left" w:pos="540"/>
        </w:tabs>
        <w:spacing w:line="360" w:lineRule="auto"/>
        <w:ind w:firstLine="420" w:firstLineChars="200"/>
        <w:jc w:val="left"/>
        <w:rPr>
          <w:rFonts w:hint="eastAsia" w:ascii="新宋体" w:hAnsi="新宋体" w:eastAsia="新宋体" w:cs="新宋体"/>
          <w:sz w:val="21"/>
          <w:szCs w:val="21"/>
        </w:rPr>
      </w:pPr>
      <w:r>
        <w:rPr>
          <w:rFonts w:hint="eastAsia" w:ascii="新宋体" w:hAnsi="新宋体" w:eastAsia="新宋体" w:cs="新宋体"/>
          <w:sz w:val="21"/>
          <w:szCs w:val="21"/>
        </w:rPr>
        <w:t>3.6采购代理机构对磋商过程和磋商内容进行记录。</w:t>
      </w:r>
    </w:p>
    <w:p w14:paraId="7C155E71">
      <w:pPr>
        <w:widowControl/>
        <w:tabs>
          <w:tab w:val="left" w:pos="540"/>
        </w:tabs>
        <w:spacing w:line="360" w:lineRule="auto"/>
        <w:ind w:firstLine="420" w:firstLineChars="200"/>
        <w:jc w:val="left"/>
        <w:rPr>
          <w:rFonts w:hint="eastAsia" w:ascii="新宋体" w:hAnsi="新宋体" w:eastAsia="新宋体" w:cs="新宋体"/>
          <w:sz w:val="21"/>
          <w:szCs w:val="21"/>
        </w:rPr>
      </w:pPr>
      <w:r>
        <w:rPr>
          <w:rFonts w:hint="eastAsia" w:ascii="新宋体" w:hAnsi="新宋体" w:eastAsia="新宋体" w:cs="新宋体"/>
          <w:sz w:val="21"/>
          <w:szCs w:val="21"/>
        </w:rPr>
        <w:t>3.7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2C9C043D">
      <w:pPr>
        <w:tabs>
          <w:tab w:val="left" w:pos="2835"/>
        </w:tabs>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3.8除本章第3.7条规定的情形外，对磋商过程提交的响应文件进行有效性、完整性和响应程度审查，通过审查的合格供应商不足3家的，应当重新开展采购活动。</w:t>
      </w:r>
    </w:p>
    <w:p w14:paraId="2A41F749">
      <w:pPr>
        <w:spacing w:line="360" w:lineRule="auto"/>
        <w:ind w:firstLine="422" w:firstLineChars="200"/>
        <w:rPr>
          <w:rFonts w:hint="eastAsia" w:ascii="新宋体" w:hAnsi="新宋体" w:eastAsia="新宋体" w:cs="新宋体"/>
          <w:sz w:val="21"/>
          <w:szCs w:val="21"/>
        </w:rPr>
      </w:pPr>
      <w:r>
        <w:rPr>
          <w:rFonts w:hint="eastAsia" w:ascii="新宋体" w:hAnsi="新宋体" w:eastAsia="新宋体" w:cs="新宋体"/>
          <w:b/>
          <w:bCs/>
          <w:sz w:val="21"/>
          <w:szCs w:val="21"/>
        </w:rPr>
        <w:t>4. 最后报价</w:t>
      </w:r>
    </w:p>
    <w:p w14:paraId="274E0C86">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4.1磋商文件能够详细列明采购标的的技术、服务要求的，磋商结束后，磋商小组应当要求所有继续参加磋商的供应商在规定时间内在“政采云”平台开标大厅提交加盖供应商电子签章的最后报价，除本章第4.3条规定的情形外，提交最后报价的供应商不得少于3家，否则应当重新开展采购活动。</w:t>
      </w:r>
    </w:p>
    <w:p w14:paraId="68F0BBD8">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在“政采云”平台开标大厅提交最后报价。</w:t>
      </w:r>
      <w:r>
        <w:rPr>
          <w:rFonts w:hint="eastAsia" w:ascii="新宋体" w:hAnsi="新宋体" w:eastAsia="新宋体" w:cs="新宋体"/>
          <w:b/>
          <w:sz w:val="21"/>
          <w:szCs w:val="21"/>
        </w:rPr>
        <w:t>如果供应商的最后报价与首次报价不一致的，不能只报竞标总报价，必须同时提供“已标价工程量清单”，否则做无效响应处理。</w:t>
      </w:r>
    </w:p>
    <w:p w14:paraId="026F399A">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4.3 最后报价是供应商响应文件的有效组成部分。</w:t>
      </w:r>
    </w:p>
    <w:p w14:paraId="19CE3239">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符合《政府采购竞争性磋商采购方式管理暂行办法》（财库〔2014〕214号）第三条第四项“市场竞争不充分的科研项目，以及需要扶持的科技成果转化项目”和本章第3.7条规定情形的，提交最后报价的供应商可以为2家。</w:t>
      </w:r>
    </w:p>
    <w:p w14:paraId="28B45EEA">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4.4已经提交响应文件的供应商，在提交最后报价之前，可以根据磋商情况退出磋商，退出磋商的供应商的响应文件按无效处理。采购人、采购代理机构将退还退出磋商的供应商的保证金。</w:t>
      </w:r>
    </w:p>
    <w:p w14:paraId="3584FC4F">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4.5供应商未在规定时间内提交最后报价的，视同退出磋商，其响应文件按无效处理。</w:t>
      </w:r>
    </w:p>
    <w:p w14:paraId="163107E3">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4.6最后报价统一开启后，磋商小组对最后报价进行有效性、完整性和响应程度的审查。</w:t>
      </w:r>
    </w:p>
    <w:p w14:paraId="492A04C5">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4.7最后报价出现前后不一致的，按照本章第2.4条的规定修正。</w:t>
      </w:r>
    </w:p>
    <w:p w14:paraId="11A20E98">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4.8修正后的报价出现下列情形的，按无效响应处理：</w:t>
      </w:r>
    </w:p>
    <w:p w14:paraId="3D36BB03">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（1）供应商不确认的（全流程电子化评标采取在线确认）；</w:t>
      </w:r>
    </w:p>
    <w:p w14:paraId="6E98BFD3">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（2）经供应商确认修正后的竞标报价（包含首次报价、最后报价）超过所竞标分标规定的采购预算金额或者最高限价的（如本项目公布了最高限价）；</w:t>
      </w:r>
    </w:p>
    <w:p w14:paraId="2F333BBA">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（3）经供应商确认修正后的竞标报价（包含首次报价、最后报价）超过分项采购预算金额或者最高限价的（如本项目公布了最高限价）。</w:t>
      </w:r>
    </w:p>
    <w:p w14:paraId="454AB421">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4.9经供应商确认修正后的最后报价作为评审及签订合同的依据。</w:t>
      </w:r>
    </w:p>
    <w:p w14:paraId="2413DD0D">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4.10供应商出现最后报价按无效响应处理或者响应文件按无效处理时，磋商小组应当告知有关供应商。</w:t>
      </w:r>
    </w:p>
    <w:p w14:paraId="446FE7E0">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4.11最后报价结束后，磋商小组不得再与供应商进行任何形式的商谈。</w:t>
      </w:r>
    </w:p>
    <w:p w14:paraId="07CB429A">
      <w:pPr>
        <w:spacing w:line="360" w:lineRule="auto"/>
        <w:ind w:firstLine="422" w:firstLineChars="200"/>
        <w:rPr>
          <w:rFonts w:hint="eastAsia" w:ascii="新宋体" w:hAnsi="新宋体" w:eastAsia="新宋体" w:cs="新宋体"/>
          <w:b/>
          <w:bCs/>
          <w:sz w:val="21"/>
          <w:szCs w:val="21"/>
        </w:rPr>
      </w:pPr>
      <w:r>
        <w:rPr>
          <w:rFonts w:hint="eastAsia" w:ascii="新宋体" w:hAnsi="新宋体" w:eastAsia="新宋体" w:cs="新宋体"/>
          <w:b/>
          <w:bCs/>
          <w:sz w:val="21"/>
          <w:szCs w:val="21"/>
        </w:rPr>
        <w:t>5.比较与评价</w:t>
      </w:r>
    </w:p>
    <w:p w14:paraId="647B797B">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5.1评审方法：综合评分法。</w:t>
      </w:r>
    </w:p>
    <w:p w14:paraId="3B382FFF">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5.2经磋商确定最终采购需求和提交最后报价的供应商后，由磋商小组采用综合评分法对提交最后报价的供应商的响应文件和最后报价进行综合评分。</w:t>
      </w:r>
    </w:p>
    <w:p w14:paraId="5F8AC940">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5.3评审时，磋商小组各成员应当独立对每个有效响应的文件进行评价、打分，然后汇总每个供应商每项评分因素的得分。</w:t>
      </w:r>
    </w:p>
    <w:p w14:paraId="4D7F8556">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（1）磋商小组按照磋商文件中规定的评审标准计算各供应商的报价得分。项目评审过程中，不得去掉最后报价中的最高报价和最低报价。</w:t>
      </w:r>
    </w:p>
    <w:p w14:paraId="15AB4E6D">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（2）各供应商的得分为磋商小组所有成员的有效评分的算术平均数。</w:t>
      </w:r>
    </w:p>
    <w:p w14:paraId="6DEFF0D0">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sz w:val="21"/>
          <w:szCs w:val="21"/>
        </w:rPr>
        <w:t>5.4评审价为供应商的最后报价进行政策性扣除后的价格，评审价只是作为评审时使用。最终成交供应商的成交金额等于最后报价（如有修正，以确认修正后的最后报价为准）。</w:t>
      </w:r>
    </w:p>
    <w:p w14:paraId="5A32B341">
      <w:pPr>
        <w:spacing w:line="360" w:lineRule="auto"/>
        <w:ind w:firstLine="422" w:firstLineChars="200"/>
        <w:rPr>
          <w:rFonts w:hint="eastAsia" w:ascii="新宋体" w:hAnsi="新宋体" w:eastAsia="新宋体" w:cs="新宋体"/>
          <w:b/>
          <w:bCs/>
          <w:sz w:val="21"/>
          <w:szCs w:val="21"/>
        </w:rPr>
      </w:pPr>
      <w:r>
        <w:rPr>
          <w:rFonts w:hint="eastAsia" w:ascii="新宋体" w:hAnsi="新宋体" w:eastAsia="新宋体" w:cs="新宋体"/>
          <w:b/>
          <w:bCs/>
          <w:sz w:val="21"/>
          <w:szCs w:val="21"/>
        </w:rPr>
        <w:t>6. 成交供应商荐原则</w:t>
      </w:r>
    </w:p>
    <w:p w14:paraId="36B153AF">
      <w:pPr>
        <w:spacing w:line="360" w:lineRule="auto"/>
        <w:ind w:firstLine="420" w:firstLineChars="200"/>
        <w:rPr>
          <w:rFonts w:hint="eastAsia" w:ascii="新宋体" w:hAnsi="新宋体" w:eastAsia="新宋体" w:cs="新宋体"/>
          <w:kern w:val="0"/>
          <w:sz w:val="21"/>
          <w:szCs w:val="21"/>
        </w:rPr>
      </w:pPr>
      <w:r>
        <w:rPr>
          <w:rFonts w:hint="eastAsia" w:ascii="新宋体" w:hAnsi="新宋体" w:eastAsia="新宋体" w:cs="新宋体"/>
          <w:sz w:val="21"/>
          <w:szCs w:val="21"/>
        </w:rPr>
        <w:t>6.1</w:t>
      </w:r>
      <w:r>
        <w:rPr>
          <w:rFonts w:hint="eastAsia" w:ascii="新宋体" w:hAnsi="新宋体" w:eastAsia="新宋体" w:cs="新宋体"/>
          <w:bCs/>
          <w:sz w:val="21"/>
          <w:szCs w:val="21"/>
        </w:rPr>
        <w:t>由磋商小组根据综合评分情况，按照评审得分由高到低顺序推荐3名以上成交候选供应商，并编写评审报告，</w:t>
      </w:r>
      <w:r>
        <w:rPr>
          <w:rFonts w:hint="eastAsia" w:ascii="新宋体" w:hAnsi="新宋体" w:eastAsia="新宋体" w:cs="新宋体"/>
          <w:sz w:val="21"/>
          <w:szCs w:val="21"/>
        </w:rPr>
        <w:t>评审报告通过电子交易平台向采购人、采购代理机构提交。</w:t>
      </w:r>
      <w:r>
        <w:rPr>
          <w:rFonts w:hint="eastAsia" w:ascii="新宋体" w:hAnsi="新宋体" w:eastAsia="新宋体" w:cs="新宋体"/>
          <w:bCs/>
          <w:sz w:val="21"/>
          <w:szCs w:val="21"/>
        </w:rPr>
        <w:t>符合本章第4.3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技术要求偏离分由高到低排序）。评审得分、最后报价（不计算价格折扣）、技术得分、技术要求偏离分均相同的，由磋商小组随机抽取推荐</w:t>
      </w:r>
      <w:r>
        <w:rPr>
          <w:rFonts w:hint="eastAsia" w:ascii="新宋体" w:hAnsi="新宋体" w:eastAsia="新宋体" w:cs="新宋体"/>
          <w:kern w:val="0"/>
          <w:sz w:val="21"/>
          <w:szCs w:val="21"/>
        </w:rPr>
        <w:t>。</w:t>
      </w:r>
    </w:p>
    <w:p w14:paraId="1AABDCC0">
      <w:pPr>
        <w:spacing w:line="360" w:lineRule="auto"/>
        <w:ind w:firstLine="420" w:firstLineChars="200"/>
        <w:rPr>
          <w:rFonts w:hint="eastAsia" w:ascii="新宋体" w:hAnsi="新宋体" w:eastAsia="新宋体" w:cs="新宋体"/>
          <w:sz w:val="21"/>
          <w:szCs w:val="21"/>
        </w:rPr>
      </w:pPr>
      <w:r>
        <w:rPr>
          <w:rFonts w:hint="eastAsia" w:ascii="新宋体" w:hAnsi="新宋体" w:eastAsia="新宋体" w:cs="新宋体"/>
          <w:kern w:val="0"/>
          <w:sz w:val="21"/>
          <w:szCs w:val="21"/>
        </w:rPr>
        <w:t>6.2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176287A8">
      <w:pPr>
        <w:rPr>
          <w:rFonts w:hint="eastAsia" w:ascii="新宋体" w:hAnsi="新宋体" w:eastAsia="新宋体" w:cs="新宋体"/>
          <w:b/>
          <w:sz w:val="21"/>
          <w:szCs w:val="21"/>
          <w:lang w:val="en-US" w:eastAsia="zh-CN"/>
        </w:rPr>
      </w:pPr>
      <w:r>
        <w:rPr>
          <w:rFonts w:hint="eastAsia" w:ascii="新宋体" w:hAnsi="新宋体" w:eastAsia="新宋体" w:cs="新宋体"/>
          <w:b/>
          <w:sz w:val="21"/>
          <w:szCs w:val="21"/>
          <w:lang w:val="en-US" w:eastAsia="zh-CN"/>
        </w:rPr>
        <w:br w:type="page"/>
      </w:r>
    </w:p>
    <w:p w14:paraId="4289E7DD">
      <w:pPr>
        <w:spacing w:line="600" w:lineRule="exact"/>
        <w:jc w:val="center"/>
        <w:rPr>
          <w:rFonts w:hint="eastAsia" w:ascii="新宋体" w:hAnsi="新宋体" w:eastAsia="新宋体" w:cs="新宋体"/>
          <w:b/>
          <w:sz w:val="28"/>
          <w:szCs w:val="28"/>
        </w:rPr>
      </w:pPr>
      <w:r>
        <w:rPr>
          <w:rFonts w:hint="eastAsia" w:ascii="新宋体" w:hAnsi="新宋体" w:eastAsia="新宋体" w:cs="新宋体"/>
          <w:b/>
          <w:sz w:val="28"/>
          <w:szCs w:val="28"/>
          <w:lang w:val="en-US" w:eastAsia="zh-CN"/>
        </w:rPr>
        <w:t>二</w:t>
      </w:r>
      <w:r>
        <w:rPr>
          <w:rFonts w:hint="eastAsia" w:ascii="新宋体" w:hAnsi="新宋体" w:eastAsia="新宋体" w:cs="新宋体"/>
          <w:b/>
          <w:sz w:val="28"/>
          <w:szCs w:val="28"/>
        </w:rPr>
        <w:t>、评审标准</w:t>
      </w:r>
    </w:p>
    <w:p w14:paraId="4E699E7A">
      <w:pPr>
        <w:pStyle w:val="10"/>
        <w:spacing w:line="600" w:lineRule="exact"/>
        <w:ind w:firstLine="420" w:firstLineChars="200"/>
        <w:rPr>
          <w:rFonts w:hint="eastAsia" w:ascii="新宋体" w:hAnsi="新宋体" w:eastAsia="新宋体" w:cs="新宋体"/>
          <w:sz w:val="21"/>
          <w:szCs w:val="21"/>
          <w:lang w:eastAsia="zh-CN"/>
        </w:rPr>
      </w:pPr>
      <w:r>
        <w:rPr>
          <w:rFonts w:hint="eastAsia" w:ascii="新宋体" w:hAnsi="新宋体" w:eastAsia="新宋体" w:cs="新宋体"/>
          <w:sz w:val="21"/>
          <w:szCs w:val="21"/>
          <w:lang w:eastAsia="zh-CN"/>
        </w:rPr>
        <w:t>1.对进入详评的，采用综合评分法进行评审。</w:t>
      </w:r>
    </w:p>
    <w:p w14:paraId="00A8A050">
      <w:pPr>
        <w:pStyle w:val="14"/>
        <w:spacing w:line="480" w:lineRule="exact"/>
        <w:ind w:firstLine="420" w:firstLineChars="200"/>
        <w:rPr>
          <w:rFonts w:hAnsi="宋体"/>
          <w:b/>
          <w:bCs/>
          <w:szCs w:val="21"/>
        </w:rPr>
      </w:pPr>
      <w:r>
        <w:rPr>
          <w:rFonts w:hint="eastAsia" w:ascii="新宋体" w:hAnsi="新宋体" w:eastAsia="新宋体" w:cs="新宋体"/>
          <w:sz w:val="21"/>
          <w:szCs w:val="21"/>
          <w:lang w:eastAsia="zh-CN"/>
        </w:rPr>
        <w:t>2.评审因素和标准</w:t>
      </w:r>
    </w:p>
    <w:p w14:paraId="534BAFF3"/>
    <w:tbl>
      <w:tblPr>
        <w:tblStyle w:val="23"/>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2"/>
        <w:gridCol w:w="1575"/>
        <w:gridCol w:w="1946"/>
        <w:gridCol w:w="4804"/>
      </w:tblGrid>
      <w:tr w14:paraId="44F90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2" w:type="dxa"/>
            <w:noWrap w:val="0"/>
            <w:vAlign w:val="center"/>
          </w:tcPr>
          <w:p w14:paraId="69D70BB0">
            <w:pPr>
              <w:widowControl/>
              <w:spacing w:line="380" w:lineRule="exact"/>
              <w:jc w:val="center"/>
              <w:rPr>
                <w:rFonts w:ascii="宋体" w:hAnsi="宋体" w:cs="Tahoma"/>
                <w:b/>
                <w:bCs/>
                <w:kern w:val="0"/>
                <w:szCs w:val="21"/>
              </w:rPr>
            </w:pPr>
            <w:r>
              <w:rPr>
                <w:rFonts w:hint="eastAsia" w:ascii="宋体" w:hAnsi="宋体" w:cs="Tahoma"/>
                <w:b/>
                <w:bCs/>
                <w:kern w:val="0"/>
                <w:szCs w:val="21"/>
              </w:rPr>
              <w:t>序号</w:t>
            </w:r>
          </w:p>
        </w:tc>
        <w:tc>
          <w:tcPr>
            <w:tcW w:w="1575" w:type="dxa"/>
            <w:noWrap w:val="0"/>
            <w:vAlign w:val="center"/>
          </w:tcPr>
          <w:p w14:paraId="180F2636">
            <w:pPr>
              <w:widowControl/>
              <w:spacing w:line="380" w:lineRule="exact"/>
              <w:jc w:val="center"/>
              <w:rPr>
                <w:rFonts w:ascii="宋体" w:hAnsi="宋体" w:cs="Tahoma"/>
                <w:b/>
                <w:bCs/>
                <w:kern w:val="0"/>
                <w:szCs w:val="21"/>
              </w:rPr>
            </w:pPr>
            <w:r>
              <w:rPr>
                <w:rFonts w:hint="eastAsia" w:ascii="宋体" w:hAnsi="宋体" w:cs="Tahoma"/>
                <w:b/>
                <w:bCs/>
                <w:kern w:val="0"/>
                <w:szCs w:val="21"/>
              </w:rPr>
              <w:t>评分因素</w:t>
            </w:r>
          </w:p>
        </w:tc>
        <w:tc>
          <w:tcPr>
            <w:tcW w:w="6750" w:type="dxa"/>
            <w:gridSpan w:val="2"/>
            <w:noWrap w:val="0"/>
            <w:vAlign w:val="center"/>
          </w:tcPr>
          <w:p w14:paraId="0EF91882">
            <w:pPr>
              <w:widowControl/>
              <w:spacing w:line="380" w:lineRule="exact"/>
              <w:jc w:val="center"/>
              <w:rPr>
                <w:rFonts w:ascii="宋体" w:hAnsi="宋体" w:cs="Tahoma"/>
                <w:b/>
                <w:bCs/>
                <w:kern w:val="0"/>
                <w:szCs w:val="21"/>
              </w:rPr>
            </w:pPr>
            <w:r>
              <w:rPr>
                <w:rFonts w:hint="eastAsia" w:ascii="宋体" w:hAnsi="宋体" w:cs="Tahoma"/>
                <w:b/>
                <w:bCs/>
                <w:kern w:val="0"/>
                <w:szCs w:val="21"/>
              </w:rPr>
              <w:t>评分内容</w:t>
            </w:r>
          </w:p>
        </w:tc>
      </w:tr>
      <w:tr w14:paraId="69D28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2" w:type="dxa"/>
            <w:noWrap w:val="0"/>
            <w:vAlign w:val="center"/>
          </w:tcPr>
          <w:p w14:paraId="32E19C28">
            <w:pPr>
              <w:widowControl/>
              <w:spacing w:line="380" w:lineRule="exact"/>
              <w:jc w:val="center"/>
              <w:rPr>
                <w:rFonts w:hint="eastAsia" w:ascii="宋体" w:hAnsi="宋体" w:eastAsia="宋体" w:cs="Tahoma"/>
                <w:kern w:val="0"/>
                <w:szCs w:val="21"/>
              </w:rPr>
            </w:pPr>
            <w:r>
              <w:rPr>
                <w:rFonts w:hint="eastAsia" w:ascii="宋体" w:hAnsi="宋体" w:cs="Tahoma"/>
                <w:kern w:val="0"/>
                <w:szCs w:val="21"/>
              </w:rPr>
              <w:t>1</w:t>
            </w:r>
          </w:p>
        </w:tc>
        <w:tc>
          <w:tcPr>
            <w:tcW w:w="1575" w:type="dxa"/>
            <w:noWrap w:val="0"/>
            <w:vAlign w:val="center"/>
          </w:tcPr>
          <w:p w14:paraId="7CEFAF68">
            <w:pPr>
              <w:spacing w:line="400" w:lineRule="exact"/>
              <w:jc w:val="center"/>
              <w:rPr>
                <w:rFonts w:hint="eastAsia" w:ascii="宋体" w:hAnsi="宋体" w:eastAsia="宋体"/>
                <w:color w:val="000000"/>
                <w:szCs w:val="21"/>
              </w:rPr>
            </w:pPr>
            <w:r>
              <w:rPr>
                <w:rFonts w:hint="eastAsia" w:ascii="宋体" w:hAnsi="宋体" w:eastAsia="宋体"/>
                <w:color w:val="000000"/>
                <w:szCs w:val="21"/>
              </w:rPr>
              <w:t>详细评审内容</w:t>
            </w:r>
          </w:p>
        </w:tc>
        <w:tc>
          <w:tcPr>
            <w:tcW w:w="1946" w:type="dxa"/>
            <w:noWrap w:val="0"/>
            <w:vAlign w:val="center"/>
          </w:tcPr>
          <w:p w14:paraId="58BD173A">
            <w:pPr>
              <w:spacing w:line="400" w:lineRule="exact"/>
              <w:rPr>
                <w:rFonts w:ascii="宋体" w:hAnsi="宋体" w:eastAsia="宋体"/>
                <w:color w:val="000000"/>
                <w:szCs w:val="21"/>
              </w:rPr>
            </w:pPr>
            <w:r>
              <w:rPr>
                <w:rFonts w:ascii="宋体" w:hAnsi="宋体" w:eastAsia="宋体"/>
                <w:color w:val="000000"/>
                <w:szCs w:val="21"/>
              </w:rPr>
              <w:t>分值构成（总分100分）</w:t>
            </w:r>
          </w:p>
        </w:tc>
        <w:tc>
          <w:tcPr>
            <w:tcW w:w="4804" w:type="dxa"/>
            <w:noWrap w:val="0"/>
            <w:vAlign w:val="top"/>
          </w:tcPr>
          <w:p w14:paraId="35573455">
            <w:pPr>
              <w:adjustRightInd w:val="0"/>
              <w:spacing w:line="400" w:lineRule="exact"/>
              <w:textAlignment w:val="baseline"/>
              <w:rPr>
                <w:rFonts w:ascii="宋体" w:hAnsi="宋体" w:eastAsia="宋体"/>
              </w:rPr>
            </w:pPr>
            <w:r>
              <w:rPr>
                <w:rFonts w:hint="eastAsia" w:ascii="宋体" w:hAnsi="宋体" w:eastAsia="宋体"/>
              </w:rPr>
              <w:t>价格分</w:t>
            </w:r>
            <w:r>
              <w:rPr>
                <w:rFonts w:hint="eastAsia" w:ascii="宋体" w:hAnsi="宋体"/>
                <w:lang w:val="en-US" w:eastAsia="zh-CN"/>
              </w:rPr>
              <w:t>3</w:t>
            </w:r>
            <w:r>
              <w:rPr>
                <w:rFonts w:hint="eastAsia" w:ascii="宋体" w:hAnsi="宋体" w:eastAsia="宋体"/>
              </w:rPr>
              <w:t>0分</w:t>
            </w:r>
          </w:p>
          <w:p w14:paraId="40DCB037">
            <w:pPr>
              <w:adjustRightInd w:val="0"/>
              <w:spacing w:line="400" w:lineRule="exact"/>
              <w:textAlignment w:val="baseline"/>
              <w:rPr>
                <w:rFonts w:ascii="宋体" w:hAnsi="宋体" w:eastAsia="宋体"/>
              </w:rPr>
            </w:pPr>
            <w:r>
              <w:rPr>
                <w:rFonts w:hint="eastAsia" w:ascii="宋体" w:hAnsi="宋体" w:eastAsia="宋体"/>
              </w:rPr>
              <w:t>施工组织设计</w:t>
            </w:r>
            <w:r>
              <w:rPr>
                <w:rFonts w:hint="eastAsia" w:ascii="宋体" w:hAnsi="宋体"/>
                <w:lang w:val="en-US" w:eastAsia="zh-CN"/>
              </w:rPr>
              <w:t>6</w:t>
            </w:r>
            <w:r>
              <w:rPr>
                <w:rFonts w:hint="eastAsia" w:ascii="宋体" w:hAnsi="宋体" w:eastAsia="宋体"/>
              </w:rPr>
              <w:t>0分</w:t>
            </w:r>
          </w:p>
          <w:p w14:paraId="46706B47">
            <w:pPr>
              <w:adjustRightInd w:val="0"/>
              <w:spacing w:line="400" w:lineRule="exact"/>
              <w:textAlignment w:val="baseline"/>
              <w:rPr>
                <w:rFonts w:hint="eastAsia" w:ascii="宋体" w:hAnsi="宋体" w:eastAsia="宋体"/>
              </w:rPr>
            </w:pPr>
            <w:r>
              <w:rPr>
                <w:rFonts w:hint="eastAsia" w:ascii="宋体" w:hAnsi="宋体" w:eastAsia="宋体"/>
              </w:rPr>
              <w:t>项目管理机构分</w:t>
            </w:r>
            <w:r>
              <w:rPr>
                <w:rFonts w:hint="eastAsia" w:ascii="宋体" w:hAnsi="宋体"/>
                <w:lang w:val="en-US" w:eastAsia="zh-CN"/>
              </w:rPr>
              <w:t>10</w:t>
            </w:r>
            <w:r>
              <w:rPr>
                <w:rFonts w:hint="eastAsia" w:ascii="宋体" w:hAnsi="宋体" w:eastAsia="宋体"/>
              </w:rPr>
              <w:t>分</w:t>
            </w:r>
          </w:p>
          <w:p w14:paraId="0ECFB283">
            <w:pPr>
              <w:rPr>
                <w:rFonts w:ascii="宋体" w:hAnsi="宋体" w:eastAsia="宋体"/>
              </w:rPr>
            </w:pPr>
          </w:p>
        </w:tc>
      </w:tr>
      <w:tr w14:paraId="6D82E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2" w:type="dxa"/>
            <w:noWrap w:val="0"/>
            <w:vAlign w:val="center"/>
          </w:tcPr>
          <w:p w14:paraId="7DC832F5">
            <w:pPr>
              <w:widowControl/>
              <w:spacing w:line="380" w:lineRule="exact"/>
              <w:jc w:val="center"/>
              <w:rPr>
                <w:rFonts w:hint="eastAsia" w:ascii="宋体" w:hAnsi="宋体" w:eastAsia="宋体" w:cs="Tahoma"/>
                <w:kern w:val="0"/>
                <w:szCs w:val="21"/>
                <w:lang w:eastAsia="zh-CN"/>
              </w:rPr>
            </w:pPr>
            <w:r>
              <w:rPr>
                <w:rFonts w:hint="eastAsia" w:ascii="宋体" w:hAnsi="宋体" w:cs="Tahoma"/>
                <w:kern w:val="0"/>
                <w:szCs w:val="21"/>
                <w:lang w:val="en-US" w:eastAsia="zh-CN"/>
              </w:rPr>
              <w:t>2</w:t>
            </w:r>
          </w:p>
        </w:tc>
        <w:tc>
          <w:tcPr>
            <w:tcW w:w="1575" w:type="dxa"/>
            <w:noWrap w:val="0"/>
            <w:vAlign w:val="center"/>
          </w:tcPr>
          <w:p w14:paraId="32964D66">
            <w:pPr>
              <w:widowControl/>
              <w:spacing w:line="380" w:lineRule="exact"/>
              <w:jc w:val="center"/>
              <w:rPr>
                <w:rFonts w:hint="eastAsia" w:ascii="宋体" w:hAnsi="宋体" w:eastAsia="宋体" w:cs="Tahoma"/>
                <w:kern w:val="0"/>
                <w:szCs w:val="21"/>
              </w:rPr>
            </w:pPr>
            <w:r>
              <w:rPr>
                <w:rFonts w:hint="eastAsia" w:ascii="宋体" w:hAnsi="宋体" w:eastAsia="宋体" w:cs="Tahoma"/>
                <w:kern w:val="0"/>
                <w:szCs w:val="21"/>
              </w:rPr>
              <w:t>价格分</w:t>
            </w:r>
          </w:p>
          <w:p w14:paraId="2DC905BE">
            <w:pPr>
              <w:widowControl/>
              <w:spacing w:line="380" w:lineRule="exact"/>
              <w:jc w:val="center"/>
              <w:rPr>
                <w:rFonts w:ascii="宋体" w:hAnsi="宋体" w:eastAsia="宋体" w:cs="Tahoma"/>
                <w:kern w:val="0"/>
                <w:szCs w:val="21"/>
              </w:rPr>
            </w:pPr>
            <w:r>
              <w:rPr>
                <w:rFonts w:hint="eastAsia" w:ascii="宋体" w:hAnsi="宋体" w:eastAsia="宋体" w:cs="Tahoma"/>
                <w:kern w:val="0"/>
                <w:szCs w:val="21"/>
              </w:rPr>
              <w:t>（满分</w:t>
            </w:r>
            <w:r>
              <w:rPr>
                <w:rFonts w:hint="eastAsia" w:ascii="宋体" w:hAnsi="宋体" w:cs="Tahoma"/>
                <w:kern w:val="0"/>
                <w:szCs w:val="21"/>
                <w:lang w:val="en-US" w:eastAsia="zh-CN"/>
              </w:rPr>
              <w:t>3</w:t>
            </w:r>
            <w:r>
              <w:rPr>
                <w:rFonts w:hint="eastAsia" w:ascii="宋体" w:hAnsi="宋体" w:eastAsia="宋体" w:cs="Tahoma"/>
                <w:kern w:val="0"/>
                <w:szCs w:val="21"/>
              </w:rPr>
              <w:t>0分）</w:t>
            </w:r>
          </w:p>
        </w:tc>
        <w:tc>
          <w:tcPr>
            <w:tcW w:w="6750" w:type="dxa"/>
            <w:gridSpan w:val="2"/>
            <w:noWrap w:val="0"/>
            <w:vAlign w:val="top"/>
          </w:tcPr>
          <w:p w14:paraId="006B32CE">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szCs w:val="21"/>
                <w:lang w:val="en-US"/>
              </w:rPr>
            </w:pPr>
            <w:r>
              <w:rPr>
                <w:rFonts w:hint="eastAsia" w:ascii="宋体" w:hAnsi="宋体" w:eastAsia="宋体" w:cs="宋体"/>
                <w:b/>
                <w:bCs/>
                <w:kern w:val="2"/>
                <w:sz w:val="21"/>
                <w:szCs w:val="21"/>
                <w:lang w:val="en-US" w:eastAsia="zh-CN" w:bidi="ar"/>
              </w:rPr>
              <w:t>商务标评分标准</w:t>
            </w:r>
          </w:p>
          <w:p w14:paraId="18DB2DF3">
            <w:pPr>
              <w:spacing w:line="430" w:lineRule="exact"/>
              <w:ind w:firstLine="200"/>
              <w:rPr>
                <w:rFonts w:hint="eastAsia" w:ascii="新宋体" w:hAnsi="新宋体" w:eastAsia="新宋体" w:cs="新宋体"/>
                <w:color w:val="auto"/>
              </w:rPr>
            </w:pPr>
            <w:r>
              <w:rPr>
                <w:rFonts w:hint="eastAsia" w:ascii="新宋体" w:hAnsi="新宋体" w:eastAsia="新宋体" w:cs="新宋体"/>
                <w:color w:val="auto"/>
              </w:rPr>
              <w:t>(1)</w:t>
            </w:r>
            <w:r>
              <w:rPr>
                <w:rFonts w:hint="eastAsia" w:ascii="新宋体" w:hAnsi="新宋体" w:eastAsia="新宋体" w:cs="新宋体"/>
                <w:color w:val="auto"/>
                <w:lang w:val="en-US" w:eastAsia="zh-CN"/>
              </w:rPr>
              <w:t>本项目专门面向</w:t>
            </w:r>
            <w:r>
              <w:rPr>
                <w:rFonts w:hint="eastAsia" w:ascii="宋体" w:hAnsi="宋体" w:cs="宋体"/>
                <w:color w:val="auto"/>
                <w:lang w:val="en-US" w:eastAsia="zh-CN"/>
              </w:rPr>
              <w:t>小微</w:t>
            </w:r>
            <w:r>
              <w:rPr>
                <w:rFonts w:hint="eastAsia" w:ascii="新宋体" w:hAnsi="新宋体" w:eastAsia="新宋体" w:cs="新宋体"/>
                <w:color w:val="auto"/>
                <w:lang w:val="en-US" w:eastAsia="zh-CN"/>
              </w:rPr>
              <w:t>企业采购，不再执行价格评审优惠（即价格扣除）政策。</w:t>
            </w:r>
          </w:p>
          <w:p w14:paraId="5ABC3FC6">
            <w:pPr>
              <w:spacing w:line="324" w:lineRule="auto"/>
              <w:rPr>
                <w:rFonts w:hint="eastAsia" w:ascii="新宋体" w:hAnsi="新宋体" w:eastAsia="新宋体" w:cs="新宋体"/>
                <w:bCs/>
                <w:kern w:val="0"/>
              </w:rPr>
            </w:pPr>
            <w:r>
              <w:rPr>
                <w:rFonts w:hint="eastAsia" w:ascii="新宋体" w:hAnsi="新宋体" w:eastAsia="新宋体" w:cs="新宋体"/>
                <w:bCs/>
                <w:kern w:val="0"/>
              </w:rPr>
              <w:t>（</w:t>
            </w:r>
            <w:r>
              <w:rPr>
                <w:rFonts w:hint="eastAsia" w:ascii="新宋体" w:hAnsi="新宋体" w:eastAsia="新宋体" w:cs="新宋体"/>
                <w:bCs/>
                <w:kern w:val="0"/>
                <w:lang w:val="en-US" w:eastAsia="zh-CN"/>
              </w:rPr>
              <w:t>2</w:t>
            </w:r>
            <w:r>
              <w:rPr>
                <w:rFonts w:hint="eastAsia" w:ascii="新宋体" w:hAnsi="新宋体" w:eastAsia="新宋体" w:cs="新宋体"/>
                <w:bCs/>
                <w:kern w:val="0"/>
              </w:rPr>
              <w:t>）以进入评标的最低评审报价为</w:t>
            </w:r>
            <w:r>
              <w:rPr>
                <w:rFonts w:hint="eastAsia" w:ascii="新宋体" w:hAnsi="新宋体" w:eastAsia="新宋体" w:cs="新宋体"/>
                <w:bCs/>
                <w:kern w:val="0"/>
                <w:lang w:val="en-US" w:eastAsia="zh-CN"/>
              </w:rPr>
              <w:t>3</w:t>
            </w:r>
            <w:r>
              <w:rPr>
                <w:rFonts w:hint="eastAsia" w:ascii="新宋体" w:hAnsi="新宋体" w:eastAsia="新宋体" w:cs="新宋体"/>
                <w:bCs/>
                <w:kern w:val="0"/>
              </w:rPr>
              <w:t>0分。</w:t>
            </w:r>
          </w:p>
          <w:p w14:paraId="4C8BA591">
            <w:pPr>
              <w:pStyle w:val="2"/>
            </w:pPr>
          </w:p>
          <w:p w14:paraId="18BBEEC7">
            <w:pPr>
              <w:keepNext w:val="0"/>
              <w:keepLines w:val="0"/>
              <w:pageBreakBefore w:val="0"/>
              <w:widowControl w:val="0"/>
              <w:kinsoku/>
              <w:wordWrap/>
              <w:overflowPunct/>
              <w:topLinePunct w:val="0"/>
              <w:autoSpaceDE/>
              <w:autoSpaceDN/>
              <w:bidi w:val="0"/>
              <w:adjustRightInd/>
              <w:snapToGrid/>
              <w:spacing w:line="240" w:lineRule="auto"/>
              <w:ind w:firstLine="2730" w:firstLineChars="1300"/>
              <w:textAlignment w:val="auto"/>
              <w:rPr>
                <w:rFonts w:ascii="新宋体" w:hAnsi="新宋体" w:eastAsia="新宋体" w:cs="新宋体"/>
                <w:bCs/>
                <w:kern w:val="0"/>
              </w:rPr>
            </w:pPr>
            <w:r>
              <w:rPr>
                <w:rFonts w:hint="eastAsia" w:ascii="新宋体" w:hAnsi="新宋体" w:eastAsia="新宋体" w:cs="新宋体"/>
                <w:bCs/>
                <w:kern w:val="0"/>
              </w:rPr>
              <w:t xml:space="preserve">磋商供应商最低评审报价金额 </w:t>
            </w:r>
          </w:p>
          <w:p w14:paraId="294AA02C">
            <w:pPr>
              <w:keepNext w:val="0"/>
              <w:keepLines w:val="0"/>
              <w:pageBreakBefore w:val="0"/>
              <w:widowControl w:val="0"/>
              <w:kinsoku/>
              <w:wordWrap/>
              <w:overflowPunct/>
              <w:topLinePunct w:val="0"/>
              <w:autoSpaceDE/>
              <w:autoSpaceDN/>
              <w:bidi w:val="0"/>
              <w:adjustRightInd/>
              <w:snapToGrid/>
              <w:spacing w:line="240" w:lineRule="auto"/>
              <w:textAlignment w:val="auto"/>
              <w:rPr>
                <w:rFonts w:ascii="新宋体" w:hAnsi="新宋体" w:eastAsia="新宋体" w:cs="新宋体"/>
                <w:bCs/>
                <w:kern w:val="0"/>
              </w:rPr>
            </w:pPr>
            <w:r>
              <w:rPr>
                <w:rFonts w:hint="eastAsia" w:ascii="新宋体" w:hAnsi="新宋体" w:eastAsia="新宋体" w:cs="新宋体"/>
                <w:bCs/>
                <w:kern w:val="0"/>
              </w:rPr>
              <mc:AlternateContent>
                <mc:Choice Requires="wps">
                  <w:drawing>
                    <wp:anchor distT="0" distB="0" distL="114300" distR="114300" simplePos="0" relativeHeight="251661312" behindDoc="0" locked="0" layoutInCell="1" allowOverlap="1">
                      <wp:simplePos x="0" y="0"/>
                      <wp:positionH relativeFrom="column">
                        <wp:posOffset>1409700</wp:posOffset>
                      </wp:positionH>
                      <wp:positionV relativeFrom="paragraph">
                        <wp:posOffset>93980</wp:posOffset>
                      </wp:positionV>
                      <wp:extent cx="2200275"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22002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11pt;margin-top:7.4pt;height:0pt;width:173.25pt;z-index:251661312;mso-width-relative:page;mso-height-relative:page;" filled="f" stroked="t" coordsize="21600,21600" o:gfxdata="UEsDBAoAAAAAAIdO4kAAAAAAAAAAAAAAAAAEAAAAZHJzL1BLAwQUAAAACACHTuJAKqke7tYAAAAJ&#10;AQAADwAAAGRycy9kb3ducmV2LnhtbE2PzU7DMBCE70i8g7VIXKrWbqBVFeL0AOTGhQLqdRsvSUS8&#10;TmP3B56eRRzguDOj2fmK9dn36khj7AJbmM8MKOI6uI4bC68v1XQFKiZkh31gsvBJEdbl5UWBuQsn&#10;fqbjJjVKSjjmaKFNaci1jnVLHuMsDMTivYfRY5JzbLQb8STlvteZMUvtsWP50OJA9y3VH5uDtxCr&#10;N9pXX5N6YrY3TaBs//D0iNZeX83NHahE5/QXhp/5Mh1K2bQLB3ZR9RayLBOWJMatIEhgsVwtQO1+&#10;BV0W+j9B+Q1QSwMEFAAAAAgAh07iQCD7IR3rAQAA2AMAAA4AAABkcnMvZTJvRG9jLnhtbK1TS44T&#10;MRDdI3EHy3vSmR4Nn1Y6s5gwbBBEAg5Qsd3dlvyTy5NOLsEFkNjBiiV7bsNwDMruTAaGTRb0wl0u&#10;V72q91xeXO6sYVsVUXvX8rPZnDPlhJfa9S3/8P76yXPOMIGTYLxTLd8r5JfLx48WY2hU7QdvpIqM&#10;QBw2Y2j5kFJoqgrFoCzgzAfl6LDz0UKibewrGWEkdGuqej5/Wo0+yhC9UIjkXU2H/IAYTwH0XaeF&#10;WnlxY5VLE2pUBhJRwkEH5MvSbdcpkd52HarETMuJaSorFSF7k9dquYCmjxAGLQ4twCktPOBkQTsq&#10;eoRaQQJ2E/U/UFaL6NF3aSa8rSYiRRFicTZ/oM27AYIqXEhqDEfR8f/BijfbdWRatvycMweWLvz2&#10;0/efH7/8+vGZ1ttvX9l5FmkM2FDslVvHww7DOmbGuy7a/CcubFeE3R+FVbvEBDlruvj62QVn4u6s&#10;uk8MEdMr5S3LRsuNdpkzNLB9jYmKUehdSHYbx8aWv7ioMxzQAHZ08WTaQCTQ9SUXvdHyWhuTMzD2&#10;mysT2RbyEJQvUyLcv8JykRXgMMWVo2k8BgXypZMs7QPJ4+hV8NyCVZIzo+gRZYsAoUmgzSmRVNo4&#10;6iCrOumYrY2X+yJv8dOFlx4Pw5kn6s99yb5/kM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Kqke&#10;7tYAAAAJAQAADwAAAAAAAAABACAAAAAiAAAAZHJzL2Rvd25yZXYueG1sUEsBAhQAFAAAAAgAh07i&#10;QCD7IR3rAQAA2AMAAA4AAAAAAAAAAQAgAAAAJQEAAGRycy9lMm9Eb2MueG1sUEsFBgAAAAAGAAYA&#10;WQEAAIIFAAAAAA==&#10;">
                      <v:fill on="f" focussize="0,0"/>
                      <v:stroke color="#000000" joinstyle="round"/>
                      <v:imagedata o:title=""/>
                      <o:lock v:ext="edit" aspectratio="f"/>
                    </v:line>
                  </w:pict>
                </mc:Fallback>
              </mc:AlternateContent>
            </w:r>
            <w:bookmarkStart w:id="616" w:name="_Toc434413666"/>
            <w:r>
              <w:rPr>
                <w:rFonts w:hint="eastAsia" w:ascii="新宋体" w:hAnsi="新宋体" w:eastAsia="新宋体" w:cs="新宋体"/>
                <w:bCs/>
                <w:kern w:val="0"/>
              </w:rPr>
              <w:t>（</w:t>
            </w:r>
            <w:r>
              <w:rPr>
                <w:rFonts w:hint="eastAsia" w:ascii="新宋体" w:hAnsi="新宋体" w:eastAsia="新宋体" w:cs="新宋体"/>
                <w:bCs/>
                <w:kern w:val="0"/>
                <w:lang w:val="en-US" w:eastAsia="zh-CN"/>
              </w:rPr>
              <w:t>3</w:t>
            </w:r>
            <w:r>
              <w:rPr>
                <w:rFonts w:hint="eastAsia" w:ascii="新宋体" w:hAnsi="新宋体" w:eastAsia="新宋体" w:cs="新宋体"/>
                <w:bCs/>
                <w:kern w:val="0"/>
              </w:rPr>
              <w:t>）供应商价格分  =                                   ×</w:t>
            </w:r>
            <w:r>
              <w:rPr>
                <w:rFonts w:hint="eastAsia" w:ascii="新宋体" w:hAnsi="新宋体" w:eastAsia="新宋体" w:cs="新宋体"/>
                <w:bCs/>
                <w:kern w:val="0"/>
                <w:lang w:val="en-US" w:eastAsia="zh-CN"/>
              </w:rPr>
              <w:t>3</w:t>
            </w:r>
            <w:r>
              <w:rPr>
                <w:rFonts w:hint="eastAsia" w:ascii="新宋体" w:hAnsi="新宋体" w:eastAsia="新宋体" w:cs="新宋体"/>
                <w:bCs/>
                <w:kern w:val="0"/>
              </w:rPr>
              <w:t>0分</w:t>
            </w:r>
            <w:bookmarkEnd w:id="616"/>
          </w:p>
          <w:p w14:paraId="35B622BF">
            <w:pPr>
              <w:spacing w:line="430" w:lineRule="exact"/>
              <w:ind w:firstLine="200"/>
              <w:rPr>
                <w:rFonts w:hint="default" w:eastAsia="新宋体"/>
                <w:lang w:val="en-US" w:eastAsia="zh-CN"/>
              </w:rPr>
            </w:pPr>
            <w:r>
              <w:rPr>
                <w:rFonts w:hint="eastAsia" w:ascii="新宋体" w:hAnsi="新宋体" w:eastAsia="新宋体" w:cs="新宋体"/>
                <w:bCs/>
                <w:kern w:val="0"/>
              </w:rPr>
              <w:t xml:space="preserve">                        </w:t>
            </w:r>
            <w:bookmarkStart w:id="617" w:name="_Toc434413667"/>
            <w:r>
              <w:rPr>
                <w:rFonts w:hint="eastAsia" w:ascii="新宋体" w:hAnsi="新宋体" w:eastAsia="新宋体" w:cs="新宋体"/>
                <w:bCs/>
                <w:kern w:val="0"/>
                <w:lang w:val="en-US" w:eastAsia="zh-CN"/>
              </w:rPr>
              <w:t xml:space="preserve">  </w:t>
            </w:r>
            <w:r>
              <w:rPr>
                <w:rFonts w:hint="eastAsia" w:ascii="新宋体" w:hAnsi="新宋体" w:eastAsia="新宋体" w:cs="新宋体"/>
                <w:bCs/>
                <w:kern w:val="0"/>
              </w:rPr>
              <w:t>磋商供应商评审报价金额</w:t>
            </w:r>
            <w:bookmarkEnd w:id="617"/>
            <w:r>
              <w:rPr>
                <w:rFonts w:hint="eastAsia" w:ascii="新宋体" w:hAnsi="新宋体" w:eastAsia="新宋体" w:cs="新宋体"/>
                <w:bCs/>
                <w:kern w:val="0"/>
              </w:rPr>
              <w:t xml:space="preserve"> </w:t>
            </w:r>
          </w:p>
        </w:tc>
      </w:tr>
      <w:tr w14:paraId="7716B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2" w:type="dxa"/>
            <w:noWrap w:val="0"/>
            <w:vAlign w:val="center"/>
          </w:tcPr>
          <w:p w14:paraId="760B401E">
            <w:pPr>
              <w:adjustRightInd w:val="0"/>
              <w:spacing w:line="380" w:lineRule="exact"/>
              <w:ind w:left="-105" w:leftChars="-50" w:right="-105" w:rightChars="-50"/>
              <w:jc w:val="center"/>
              <w:textAlignment w:val="baseline"/>
              <w:rPr>
                <w:rFonts w:hint="eastAsia" w:ascii="宋体" w:hAnsi="宋体" w:eastAsia="宋体"/>
                <w:bCs/>
                <w:kern w:val="0"/>
                <w:szCs w:val="21"/>
                <w:lang w:eastAsia="zh-CN"/>
              </w:rPr>
            </w:pPr>
            <w:r>
              <w:rPr>
                <w:rFonts w:hint="eastAsia" w:ascii="宋体" w:hAnsi="宋体"/>
                <w:bCs/>
                <w:kern w:val="0"/>
                <w:szCs w:val="21"/>
                <w:lang w:val="en-US" w:eastAsia="zh-CN"/>
              </w:rPr>
              <w:t>3</w:t>
            </w:r>
          </w:p>
        </w:tc>
        <w:tc>
          <w:tcPr>
            <w:tcW w:w="1575" w:type="dxa"/>
            <w:noWrap w:val="0"/>
            <w:vAlign w:val="center"/>
          </w:tcPr>
          <w:p w14:paraId="0172C9EA">
            <w:pPr>
              <w:adjustRightInd w:val="0"/>
              <w:spacing w:line="400" w:lineRule="exact"/>
              <w:jc w:val="center"/>
              <w:textAlignment w:val="baseline"/>
              <w:rPr>
                <w:rFonts w:hint="eastAsia" w:ascii="宋体" w:hAnsi="宋体"/>
                <w:bCs/>
                <w:kern w:val="0"/>
                <w:szCs w:val="21"/>
              </w:rPr>
            </w:pPr>
            <w:r>
              <w:rPr>
                <w:rFonts w:hint="eastAsia" w:ascii="宋体" w:hAnsi="宋体"/>
                <w:bCs/>
                <w:kern w:val="0"/>
                <w:szCs w:val="21"/>
              </w:rPr>
              <w:t>施工组织设计分</w:t>
            </w:r>
          </w:p>
          <w:p w14:paraId="227DB48E">
            <w:pPr>
              <w:adjustRightInd w:val="0"/>
              <w:spacing w:line="400" w:lineRule="exact"/>
              <w:jc w:val="center"/>
              <w:textAlignment w:val="baseline"/>
              <w:rPr>
                <w:rFonts w:ascii="宋体" w:hAnsi="宋体"/>
                <w:bCs/>
                <w:kern w:val="0"/>
                <w:szCs w:val="21"/>
              </w:rPr>
            </w:pPr>
            <w:r>
              <w:rPr>
                <w:rFonts w:hint="eastAsia" w:ascii="宋体" w:hAnsi="宋体"/>
                <w:bCs/>
                <w:kern w:val="0"/>
                <w:szCs w:val="21"/>
              </w:rPr>
              <w:t>（满分</w:t>
            </w:r>
            <w:r>
              <w:rPr>
                <w:rFonts w:hint="eastAsia" w:ascii="宋体" w:hAnsi="宋体"/>
                <w:bCs/>
                <w:kern w:val="0"/>
                <w:szCs w:val="21"/>
                <w:lang w:val="en-US" w:eastAsia="zh-CN"/>
              </w:rPr>
              <w:t>6</w:t>
            </w:r>
            <w:r>
              <w:rPr>
                <w:rFonts w:hint="eastAsia" w:ascii="宋体" w:hAnsi="宋体"/>
                <w:bCs/>
                <w:kern w:val="0"/>
                <w:szCs w:val="21"/>
              </w:rPr>
              <w:t>0分）</w:t>
            </w:r>
          </w:p>
        </w:tc>
        <w:tc>
          <w:tcPr>
            <w:tcW w:w="6750" w:type="dxa"/>
            <w:gridSpan w:val="2"/>
            <w:noWrap w:val="0"/>
            <w:vAlign w:val="center"/>
          </w:tcPr>
          <w:p w14:paraId="57E2700A">
            <w:pPr>
              <w:spacing w:line="400" w:lineRule="exact"/>
              <w:jc w:val="left"/>
              <w:rPr>
                <w:rFonts w:hint="eastAsia" w:ascii="宋体" w:hAnsi="宋体"/>
                <w:b/>
                <w:bCs/>
                <w:kern w:val="0"/>
                <w:szCs w:val="21"/>
              </w:rPr>
            </w:pPr>
            <w:r>
              <w:rPr>
                <w:rFonts w:hint="eastAsia" w:ascii="宋体" w:hAnsi="宋体"/>
                <w:b/>
                <w:bCs/>
                <w:kern w:val="0"/>
                <w:szCs w:val="21"/>
              </w:rPr>
              <w:t>（1）施工方案与技术措施（</w:t>
            </w:r>
            <w:r>
              <w:rPr>
                <w:rFonts w:hint="eastAsia" w:ascii="宋体" w:hAnsi="宋体"/>
                <w:b/>
                <w:bCs/>
                <w:kern w:val="0"/>
                <w:szCs w:val="21"/>
                <w:lang w:val="en-US" w:eastAsia="zh-CN"/>
              </w:rPr>
              <w:t>10</w:t>
            </w:r>
            <w:r>
              <w:rPr>
                <w:rFonts w:hint="eastAsia" w:ascii="宋体" w:hAnsi="宋体"/>
                <w:b/>
                <w:bCs/>
                <w:kern w:val="0"/>
                <w:szCs w:val="21"/>
              </w:rPr>
              <w:t>分）</w:t>
            </w:r>
          </w:p>
          <w:p w14:paraId="03F2BF09">
            <w:pPr>
              <w:widowControl/>
              <w:spacing w:line="400" w:lineRule="exact"/>
              <w:ind w:firstLine="420" w:firstLineChars="200"/>
              <w:rPr>
                <w:rFonts w:ascii="宋体" w:hAnsi="宋体" w:cs="宋体"/>
                <w:szCs w:val="21"/>
              </w:rPr>
            </w:pPr>
            <w:r>
              <w:rPr>
                <w:rFonts w:hint="eastAsia" w:ascii="宋体" w:hAnsi="宋体" w:cs="宋体"/>
                <w:szCs w:val="21"/>
              </w:rPr>
              <w:t>组织机构体系完整可行，技术保证措施完善可行，质量保证体系完备可行，施工方案具体，施工安排操作性强，施工技术先进得</w:t>
            </w:r>
            <w:r>
              <w:rPr>
                <w:rFonts w:hint="eastAsia" w:ascii="宋体" w:hAnsi="宋体" w:cs="宋体"/>
                <w:szCs w:val="21"/>
                <w:lang w:val="en-US" w:eastAsia="zh-CN"/>
              </w:rPr>
              <w:t>10</w:t>
            </w:r>
            <w:r>
              <w:rPr>
                <w:rFonts w:hint="eastAsia" w:ascii="宋体" w:hAnsi="宋体" w:cs="宋体"/>
                <w:szCs w:val="21"/>
              </w:rPr>
              <w:t>分；</w:t>
            </w:r>
          </w:p>
          <w:p w14:paraId="4D882337">
            <w:pPr>
              <w:widowControl/>
              <w:spacing w:line="400" w:lineRule="exact"/>
              <w:ind w:firstLine="420" w:firstLineChars="200"/>
              <w:rPr>
                <w:rFonts w:ascii="宋体" w:hAnsi="宋体" w:cs="宋体"/>
                <w:szCs w:val="21"/>
              </w:rPr>
            </w:pPr>
            <w:r>
              <w:rPr>
                <w:rFonts w:hint="eastAsia" w:ascii="宋体" w:hAnsi="宋体" w:cs="宋体"/>
                <w:szCs w:val="21"/>
              </w:rPr>
              <w:t>组织机构体系完整一般，技术保证措施完善一般，质量保证体系完备一般，施工方案一般，施工安排操作性一般，施工技术普通得</w:t>
            </w:r>
            <w:r>
              <w:rPr>
                <w:rFonts w:hint="eastAsia" w:ascii="宋体" w:hAnsi="宋体" w:cs="宋体"/>
                <w:szCs w:val="21"/>
                <w:lang w:val="en-US" w:eastAsia="zh-CN"/>
              </w:rPr>
              <w:t>7</w:t>
            </w:r>
            <w:r>
              <w:rPr>
                <w:rFonts w:hint="eastAsia" w:ascii="宋体" w:hAnsi="宋体" w:cs="宋体"/>
                <w:szCs w:val="21"/>
              </w:rPr>
              <w:t>分；</w:t>
            </w:r>
          </w:p>
          <w:p w14:paraId="5DFC528B">
            <w:pPr>
              <w:widowControl/>
              <w:spacing w:line="400" w:lineRule="exact"/>
              <w:ind w:firstLine="420" w:firstLineChars="200"/>
              <w:rPr>
                <w:rFonts w:ascii="宋体" w:hAnsi="宋体" w:cs="宋体"/>
                <w:szCs w:val="21"/>
              </w:rPr>
            </w:pPr>
            <w:r>
              <w:rPr>
                <w:rFonts w:hint="eastAsia" w:ascii="宋体" w:hAnsi="宋体" w:cs="宋体"/>
                <w:szCs w:val="21"/>
              </w:rPr>
              <w:t>组织机构体系完整较差，技术保证措施完善较差，质量保证体系完备较差，施工方案较差，施工安排操作性较差，施工技术较差得</w:t>
            </w:r>
            <w:r>
              <w:rPr>
                <w:rFonts w:hint="eastAsia" w:ascii="宋体" w:hAnsi="宋体" w:cs="宋体"/>
                <w:szCs w:val="21"/>
                <w:lang w:val="en-US" w:eastAsia="zh-CN"/>
              </w:rPr>
              <w:t>3</w:t>
            </w:r>
            <w:r>
              <w:rPr>
                <w:rFonts w:hint="eastAsia" w:ascii="宋体" w:hAnsi="宋体" w:cs="宋体"/>
                <w:szCs w:val="21"/>
              </w:rPr>
              <w:t>分；</w:t>
            </w:r>
          </w:p>
          <w:p w14:paraId="6DF34F9A">
            <w:pPr>
              <w:spacing w:line="400" w:lineRule="exact"/>
              <w:jc w:val="left"/>
              <w:rPr>
                <w:rFonts w:hint="eastAsia" w:ascii="宋体" w:hAnsi="宋体"/>
                <w:b/>
                <w:bCs/>
                <w:kern w:val="0"/>
                <w:szCs w:val="21"/>
              </w:rPr>
            </w:pPr>
            <w:r>
              <w:rPr>
                <w:rFonts w:hint="eastAsia" w:ascii="宋体" w:hAnsi="宋体"/>
                <w:b/>
                <w:bCs/>
                <w:kern w:val="0"/>
                <w:szCs w:val="21"/>
              </w:rPr>
              <w:t>（2）质量管理体系与措施（</w:t>
            </w:r>
            <w:r>
              <w:rPr>
                <w:rFonts w:hint="eastAsia" w:ascii="宋体" w:hAnsi="宋体"/>
                <w:b/>
                <w:bCs/>
                <w:kern w:val="0"/>
                <w:szCs w:val="21"/>
                <w:lang w:val="en-US" w:eastAsia="zh-CN"/>
              </w:rPr>
              <w:t>10</w:t>
            </w:r>
            <w:r>
              <w:rPr>
                <w:rFonts w:hint="eastAsia" w:ascii="宋体" w:hAnsi="宋体"/>
                <w:b/>
                <w:bCs/>
                <w:kern w:val="0"/>
                <w:szCs w:val="21"/>
              </w:rPr>
              <w:t>分）</w:t>
            </w:r>
          </w:p>
          <w:p w14:paraId="04552B86">
            <w:pPr>
              <w:spacing w:line="400" w:lineRule="exact"/>
              <w:jc w:val="left"/>
              <w:rPr>
                <w:rFonts w:hint="eastAsia" w:ascii="宋体" w:hAnsi="宋体"/>
                <w:kern w:val="0"/>
                <w:szCs w:val="21"/>
              </w:rPr>
            </w:pPr>
            <w:r>
              <w:rPr>
                <w:rFonts w:hint="eastAsia" w:ascii="宋体" w:hAnsi="宋体"/>
                <w:kern w:val="0"/>
                <w:szCs w:val="21"/>
              </w:rPr>
              <w:t>质量管理体系完善，措施周密、可行得</w:t>
            </w:r>
            <w:r>
              <w:rPr>
                <w:rFonts w:hint="eastAsia" w:ascii="宋体" w:hAnsi="宋体"/>
                <w:kern w:val="0"/>
                <w:szCs w:val="21"/>
                <w:lang w:val="en-US" w:eastAsia="zh-CN"/>
              </w:rPr>
              <w:t>10</w:t>
            </w:r>
            <w:r>
              <w:rPr>
                <w:rFonts w:hint="eastAsia" w:ascii="宋体" w:hAnsi="宋体"/>
                <w:kern w:val="0"/>
                <w:szCs w:val="21"/>
              </w:rPr>
              <w:t>分；</w:t>
            </w:r>
          </w:p>
          <w:p w14:paraId="76FAEE73">
            <w:pPr>
              <w:spacing w:line="400" w:lineRule="exact"/>
              <w:jc w:val="left"/>
              <w:rPr>
                <w:rFonts w:hint="eastAsia" w:ascii="宋体" w:hAnsi="宋体"/>
                <w:kern w:val="0"/>
                <w:szCs w:val="21"/>
              </w:rPr>
            </w:pPr>
            <w:r>
              <w:rPr>
                <w:rFonts w:hint="eastAsia" w:ascii="宋体" w:hAnsi="宋体"/>
                <w:kern w:val="0"/>
                <w:szCs w:val="21"/>
              </w:rPr>
              <w:t>质量管理体系较完善，措施一般得</w:t>
            </w:r>
            <w:r>
              <w:rPr>
                <w:rFonts w:hint="eastAsia" w:ascii="宋体" w:hAnsi="宋体"/>
                <w:kern w:val="0"/>
                <w:szCs w:val="21"/>
                <w:lang w:val="en-US" w:eastAsia="zh-CN"/>
              </w:rPr>
              <w:t>7</w:t>
            </w:r>
            <w:r>
              <w:rPr>
                <w:rFonts w:hint="eastAsia" w:ascii="宋体" w:hAnsi="宋体"/>
                <w:kern w:val="0"/>
                <w:szCs w:val="21"/>
              </w:rPr>
              <w:t>分；</w:t>
            </w:r>
          </w:p>
          <w:p w14:paraId="392885EB">
            <w:pPr>
              <w:spacing w:line="400" w:lineRule="exact"/>
              <w:jc w:val="left"/>
              <w:rPr>
                <w:rFonts w:hint="eastAsia" w:ascii="宋体" w:hAnsi="宋体"/>
                <w:kern w:val="0"/>
                <w:szCs w:val="21"/>
              </w:rPr>
            </w:pPr>
            <w:r>
              <w:rPr>
                <w:rFonts w:hint="eastAsia" w:ascii="宋体" w:hAnsi="宋体"/>
                <w:kern w:val="0"/>
                <w:szCs w:val="21"/>
              </w:rPr>
              <w:t>质量管理体系</w:t>
            </w:r>
            <w:r>
              <w:rPr>
                <w:rFonts w:hint="eastAsia" w:ascii="宋体" w:hAnsi="宋体"/>
                <w:kern w:val="0"/>
                <w:szCs w:val="21"/>
                <w:lang w:val="en-US" w:eastAsia="zh-CN"/>
              </w:rPr>
              <w:t>较差</w:t>
            </w:r>
            <w:r>
              <w:rPr>
                <w:rFonts w:hint="eastAsia" w:ascii="宋体" w:hAnsi="宋体"/>
                <w:kern w:val="0"/>
                <w:szCs w:val="21"/>
              </w:rPr>
              <w:t>得</w:t>
            </w:r>
            <w:r>
              <w:rPr>
                <w:rFonts w:hint="eastAsia" w:ascii="宋体" w:hAnsi="宋体"/>
                <w:kern w:val="0"/>
                <w:szCs w:val="21"/>
                <w:lang w:val="en-US" w:eastAsia="zh-CN"/>
              </w:rPr>
              <w:t>3</w:t>
            </w:r>
            <w:r>
              <w:rPr>
                <w:rFonts w:hint="eastAsia" w:ascii="宋体" w:hAnsi="宋体"/>
                <w:kern w:val="0"/>
                <w:szCs w:val="21"/>
              </w:rPr>
              <w:t>分。</w:t>
            </w:r>
          </w:p>
          <w:p w14:paraId="14851DF6">
            <w:pPr>
              <w:spacing w:line="400" w:lineRule="exact"/>
              <w:jc w:val="left"/>
              <w:rPr>
                <w:rFonts w:hint="eastAsia" w:ascii="宋体" w:hAnsi="宋体"/>
                <w:b/>
                <w:bCs/>
                <w:kern w:val="0"/>
                <w:szCs w:val="21"/>
              </w:rPr>
            </w:pPr>
            <w:r>
              <w:rPr>
                <w:rFonts w:hint="eastAsia" w:ascii="宋体" w:hAnsi="宋体"/>
                <w:b/>
                <w:bCs/>
                <w:kern w:val="0"/>
                <w:szCs w:val="21"/>
              </w:rPr>
              <w:t>（3）安全管理体系与措施（</w:t>
            </w:r>
            <w:r>
              <w:rPr>
                <w:rFonts w:hint="eastAsia" w:ascii="宋体" w:hAnsi="宋体"/>
                <w:b/>
                <w:bCs/>
                <w:kern w:val="0"/>
                <w:szCs w:val="21"/>
                <w:lang w:val="en-US" w:eastAsia="zh-CN"/>
              </w:rPr>
              <w:t>10</w:t>
            </w:r>
            <w:r>
              <w:rPr>
                <w:rFonts w:hint="eastAsia" w:ascii="宋体" w:hAnsi="宋体"/>
                <w:b/>
                <w:bCs/>
                <w:kern w:val="0"/>
                <w:szCs w:val="21"/>
              </w:rPr>
              <w:t>分）</w:t>
            </w:r>
          </w:p>
          <w:p w14:paraId="19507146">
            <w:pPr>
              <w:spacing w:line="400" w:lineRule="exact"/>
              <w:jc w:val="left"/>
              <w:rPr>
                <w:rFonts w:hint="eastAsia" w:ascii="宋体" w:hAnsi="宋体"/>
                <w:kern w:val="0"/>
                <w:szCs w:val="21"/>
              </w:rPr>
            </w:pPr>
            <w:r>
              <w:rPr>
                <w:rFonts w:hint="eastAsia" w:ascii="宋体" w:hAnsi="宋体"/>
                <w:kern w:val="0"/>
                <w:szCs w:val="21"/>
              </w:rPr>
              <w:t>措施完善、合理、可行得</w:t>
            </w:r>
            <w:r>
              <w:rPr>
                <w:rFonts w:hint="eastAsia" w:ascii="宋体" w:hAnsi="宋体"/>
                <w:kern w:val="0"/>
                <w:szCs w:val="21"/>
                <w:lang w:val="en-US" w:eastAsia="zh-CN"/>
              </w:rPr>
              <w:t>10</w:t>
            </w:r>
            <w:r>
              <w:rPr>
                <w:rFonts w:hint="eastAsia" w:ascii="宋体" w:hAnsi="宋体"/>
                <w:kern w:val="0"/>
                <w:szCs w:val="21"/>
              </w:rPr>
              <w:t>分；</w:t>
            </w:r>
          </w:p>
          <w:p w14:paraId="5A9C88A0">
            <w:pPr>
              <w:spacing w:line="400" w:lineRule="exact"/>
              <w:jc w:val="left"/>
              <w:rPr>
                <w:rFonts w:hint="eastAsia" w:ascii="宋体" w:hAnsi="宋体"/>
                <w:kern w:val="0"/>
                <w:szCs w:val="21"/>
              </w:rPr>
            </w:pPr>
            <w:r>
              <w:rPr>
                <w:rFonts w:hint="eastAsia" w:ascii="宋体" w:hAnsi="宋体"/>
                <w:kern w:val="0"/>
                <w:szCs w:val="21"/>
              </w:rPr>
              <w:t>措施较完善、基本可行得</w:t>
            </w:r>
            <w:r>
              <w:rPr>
                <w:rFonts w:hint="eastAsia" w:ascii="宋体" w:hAnsi="宋体"/>
                <w:kern w:val="0"/>
                <w:szCs w:val="21"/>
                <w:lang w:val="en-US" w:eastAsia="zh-CN"/>
              </w:rPr>
              <w:t>7</w:t>
            </w:r>
            <w:r>
              <w:rPr>
                <w:rFonts w:hint="eastAsia" w:ascii="宋体" w:hAnsi="宋体"/>
                <w:kern w:val="0"/>
                <w:szCs w:val="21"/>
              </w:rPr>
              <w:t>分；</w:t>
            </w:r>
          </w:p>
          <w:p w14:paraId="36BFC4E7">
            <w:pPr>
              <w:spacing w:line="400" w:lineRule="exact"/>
              <w:jc w:val="left"/>
              <w:rPr>
                <w:rFonts w:hint="eastAsia" w:ascii="宋体" w:hAnsi="宋体"/>
                <w:kern w:val="0"/>
                <w:szCs w:val="21"/>
              </w:rPr>
            </w:pPr>
            <w:r>
              <w:rPr>
                <w:rFonts w:hint="eastAsia" w:ascii="宋体" w:hAnsi="宋体"/>
                <w:kern w:val="0"/>
                <w:szCs w:val="21"/>
              </w:rPr>
              <w:t>措施</w:t>
            </w:r>
            <w:r>
              <w:rPr>
                <w:rFonts w:hint="eastAsia" w:ascii="宋体" w:hAnsi="宋体"/>
                <w:kern w:val="0"/>
                <w:szCs w:val="21"/>
                <w:lang w:val="en-US" w:eastAsia="zh-CN"/>
              </w:rPr>
              <w:t>较差</w:t>
            </w:r>
            <w:r>
              <w:rPr>
                <w:rFonts w:hint="eastAsia" w:ascii="宋体" w:hAnsi="宋体"/>
                <w:kern w:val="0"/>
                <w:szCs w:val="21"/>
              </w:rPr>
              <w:t>得</w:t>
            </w:r>
            <w:r>
              <w:rPr>
                <w:rFonts w:hint="eastAsia" w:ascii="宋体" w:hAnsi="宋体"/>
                <w:kern w:val="0"/>
                <w:szCs w:val="21"/>
                <w:lang w:val="en-US" w:eastAsia="zh-CN"/>
              </w:rPr>
              <w:t>3</w:t>
            </w:r>
            <w:r>
              <w:rPr>
                <w:rFonts w:hint="eastAsia" w:ascii="宋体" w:hAnsi="宋体"/>
                <w:kern w:val="0"/>
                <w:szCs w:val="21"/>
              </w:rPr>
              <w:t>分。</w:t>
            </w:r>
          </w:p>
          <w:p w14:paraId="052C3AB7">
            <w:pPr>
              <w:spacing w:line="400" w:lineRule="exact"/>
              <w:jc w:val="left"/>
              <w:rPr>
                <w:rFonts w:hint="eastAsia" w:ascii="宋体" w:hAnsi="宋体"/>
                <w:b/>
                <w:bCs/>
                <w:kern w:val="0"/>
                <w:szCs w:val="21"/>
              </w:rPr>
            </w:pPr>
            <w:r>
              <w:rPr>
                <w:rFonts w:hint="eastAsia" w:ascii="宋体" w:hAnsi="宋体"/>
                <w:b/>
                <w:bCs/>
                <w:kern w:val="0"/>
                <w:szCs w:val="21"/>
              </w:rPr>
              <w:t>（4）环境保护管理体系与措施（</w:t>
            </w:r>
            <w:r>
              <w:rPr>
                <w:rFonts w:hint="eastAsia" w:ascii="宋体" w:hAnsi="宋体"/>
                <w:b/>
                <w:bCs/>
                <w:kern w:val="0"/>
                <w:szCs w:val="21"/>
                <w:lang w:val="en-US" w:eastAsia="zh-CN"/>
              </w:rPr>
              <w:t>5</w:t>
            </w:r>
            <w:r>
              <w:rPr>
                <w:rFonts w:hint="eastAsia" w:ascii="宋体" w:hAnsi="宋体"/>
                <w:b/>
                <w:bCs/>
                <w:kern w:val="0"/>
                <w:szCs w:val="21"/>
              </w:rPr>
              <w:t>分）</w:t>
            </w:r>
          </w:p>
          <w:p w14:paraId="16D01732">
            <w:pPr>
              <w:spacing w:line="400" w:lineRule="exact"/>
              <w:rPr>
                <w:rFonts w:ascii="宋体" w:hAnsi="宋体" w:cs="宋体"/>
                <w:szCs w:val="21"/>
              </w:rPr>
            </w:pPr>
            <w:r>
              <w:rPr>
                <w:rFonts w:hint="eastAsia" w:ascii="宋体" w:hAnsi="宋体" w:cs="宋体"/>
                <w:szCs w:val="21"/>
              </w:rPr>
              <w:t>环保措施有效可行得</w:t>
            </w:r>
            <w:r>
              <w:rPr>
                <w:rFonts w:hint="eastAsia" w:ascii="宋体" w:hAnsi="宋体" w:cs="宋体"/>
                <w:szCs w:val="21"/>
                <w:lang w:val="en-US" w:eastAsia="zh-CN"/>
              </w:rPr>
              <w:t>5</w:t>
            </w:r>
            <w:r>
              <w:rPr>
                <w:rFonts w:hint="eastAsia" w:ascii="宋体" w:hAnsi="宋体" w:cs="宋体"/>
                <w:szCs w:val="21"/>
              </w:rPr>
              <w:t>分；</w:t>
            </w:r>
          </w:p>
          <w:p w14:paraId="673D5814">
            <w:pPr>
              <w:spacing w:line="400" w:lineRule="exact"/>
              <w:rPr>
                <w:rFonts w:ascii="宋体" w:hAnsi="宋体" w:cs="宋体"/>
                <w:szCs w:val="21"/>
              </w:rPr>
            </w:pPr>
            <w:r>
              <w:rPr>
                <w:rFonts w:hint="eastAsia" w:ascii="宋体" w:hAnsi="宋体" w:cs="宋体"/>
                <w:szCs w:val="21"/>
              </w:rPr>
              <w:t>环保措施基本可行得</w:t>
            </w:r>
            <w:r>
              <w:rPr>
                <w:rFonts w:hint="eastAsia" w:ascii="宋体" w:hAnsi="宋体" w:cs="宋体"/>
                <w:szCs w:val="21"/>
                <w:lang w:val="en-US" w:eastAsia="zh-CN"/>
              </w:rPr>
              <w:t>3</w:t>
            </w:r>
            <w:r>
              <w:rPr>
                <w:rFonts w:hint="eastAsia" w:ascii="宋体" w:hAnsi="宋体" w:cs="宋体"/>
                <w:szCs w:val="21"/>
              </w:rPr>
              <w:t>分；</w:t>
            </w:r>
          </w:p>
          <w:p w14:paraId="3E264B5E">
            <w:pPr>
              <w:spacing w:line="400" w:lineRule="exact"/>
              <w:jc w:val="left"/>
              <w:rPr>
                <w:rFonts w:hint="eastAsia" w:ascii="宋体" w:hAnsi="宋体" w:cs="宋体"/>
                <w:szCs w:val="21"/>
              </w:rPr>
            </w:pPr>
            <w:r>
              <w:rPr>
                <w:rFonts w:hint="eastAsia" w:ascii="宋体" w:hAnsi="宋体" w:cs="宋体"/>
                <w:szCs w:val="21"/>
              </w:rPr>
              <w:t>环保措施不可行得</w:t>
            </w:r>
            <w:r>
              <w:rPr>
                <w:rFonts w:hint="eastAsia" w:ascii="宋体" w:hAnsi="宋体" w:cs="宋体"/>
                <w:szCs w:val="21"/>
                <w:lang w:val="en-US" w:eastAsia="zh-CN"/>
              </w:rPr>
              <w:t>0</w:t>
            </w:r>
            <w:r>
              <w:rPr>
                <w:rFonts w:hint="eastAsia" w:ascii="宋体" w:hAnsi="宋体" w:cs="宋体"/>
                <w:szCs w:val="21"/>
              </w:rPr>
              <w:t>分。</w:t>
            </w:r>
          </w:p>
          <w:p w14:paraId="48A26FDE">
            <w:pPr>
              <w:spacing w:line="400" w:lineRule="exact"/>
              <w:jc w:val="left"/>
              <w:rPr>
                <w:rFonts w:hint="default" w:ascii="宋体" w:hAnsi="宋体" w:eastAsia="宋体"/>
                <w:b/>
                <w:bCs/>
                <w:kern w:val="0"/>
                <w:szCs w:val="21"/>
                <w:lang w:val="en-US" w:eastAsia="zh-CN"/>
              </w:rPr>
            </w:pPr>
            <w:r>
              <w:rPr>
                <w:rFonts w:hint="eastAsia" w:ascii="宋体" w:hAnsi="宋体"/>
                <w:b/>
                <w:bCs/>
                <w:kern w:val="0"/>
                <w:szCs w:val="21"/>
              </w:rPr>
              <w:t>（5）工程进度计划与措施（</w:t>
            </w:r>
            <w:r>
              <w:rPr>
                <w:rFonts w:hint="eastAsia" w:ascii="宋体" w:hAnsi="宋体"/>
                <w:b/>
                <w:bCs/>
                <w:kern w:val="0"/>
                <w:szCs w:val="21"/>
                <w:lang w:val="en-US" w:eastAsia="zh-CN"/>
              </w:rPr>
              <w:t>10</w:t>
            </w:r>
            <w:r>
              <w:rPr>
                <w:rFonts w:hint="eastAsia" w:ascii="宋体" w:hAnsi="宋体"/>
                <w:b/>
                <w:bCs/>
                <w:kern w:val="0"/>
                <w:szCs w:val="21"/>
              </w:rPr>
              <w:t>分）</w:t>
            </w:r>
            <w:r>
              <w:rPr>
                <w:rFonts w:hint="eastAsia" w:ascii="宋体" w:hAnsi="宋体"/>
                <w:b/>
                <w:bCs/>
                <w:kern w:val="0"/>
                <w:szCs w:val="21"/>
                <w:lang w:val="en-US" w:eastAsia="zh-CN"/>
              </w:rPr>
              <w:t xml:space="preserve">                                                                                                </w:t>
            </w:r>
          </w:p>
          <w:p w14:paraId="22204941">
            <w:pPr>
              <w:spacing w:line="400" w:lineRule="exact"/>
              <w:jc w:val="left"/>
              <w:rPr>
                <w:rFonts w:hint="eastAsia" w:ascii="宋体" w:hAnsi="宋体"/>
                <w:kern w:val="0"/>
                <w:szCs w:val="21"/>
              </w:rPr>
            </w:pPr>
            <w:r>
              <w:rPr>
                <w:rFonts w:hint="eastAsia" w:ascii="宋体" w:hAnsi="宋体"/>
                <w:kern w:val="0"/>
                <w:szCs w:val="21"/>
              </w:rPr>
              <w:t>工期能满足工程要求，进度安排合理，施工工期组织设计合理，保证措施得力，工期提前保证措施可行得</w:t>
            </w:r>
            <w:r>
              <w:rPr>
                <w:rFonts w:hint="eastAsia" w:ascii="宋体" w:hAnsi="宋体"/>
                <w:kern w:val="0"/>
                <w:szCs w:val="21"/>
                <w:lang w:val="en-US" w:eastAsia="zh-CN"/>
              </w:rPr>
              <w:t>10</w:t>
            </w:r>
            <w:r>
              <w:rPr>
                <w:rFonts w:hint="eastAsia" w:ascii="宋体" w:hAnsi="宋体"/>
                <w:kern w:val="0"/>
                <w:szCs w:val="21"/>
              </w:rPr>
              <w:t>分；</w:t>
            </w:r>
          </w:p>
          <w:p w14:paraId="6615F4E0">
            <w:pPr>
              <w:spacing w:line="400" w:lineRule="exact"/>
              <w:jc w:val="left"/>
              <w:rPr>
                <w:rFonts w:hint="eastAsia" w:ascii="宋体" w:hAnsi="宋体"/>
                <w:kern w:val="0"/>
                <w:szCs w:val="21"/>
              </w:rPr>
            </w:pPr>
            <w:r>
              <w:rPr>
                <w:rFonts w:hint="eastAsia" w:ascii="宋体" w:hAnsi="宋体"/>
                <w:kern w:val="0"/>
                <w:szCs w:val="21"/>
              </w:rPr>
              <w:t>工期基本能满足工程要求，进度安排较合理，施工工期组织设计较合理，保证措施可行，工期提前保证措施基本可行得</w:t>
            </w:r>
            <w:r>
              <w:rPr>
                <w:rFonts w:hint="eastAsia" w:ascii="宋体" w:hAnsi="宋体"/>
                <w:kern w:val="0"/>
                <w:szCs w:val="21"/>
                <w:lang w:val="en-US" w:eastAsia="zh-CN"/>
              </w:rPr>
              <w:t>7</w:t>
            </w:r>
            <w:r>
              <w:rPr>
                <w:rFonts w:hint="eastAsia" w:ascii="宋体" w:hAnsi="宋体"/>
                <w:kern w:val="0"/>
                <w:szCs w:val="21"/>
              </w:rPr>
              <w:t>分；</w:t>
            </w:r>
          </w:p>
          <w:p w14:paraId="474F7E7D">
            <w:pPr>
              <w:spacing w:line="400" w:lineRule="exact"/>
              <w:jc w:val="left"/>
              <w:rPr>
                <w:rFonts w:hint="eastAsia" w:ascii="宋体" w:hAnsi="宋体"/>
                <w:kern w:val="0"/>
                <w:szCs w:val="21"/>
              </w:rPr>
            </w:pPr>
            <w:r>
              <w:rPr>
                <w:rFonts w:hint="eastAsia" w:ascii="宋体" w:hAnsi="宋体"/>
                <w:kern w:val="0"/>
                <w:szCs w:val="21"/>
              </w:rPr>
              <w:t>工期不能满足工程要求，进度安排较差，施工工期组织设计较差，保证措施差，工期提前保证措施差得</w:t>
            </w:r>
            <w:r>
              <w:rPr>
                <w:rFonts w:hint="eastAsia" w:ascii="宋体" w:hAnsi="宋体"/>
                <w:kern w:val="0"/>
                <w:szCs w:val="21"/>
                <w:lang w:val="en-US" w:eastAsia="zh-CN"/>
              </w:rPr>
              <w:t>3</w:t>
            </w:r>
            <w:r>
              <w:rPr>
                <w:rFonts w:hint="eastAsia" w:ascii="宋体" w:hAnsi="宋体"/>
                <w:kern w:val="0"/>
                <w:szCs w:val="21"/>
              </w:rPr>
              <w:t>分。</w:t>
            </w:r>
          </w:p>
          <w:p w14:paraId="5E81BF73">
            <w:pPr>
              <w:numPr>
                <w:ilvl w:val="0"/>
                <w:numId w:val="7"/>
              </w:numPr>
              <w:spacing w:line="400" w:lineRule="exact"/>
              <w:rPr>
                <w:rFonts w:hint="eastAsia" w:ascii="宋体" w:hAnsi="宋体"/>
                <w:b/>
                <w:bCs/>
                <w:kern w:val="0"/>
                <w:szCs w:val="21"/>
              </w:rPr>
            </w:pPr>
            <w:r>
              <w:rPr>
                <w:rFonts w:hint="eastAsia" w:ascii="宋体" w:hAnsi="宋体"/>
                <w:b/>
                <w:bCs/>
                <w:kern w:val="0"/>
                <w:szCs w:val="21"/>
              </w:rPr>
              <w:t>资源配备计划（</w:t>
            </w:r>
            <w:r>
              <w:rPr>
                <w:rFonts w:hint="eastAsia" w:ascii="宋体" w:hAnsi="宋体"/>
                <w:b/>
                <w:bCs/>
                <w:kern w:val="0"/>
                <w:szCs w:val="21"/>
                <w:lang w:val="en-US" w:eastAsia="zh-CN"/>
              </w:rPr>
              <w:t>5</w:t>
            </w:r>
            <w:r>
              <w:rPr>
                <w:rFonts w:hint="eastAsia" w:ascii="宋体" w:hAnsi="宋体"/>
                <w:b/>
                <w:bCs/>
                <w:kern w:val="0"/>
                <w:szCs w:val="21"/>
              </w:rPr>
              <w:t>分）</w:t>
            </w:r>
          </w:p>
          <w:p w14:paraId="2DFAF635">
            <w:pPr>
              <w:spacing w:line="400" w:lineRule="exact"/>
              <w:rPr>
                <w:rFonts w:ascii="宋体" w:hAnsi="宋体" w:cs="宋体"/>
                <w:szCs w:val="21"/>
              </w:rPr>
            </w:pPr>
            <w:r>
              <w:rPr>
                <w:rFonts w:hint="eastAsia" w:ascii="宋体" w:hAnsi="宋体" w:cs="宋体"/>
                <w:szCs w:val="21"/>
              </w:rPr>
              <w:t>完全满足工程需要得</w:t>
            </w:r>
            <w:r>
              <w:rPr>
                <w:rFonts w:hint="eastAsia" w:ascii="宋体" w:hAnsi="宋体" w:cs="宋体"/>
                <w:szCs w:val="21"/>
                <w:lang w:val="en-US" w:eastAsia="zh-CN"/>
              </w:rPr>
              <w:t>5</w:t>
            </w:r>
            <w:r>
              <w:rPr>
                <w:rFonts w:hint="eastAsia" w:ascii="宋体" w:hAnsi="宋体" w:cs="宋体"/>
                <w:szCs w:val="21"/>
              </w:rPr>
              <w:t>分；</w:t>
            </w:r>
          </w:p>
          <w:p w14:paraId="2C207681">
            <w:pPr>
              <w:spacing w:line="400" w:lineRule="exact"/>
              <w:rPr>
                <w:rFonts w:ascii="宋体" w:hAnsi="宋体" w:cs="宋体"/>
                <w:szCs w:val="21"/>
              </w:rPr>
            </w:pPr>
            <w:r>
              <w:rPr>
                <w:rFonts w:hint="eastAsia" w:ascii="宋体" w:hAnsi="宋体" w:cs="宋体"/>
                <w:szCs w:val="21"/>
              </w:rPr>
              <w:t>基本满足工程需要得</w:t>
            </w:r>
            <w:r>
              <w:rPr>
                <w:rFonts w:hint="eastAsia" w:ascii="宋体" w:hAnsi="宋体" w:cs="宋体"/>
                <w:szCs w:val="21"/>
                <w:lang w:val="en-US" w:eastAsia="zh-CN"/>
              </w:rPr>
              <w:t>3</w:t>
            </w:r>
            <w:r>
              <w:rPr>
                <w:rFonts w:hint="eastAsia" w:ascii="宋体" w:hAnsi="宋体" w:cs="宋体"/>
                <w:szCs w:val="21"/>
              </w:rPr>
              <w:t>分；</w:t>
            </w:r>
          </w:p>
          <w:p w14:paraId="0B2361DA">
            <w:pPr>
              <w:spacing w:line="400" w:lineRule="exact"/>
              <w:jc w:val="left"/>
              <w:rPr>
                <w:rFonts w:hint="eastAsia" w:ascii="宋体" w:hAnsi="宋体"/>
                <w:kern w:val="0"/>
                <w:szCs w:val="21"/>
              </w:rPr>
            </w:pPr>
            <w:r>
              <w:rPr>
                <w:rFonts w:hint="eastAsia" w:ascii="宋体" w:hAnsi="宋体" w:cs="宋体"/>
                <w:szCs w:val="21"/>
              </w:rPr>
              <w:t>不能满足工程需要得</w:t>
            </w:r>
            <w:r>
              <w:rPr>
                <w:rFonts w:hint="eastAsia" w:ascii="宋体" w:hAnsi="宋体" w:cs="宋体"/>
                <w:szCs w:val="21"/>
                <w:lang w:val="en-US" w:eastAsia="zh-CN"/>
              </w:rPr>
              <w:t>0</w:t>
            </w:r>
            <w:r>
              <w:rPr>
                <w:rFonts w:hint="eastAsia" w:ascii="宋体" w:hAnsi="宋体" w:cs="宋体"/>
                <w:szCs w:val="21"/>
              </w:rPr>
              <w:t>分。</w:t>
            </w:r>
          </w:p>
          <w:p w14:paraId="5CEABE6D">
            <w:pPr>
              <w:numPr>
                <w:ilvl w:val="0"/>
                <w:numId w:val="7"/>
              </w:numPr>
              <w:spacing w:line="400" w:lineRule="exact"/>
              <w:rPr>
                <w:rFonts w:hint="eastAsia" w:ascii="宋体" w:hAnsi="宋体"/>
                <w:b/>
                <w:bCs/>
                <w:kern w:val="0"/>
                <w:szCs w:val="21"/>
              </w:rPr>
            </w:pPr>
            <w:r>
              <w:rPr>
                <w:rFonts w:hint="eastAsia" w:ascii="宋体" w:hAnsi="宋体"/>
                <w:b/>
                <w:bCs/>
                <w:kern w:val="0"/>
                <w:szCs w:val="21"/>
              </w:rPr>
              <w:t>施工设备（</w:t>
            </w:r>
            <w:r>
              <w:rPr>
                <w:rFonts w:hint="eastAsia" w:ascii="宋体" w:hAnsi="宋体"/>
                <w:b/>
                <w:bCs/>
                <w:kern w:val="0"/>
                <w:szCs w:val="21"/>
                <w:lang w:val="en-US" w:eastAsia="zh-CN"/>
              </w:rPr>
              <w:t>5</w:t>
            </w:r>
            <w:r>
              <w:rPr>
                <w:rFonts w:hint="eastAsia" w:ascii="宋体" w:hAnsi="宋体"/>
                <w:b/>
                <w:bCs/>
                <w:kern w:val="0"/>
                <w:szCs w:val="21"/>
              </w:rPr>
              <w:t>分）</w:t>
            </w:r>
          </w:p>
          <w:p w14:paraId="3E3CF41B">
            <w:pPr>
              <w:spacing w:line="400" w:lineRule="exact"/>
              <w:rPr>
                <w:rFonts w:ascii="宋体" w:hAnsi="宋体" w:cs="宋体"/>
                <w:szCs w:val="21"/>
              </w:rPr>
            </w:pPr>
            <w:r>
              <w:rPr>
                <w:rFonts w:hint="eastAsia" w:ascii="宋体" w:hAnsi="宋体" w:cs="宋体"/>
                <w:szCs w:val="21"/>
              </w:rPr>
              <w:t>机械设备的配置完全满足工程需要得</w:t>
            </w:r>
            <w:r>
              <w:rPr>
                <w:rFonts w:hint="eastAsia" w:ascii="宋体" w:hAnsi="宋体" w:cs="宋体"/>
                <w:szCs w:val="21"/>
                <w:lang w:val="en-US" w:eastAsia="zh-CN"/>
              </w:rPr>
              <w:t>5</w:t>
            </w:r>
            <w:r>
              <w:rPr>
                <w:rFonts w:hint="eastAsia" w:ascii="宋体" w:hAnsi="宋体" w:cs="宋体"/>
                <w:szCs w:val="21"/>
              </w:rPr>
              <w:t>分；</w:t>
            </w:r>
          </w:p>
          <w:p w14:paraId="395B6124">
            <w:pPr>
              <w:spacing w:line="400" w:lineRule="exact"/>
              <w:rPr>
                <w:rFonts w:ascii="宋体" w:hAnsi="宋体" w:cs="宋体"/>
                <w:szCs w:val="21"/>
              </w:rPr>
            </w:pPr>
            <w:r>
              <w:rPr>
                <w:rFonts w:hint="eastAsia" w:ascii="宋体" w:hAnsi="宋体" w:cs="宋体"/>
                <w:szCs w:val="21"/>
              </w:rPr>
              <w:t>机械设备的配置基本满足工程需要得</w:t>
            </w:r>
            <w:r>
              <w:rPr>
                <w:rFonts w:hint="eastAsia" w:ascii="宋体" w:hAnsi="宋体" w:cs="宋体"/>
                <w:szCs w:val="21"/>
                <w:lang w:val="en-US" w:eastAsia="zh-CN"/>
              </w:rPr>
              <w:t>3</w:t>
            </w:r>
            <w:r>
              <w:rPr>
                <w:rFonts w:hint="eastAsia" w:ascii="宋体" w:hAnsi="宋体" w:cs="宋体"/>
                <w:szCs w:val="21"/>
              </w:rPr>
              <w:t>分；</w:t>
            </w:r>
          </w:p>
          <w:p w14:paraId="58527BDC">
            <w:pPr>
              <w:pStyle w:val="14"/>
              <w:spacing w:line="400" w:lineRule="exact"/>
              <w:rPr>
                <w:rFonts w:hAnsi="宋体"/>
                <w:bCs/>
                <w:szCs w:val="21"/>
              </w:rPr>
            </w:pPr>
            <w:r>
              <w:rPr>
                <w:rFonts w:hAnsi="宋体"/>
                <w:szCs w:val="21"/>
              </w:rPr>
              <w:t>机械设备的配置不能满足工程需要得0分。</w:t>
            </w:r>
          </w:p>
          <w:p w14:paraId="31A3907D">
            <w:pPr>
              <w:spacing w:line="400" w:lineRule="exact"/>
              <w:jc w:val="left"/>
              <w:rPr>
                <w:rFonts w:hint="eastAsia" w:ascii="宋体" w:hAnsi="宋体"/>
                <w:b/>
                <w:bCs/>
                <w:kern w:val="0"/>
                <w:szCs w:val="21"/>
              </w:rPr>
            </w:pPr>
            <w:r>
              <w:rPr>
                <w:rFonts w:hint="eastAsia" w:ascii="宋体" w:hAnsi="宋体"/>
                <w:b/>
                <w:bCs/>
                <w:kern w:val="0"/>
                <w:szCs w:val="21"/>
              </w:rPr>
              <w:t>（8）试验、检测仪器设备（</w:t>
            </w:r>
            <w:r>
              <w:rPr>
                <w:rFonts w:hint="eastAsia" w:ascii="宋体" w:hAnsi="宋体"/>
                <w:b/>
                <w:bCs/>
                <w:kern w:val="0"/>
                <w:szCs w:val="21"/>
                <w:lang w:val="en-US" w:eastAsia="zh-CN"/>
              </w:rPr>
              <w:t>5</w:t>
            </w:r>
            <w:r>
              <w:rPr>
                <w:rFonts w:hint="eastAsia" w:ascii="宋体" w:hAnsi="宋体"/>
                <w:b/>
                <w:bCs/>
                <w:kern w:val="0"/>
                <w:szCs w:val="21"/>
              </w:rPr>
              <w:t>分）</w:t>
            </w:r>
          </w:p>
          <w:p w14:paraId="26DFAB7F">
            <w:pPr>
              <w:spacing w:line="400" w:lineRule="exact"/>
              <w:jc w:val="left"/>
              <w:rPr>
                <w:rFonts w:hint="eastAsia" w:ascii="宋体" w:hAnsi="宋体"/>
                <w:kern w:val="0"/>
                <w:szCs w:val="21"/>
              </w:rPr>
            </w:pPr>
            <w:r>
              <w:rPr>
                <w:rFonts w:hint="eastAsia" w:ascii="宋体" w:hAnsi="宋体"/>
                <w:kern w:val="0"/>
                <w:szCs w:val="21"/>
              </w:rPr>
              <w:t>完全满足工程需要得</w:t>
            </w:r>
            <w:r>
              <w:rPr>
                <w:rFonts w:hint="eastAsia" w:ascii="宋体" w:hAnsi="宋体"/>
                <w:kern w:val="0"/>
                <w:szCs w:val="21"/>
                <w:lang w:val="en-US" w:eastAsia="zh-CN"/>
              </w:rPr>
              <w:t>5</w:t>
            </w:r>
            <w:r>
              <w:rPr>
                <w:rFonts w:hint="eastAsia" w:ascii="宋体" w:hAnsi="宋体"/>
                <w:kern w:val="0"/>
                <w:szCs w:val="21"/>
              </w:rPr>
              <w:t>分；</w:t>
            </w:r>
          </w:p>
          <w:p w14:paraId="1BBFD1DB">
            <w:pPr>
              <w:spacing w:line="400" w:lineRule="exact"/>
              <w:jc w:val="left"/>
              <w:rPr>
                <w:rFonts w:hint="eastAsia" w:ascii="宋体" w:hAnsi="宋体"/>
                <w:kern w:val="0"/>
                <w:szCs w:val="21"/>
              </w:rPr>
            </w:pPr>
            <w:r>
              <w:rPr>
                <w:rFonts w:hint="eastAsia" w:ascii="宋体" w:hAnsi="宋体"/>
                <w:kern w:val="0"/>
                <w:szCs w:val="21"/>
              </w:rPr>
              <w:t>基本满足工程需要得</w:t>
            </w:r>
            <w:r>
              <w:rPr>
                <w:rFonts w:hint="eastAsia" w:ascii="宋体" w:hAnsi="宋体"/>
                <w:kern w:val="0"/>
                <w:szCs w:val="21"/>
                <w:lang w:val="en-US" w:eastAsia="zh-CN"/>
              </w:rPr>
              <w:t>3</w:t>
            </w:r>
            <w:r>
              <w:rPr>
                <w:rFonts w:hint="eastAsia" w:ascii="宋体" w:hAnsi="宋体"/>
                <w:kern w:val="0"/>
                <w:szCs w:val="21"/>
              </w:rPr>
              <w:t>分；</w:t>
            </w:r>
          </w:p>
          <w:p w14:paraId="2970518F">
            <w:pPr>
              <w:pStyle w:val="14"/>
              <w:spacing w:line="400" w:lineRule="exact"/>
              <w:rPr>
                <w:rFonts w:hAnsi="宋体" w:cs="Courier New"/>
                <w:bCs/>
              </w:rPr>
            </w:pPr>
            <w:r>
              <w:rPr>
                <w:rFonts w:hAnsi="宋体"/>
                <w:kern w:val="0"/>
                <w:szCs w:val="21"/>
              </w:rPr>
              <w:t>不能满足工程需要得0分。</w:t>
            </w:r>
          </w:p>
        </w:tc>
      </w:tr>
      <w:tr w14:paraId="4918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32" w:type="dxa"/>
            <w:noWrap w:val="0"/>
            <w:vAlign w:val="center"/>
          </w:tcPr>
          <w:p w14:paraId="50810C73">
            <w:pPr>
              <w:adjustRightInd w:val="0"/>
              <w:spacing w:line="380" w:lineRule="exact"/>
              <w:ind w:left="-105" w:leftChars="-50" w:right="-105" w:rightChars="-50"/>
              <w:jc w:val="center"/>
              <w:textAlignment w:val="baseline"/>
              <w:rPr>
                <w:rFonts w:hint="eastAsia" w:ascii="宋体" w:hAnsi="宋体" w:eastAsia="宋体"/>
                <w:bCs/>
                <w:kern w:val="0"/>
                <w:szCs w:val="21"/>
                <w:lang w:eastAsia="zh-CN"/>
              </w:rPr>
            </w:pPr>
            <w:r>
              <w:rPr>
                <w:rFonts w:hint="eastAsia" w:ascii="宋体" w:hAnsi="宋体"/>
                <w:bCs/>
                <w:kern w:val="0"/>
                <w:szCs w:val="21"/>
                <w:lang w:val="en-US" w:eastAsia="zh-CN"/>
              </w:rPr>
              <w:t>4</w:t>
            </w:r>
          </w:p>
        </w:tc>
        <w:tc>
          <w:tcPr>
            <w:tcW w:w="1575" w:type="dxa"/>
            <w:noWrap w:val="0"/>
            <w:vAlign w:val="center"/>
          </w:tcPr>
          <w:p w14:paraId="47687396">
            <w:pPr>
              <w:adjustRightInd w:val="0"/>
              <w:spacing w:line="400" w:lineRule="exact"/>
              <w:jc w:val="center"/>
              <w:textAlignment w:val="baseline"/>
              <w:rPr>
                <w:rFonts w:hint="eastAsia" w:ascii="宋体" w:hAnsi="宋体"/>
                <w:bCs/>
                <w:kern w:val="0"/>
                <w:szCs w:val="21"/>
              </w:rPr>
            </w:pPr>
            <w:bookmarkStart w:id="618" w:name="OLE_LINK3"/>
            <w:r>
              <w:rPr>
                <w:rFonts w:hint="eastAsia" w:ascii="宋体" w:hAnsi="宋体"/>
                <w:bCs/>
                <w:kern w:val="0"/>
                <w:szCs w:val="21"/>
              </w:rPr>
              <w:t>项目管理机构分</w:t>
            </w:r>
          </w:p>
          <w:p w14:paraId="188691FE">
            <w:pPr>
              <w:adjustRightInd w:val="0"/>
              <w:spacing w:line="400" w:lineRule="exact"/>
              <w:jc w:val="center"/>
              <w:textAlignment w:val="baseline"/>
              <w:rPr>
                <w:rFonts w:ascii="宋体" w:hAnsi="宋体"/>
                <w:bCs/>
                <w:kern w:val="0"/>
                <w:szCs w:val="21"/>
              </w:rPr>
            </w:pPr>
            <w:r>
              <w:rPr>
                <w:rFonts w:hint="eastAsia" w:ascii="宋体" w:hAnsi="宋体"/>
                <w:bCs/>
                <w:kern w:val="0"/>
                <w:szCs w:val="21"/>
              </w:rPr>
              <w:t>（满分</w:t>
            </w:r>
            <w:r>
              <w:rPr>
                <w:rFonts w:hint="eastAsia" w:ascii="宋体" w:hAnsi="宋体"/>
                <w:bCs/>
                <w:kern w:val="0"/>
                <w:szCs w:val="21"/>
                <w:lang w:val="en-US" w:eastAsia="zh-CN"/>
              </w:rPr>
              <w:t>10</w:t>
            </w:r>
            <w:r>
              <w:rPr>
                <w:rFonts w:hint="eastAsia" w:ascii="宋体" w:hAnsi="宋体"/>
                <w:bCs/>
                <w:kern w:val="0"/>
                <w:szCs w:val="21"/>
              </w:rPr>
              <w:t>分）</w:t>
            </w:r>
            <w:bookmarkEnd w:id="618"/>
          </w:p>
        </w:tc>
        <w:tc>
          <w:tcPr>
            <w:tcW w:w="6750" w:type="dxa"/>
            <w:gridSpan w:val="2"/>
            <w:noWrap w:val="0"/>
            <w:vAlign w:val="center"/>
          </w:tcPr>
          <w:p w14:paraId="4D6460D0">
            <w:pPr>
              <w:widowControl/>
              <w:spacing w:line="400" w:lineRule="exact"/>
              <w:jc w:val="left"/>
              <w:rPr>
                <w:rFonts w:hint="eastAsia" w:ascii="新宋体" w:hAnsi="新宋体" w:eastAsia="新宋体" w:cs="新宋体"/>
                <w:b/>
                <w:bCs/>
              </w:rPr>
            </w:pPr>
            <w:r>
              <w:rPr>
                <w:rFonts w:hint="eastAsia" w:ascii="新宋体" w:hAnsi="新宋体" w:eastAsia="新宋体" w:cs="新宋体"/>
                <w:b/>
                <w:bCs/>
              </w:rPr>
              <w:t>（1）项目经理任职资格与业绩、工作经历等（</w:t>
            </w:r>
            <w:r>
              <w:rPr>
                <w:rFonts w:hint="eastAsia" w:ascii="新宋体" w:hAnsi="新宋体" w:eastAsia="新宋体" w:cs="新宋体"/>
                <w:b/>
                <w:bCs/>
                <w:lang w:val="en-US" w:eastAsia="zh-CN"/>
              </w:rPr>
              <w:t>6</w:t>
            </w:r>
            <w:r>
              <w:rPr>
                <w:rFonts w:hint="eastAsia" w:ascii="新宋体" w:hAnsi="新宋体" w:eastAsia="新宋体" w:cs="新宋体"/>
                <w:b/>
                <w:bCs/>
              </w:rPr>
              <w:t>分）</w:t>
            </w:r>
          </w:p>
          <w:p w14:paraId="401F49FA">
            <w:pPr>
              <w:widowControl/>
              <w:spacing w:line="400" w:lineRule="exact"/>
              <w:ind w:firstLine="420" w:firstLineChars="200"/>
              <w:rPr>
                <w:rFonts w:hint="eastAsia" w:ascii="新宋体" w:hAnsi="新宋体" w:eastAsia="新宋体" w:cs="新宋体"/>
                <w:kern w:val="0"/>
                <w:szCs w:val="21"/>
              </w:rPr>
            </w:pPr>
            <w:r>
              <w:rPr>
                <w:rFonts w:hint="eastAsia" w:ascii="新宋体" w:hAnsi="新宋体" w:eastAsia="新宋体" w:cs="新宋体"/>
                <w:kern w:val="0"/>
                <w:szCs w:val="21"/>
              </w:rPr>
              <w:t>①拟派项目经理具有</w:t>
            </w:r>
            <w:r>
              <w:rPr>
                <w:rFonts w:hint="eastAsia" w:ascii="新宋体" w:hAnsi="新宋体" w:eastAsia="新宋体" w:cs="新宋体"/>
                <w:szCs w:val="21"/>
              </w:rPr>
              <w:t>二级建造师</w:t>
            </w:r>
            <w:r>
              <w:rPr>
                <w:rFonts w:hint="eastAsia" w:ascii="新宋体" w:hAnsi="新宋体" w:eastAsia="新宋体" w:cs="新宋体"/>
                <w:szCs w:val="21"/>
                <w:lang w:val="en-US" w:eastAsia="zh-CN"/>
              </w:rPr>
              <w:t>注册</w:t>
            </w:r>
            <w:r>
              <w:rPr>
                <w:rFonts w:hint="eastAsia" w:ascii="新宋体" w:hAnsi="新宋体" w:eastAsia="新宋体" w:cs="新宋体"/>
                <w:szCs w:val="21"/>
              </w:rPr>
              <w:t>证</w:t>
            </w:r>
            <w:r>
              <w:rPr>
                <w:rFonts w:hint="eastAsia" w:ascii="新宋体" w:hAnsi="新宋体" w:eastAsia="新宋体" w:cs="新宋体"/>
                <w:szCs w:val="21"/>
                <w:lang w:val="en-US" w:eastAsia="zh-CN"/>
              </w:rPr>
              <w:t>书</w:t>
            </w:r>
            <w:r>
              <w:rPr>
                <w:rFonts w:hint="eastAsia" w:ascii="新宋体" w:hAnsi="新宋体" w:eastAsia="新宋体" w:cs="新宋体"/>
                <w:kern w:val="0"/>
                <w:szCs w:val="21"/>
              </w:rPr>
              <w:t>得</w:t>
            </w:r>
            <w:r>
              <w:rPr>
                <w:rFonts w:hint="eastAsia" w:ascii="新宋体" w:hAnsi="新宋体" w:eastAsia="新宋体" w:cs="新宋体"/>
                <w:kern w:val="0"/>
                <w:szCs w:val="21"/>
                <w:lang w:val="en-US" w:eastAsia="zh-CN"/>
              </w:rPr>
              <w:t>2</w:t>
            </w:r>
            <w:r>
              <w:rPr>
                <w:rFonts w:hint="eastAsia" w:ascii="新宋体" w:hAnsi="新宋体" w:eastAsia="新宋体" w:cs="新宋体"/>
                <w:kern w:val="0"/>
                <w:szCs w:val="21"/>
              </w:rPr>
              <w:t>分。</w:t>
            </w:r>
          </w:p>
          <w:p w14:paraId="3BF924B5">
            <w:pPr>
              <w:widowControl/>
              <w:spacing w:line="400" w:lineRule="exact"/>
              <w:ind w:firstLine="420" w:firstLineChars="200"/>
              <w:rPr>
                <w:rFonts w:hint="eastAsia" w:ascii="新宋体" w:hAnsi="新宋体" w:eastAsia="新宋体" w:cs="新宋体"/>
                <w:szCs w:val="21"/>
              </w:rPr>
            </w:pPr>
            <w:r>
              <w:rPr>
                <w:rFonts w:hint="eastAsia" w:ascii="新宋体" w:hAnsi="新宋体" w:eastAsia="新宋体" w:cs="新宋体"/>
                <w:szCs w:val="21"/>
              </w:rPr>
              <w:t>②</w:t>
            </w:r>
            <w:r>
              <w:rPr>
                <w:rFonts w:hint="eastAsia" w:ascii="新宋体" w:hAnsi="新宋体" w:eastAsia="新宋体" w:cs="新宋体"/>
                <w:kern w:val="0"/>
                <w:szCs w:val="21"/>
              </w:rPr>
              <w:t>拟派项目经理具有</w:t>
            </w:r>
            <w:r>
              <w:rPr>
                <w:rFonts w:hint="eastAsia" w:ascii="新宋体" w:hAnsi="新宋体" w:eastAsia="新宋体" w:cs="新宋体"/>
                <w:szCs w:val="21"/>
              </w:rPr>
              <w:t>中级（含）以上职称证</w:t>
            </w:r>
            <w:r>
              <w:rPr>
                <w:rFonts w:hint="eastAsia" w:ascii="新宋体" w:hAnsi="新宋体" w:eastAsia="新宋体" w:cs="新宋体"/>
                <w:kern w:val="0"/>
                <w:szCs w:val="21"/>
              </w:rPr>
              <w:t>得</w:t>
            </w:r>
            <w:r>
              <w:rPr>
                <w:rFonts w:hint="eastAsia" w:ascii="新宋体" w:hAnsi="新宋体" w:eastAsia="新宋体" w:cs="新宋体"/>
                <w:kern w:val="0"/>
                <w:szCs w:val="21"/>
                <w:lang w:val="en-US" w:eastAsia="zh-CN"/>
              </w:rPr>
              <w:t>2</w:t>
            </w:r>
            <w:r>
              <w:rPr>
                <w:rFonts w:hint="eastAsia" w:ascii="新宋体" w:hAnsi="新宋体" w:eastAsia="新宋体" w:cs="新宋体"/>
                <w:kern w:val="0"/>
                <w:szCs w:val="21"/>
              </w:rPr>
              <w:t>分。</w:t>
            </w:r>
          </w:p>
          <w:p w14:paraId="794FCF51">
            <w:pPr>
              <w:widowControl/>
              <w:spacing w:line="400" w:lineRule="exact"/>
              <w:ind w:firstLine="420" w:firstLineChars="200"/>
              <w:jc w:val="left"/>
              <w:rPr>
                <w:rFonts w:hint="eastAsia" w:ascii="新宋体" w:hAnsi="新宋体" w:eastAsia="新宋体" w:cs="新宋体"/>
                <w:kern w:val="0"/>
                <w:szCs w:val="21"/>
              </w:rPr>
            </w:pPr>
            <w:r>
              <w:rPr>
                <w:rFonts w:hint="eastAsia" w:ascii="新宋体" w:hAnsi="新宋体" w:eastAsia="新宋体" w:cs="新宋体"/>
                <w:kern w:val="0"/>
                <w:szCs w:val="21"/>
              </w:rPr>
              <w:t>③</w:t>
            </w:r>
            <w:r>
              <w:rPr>
                <w:rFonts w:hint="eastAsia" w:ascii="新宋体" w:hAnsi="新宋体" w:eastAsia="新宋体" w:cs="新宋体"/>
                <w:szCs w:val="21"/>
                <w:lang w:val="en-US" w:eastAsia="zh-CN"/>
              </w:rPr>
              <w:t>2020</w:t>
            </w:r>
            <w:r>
              <w:rPr>
                <w:rFonts w:hint="eastAsia" w:ascii="新宋体" w:hAnsi="新宋体" w:eastAsia="新宋体" w:cs="新宋体"/>
                <w:szCs w:val="21"/>
              </w:rPr>
              <w:t>年至今完成过类似工程业绩的，(提供中标通知书或施工承包合同协议书)</w:t>
            </w:r>
            <w:r>
              <w:rPr>
                <w:rFonts w:hint="eastAsia" w:ascii="新宋体" w:hAnsi="新宋体" w:eastAsia="新宋体" w:cs="新宋体"/>
                <w:kern w:val="0"/>
                <w:szCs w:val="21"/>
              </w:rPr>
              <w:t>得</w:t>
            </w:r>
            <w:r>
              <w:rPr>
                <w:rFonts w:hint="eastAsia" w:ascii="新宋体" w:hAnsi="新宋体" w:eastAsia="新宋体" w:cs="新宋体"/>
                <w:kern w:val="0"/>
                <w:szCs w:val="21"/>
                <w:lang w:val="en-US" w:eastAsia="zh-CN"/>
              </w:rPr>
              <w:t>2</w:t>
            </w:r>
            <w:r>
              <w:rPr>
                <w:rFonts w:hint="eastAsia" w:ascii="新宋体" w:hAnsi="新宋体" w:eastAsia="新宋体" w:cs="新宋体"/>
                <w:kern w:val="0"/>
                <w:szCs w:val="21"/>
              </w:rPr>
              <w:t>分。</w:t>
            </w:r>
          </w:p>
          <w:p w14:paraId="06A70F8C">
            <w:pPr>
              <w:widowControl/>
              <w:spacing w:line="400" w:lineRule="exact"/>
              <w:ind w:firstLine="420" w:firstLineChars="200"/>
              <w:jc w:val="left"/>
              <w:rPr>
                <w:rFonts w:hint="eastAsia" w:ascii="新宋体" w:hAnsi="新宋体" w:eastAsia="新宋体" w:cs="新宋体"/>
                <w:szCs w:val="21"/>
              </w:rPr>
            </w:pPr>
            <w:r>
              <w:rPr>
                <w:rFonts w:hint="eastAsia" w:ascii="新宋体" w:hAnsi="新宋体" w:eastAsia="新宋体" w:cs="新宋体"/>
                <w:kern w:val="0"/>
                <w:szCs w:val="21"/>
              </w:rPr>
              <w:t>（证件注册单位非投标人单位的，须提供投标人单位为其依法缴纳近三个月社保证明复印件。</w:t>
            </w:r>
            <w:r>
              <w:rPr>
                <w:rFonts w:hint="eastAsia" w:ascii="新宋体" w:hAnsi="新宋体" w:eastAsia="新宋体" w:cs="新宋体"/>
                <w:szCs w:val="21"/>
              </w:rPr>
              <w:t>）</w:t>
            </w:r>
          </w:p>
          <w:p w14:paraId="5884F515">
            <w:pPr>
              <w:widowControl/>
              <w:spacing w:line="400" w:lineRule="exact"/>
              <w:jc w:val="left"/>
              <w:rPr>
                <w:rFonts w:hint="eastAsia" w:ascii="新宋体" w:hAnsi="新宋体" w:eastAsia="新宋体" w:cs="新宋体"/>
              </w:rPr>
            </w:pPr>
            <w:r>
              <w:rPr>
                <w:rFonts w:hint="eastAsia" w:ascii="新宋体" w:hAnsi="新宋体" w:eastAsia="新宋体" w:cs="新宋体"/>
                <w:b/>
                <w:bCs/>
              </w:rPr>
              <w:t>（2）技术负责人（</w:t>
            </w:r>
            <w:r>
              <w:rPr>
                <w:rFonts w:hint="eastAsia" w:ascii="新宋体" w:hAnsi="新宋体" w:eastAsia="新宋体" w:cs="新宋体"/>
                <w:b/>
                <w:bCs/>
                <w:lang w:val="en-US" w:eastAsia="zh-CN"/>
              </w:rPr>
              <w:t>4</w:t>
            </w:r>
            <w:r>
              <w:rPr>
                <w:rFonts w:hint="eastAsia" w:ascii="新宋体" w:hAnsi="新宋体" w:eastAsia="新宋体" w:cs="新宋体"/>
                <w:b/>
                <w:bCs/>
              </w:rPr>
              <w:t>分）</w:t>
            </w:r>
            <w:r>
              <w:rPr>
                <w:rFonts w:hint="eastAsia" w:ascii="新宋体" w:hAnsi="新宋体" w:eastAsia="新宋体" w:cs="新宋体"/>
              </w:rPr>
              <w:t xml:space="preserve">    </w:t>
            </w:r>
          </w:p>
          <w:p w14:paraId="48842C69">
            <w:pPr>
              <w:widowControl/>
              <w:spacing w:line="400" w:lineRule="exact"/>
              <w:ind w:firstLine="420" w:firstLineChars="200"/>
              <w:jc w:val="left"/>
              <w:rPr>
                <w:rFonts w:hint="eastAsia" w:ascii="新宋体" w:hAnsi="新宋体" w:eastAsia="新宋体" w:cs="新宋体"/>
              </w:rPr>
            </w:pPr>
            <w:r>
              <w:rPr>
                <w:rFonts w:hint="eastAsia" w:ascii="新宋体" w:hAnsi="新宋体" w:eastAsia="新宋体" w:cs="新宋体"/>
              </w:rPr>
              <w:t>技术负责人具有</w:t>
            </w:r>
            <w:r>
              <w:rPr>
                <w:rFonts w:hint="eastAsia" w:ascii="新宋体" w:hAnsi="新宋体" w:eastAsia="新宋体" w:cs="新宋体"/>
                <w:lang w:val="en-US" w:eastAsia="zh-CN"/>
              </w:rPr>
              <w:t>中</w:t>
            </w:r>
            <w:r>
              <w:rPr>
                <w:rFonts w:hint="eastAsia" w:ascii="新宋体" w:hAnsi="新宋体" w:eastAsia="新宋体" w:cs="新宋体"/>
              </w:rPr>
              <w:t>级及以上职称证的，得</w:t>
            </w:r>
            <w:r>
              <w:rPr>
                <w:rFonts w:hint="eastAsia" w:ascii="新宋体" w:hAnsi="新宋体" w:eastAsia="新宋体" w:cs="新宋体"/>
                <w:lang w:val="en-US" w:eastAsia="zh-CN"/>
              </w:rPr>
              <w:t>4</w:t>
            </w:r>
            <w:r>
              <w:rPr>
                <w:rFonts w:hint="eastAsia" w:ascii="新宋体" w:hAnsi="新宋体" w:eastAsia="新宋体" w:cs="新宋体"/>
              </w:rPr>
              <w:t>分。</w:t>
            </w:r>
          </w:p>
          <w:p w14:paraId="1EA7B2CE">
            <w:pPr>
              <w:widowControl/>
              <w:spacing w:line="400" w:lineRule="exact"/>
              <w:jc w:val="left"/>
            </w:pPr>
            <w:r>
              <w:rPr>
                <w:rFonts w:hint="eastAsia" w:ascii="新宋体" w:hAnsi="新宋体" w:eastAsia="新宋体" w:cs="新宋体"/>
              </w:rPr>
              <w:t>（证件注册单位非投标人单位的，须提供投标人单位为其依法缴纳近三个月社保证明复印件。）</w:t>
            </w:r>
          </w:p>
        </w:tc>
      </w:tr>
      <w:tr w14:paraId="02694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057" w:type="dxa"/>
            <w:gridSpan w:val="4"/>
            <w:noWrap w:val="0"/>
            <w:vAlign w:val="top"/>
          </w:tcPr>
          <w:p w14:paraId="4EC43DF9">
            <w:pPr>
              <w:pStyle w:val="14"/>
              <w:spacing w:line="380" w:lineRule="exact"/>
              <w:ind w:firstLine="420" w:firstLineChars="200"/>
              <w:rPr>
                <w:rFonts w:hint="default" w:hAnsi="宋体" w:eastAsia="宋体" w:cs="Courier New"/>
                <w:bCs/>
              </w:rPr>
            </w:pPr>
            <w:r>
              <w:rPr>
                <w:rFonts w:hAnsi="宋体" w:cs="Courier New"/>
                <w:bCs/>
              </w:rPr>
              <w:t>总得分＝</w:t>
            </w:r>
            <w:r>
              <w:rPr>
                <w:rFonts w:hint="eastAsia" w:hAnsi="宋体" w:cs="Courier New"/>
                <w:bCs/>
                <w:lang w:val="en-US" w:eastAsia="zh-CN"/>
              </w:rPr>
              <w:t>2+3</w:t>
            </w:r>
            <w:r>
              <w:rPr>
                <w:rFonts w:hAnsi="宋体" w:cs="Courier New"/>
                <w:bCs/>
              </w:rPr>
              <w:t>+</w:t>
            </w:r>
            <w:r>
              <w:rPr>
                <w:rFonts w:hint="eastAsia" w:hAnsi="宋体" w:cs="Courier New"/>
                <w:bCs/>
                <w:lang w:val="en-US" w:eastAsia="zh-CN"/>
              </w:rPr>
              <w:t>4</w:t>
            </w:r>
          </w:p>
        </w:tc>
      </w:tr>
    </w:tbl>
    <w:p w14:paraId="65729008">
      <w:pPr>
        <w:spacing w:line="360" w:lineRule="auto"/>
        <w:ind w:firstLine="420" w:firstLineChars="200"/>
        <w:rPr>
          <w:rFonts w:hint="eastAsia" w:ascii="宋体" w:hAnsi="宋体"/>
          <w:szCs w:val="21"/>
        </w:rPr>
      </w:pPr>
      <w:r>
        <w:rPr>
          <w:rFonts w:hint="eastAsia" w:ascii="宋体" w:hAnsi="宋体"/>
          <w:bCs/>
          <w:szCs w:val="21"/>
        </w:rPr>
        <w:t>由磋商小组根据综合评分情况，按照评审得分由高到低顺序推荐3名以上成交候选供应商，并编写评审报告。评审得分相同的，按照最后报价（不计算价格折扣）由低到高的顺序推荐。评审得分且最后报价（不计算价格折扣）相同的，按照技术指标优劣顺序推荐（按技术得分由高到低排序，技术得分相同的按照企业信誉实力及业绩分由高到低排序）。评审得分、最后报价（不计算价格折扣）、技术得分、企业信誉实力及业绩分均相同的，由磋商小组随机抽取推荐。</w:t>
      </w:r>
    </w:p>
    <w:p w14:paraId="4FC8B5BA">
      <w:pPr>
        <w:rPr>
          <w:rFonts w:hint="eastAsia" w:ascii="仿宋" w:hAnsi="仿宋" w:eastAsia="仿宋" w:cs="仿宋"/>
          <w:b/>
          <w:bCs/>
          <w:color w:val="auto"/>
          <w:highlight w:val="none"/>
        </w:rPr>
      </w:pPr>
      <w:r>
        <w:rPr>
          <w:rFonts w:hint="eastAsia" w:ascii="仿宋" w:hAnsi="仿宋" w:eastAsia="仿宋" w:cs="仿宋"/>
          <w:b/>
          <w:bCs/>
          <w:color w:val="auto"/>
          <w:highlight w:val="none"/>
        </w:rPr>
        <w:br w:type="page"/>
      </w:r>
    </w:p>
    <w:p w14:paraId="5587CA31">
      <w:pPr>
        <w:widowControl/>
        <w:shd w:val="clear" w:color="auto" w:fill="FFFFFF"/>
        <w:spacing w:after="240" w:line="360" w:lineRule="atLeast"/>
        <w:outlineLvl w:val="9"/>
        <w:rPr>
          <w:rFonts w:hint="eastAsia" w:ascii="仿宋" w:hAnsi="仿宋" w:eastAsia="仿宋" w:cs="仿宋"/>
          <w:b/>
          <w:bCs/>
          <w:color w:val="auto"/>
          <w:highlight w:val="none"/>
        </w:rPr>
      </w:pPr>
      <w:r>
        <w:rPr>
          <w:rFonts w:hint="eastAsia" w:ascii="仿宋" w:hAnsi="仿宋" w:eastAsia="仿宋" w:cs="仿宋"/>
          <w:b/>
          <w:bCs/>
          <w:color w:val="auto"/>
          <w:highlight w:val="none"/>
        </w:rPr>
        <w:t>其他特殊资质证书格式（如有，属于小型、微型企业的，须提供中小型企业声明函；如属于监狱企业的，提供由省级以上监狱管理局、戒毒管理局(含新疆生产建设兵团)出具的属于监狱企业的证明文件；如属于残疾人福利性单位的，须提供残疾人福利性单位声明函）</w:t>
      </w:r>
    </w:p>
    <w:p w14:paraId="43D44971">
      <w:pPr>
        <w:numPr>
          <w:ilvl w:val="0"/>
          <w:numId w:val="0"/>
        </w:numPr>
        <w:shd w:val="clear" w:color="auto" w:fill="FFFFFF"/>
        <w:spacing w:line="600" w:lineRule="atLeast"/>
        <w:jc w:val="center"/>
        <w:outlineLvl w:val="9"/>
        <w:rPr>
          <w:rFonts w:hint="eastAsia" w:ascii="仿宋" w:hAnsi="仿宋" w:eastAsia="仿宋" w:cs="仿宋"/>
          <w:b/>
          <w:color w:val="auto"/>
          <w:kern w:val="0"/>
          <w:sz w:val="30"/>
          <w:szCs w:val="30"/>
          <w:highlight w:val="none"/>
        </w:rPr>
      </w:pPr>
      <w:r>
        <w:rPr>
          <w:rFonts w:hint="eastAsia" w:ascii="仿宋" w:hAnsi="仿宋" w:eastAsia="仿宋" w:cs="仿宋"/>
          <w:b/>
          <w:color w:val="auto"/>
          <w:kern w:val="0"/>
          <w:sz w:val="30"/>
          <w:szCs w:val="30"/>
          <w:highlight w:val="none"/>
        </w:rPr>
        <w:t>中小企业声明函（工程、服务）</w:t>
      </w:r>
    </w:p>
    <w:p w14:paraId="48752EC1">
      <w:pPr>
        <w:widowControl/>
        <w:shd w:val="clear" w:color="auto" w:fill="FFFFFF"/>
        <w:spacing w:line="500" w:lineRule="exact"/>
        <w:ind w:firstLine="482"/>
        <w:jc w:val="left"/>
        <w:outlineLvl w:val="9"/>
        <w:rPr>
          <w:rFonts w:hint="eastAsia" w:ascii="仿宋" w:hAnsi="仿宋" w:eastAsia="仿宋" w:cs="仿宋"/>
          <w:color w:val="auto"/>
          <w:kern w:val="0"/>
          <w:sz w:val="24"/>
          <w:szCs w:val="24"/>
          <w:highlight w:val="none"/>
        </w:rPr>
      </w:pPr>
    </w:p>
    <w:p w14:paraId="3659D9A7">
      <w:pPr>
        <w:widowControl/>
        <w:shd w:val="clear" w:color="auto" w:fill="FFFFFF"/>
        <w:spacing w:line="500" w:lineRule="exact"/>
        <w:ind w:firstLine="482"/>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本公司（联合体）郑重声明，根据《政府采购促进中小企业发展管理办法》（财库﹝2020﹞46号）的规定，本公司（联合体）参加</w:t>
      </w:r>
      <w:r>
        <w:rPr>
          <w:rFonts w:hint="eastAsia" w:ascii="仿宋" w:hAnsi="仿宋" w:eastAsia="仿宋" w:cs="仿宋"/>
          <w:color w:val="auto"/>
          <w:kern w:val="0"/>
          <w:sz w:val="24"/>
          <w:szCs w:val="24"/>
          <w:highlight w:val="none"/>
          <w:lang w:val="en-US" w:eastAsia="zh-CN"/>
        </w:rPr>
        <w:t xml:space="preserve"> </w:t>
      </w:r>
      <w:r>
        <w:rPr>
          <w:rFonts w:hint="eastAsia" w:ascii="仿宋" w:hAnsi="仿宋" w:eastAsia="仿宋" w:cs="仿宋"/>
          <w:color w:val="auto"/>
          <w:kern w:val="0"/>
          <w:sz w:val="24"/>
          <w:szCs w:val="24"/>
          <w:highlight w:val="none"/>
          <w:u w:val="single"/>
          <w:lang w:val="en-US" w:eastAsia="zh-CN"/>
        </w:rPr>
        <w:t xml:space="preserve">（采购人） </w:t>
      </w:r>
      <w:r>
        <w:rPr>
          <w:rFonts w:hint="eastAsia" w:ascii="仿宋" w:hAnsi="仿宋" w:eastAsia="仿宋" w:cs="仿宋"/>
          <w:color w:val="auto"/>
          <w:kern w:val="0"/>
          <w:sz w:val="24"/>
          <w:szCs w:val="24"/>
          <w:highlight w:val="none"/>
        </w:rPr>
        <w:t>的</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b w:val="0"/>
          <w:bCs/>
          <w:color w:val="auto"/>
          <w:spacing w:val="-1"/>
          <w:sz w:val="24"/>
          <w:szCs w:val="24"/>
          <w:highlight w:val="none"/>
          <w:u w:val="single"/>
          <w:lang w:val="en-US" w:eastAsia="zh-CN"/>
        </w:rPr>
        <w:t>（项目名称及分标段）</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7AFFF97E">
      <w:pPr>
        <w:widowControl/>
        <w:shd w:val="clear" w:color="auto" w:fill="FFFFFF"/>
        <w:spacing w:line="500" w:lineRule="exact"/>
        <w:ind w:firstLine="482"/>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w:t>
      </w:r>
      <w:r>
        <w:rPr>
          <w:rFonts w:hint="eastAsia" w:ascii="仿宋" w:hAnsi="仿宋" w:eastAsia="仿宋" w:cs="仿宋"/>
          <w:color w:val="auto"/>
          <w:kern w:val="0"/>
          <w:sz w:val="24"/>
          <w:szCs w:val="24"/>
          <w:highlight w:val="none"/>
          <w:u w:val="single"/>
        </w:rPr>
        <w:t>（标的名称）</w:t>
      </w:r>
      <w:r>
        <w:rPr>
          <w:rFonts w:hint="eastAsia" w:ascii="仿宋" w:hAnsi="仿宋" w:eastAsia="仿宋" w:cs="仿宋"/>
          <w:color w:val="auto"/>
          <w:kern w:val="0"/>
          <w:sz w:val="24"/>
          <w:szCs w:val="24"/>
          <w:highlight w:val="none"/>
        </w:rPr>
        <w:t>，属于</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行业；承建（承接）企业为</w:t>
      </w:r>
      <w:r>
        <w:rPr>
          <w:rFonts w:hint="eastAsia" w:ascii="仿宋" w:hAnsi="仿宋" w:eastAsia="仿宋" w:cs="仿宋"/>
          <w:color w:val="auto"/>
          <w:kern w:val="0"/>
          <w:sz w:val="24"/>
          <w:szCs w:val="24"/>
          <w:highlight w:val="none"/>
          <w:u w:val="single"/>
        </w:rPr>
        <w:t>（企业名称）</w:t>
      </w:r>
      <w:r>
        <w:rPr>
          <w:rFonts w:hint="eastAsia" w:ascii="仿宋" w:hAnsi="仿宋" w:eastAsia="仿宋" w:cs="仿宋"/>
          <w:color w:val="auto"/>
          <w:kern w:val="0"/>
          <w:sz w:val="24"/>
          <w:szCs w:val="24"/>
          <w:highlight w:val="none"/>
        </w:rPr>
        <w:t>，从业人员</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人，营业收入为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万元，资产总额为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万元，属于</w:t>
      </w:r>
      <w:r>
        <w:rPr>
          <w:rFonts w:hint="eastAsia" w:ascii="仿宋" w:hAnsi="仿宋" w:eastAsia="仿宋" w:cs="仿宋"/>
          <w:color w:val="auto"/>
          <w:kern w:val="0"/>
          <w:sz w:val="24"/>
          <w:szCs w:val="24"/>
          <w:highlight w:val="none"/>
          <w:u w:val="single"/>
        </w:rPr>
        <w:t>（中型企业、 小型企业、微型企业）</w:t>
      </w:r>
      <w:r>
        <w:rPr>
          <w:rFonts w:hint="eastAsia" w:ascii="仿宋" w:hAnsi="仿宋" w:eastAsia="仿宋" w:cs="仿宋"/>
          <w:color w:val="auto"/>
          <w:kern w:val="0"/>
          <w:sz w:val="24"/>
          <w:szCs w:val="24"/>
          <w:highlight w:val="none"/>
        </w:rPr>
        <w:t xml:space="preserve">； </w:t>
      </w:r>
    </w:p>
    <w:p w14:paraId="0DE6F114">
      <w:pPr>
        <w:widowControl/>
        <w:shd w:val="clear" w:color="auto" w:fill="FFFFFF"/>
        <w:spacing w:line="500" w:lineRule="exact"/>
        <w:ind w:firstLine="482"/>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2、</w:t>
      </w:r>
      <w:r>
        <w:rPr>
          <w:rFonts w:hint="eastAsia" w:ascii="仿宋" w:hAnsi="仿宋" w:eastAsia="仿宋" w:cs="仿宋"/>
          <w:color w:val="auto"/>
          <w:kern w:val="0"/>
          <w:sz w:val="24"/>
          <w:szCs w:val="24"/>
          <w:highlight w:val="none"/>
          <w:u w:val="single"/>
        </w:rPr>
        <w:t>（标的名称）</w:t>
      </w:r>
      <w:r>
        <w:rPr>
          <w:rFonts w:hint="eastAsia" w:ascii="仿宋" w:hAnsi="仿宋" w:eastAsia="仿宋" w:cs="仿宋"/>
          <w:color w:val="auto"/>
          <w:kern w:val="0"/>
          <w:sz w:val="24"/>
          <w:szCs w:val="24"/>
          <w:highlight w:val="none"/>
        </w:rPr>
        <w:t>，属于</w:t>
      </w:r>
      <w:r>
        <w:rPr>
          <w:rFonts w:hint="eastAsia" w:ascii="仿宋" w:hAnsi="仿宋" w:eastAsia="仿宋" w:cs="仿宋"/>
          <w:color w:val="auto"/>
          <w:kern w:val="0"/>
          <w:sz w:val="24"/>
          <w:szCs w:val="24"/>
          <w:highlight w:val="none"/>
          <w:u w:val="single"/>
          <w:lang w:val="en-US" w:eastAsia="zh-CN"/>
        </w:rPr>
        <w:t xml:space="preserve">             </w:t>
      </w:r>
      <w:r>
        <w:rPr>
          <w:rFonts w:hint="eastAsia" w:ascii="仿宋" w:hAnsi="仿宋" w:eastAsia="仿宋" w:cs="仿宋"/>
          <w:color w:val="auto"/>
          <w:kern w:val="0"/>
          <w:sz w:val="24"/>
          <w:szCs w:val="24"/>
          <w:highlight w:val="none"/>
        </w:rPr>
        <w:t>行业；承建（承接）企业为</w:t>
      </w:r>
      <w:r>
        <w:rPr>
          <w:rFonts w:hint="eastAsia" w:ascii="仿宋" w:hAnsi="仿宋" w:eastAsia="仿宋" w:cs="仿宋"/>
          <w:color w:val="auto"/>
          <w:kern w:val="0"/>
          <w:sz w:val="24"/>
          <w:szCs w:val="24"/>
          <w:highlight w:val="none"/>
          <w:u w:val="single"/>
        </w:rPr>
        <w:t>（企业名称）</w:t>
      </w:r>
      <w:r>
        <w:rPr>
          <w:rFonts w:hint="eastAsia" w:ascii="仿宋" w:hAnsi="仿宋" w:eastAsia="仿宋" w:cs="仿宋"/>
          <w:color w:val="auto"/>
          <w:kern w:val="0"/>
          <w:sz w:val="24"/>
          <w:szCs w:val="24"/>
          <w:highlight w:val="none"/>
        </w:rPr>
        <w:t>，从业人员</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人，营业收入为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万元，资产总额为</w:t>
      </w:r>
      <w:r>
        <w:rPr>
          <w:rFonts w:hint="eastAsia" w:ascii="仿宋" w:hAnsi="仿宋" w:eastAsia="仿宋" w:cs="仿宋"/>
          <w:color w:val="auto"/>
          <w:kern w:val="0"/>
          <w:sz w:val="24"/>
          <w:szCs w:val="24"/>
          <w:highlight w:val="none"/>
          <w:u w:val="single"/>
        </w:rPr>
        <w:t xml:space="preserve">    </w:t>
      </w:r>
      <w:r>
        <w:rPr>
          <w:rFonts w:hint="eastAsia" w:ascii="仿宋" w:hAnsi="仿宋" w:eastAsia="仿宋" w:cs="仿宋"/>
          <w:color w:val="auto"/>
          <w:kern w:val="0"/>
          <w:sz w:val="24"/>
          <w:szCs w:val="24"/>
          <w:highlight w:val="none"/>
        </w:rPr>
        <w:t>万元，属于</w:t>
      </w:r>
      <w:r>
        <w:rPr>
          <w:rFonts w:hint="eastAsia" w:ascii="仿宋" w:hAnsi="仿宋" w:eastAsia="仿宋" w:cs="仿宋"/>
          <w:color w:val="auto"/>
          <w:kern w:val="0"/>
          <w:sz w:val="24"/>
          <w:szCs w:val="24"/>
          <w:highlight w:val="none"/>
          <w:u w:val="single"/>
        </w:rPr>
        <w:t>（中型企业、 小型企业、微型企业）</w:t>
      </w:r>
      <w:r>
        <w:rPr>
          <w:rFonts w:hint="eastAsia" w:ascii="仿宋" w:hAnsi="仿宋" w:eastAsia="仿宋" w:cs="仿宋"/>
          <w:color w:val="auto"/>
          <w:kern w:val="0"/>
          <w:sz w:val="24"/>
          <w:szCs w:val="24"/>
          <w:highlight w:val="none"/>
        </w:rPr>
        <w:t>；</w:t>
      </w:r>
    </w:p>
    <w:p w14:paraId="38A90D0C">
      <w:pPr>
        <w:widowControl/>
        <w:shd w:val="clear" w:color="auto" w:fill="FFFFFF"/>
        <w:spacing w:line="500" w:lineRule="exact"/>
        <w:ind w:firstLine="482"/>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w:t>
      </w:r>
    </w:p>
    <w:p w14:paraId="383954D5">
      <w:pPr>
        <w:widowControl/>
        <w:shd w:val="clear" w:color="auto" w:fill="FFFFFF"/>
        <w:spacing w:line="500" w:lineRule="exact"/>
        <w:ind w:firstLine="482"/>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以上企业，不属于大企业的分支机构，不存在控股股东为大企业的情形，也不存在与大企业的负责人为同一人的情形。</w:t>
      </w:r>
    </w:p>
    <w:p w14:paraId="2E6CD120">
      <w:pPr>
        <w:widowControl/>
        <w:shd w:val="clear" w:color="auto" w:fill="FFFFFF"/>
        <w:spacing w:line="500" w:lineRule="exact"/>
        <w:ind w:firstLine="482"/>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本企业对上述声明内容的真实性负责。如有虚假，将依法承担相应责任。</w:t>
      </w:r>
    </w:p>
    <w:p w14:paraId="1FB5FA12">
      <w:pPr>
        <w:widowControl/>
        <w:shd w:val="clear" w:color="auto" w:fill="FFFFFF"/>
        <w:spacing w:line="500" w:lineRule="exact"/>
        <w:ind w:firstLine="482"/>
        <w:jc w:val="left"/>
        <w:outlineLvl w:val="9"/>
        <w:rPr>
          <w:rFonts w:hint="eastAsia" w:ascii="仿宋" w:hAnsi="仿宋" w:eastAsia="仿宋" w:cs="仿宋"/>
          <w:color w:val="auto"/>
          <w:kern w:val="0"/>
          <w:sz w:val="24"/>
          <w:szCs w:val="24"/>
          <w:highlight w:val="none"/>
        </w:rPr>
      </w:pPr>
    </w:p>
    <w:p w14:paraId="14400FD9">
      <w:pPr>
        <w:widowControl/>
        <w:shd w:val="clear" w:color="auto" w:fill="FFFFFF"/>
        <w:spacing w:line="500" w:lineRule="exact"/>
        <w:ind w:firstLine="4536"/>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企业名称（盖章）：</w:t>
      </w:r>
    </w:p>
    <w:p w14:paraId="5390584C">
      <w:pPr>
        <w:widowControl/>
        <w:shd w:val="clear" w:color="auto" w:fill="FFFFFF"/>
        <w:spacing w:line="500" w:lineRule="exact"/>
        <w:ind w:firstLine="4536"/>
        <w:jc w:val="left"/>
        <w:outlineLvl w:val="9"/>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 xml:space="preserve">日 期： </w:t>
      </w:r>
    </w:p>
    <w:p w14:paraId="5F4B4F6C">
      <w:pPr>
        <w:widowControl/>
        <w:shd w:val="clear" w:color="auto" w:fill="FFFFFF"/>
        <w:spacing w:line="500" w:lineRule="exact"/>
        <w:ind w:firstLine="482"/>
        <w:jc w:val="left"/>
        <w:outlineLvl w:val="9"/>
        <w:rPr>
          <w:rFonts w:hint="eastAsia" w:ascii="仿宋" w:hAnsi="仿宋" w:eastAsia="仿宋" w:cs="仿宋"/>
          <w:color w:val="auto"/>
          <w:kern w:val="0"/>
          <w:sz w:val="24"/>
          <w:szCs w:val="24"/>
          <w:highlight w:val="none"/>
        </w:rPr>
      </w:pPr>
    </w:p>
    <w:p w14:paraId="7B0FF1A7">
      <w:pPr>
        <w:widowControl/>
        <w:shd w:val="clear" w:color="auto" w:fill="FFFFFF"/>
        <w:spacing w:line="500" w:lineRule="exact"/>
        <w:jc w:val="left"/>
        <w:outlineLvl w:val="9"/>
        <w:rPr>
          <w:rFonts w:hint="eastAsia" w:ascii="仿宋" w:hAnsi="仿宋" w:eastAsia="仿宋" w:cs="仿宋"/>
          <w:color w:val="auto"/>
          <w:kern w:val="0"/>
          <w:sz w:val="24"/>
          <w:szCs w:val="24"/>
          <w:highlight w:val="none"/>
        </w:rPr>
      </w:pPr>
    </w:p>
    <w:p w14:paraId="70C4BCE1">
      <w:pPr>
        <w:widowControl/>
        <w:shd w:val="clear" w:color="auto" w:fill="FFFFFF"/>
        <w:spacing w:line="500" w:lineRule="exact"/>
        <w:ind w:firstLine="482"/>
        <w:jc w:val="left"/>
        <w:outlineLvl w:val="9"/>
        <w:rPr>
          <w:rFonts w:hint="eastAsia" w:ascii="仿宋" w:hAnsi="仿宋" w:eastAsia="仿宋" w:cs="仿宋"/>
          <w:color w:val="auto"/>
          <w:kern w:val="0"/>
          <w:sz w:val="24"/>
          <w:szCs w:val="24"/>
          <w:highlight w:val="none"/>
        </w:rPr>
      </w:pPr>
      <w:r>
        <w:rPr>
          <w:rFonts w:hint="eastAsia" w:ascii="仿宋" w:hAnsi="仿宋" w:eastAsia="仿宋" w:cs="仿宋"/>
          <w:b/>
          <w:color w:val="auto"/>
          <w:kern w:val="0"/>
          <w:sz w:val="24"/>
          <w:szCs w:val="24"/>
          <w:highlight w:val="none"/>
        </w:rPr>
        <w:t>注：</w:t>
      </w:r>
      <w:r>
        <w:rPr>
          <w:rFonts w:hint="eastAsia" w:ascii="仿宋" w:hAnsi="仿宋" w:eastAsia="仿宋" w:cs="仿宋"/>
          <w:color w:val="auto"/>
          <w:kern w:val="0"/>
          <w:sz w:val="24"/>
          <w:szCs w:val="24"/>
          <w:highlight w:val="none"/>
        </w:rPr>
        <w:t xml:space="preserve">从业人员、营业收入、资产总额填报上一年度数据，无上一年度数据的新成立企业可不填报。 </w:t>
      </w:r>
    </w:p>
    <w:p w14:paraId="65B101F9">
      <w:pPr>
        <w:pStyle w:val="15"/>
        <w:rPr>
          <w:rFonts w:hint="eastAsia"/>
          <w:color w:val="auto"/>
          <w:highlight w:val="none"/>
        </w:rPr>
      </w:pPr>
    </w:p>
    <w:p w14:paraId="40C4E34A">
      <w:pPr>
        <w:rPr>
          <w:rFonts w:hint="eastAsia" w:ascii="仿宋" w:hAnsi="仿宋" w:eastAsia="仿宋" w:cs="仿宋"/>
          <w:b/>
          <w:color w:val="auto"/>
          <w:spacing w:val="6"/>
          <w:sz w:val="30"/>
          <w:szCs w:val="30"/>
          <w:highlight w:val="none"/>
        </w:rPr>
      </w:pPr>
      <w:bookmarkStart w:id="619" w:name="OLE_LINK13"/>
      <w:bookmarkStart w:id="620" w:name="OLE_LINK14"/>
      <w:r>
        <w:rPr>
          <w:rFonts w:hint="eastAsia" w:ascii="仿宋" w:hAnsi="仿宋" w:eastAsia="仿宋" w:cs="仿宋"/>
          <w:b/>
          <w:color w:val="auto"/>
          <w:spacing w:val="6"/>
          <w:sz w:val="30"/>
          <w:szCs w:val="30"/>
          <w:highlight w:val="none"/>
        </w:rPr>
        <w:br w:type="page"/>
      </w:r>
    </w:p>
    <w:p w14:paraId="49FCF146">
      <w:pPr>
        <w:spacing w:line="588" w:lineRule="exact"/>
        <w:jc w:val="center"/>
        <w:outlineLvl w:val="9"/>
        <w:rPr>
          <w:rFonts w:hint="eastAsia" w:ascii="仿宋" w:hAnsi="仿宋" w:eastAsia="仿宋" w:cs="仿宋"/>
          <w:b/>
          <w:color w:val="auto"/>
          <w:spacing w:val="6"/>
          <w:sz w:val="30"/>
          <w:szCs w:val="30"/>
          <w:highlight w:val="none"/>
        </w:rPr>
      </w:pPr>
      <w:r>
        <w:rPr>
          <w:rFonts w:hint="eastAsia" w:ascii="仿宋" w:hAnsi="仿宋" w:eastAsia="仿宋" w:cs="仿宋"/>
          <w:b/>
          <w:color w:val="auto"/>
          <w:spacing w:val="6"/>
          <w:sz w:val="30"/>
          <w:szCs w:val="30"/>
          <w:highlight w:val="none"/>
        </w:rPr>
        <w:t>残疾人福利性单位声明函</w:t>
      </w:r>
      <w:bookmarkEnd w:id="619"/>
      <w:bookmarkEnd w:id="620"/>
    </w:p>
    <w:p w14:paraId="6B500282">
      <w:pPr>
        <w:spacing w:line="588" w:lineRule="exact"/>
        <w:ind w:firstLine="504" w:firstLineChars="200"/>
        <w:outlineLvl w:val="9"/>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本单位郑重声明，根据《财政部 民政部 中国残疾人联合会关于促进残疾人就业政府采购政策的通知》（财库</w:t>
      </w:r>
      <w:r>
        <w:rPr>
          <w:rFonts w:hint="eastAsia" w:ascii="仿宋" w:hAnsi="仿宋" w:eastAsia="仿宋" w:cs="仿宋"/>
          <w:color w:val="auto"/>
          <w:sz w:val="24"/>
          <w:highlight w:val="none"/>
        </w:rPr>
        <w:t>〔2017〕 141</w:t>
      </w:r>
      <w:r>
        <w:rPr>
          <w:rFonts w:hint="eastAsia" w:ascii="仿宋" w:hAnsi="仿宋" w:eastAsia="仿宋" w:cs="仿宋"/>
          <w:color w:val="auto"/>
          <w:spacing w:val="6"/>
          <w:sz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FD7EDCD">
      <w:pPr>
        <w:spacing w:line="588" w:lineRule="exact"/>
        <w:ind w:firstLine="504" w:firstLineChars="200"/>
        <w:outlineLvl w:val="9"/>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本单位对上述声明的真实性负责。如有虚假，将依法承担相应责任。</w:t>
      </w:r>
    </w:p>
    <w:p w14:paraId="6BD710BB">
      <w:pPr>
        <w:spacing w:line="588" w:lineRule="exact"/>
        <w:outlineLvl w:val="9"/>
        <w:rPr>
          <w:rFonts w:hint="eastAsia" w:ascii="仿宋" w:hAnsi="仿宋" w:eastAsia="仿宋" w:cs="仿宋"/>
          <w:color w:val="auto"/>
          <w:spacing w:val="6"/>
          <w:sz w:val="24"/>
          <w:highlight w:val="none"/>
        </w:rPr>
      </w:pPr>
    </w:p>
    <w:p w14:paraId="1AFF8509">
      <w:pPr>
        <w:tabs>
          <w:tab w:val="left" w:pos="4860"/>
        </w:tabs>
        <w:spacing w:line="588" w:lineRule="exact"/>
        <w:ind w:right="1560" w:firstLine="504" w:firstLineChars="200"/>
        <w:jc w:val="center"/>
        <w:outlineLvl w:val="9"/>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 xml:space="preserve">               单位名称（盖章）：</w:t>
      </w:r>
    </w:p>
    <w:p w14:paraId="152192A1">
      <w:pPr>
        <w:tabs>
          <w:tab w:val="left" w:pos="4860"/>
        </w:tabs>
        <w:spacing w:line="588" w:lineRule="exact"/>
        <w:ind w:right="1560" w:firstLine="504" w:firstLineChars="200"/>
        <w:jc w:val="center"/>
        <w:outlineLvl w:val="9"/>
        <w:rPr>
          <w:rFonts w:hint="eastAsia" w:ascii="仿宋" w:hAnsi="仿宋" w:eastAsia="仿宋" w:cs="仿宋"/>
          <w:color w:val="auto"/>
          <w:spacing w:val="6"/>
          <w:sz w:val="24"/>
          <w:highlight w:val="none"/>
        </w:rPr>
      </w:pPr>
      <w:r>
        <w:rPr>
          <w:rFonts w:hint="eastAsia" w:ascii="仿宋" w:hAnsi="仿宋" w:eastAsia="仿宋" w:cs="仿宋"/>
          <w:color w:val="auto"/>
          <w:spacing w:val="6"/>
          <w:sz w:val="24"/>
          <w:highlight w:val="none"/>
        </w:rPr>
        <w:t xml:space="preserve">       日  期：</w:t>
      </w:r>
    </w:p>
    <w:p w14:paraId="232B07CB">
      <w:pPr>
        <w:widowControl/>
        <w:shd w:val="clear" w:color="auto" w:fill="FFFFFF"/>
        <w:spacing w:line="360" w:lineRule="auto"/>
        <w:ind w:firstLine="480"/>
        <w:jc w:val="left"/>
        <w:outlineLvl w:val="9"/>
        <w:rPr>
          <w:rFonts w:hint="eastAsia" w:ascii="仿宋" w:hAnsi="仿宋" w:eastAsia="仿宋" w:cs="仿宋"/>
          <w:color w:val="auto"/>
          <w:kern w:val="0"/>
          <w:sz w:val="24"/>
          <w:highlight w:val="none"/>
        </w:rPr>
      </w:pPr>
    </w:p>
    <w:p w14:paraId="4DD908D5">
      <w:pPr>
        <w:pStyle w:val="62"/>
        <w:outlineLvl w:val="9"/>
        <w:rPr>
          <w:rFonts w:hint="eastAsia" w:ascii="仿宋" w:hAnsi="仿宋" w:eastAsia="仿宋" w:cs="仿宋"/>
          <w:color w:val="auto"/>
          <w:highlight w:val="none"/>
        </w:rPr>
      </w:pPr>
    </w:p>
    <w:p w14:paraId="78C3B623">
      <w:pPr>
        <w:widowControl/>
        <w:jc w:val="left"/>
        <w:outlineLvl w:val="9"/>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备注：1.</w:t>
      </w:r>
      <w:r>
        <w:rPr>
          <w:rFonts w:hint="eastAsia" w:ascii="仿宋" w:hAnsi="仿宋" w:eastAsia="仿宋" w:cs="仿宋"/>
          <w:color w:val="auto"/>
          <w:highlight w:val="none"/>
        </w:rPr>
        <w:t>不是残疾人福利性单位的不用提供此声明函。</w:t>
      </w:r>
    </w:p>
    <w:p w14:paraId="5A55E064">
      <w:pPr>
        <w:widowControl/>
        <w:jc w:val="left"/>
        <w:outlineLvl w:val="9"/>
        <w:rPr>
          <w:rFonts w:hint="eastAsia" w:ascii="仿宋" w:hAnsi="仿宋" w:eastAsia="仿宋" w:cs="仿宋"/>
          <w:color w:val="auto"/>
          <w:highlight w:val="none"/>
        </w:rPr>
      </w:pPr>
      <w:r>
        <w:rPr>
          <w:rFonts w:hint="eastAsia" w:ascii="仿宋" w:hAnsi="仿宋" w:eastAsia="仿宋" w:cs="仿宋"/>
          <w:color w:val="auto"/>
          <w:kern w:val="0"/>
          <w:sz w:val="22"/>
          <w:szCs w:val="22"/>
          <w:highlight w:val="none"/>
        </w:rPr>
        <w:t>2.成交人的本声明函将在公布成交结果时一同公布，接受社会公众的监督，请</w:t>
      </w:r>
      <w:r>
        <w:rPr>
          <w:rFonts w:hint="eastAsia" w:ascii="仿宋" w:hAnsi="仿宋" w:eastAsia="仿宋" w:cs="仿宋"/>
          <w:color w:val="auto"/>
          <w:kern w:val="0"/>
          <w:sz w:val="22"/>
          <w:szCs w:val="22"/>
          <w:highlight w:val="none"/>
          <w:lang w:eastAsia="zh-CN"/>
        </w:rPr>
        <w:t>磋商</w:t>
      </w:r>
      <w:r>
        <w:rPr>
          <w:rFonts w:hint="eastAsia" w:ascii="仿宋" w:hAnsi="仿宋" w:eastAsia="仿宋" w:cs="仿宋"/>
          <w:color w:val="auto"/>
          <w:kern w:val="0"/>
          <w:sz w:val="22"/>
          <w:szCs w:val="22"/>
          <w:highlight w:val="none"/>
        </w:rPr>
        <w:t>人根据自己的真实情况出具本声明函。</w:t>
      </w:r>
    </w:p>
    <w:p w14:paraId="759BEBC3">
      <w:pPr>
        <w:widowControl/>
        <w:outlineLvl w:val="9"/>
        <w:rPr>
          <w:rFonts w:hint="eastAsia" w:ascii="仿宋" w:hAnsi="仿宋" w:eastAsia="仿宋" w:cs="仿宋"/>
          <w:b/>
          <w:color w:val="auto"/>
          <w:kern w:val="0"/>
          <w:sz w:val="28"/>
          <w:szCs w:val="28"/>
          <w:highlight w:val="none"/>
        </w:rPr>
      </w:pPr>
    </w:p>
    <w:p w14:paraId="74F76803">
      <w:pPr>
        <w:pStyle w:val="63"/>
        <w:ind w:firstLine="546"/>
        <w:outlineLvl w:val="9"/>
        <w:rPr>
          <w:rFonts w:hint="eastAsia" w:ascii="仿宋" w:hAnsi="仿宋" w:eastAsia="仿宋" w:cs="仿宋"/>
          <w:b/>
          <w:color w:val="auto"/>
          <w:sz w:val="28"/>
          <w:szCs w:val="28"/>
          <w:highlight w:val="none"/>
        </w:rPr>
      </w:pPr>
    </w:p>
    <w:p w14:paraId="3F3C5658">
      <w:pPr>
        <w:pStyle w:val="63"/>
        <w:ind w:firstLine="546"/>
        <w:outlineLvl w:val="9"/>
        <w:rPr>
          <w:rFonts w:hint="eastAsia" w:ascii="仿宋" w:hAnsi="仿宋" w:eastAsia="仿宋" w:cs="仿宋"/>
          <w:b/>
          <w:color w:val="auto"/>
          <w:sz w:val="28"/>
          <w:szCs w:val="28"/>
          <w:highlight w:val="none"/>
        </w:rPr>
      </w:pPr>
    </w:p>
    <w:p w14:paraId="7D6020BF">
      <w:pPr>
        <w:pStyle w:val="63"/>
        <w:ind w:firstLine="546"/>
        <w:outlineLvl w:val="9"/>
        <w:rPr>
          <w:rFonts w:hint="eastAsia" w:ascii="仿宋" w:hAnsi="仿宋" w:eastAsia="仿宋" w:cs="仿宋"/>
          <w:b/>
          <w:color w:val="auto"/>
          <w:sz w:val="28"/>
          <w:szCs w:val="28"/>
          <w:highlight w:val="none"/>
        </w:rPr>
      </w:pPr>
    </w:p>
    <w:p w14:paraId="727B80A0">
      <w:pPr>
        <w:pStyle w:val="63"/>
        <w:ind w:firstLine="546"/>
        <w:outlineLvl w:val="9"/>
        <w:rPr>
          <w:rFonts w:hint="eastAsia" w:ascii="仿宋" w:hAnsi="仿宋" w:eastAsia="仿宋" w:cs="仿宋"/>
          <w:b/>
          <w:color w:val="auto"/>
          <w:sz w:val="28"/>
          <w:szCs w:val="28"/>
          <w:highlight w:val="none"/>
        </w:rPr>
      </w:pPr>
    </w:p>
    <w:p w14:paraId="4D4B70D8">
      <w:pPr>
        <w:pStyle w:val="63"/>
        <w:ind w:firstLine="546"/>
        <w:outlineLvl w:val="9"/>
        <w:rPr>
          <w:rFonts w:hint="eastAsia" w:ascii="仿宋" w:hAnsi="仿宋" w:eastAsia="仿宋" w:cs="仿宋"/>
          <w:b/>
          <w:color w:val="auto"/>
          <w:sz w:val="28"/>
          <w:szCs w:val="28"/>
          <w:highlight w:val="none"/>
        </w:rPr>
      </w:pPr>
    </w:p>
    <w:p w14:paraId="492454EB">
      <w:pPr>
        <w:pStyle w:val="63"/>
        <w:ind w:firstLine="546"/>
        <w:outlineLvl w:val="9"/>
        <w:rPr>
          <w:rFonts w:hint="eastAsia" w:ascii="仿宋" w:hAnsi="仿宋" w:eastAsia="仿宋" w:cs="仿宋"/>
          <w:b/>
          <w:color w:val="auto"/>
          <w:sz w:val="28"/>
          <w:szCs w:val="28"/>
          <w:highlight w:val="none"/>
        </w:rPr>
      </w:pPr>
    </w:p>
    <w:p w14:paraId="5FC407E1">
      <w:pPr>
        <w:pStyle w:val="63"/>
        <w:ind w:firstLine="546"/>
        <w:outlineLvl w:val="9"/>
        <w:rPr>
          <w:rFonts w:hint="eastAsia" w:ascii="仿宋" w:hAnsi="仿宋" w:eastAsia="仿宋" w:cs="仿宋"/>
          <w:b/>
          <w:color w:val="auto"/>
          <w:sz w:val="28"/>
          <w:szCs w:val="28"/>
          <w:highlight w:val="none"/>
        </w:rPr>
      </w:pPr>
    </w:p>
    <w:p w14:paraId="1DDB0A7C">
      <w:pPr>
        <w:pStyle w:val="63"/>
        <w:ind w:firstLine="546"/>
        <w:outlineLvl w:val="9"/>
        <w:rPr>
          <w:rFonts w:hint="eastAsia" w:ascii="仿宋" w:hAnsi="仿宋" w:eastAsia="仿宋" w:cs="仿宋"/>
          <w:b/>
          <w:color w:val="auto"/>
          <w:sz w:val="28"/>
          <w:szCs w:val="28"/>
          <w:highlight w:val="none"/>
        </w:rPr>
      </w:pPr>
    </w:p>
    <w:p w14:paraId="6AA6F355">
      <w:pPr>
        <w:pStyle w:val="63"/>
        <w:ind w:firstLine="546"/>
        <w:outlineLvl w:val="9"/>
        <w:rPr>
          <w:rFonts w:hint="eastAsia" w:ascii="仿宋" w:hAnsi="仿宋" w:eastAsia="仿宋" w:cs="仿宋"/>
          <w:b/>
          <w:color w:val="auto"/>
          <w:sz w:val="28"/>
          <w:szCs w:val="28"/>
          <w:highlight w:val="none"/>
        </w:rPr>
      </w:pPr>
    </w:p>
    <w:p w14:paraId="56A8CF12">
      <w:pPr>
        <w:pStyle w:val="63"/>
        <w:ind w:firstLine="546"/>
        <w:outlineLvl w:val="9"/>
        <w:rPr>
          <w:rFonts w:hint="eastAsia" w:ascii="仿宋" w:hAnsi="仿宋" w:eastAsia="仿宋" w:cs="仿宋"/>
          <w:b/>
          <w:color w:val="auto"/>
          <w:sz w:val="28"/>
          <w:szCs w:val="28"/>
          <w:highlight w:val="none"/>
        </w:rPr>
      </w:pPr>
    </w:p>
    <w:p w14:paraId="2A5B272E">
      <w:pPr>
        <w:pStyle w:val="63"/>
        <w:ind w:firstLine="546"/>
        <w:outlineLvl w:val="9"/>
        <w:rPr>
          <w:rFonts w:hint="eastAsia" w:ascii="仿宋" w:hAnsi="仿宋" w:eastAsia="仿宋" w:cs="仿宋"/>
          <w:b/>
          <w:color w:val="auto"/>
          <w:sz w:val="28"/>
          <w:szCs w:val="28"/>
          <w:highlight w:val="none"/>
        </w:rPr>
      </w:pPr>
    </w:p>
    <w:p w14:paraId="5B4B3E9F">
      <w:pPr>
        <w:pStyle w:val="63"/>
        <w:ind w:firstLine="546"/>
        <w:outlineLvl w:val="9"/>
        <w:rPr>
          <w:rFonts w:hint="eastAsia" w:ascii="仿宋" w:hAnsi="仿宋" w:eastAsia="仿宋" w:cs="仿宋"/>
          <w:b/>
          <w:color w:val="auto"/>
          <w:sz w:val="28"/>
          <w:szCs w:val="28"/>
          <w:highlight w:val="none"/>
        </w:rPr>
      </w:pPr>
    </w:p>
    <w:p w14:paraId="287E1643">
      <w:pPr>
        <w:pStyle w:val="63"/>
        <w:ind w:firstLine="546"/>
        <w:outlineLvl w:val="9"/>
        <w:rPr>
          <w:rFonts w:hint="eastAsia" w:ascii="仿宋" w:hAnsi="仿宋" w:eastAsia="仿宋" w:cs="仿宋"/>
          <w:b/>
          <w:color w:val="auto"/>
          <w:sz w:val="28"/>
          <w:szCs w:val="28"/>
          <w:highlight w:val="none"/>
        </w:rPr>
      </w:pPr>
    </w:p>
    <w:p w14:paraId="394EFBEE">
      <w:pPr>
        <w:pStyle w:val="63"/>
        <w:ind w:firstLine="546"/>
        <w:outlineLvl w:val="9"/>
        <w:rPr>
          <w:rFonts w:hint="eastAsia" w:ascii="仿宋" w:hAnsi="仿宋" w:eastAsia="仿宋" w:cs="仿宋"/>
          <w:b/>
          <w:color w:val="auto"/>
          <w:sz w:val="28"/>
          <w:szCs w:val="28"/>
          <w:highlight w:val="none"/>
        </w:rPr>
      </w:pPr>
    </w:p>
    <w:p w14:paraId="03540DED">
      <w:pPr>
        <w:pStyle w:val="63"/>
        <w:ind w:firstLine="546"/>
        <w:outlineLvl w:val="9"/>
        <w:rPr>
          <w:rFonts w:hint="eastAsia" w:ascii="仿宋" w:hAnsi="仿宋" w:eastAsia="仿宋" w:cs="仿宋"/>
          <w:b/>
          <w:color w:val="auto"/>
          <w:sz w:val="28"/>
          <w:szCs w:val="28"/>
          <w:highlight w:val="none"/>
        </w:rPr>
      </w:pPr>
    </w:p>
    <w:p w14:paraId="10EA2BC5">
      <w:pPr>
        <w:pStyle w:val="63"/>
        <w:ind w:firstLine="546"/>
        <w:outlineLvl w:val="9"/>
        <w:rPr>
          <w:rFonts w:hint="eastAsia" w:ascii="仿宋" w:hAnsi="仿宋" w:eastAsia="仿宋" w:cs="仿宋"/>
          <w:b/>
          <w:color w:val="auto"/>
          <w:sz w:val="28"/>
          <w:szCs w:val="28"/>
          <w:highlight w:val="none"/>
        </w:rPr>
      </w:pPr>
    </w:p>
    <w:p w14:paraId="0083E728">
      <w:pPr>
        <w:pStyle w:val="63"/>
        <w:ind w:firstLine="546"/>
        <w:outlineLvl w:val="9"/>
        <w:rPr>
          <w:rFonts w:hint="eastAsia" w:ascii="仿宋" w:hAnsi="仿宋" w:eastAsia="仿宋" w:cs="仿宋"/>
          <w:b/>
          <w:color w:val="auto"/>
          <w:sz w:val="28"/>
          <w:szCs w:val="28"/>
          <w:highlight w:val="none"/>
        </w:rPr>
      </w:pPr>
    </w:p>
    <w:p w14:paraId="3098669C">
      <w:pPr>
        <w:pStyle w:val="63"/>
        <w:ind w:firstLine="546"/>
        <w:outlineLvl w:val="9"/>
        <w:rPr>
          <w:rFonts w:hint="eastAsia" w:ascii="仿宋" w:hAnsi="仿宋" w:eastAsia="仿宋" w:cs="仿宋"/>
          <w:b/>
          <w:color w:val="auto"/>
          <w:sz w:val="28"/>
          <w:szCs w:val="28"/>
          <w:highlight w:val="none"/>
        </w:rPr>
      </w:pPr>
    </w:p>
    <w:p w14:paraId="766F5E28">
      <w:pPr>
        <w:pStyle w:val="63"/>
        <w:ind w:firstLine="546"/>
        <w:outlineLvl w:val="9"/>
        <w:rPr>
          <w:rFonts w:hint="eastAsia" w:ascii="仿宋" w:hAnsi="仿宋" w:eastAsia="仿宋" w:cs="仿宋"/>
          <w:b/>
          <w:color w:val="auto"/>
          <w:sz w:val="28"/>
          <w:szCs w:val="28"/>
          <w:highlight w:val="none"/>
        </w:rPr>
      </w:pPr>
    </w:p>
    <w:p w14:paraId="2868AA2A">
      <w:pPr>
        <w:widowControl/>
        <w:jc w:val="both"/>
        <w:outlineLvl w:val="9"/>
        <w:rPr>
          <w:rFonts w:hint="eastAsia" w:ascii="仿宋" w:hAnsi="仿宋" w:eastAsia="仿宋" w:cs="仿宋"/>
          <w:b/>
          <w:color w:val="auto"/>
          <w:kern w:val="0"/>
          <w:sz w:val="28"/>
          <w:szCs w:val="28"/>
          <w:highlight w:val="none"/>
        </w:rPr>
      </w:pPr>
    </w:p>
    <w:p w14:paraId="7701F012">
      <w:pPr>
        <w:widowControl/>
        <w:jc w:val="center"/>
        <w:outlineLvl w:val="9"/>
        <w:rPr>
          <w:rFonts w:hint="eastAsia" w:ascii="仿宋" w:hAnsi="仿宋" w:eastAsia="仿宋" w:cs="仿宋"/>
          <w:b/>
          <w:color w:val="auto"/>
          <w:kern w:val="0"/>
          <w:sz w:val="32"/>
          <w:szCs w:val="32"/>
          <w:highlight w:val="none"/>
        </w:rPr>
      </w:pPr>
    </w:p>
    <w:p w14:paraId="2CE72AE6">
      <w:pPr>
        <w:widowControl/>
        <w:jc w:val="center"/>
        <w:outlineLvl w:val="9"/>
        <w:rPr>
          <w:rFonts w:hint="eastAsia" w:ascii="仿宋" w:hAnsi="仿宋" w:eastAsia="仿宋" w:cs="仿宋"/>
          <w:color w:val="auto"/>
          <w:sz w:val="32"/>
          <w:szCs w:val="32"/>
          <w:highlight w:val="none"/>
        </w:rPr>
      </w:pPr>
      <w:r>
        <w:rPr>
          <w:rFonts w:hint="eastAsia" w:ascii="仿宋" w:hAnsi="仿宋" w:eastAsia="仿宋" w:cs="仿宋"/>
          <w:b/>
          <w:color w:val="auto"/>
          <w:kern w:val="0"/>
          <w:sz w:val="32"/>
          <w:szCs w:val="32"/>
          <w:highlight w:val="none"/>
        </w:rPr>
        <w:t>监狱企业声明函</w:t>
      </w:r>
    </w:p>
    <w:p w14:paraId="35E843B5">
      <w:pPr>
        <w:widowControl/>
        <w:spacing w:line="360" w:lineRule="auto"/>
        <w:ind w:firstLine="480" w:firstLineChars="200"/>
        <w:outlineLvl w:val="9"/>
        <w:rPr>
          <w:rFonts w:hint="eastAsia" w:ascii="仿宋" w:hAnsi="仿宋" w:eastAsia="仿宋" w:cs="仿宋"/>
          <w:color w:val="auto"/>
          <w:kern w:val="0"/>
          <w:sz w:val="24"/>
          <w:highlight w:val="none"/>
        </w:rPr>
      </w:pPr>
    </w:p>
    <w:p w14:paraId="6AF1BA7B">
      <w:pPr>
        <w:widowControl/>
        <w:spacing w:line="360" w:lineRule="auto"/>
        <w:ind w:firstLine="480" w:firstLineChars="200"/>
        <w:outlineLvl w:val="9"/>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 xml:space="preserve">本公司郑重声明，根据《财政部、司法部关于政府采购支持监狱企业发展有关问题的通知》（ 财库〔2014〕68号）的规定 ，本公司为（请填写：监狱）企业。即本公司同时满足以下条件： </w:t>
      </w:r>
    </w:p>
    <w:p w14:paraId="70EA2E09">
      <w:pPr>
        <w:widowControl/>
        <w:spacing w:line="360" w:lineRule="auto"/>
        <w:ind w:firstLine="480" w:firstLineChars="200"/>
        <w:jc w:val="left"/>
        <w:outlineLvl w:val="9"/>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 xml:space="preserve">1、我公司为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14:paraId="12F28B81">
      <w:pPr>
        <w:widowControl/>
        <w:spacing w:line="360" w:lineRule="auto"/>
        <w:ind w:firstLine="480" w:firstLineChars="200"/>
        <w:jc w:val="left"/>
        <w:outlineLvl w:val="9"/>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 xml:space="preserve">2、我公司参加政府采购活动时，视同小型、微型企业，提供由省级以上监狱管理局、戒毒管理局（含新疆生产建设兵团）出具的属于监狱企业的证明文件。 </w:t>
      </w:r>
    </w:p>
    <w:p w14:paraId="77277F79">
      <w:pPr>
        <w:widowControl/>
        <w:spacing w:line="360" w:lineRule="auto"/>
        <w:ind w:firstLine="480" w:firstLineChars="200"/>
        <w:jc w:val="left"/>
        <w:outlineLvl w:val="9"/>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本公司对上述声明的真实性负责。如有虚假，将依法承担相应责任。</w:t>
      </w:r>
    </w:p>
    <w:p w14:paraId="7A277E72">
      <w:pPr>
        <w:widowControl/>
        <w:spacing w:line="360" w:lineRule="auto"/>
        <w:ind w:firstLine="480" w:firstLineChars="200"/>
        <w:jc w:val="left"/>
        <w:outlineLvl w:val="9"/>
        <w:rPr>
          <w:rFonts w:hint="eastAsia" w:ascii="仿宋" w:hAnsi="仿宋" w:eastAsia="仿宋" w:cs="仿宋"/>
          <w:color w:val="auto"/>
          <w:kern w:val="0"/>
          <w:sz w:val="24"/>
          <w:highlight w:val="none"/>
        </w:rPr>
      </w:pPr>
    </w:p>
    <w:p w14:paraId="4B2A8D8F">
      <w:pPr>
        <w:pStyle w:val="62"/>
        <w:outlineLvl w:val="9"/>
        <w:rPr>
          <w:rFonts w:hint="eastAsia" w:ascii="仿宋" w:hAnsi="仿宋" w:eastAsia="仿宋" w:cs="仿宋"/>
          <w:color w:val="auto"/>
          <w:highlight w:val="none"/>
        </w:rPr>
      </w:pPr>
    </w:p>
    <w:p w14:paraId="6CB60B27">
      <w:pPr>
        <w:widowControl/>
        <w:spacing w:line="360" w:lineRule="auto"/>
        <w:ind w:firstLine="720" w:firstLineChars="300"/>
        <w:jc w:val="right"/>
        <w:outlineLvl w:val="9"/>
        <w:rPr>
          <w:rFonts w:hint="eastAsia" w:ascii="仿宋" w:hAnsi="仿宋" w:eastAsia="仿宋" w:cs="仿宋"/>
          <w:color w:val="auto"/>
          <w:sz w:val="24"/>
          <w:highlight w:val="none"/>
        </w:rPr>
      </w:pPr>
      <w:r>
        <w:rPr>
          <w:rFonts w:hint="eastAsia" w:ascii="仿宋" w:hAnsi="仿宋" w:eastAsia="仿宋" w:cs="仿宋"/>
          <w:color w:val="auto"/>
          <w:kern w:val="0"/>
          <w:sz w:val="24"/>
          <w:highlight w:val="none"/>
        </w:rPr>
        <w:t xml:space="preserve">企业名称（盖章）： </w:t>
      </w:r>
    </w:p>
    <w:p w14:paraId="724F1F46">
      <w:pPr>
        <w:widowControl/>
        <w:spacing w:line="360" w:lineRule="auto"/>
        <w:jc w:val="right"/>
        <w:outlineLvl w:val="9"/>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日 期： 年 月 日 </w:t>
      </w:r>
    </w:p>
    <w:p w14:paraId="185D4961">
      <w:pPr>
        <w:pStyle w:val="62"/>
        <w:outlineLvl w:val="9"/>
        <w:rPr>
          <w:rFonts w:hint="eastAsia" w:ascii="仿宋" w:hAnsi="仿宋" w:eastAsia="仿宋" w:cs="仿宋"/>
          <w:color w:val="auto"/>
          <w:highlight w:val="none"/>
        </w:rPr>
      </w:pPr>
    </w:p>
    <w:p w14:paraId="47518E64">
      <w:pPr>
        <w:pStyle w:val="62"/>
        <w:outlineLvl w:val="9"/>
        <w:rPr>
          <w:rFonts w:hint="eastAsia" w:ascii="仿宋" w:hAnsi="仿宋" w:eastAsia="仿宋" w:cs="仿宋"/>
          <w:color w:val="auto"/>
          <w:highlight w:val="none"/>
        </w:rPr>
      </w:pPr>
    </w:p>
    <w:p w14:paraId="57E5F1AF">
      <w:pPr>
        <w:widowControl/>
        <w:spacing w:line="360" w:lineRule="auto"/>
        <w:ind w:firstLine="440" w:firstLineChars="200"/>
        <w:jc w:val="left"/>
        <w:outlineLvl w:val="9"/>
        <w:rPr>
          <w:rFonts w:hint="eastAsia" w:ascii="仿宋" w:hAnsi="仿宋" w:eastAsia="仿宋" w:cs="仿宋"/>
          <w:color w:val="auto"/>
          <w:kern w:val="0"/>
          <w:sz w:val="22"/>
          <w:szCs w:val="22"/>
          <w:highlight w:val="none"/>
        </w:rPr>
      </w:pPr>
      <w:r>
        <w:rPr>
          <w:rFonts w:hint="eastAsia" w:ascii="仿宋" w:hAnsi="仿宋" w:eastAsia="仿宋" w:cs="仿宋"/>
          <w:color w:val="auto"/>
          <w:kern w:val="0"/>
          <w:sz w:val="22"/>
          <w:szCs w:val="22"/>
          <w:highlight w:val="none"/>
        </w:rPr>
        <w:t>注：</w:t>
      </w:r>
      <w:r>
        <w:rPr>
          <w:rFonts w:hint="eastAsia" w:ascii="仿宋" w:hAnsi="仿宋" w:eastAsia="仿宋" w:cs="仿宋"/>
          <w:color w:val="auto"/>
          <w:kern w:val="0"/>
          <w:sz w:val="22"/>
          <w:szCs w:val="22"/>
          <w:highlight w:val="none"/>
          <w:lang w:eastAsia="zh-CN"/>
        </w:rPr>
        <w:t>磋商</w:t>
      </w:r>
      <w:r>
        <w:rPr>
          <w:rFonts w:hint="eastAsia" w:ascii="仿宋" w:hAnsi="仿宋" w:eastAsia="仿宋" w:cs="仿宋"/>
          <w:color w:val="auto"/>
          <w:kern w:val="0"/>
          <w:sz w:val="22"/>
          <w:szCs w:val="22"/>
          <w:highlight w:val="none"/>
        </w:rPr>
        <w:t>人符合监狱企业标准的，提供有效证明文件及监狱企业声明函。（不属于监狱企业的不用提供）</w:t>
      </w:r>
    </w:p>
    <w:p w14:paraId="53B67CD9">
      <w:pPr>
        <w:spacing w:before="120" w:line="360" w:lineRule="auto"/>
        <w:ind w:firstLine="525" w:firstLineChars="250"/>
        <w:rPr>
          <w:rFonts w:hint="eastAsia" w:ascii="仿宋" w:hAnsi="仿宋" w:eastAsia="仿宋" w:cs="仿宋"/>
          <w:color w:val="auto"/>
          <w:szCs w:val="21"/>
          <w:highlight w:val="none"/>
        </w:rPr>
      </w:pPr>
    </w:p>
    <w:p w14:paraId="54F3FC5D">
      <w:pPr>
        <w:pStyle w:val="15"/>
        <w:rPr>
          <w:rFonts w:hint="eastAsia" w:ascii="仿宋" w:hAnsi="仿宋" w:eastAsia="仿宋" w:cs="仿宋"/>
          <w:color w:val="auto"/>
          <w:szCs w:val="21"/>
          <w:highlight w:val="none"/>
        </w:rPr>
      </w:pPr>
    </w:p>
    <w:p w14:paraId="395DBC6C">
      <w:pPr>
        <w:pStyle w:val="15"/>
        <w:rPr>
          <w:rFonts w:hint="eastAsia" w:ascii="仿宋" w:hAnsi="仿宋" w:eastAsia="仿宋" w:cs="仿宋"/>
          <w:color w:val="auto"/>
          <w:szCs w:val="21"/>
          <w:highlight w:val="none"/>
        </w:rPr>
      </w:pPr>
    </w:p>
    <w:p w14:paraId="05D1E2B8">
      <w:pPr>
        <w:pStyle w:val="15"/>
        <w:rPr>
          <w:rFonts w:hint="eastAsia" w:ascii="仿宋" w:hAnsi="仿宋" w:eastAsia="仿宋" w:cs="仿宋"/>
          <w:color w:val="auto"/>
          <w:szCs w:val="21"/>
          <w:highlight w:val="none"/>
        </w:rPr>
      </w:pPr>
    </w:p>
    <w:p w14:paraId="69C154DE">
      <w:pPr>
        <w:pStyle w:val="15"/>
        <w:rPr>
          <w:rFonts w:hint="eastAsia" w:ascii="仿宋" w:hAnsi="仿宋" w:eastAsia="仿宋" w:cs="仿宋"/>
          <w:color w:val="auto"/>
          <w:szCs w:val="21"/>
          <w:highlight w:val="none"/>
        </w:rPr>
      </w:pPr>
    </w:p>
    <w:p w14:paraId="156312BE">
      <w:pPr>
        <w:pStyle w:val="15"/>
        <w:rPr>
          <w:rFonts w:hint="eastAsia" w:ascii="仿宋" w:hAnsi="仿宋" w:eastAsia="仿宋" w:cs="仿宋"/>
          <w:color w:val="auto"/>
          <w:szCs w:val="21"/>
          <w:highlight w:val="none"/>
        </w:rPr>
      </w:pPr>
    </w:p>
    <w:p w14:paraId="3F1655B8">
      <w:pPr>
        <w:pStyle w:val="14"/>
        <w:ind w:firstLine="421"/>
        <w:rPr>
          <w:rFonts w:hint="eastAsia"/>
          <w:color w:val="auto"/>
          <w:highlight w:val="none"/>
        </w:rPr>
      </w:pPr>
    </w:p>
    <w:p w14:paraId="7E46E4EF">
      <w:pPr>
        <w:pStyle w:val="14"/>
        <w:ind w:firstLine="421"/>
        <w:rPr>
          <w:rFonts w:hint="eastAsia"/>
          <w:color w:val="auto"/>
          <w:highlight w:val="none"/>
        </w:rPr>
      </w:pPr>
    </w:p>
    <w:p w14:paraId="01D27643">
      <w:pPr>
        <w:pStyle w:val="14"/>
        <w:ind w:firstLine="421"/>
        <w:rPr>
          <w:rFonts w:hint="eastAsia"/>
          <w:color w:val="auto"/>
          <w:highlight w:val="none"/>
        </w:rPr>
      </w:pPr>
    </w:p>
    <w:p w14:paraId="1664C0CA">
      <w:pPr>
        <w:pStyle w:val="14"/>
        <w:ind w:firstLine="421"/>
        <w:rPr>
          <w:rFonts w:hint="eastAsia"/>
          <w:color w:val="auto"/>
          <w:highlight w:val="none"/>
        </w:rPr>
      </w:pPr>
    </w:p>
    <w:p w14:paraId="4BECF952">
      <w:pPr>
        <w:pStyle w:val="14"/>
        <w:spacing w:line="500" w:lineRule="exact"/>
        <w:ind w:firstLine="422" w:firstLineChars="200"/>
        <w:rPr>
          <w:rFonts w:hint="eastAsia" w:hAnsi="宋体" w:cs="宋体"/>
          <w:b/>
          <w:color w:val="auto"/>
          <w:highlight w:val="none"/>
        </w:rPr>
      </w:pPr>
    </w:p>
    <w:p w14:paraId="7038AC21">
      <w:pPr>
        <w:pStyle w:val="16"/>
        <w:keepNext w:val="0"/>
        <w:keepLines w:val="0"/>
        <w:pageBreakBefore w:val="0"/>
        <w:widowControl w:val="0"/>
        <w:numPr>
          <w:ilvl w:val="0"/>
          <w:numId w:val="0"/>
        </w:numPr>
        <w:kinsoku/>
        <w:wordWrap/>
        <w:overflowPunct/>
        <w:topLinePunct w:val="0"/>
        <w:autoSpaceDE/>
        <w:autoSpaceDN/>
        <w:bidi w:val="0"/>
        <w:adjustRightInd/>
        <w:snapToGrid w:val="0"/>
        <w:spacing w:line="360" w:lineRule="auto"/>
        <w:jc w:val="left"/>
        <w:textAlignment w:val="auto"/>
        <w:outlineLvl w:val="9"/>
        <w:rPr>
          <w:rFonts w:hint="eastAsia" w:ascii="宋体" w:hAnsi="宋体" w:cs="宋体"/>
          <w:color w:val="auto"/>
          <w:sz w:val="24"/>
          <w:szCs w:val="24"/>
          <w:highlight w:val="none"/>
          <w:lang w:eastAsia="zh-CN"/>
        </w:rPr>
      </w:pPr>
    </w:p>
    <w:sectPr>
      <w:footerReference r:id="rId5" w:type="default"/>
      <w:pgSz w:w="11906" w:h="16838"/>
      <w:pgMar w:top="1134" w:right="1294" w:bottom="1134" w:left="1134" w:header="720" w:footer="720" w:gutter="0"/>
      <w:cols w:space="720" w:num="1"/>
      <w:docGrid w:linePitch="33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å">
    <w:altName w:val="Times New Roman"/>
    <w:panose1 w:val="00000000000000000000"/>
    <w:charset w:val="00"/>
    <w:family w:val="auto"/>
    <w:pitch w:val="default"/>
    <w:sig w:usb0="00000000" w:usb1="00000000" w:usb2="00000000" w:usb3="00000000" w:csb0="00000001" w:csb1="00000000"/>
  </w:font>
  <w:font w:name="仿宋_GB2312">
    <w:altName w:val="仿宋"/>
    <w:panose1 w:val="02010609030101010101"/>
    <w:charset w:val="86"/>
    <w:family w:val="swiss"/>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方正魏碑简体">
    <w:altName w:val="黑体"/>
    <w:panose1 w:val="03000509000000000000"/>
    <w:charset w:val="86"/>
    <w:family w:val="script"/>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AEF70">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B712FA">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D9CB6">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EFDA5A6">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eCe29EBAACiAwAADgAAAGRycy9lMm9Eb2MueG1srVPNjtMwEL4j8Q6W&#10;7zTZaheVqO4KVC1CQoC0ywO4jt1Y8p88bpO+ALwBJy7cea4+B2Mn6aLlsgcuzoxn/M1830zWt4M1&#10;5CgjaO8YvVrUlEgnfKvdntGvD3evVpRA4q7lxjvJ6EkCvd28fLHuQyOXvvOmlZEgiIOmD4x2KYWm&#10;qkB00nJY+CAdBpWPlid0475qI+8R3ZpqWdevq97HNkQvJADebscgnRDjcwC9UlrIrRcHK10aUaM0&#10;PCEl6HQAuindKiVF+qwUyEQMo8g0lROLoL3LZ7VZ82Yfeei0mFrgz2nhCSfLtcOiF6gtT5wcov4H&#10;ymoRPXiVFsLbaiRSFEEWV/UTbe47HmThglJDuIgO/w9WfDp+iUS3jF5T4rjFgZ9/fD///H3+9Y1c&#10;Z3n6AA1m3QfMS8M7P+DSzPeAl5n1oKLNX+RDMI7ini7iyiERkR+tlqtVjSGBsdlB/OrxeYiQ3ktv&#10;STYYjTi9Iio/foQ0ps4puZrzd9qYMkHjSM/om5vlTXlwiSC4cVgjkxibzVYadsPEbOfbExLrcQMY&#10;dbjwlJgPDgXOyzIbcTZ2s3EIUe+7sk25EwhvDwm7KU3mCiPsVBhHV2hOa5Z342+/ZD3+Wps/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zql5uc8AAAAFAQAADwAAAAAAAAABACAAAAAiAAAAZHJzL2Rv&#10;d25yZXYueG1sUEsBAhQAFAAAAAgAh07iQMngntvRAQAAogMAAA4AAAAAAAAAAQAgAAAAHgEAAGRy&#10;cy9lMm9Eb2MueG1sUEsFBgAAAAAGAAYAWQEAAGEFAAAAAA==&#10;">
              <v:fill on="f" focussize="0,0"/>
              <v:stroke on="f"/>
              <v:imagedata o:title=""/>
              <o:lock v:ext="edit" aspectratio="f"/>
              <v:textbox inset="0mm,0mm,0mm,0mm" style="mso-fit-shape-to-text:t;">
                <w:txbxContent>
                  <w:p w14:paraId="3EFDA5A6">
                    <w:pPr>
                      <w:pStyle w:val="1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4CF58C"/>
    <w:multiLevelType w:val="singleLevel"/>
    <w:tmpl w:val="BB4CF58C"/>
    <w:lvl w:ilvl="0" w:tentative="0">
      <w:start w:val="2"/>
      <w:numFmt w:val="decimal"/>
      <w:suff w:val="nothing"/>
      <w:lvlText w:val="（%1）"/>
      <w:lvlJc w:val="left"/>
    </w:lvl>
  </w:abstractNum>
  <w:abstractNum w:abstractNumId="1">
    <w:nsid w:val="FE4646AD"/>
    <w:multiLevelType w:val="singleLevel"/>
    <w:tmpl w:val="FE4646AD"/>
    <w:lvl w:ilvl="0" w:tentative="0">
      <w:start w:val="6"/>
      <w:numFmt w:val="decimal"/>
      <w:suff w:val="nothing"/>
      <w:lvlText w:val="（%1）"/>
      <w:lvlJc w:val="left"/>
    </w:lvl>
  </w:abstractNum>
  <w:abstractNum w:abstractNumId="2">
    <w:nsid w:val="0D7D9F7A"/>
    <w:multiLevelType w:val="singleLevel"/>
    <w:tmpl w:val="0D7D9F7A"/>
    <w:lvl w:ilvl="0" w:tentative="0">
      <w:start w:val="8"/>
      <w:numFmt w:val="chineseCounting"/>
      <w:suff w:val="space"/>
      <w:lvlText w:val="第%1章"/>
      <w:lvlJc w:val="left"/>
      <w:rPr>
        <w:rFonts w:hint="eastAsia"/>
      </w:rPr>
    </w:lvl>
  </w:abstractNum>
  <w:abstractNum w:abstractNumId="3">
    <w:nsid w:val="2EBEB4BA"/>
    <w:multiLevelType w:val="singleLevel"/>
    <w:tmpl w:val="2EBEB4BA"/>
    <w:lvl w:ilvl="0" w:tentative="0">
      <w:start w:val="26"/>
      <w:numFmt w:val="decimal"/>
      <w:suff w:val="space"/>
      <w:lvlText w:val="%1."/>
      <w:lvlJc w:val="left"/>
    </w:lvl>
  </w:abstractNum>
  <w:abstractNum w:abstractNumId="4">
    <w:nsid w:val="43571148"/>
    <w:multiLevelType w:val="multilevel"/>
    <w:tmpl w:val="43571148"/>
    <w:lvl w:ilvl="0" w:tentative="0">
      <w:start w:val="1"/>
      <w:numFmt w:val="chineseCountingThousand"/>
      <w:pStyle w:val="3"/>
      <w:lvlText w:val="第%1章 "/>
      <w:lvlJc w:val="center"/>
      <w:pPr>
        <w:tabs>
          <w:tab w:val="left" w:pos="5894"/>
        </w:tabs>
        <w:ind w:left="5894" w:hanging="132"/>
      </w:pPr>
      <w:rPr>
        <w:rFonts w:hint="eastAsia"/>
        <w:sz w:val="30"/>
        <w:szCs w:val="30"/>
      </w:rPr>
    </w:lvl>
    <w:lvl w:ilvl="1" w:tentative="0">
      <w:start w:val="1"/>
      <w:numFmt w:val="lowerLetter"/>
      <w:lvlText w:val="%2)"/>
      <w:lvlJc w:val="left"/>
      <w:pPr>
        <w:tabs>
          <w:tab w:val="left" w:pos="840"/>
        </w:tabs>
        <w:ind w:left="840" w:hanging="420"/>
      </w:pPr>
    </w:lvl>
    <w:lvl w:ilvl="2" w:tentative="0">
      <w:start w:val="1"/>
      <w:numFmt w:val="japaneseCounting"/>
      <w:lvlText w:val="%3、"/>
      <w:lvlJc w:val="left"/>
      <w:pPr>
        <w:tabs>
          <w:tab w:val="left" w:pos="1260"/>
        </w:tabs>
        <w:ind w:left="1260" w:hanging="420"/>
      </w:pPr>
      <w:rPr>
        <w:rFonts w:hint="eastAsia"/>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6AD43707"/>
    <w:multiLevelType w:val="singleLevel"/>
    <w:tmpl w:val="6AD43707"/>
    <w:lvl w:ilvl="0" w:tentative="0">
      <w:start w:val="5"/>
      <w:numFmt w:val="decimal"/>
      <w:suff w:val="space"/>
      <w:lvlText w:val="%1."/>
      <w:lvlJc w:val="left"/>
    </w:lvl>
  </w:abstractNum>
  <w:abstractNum w:abstractNumId="6">
    <w:nsid w:val="7C1FACAE"/>
    <w:multiLevelType w:val="singleLevel"/>
    <w:tmpl w:val="7C1FACAE"/>
    <w:lvl w:ilvl="0" w:tentative="0">
      <w:start w:val="1"/>
      <w:numFmt w:val="decimal"/>
      <w:lvlText w:val="(%1)"/>
      <w:lvlJc w:val="left"/>
      <w:pPr>
        <w:tabs>
          <w:tab w:val="left" w:pos="840"/>
        </w:tabs>
        <w:ind w:left="1265" w:hanging="425"/>
      </w:pPr>
      <w:rPr>
        <w:rFonts w:hint="default"/>
      </w:rPr>
    </w:lvl>
  </w:abstractNum>
  <w:num w:numId="1">
    <w:abstractNumId w:val="4"/>
  </w:num>
  <w:num w:numId="2">
    <w:abstractNumId w:val="5"/>
  </w:num>
  <w:num w:numId="3">
    <w:abstractNumId w:val="6"/>
  </w:num>
  <w:num w:numId="4">
    <w:abstractNumId w:val="0"/>
  </w:num>
  <w:num w:numId="5">
    <w:abstractNumId w:val="3"/>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FjZmU3ZGRmZTYxOTg4MWVlODhiYjlhNTdmMjQyZTgifQ=="/>
  </w:docVars>
  <w:rsids>
    <w:rsidRoot w:val="2A7F545C"/>
    <w:rsid w:val="02CD0A7F"/>
    <w:rsid w:val="03140CB7"/>
    <w:rsid w:val="03692DD4"/>
    <w:rsid w:val="039D083E"/>
    <w:rsid w:val="04835176"/>
    <w:rsid w:val="04A96068"/>
    <w:rsid w:val="057F63AF"/>
    <w:rsid w:val="067667E7"/>
    <w:rsid w:val="07B647AA"/>
    <w:rsid w:val="07F33A44"/>
    <w:rsid w:val="09FF0ED5"/>
    <w:rsid w:val="0A312702"/>
    <w:rsid w:val="0A5922DF"/>
    <w:rsid w:val="0AFC7677"/>
    <w:rsid w:val="0C010CCD"/>
    <w:rsid w:val="0C4877D2"/>
    <w:rsid w:val="0E232630"/>
    <w:rsid w:val="0E7C21F7"/>
    <w:rsid w:val="0EE07B1C"/>
    <w:rsid w:val="0F873BBD"/>
    <w:rsid w:val="10BA4382"/>
    <w:rsid w:val="10E8185F"/>
    <w:rsid w:val="1173657B"/>
    <w:rsid w:val="11765524"/>
    <w:rsid w:val="140221DF"/>
    <w:rsid w:val="14150329"/>
    <w:rsid w:val="15222F05"/>
    <w:rsid w:val="158D5919"/>
    <w:rsid w:val="15A81AAF"/>
    <w:rsid w:val="15E62353"/>
    <w:rsid w:val="15FD6C43"/>
    <w:rsid w:val="17144CFB"/>
    <w:rsid w:val="17575DF8"/>
    <w:rsid w:val="179E3C9B"/>
    <w:rsid w:val="18395A9A"/>
    <w:rsid w:val="18B1266F"/>
    <w:rsid w:val="18FB5633"/>
    <w:rsid w:val="1AE022FD"/>
    <w:rsid w:val="1B703850"/>
    <w:rsid w:val="1BDA0D59"/>
    <w:rsid w:val="1BDD26FA"/>
    <w:rsid w:val="1C702094"/>
    <w:rsid w:val="1D104E2A"/>
    <w:rsid w:val="1DC348C5"/>
    <w:rsid w:val="1DD026AB"/>
    <w:rsid w:val="1DF60A19"/>
    <w:rsid w:val="1E4A6AE2"/>
    <w:rsid w:val="1FDD7B24"/>
    <w:rsid w:val="20776738"/>
    <w:rsid w:val="20F474F1"/>
    <w:rsid w:val="222464FB"/>
    <w:rsid w:val="23D93BF3"/>
    <w:rsid w:val="24123CE6"/>
    <w:rsid w:val="243E19E1"/>
    <w:rsid w:val="24C22B02"/>
    <w:rsid w:val="250D3721"/>
    <w:rsid w:val="25253962"/>
    <w:rsid w:val="26070173"/>
    <w:rsid w:val="267D7B49"/>
    <w:rsid w:val="269E7483"/>
    <w:rsid w:val="273F6164"/>
    <w:rsid w:val="27BD41BA"/>
    <w:rsid w:val="28122E49"/>
    <w:rsid w:val="282758BC"/>
    <w:rsid w:val="28731976"/>
    <w:rsid w:val="28C64B8B"/>
    <w:rsid w:val="28DB3A36"/>
    <w:rsid w:val="2A7F545C"/>
    <w:rsid w:val="2AA90677"/>
    <w:rsid w:val="2AE554C0"/>
    <w:rsid w:val="2B1E2CE3"/>
    <w:rsid w:val="2B3B3E97"/>
    <w:rsid w:val="2B5E0483"/>
    <w:rsid w:val="2C366CDA"/>
    <w:rsid w:val="2C4F0D85"/>
    <w:rsid w:val="2E2F35EC"/>
    <w:rsid w:val="2EF7189C"/>
    <w:rsid w:val="30185A4D"/>
    <w:rsid w:val="303B7890"/>
    <w:rsid w:val="30776EA5"/>
    <w:rsid w:val="30943AF5"/>
    <w:rsid w:val="31F42769"/>
    <w:rsid w:val="330660FC"/>
    <w:rsid w:val="334B5A44"/>
    <w:rsid w:val="352428F1"/>
    <w:rsid w:val="359F10F7"/>
    <w:rsid w:val="35B91193"/>
    <w:rsid w:val="36B96C7D"/>
    <w:rsid w:val="37A9380B"/>
    <w:rsid w:val="38307728"/>
    <w:rsid w:val="38412B4D"/>
    <w:rsid w:val="385D5D4B"/>
    <w:rsid w:val="398E5971"/>
    <w:rsid w:val="3B077073"/>
    <w:rsid w:val="3B7C6613"/>
    <w:rsid w:val="3B9A53BD"/>
    <w:rsid w:val="3BAD26C5"/>
    <w:rsid w:val="3BDE4228"/>
    <w:rsid w:val="3C946A57"/>
    <w:rsid w:val="3CDA0712"/>
    <w:rsid w:val="3CE16358"/>
    <w:rsid w:val="3CE8092F"/>
    <w:rsid w:val="3F0019E8"/>
    <w:rsid w:val="3F622E76"/>
    <w:rsid w:val="408E0C45"/>
    <w:rsid w:val="40B06AC6"/>
    <w:rsid w:val="41325883"/>
    <w:rsid w:val="418A0891"/>
    <w:rsid w:val="41D02400"/>
    <w:rsid w:val="4274449D"/>
    <w:rsid w:val="42AA219B"/>
    <w:rsid w:val="43122BE2"/>
    <w:rsid w:val="43D70C6D"/>
    <w:rsid w:val="4479600C"/>
    <w:rsid w:val="447C6922"/>
    <w:rsid w:val="451313F1"/>
    <w:rsid w:val="453E53FC"/>
    <w:rsid w:val="46B31E5E"/>
    <w:rsid w:val="47D22D1D"/>
    <w:rsid w:val="48F30D34"/>
    <w:rsid w:val="4A2F2FA2"/>
    <w:rsid w:val="4A9C07DA"/>
    <w:rsid w:val="4B4E47FE"/>
    <w:rsid w:val="4B850C85"/>
    <w:rsid w:val="4BCC1AD6"/>
    <w:rsid w:val="4C0034B6"/>
    <w:rsid w:val="4E510D3E"/>
    <w:rsid w:val="4E5E3057"/>
    <w:rsid w:val="4E66138D"/>
    <w:rsid w:val="4F6F198A"/>
    <w:rsid w:val="50566D1E"/>
    <w:rsid w:val="50630D8E"/>
    <w:rsid w:val="50E53551"/>
    <w:rsid w:val="51886675"/>
    <w:rsid w:val="52052349"/>
    <w:rsid w:val="52A22E8C"/>
    <w:rsid w:val="53363557"/>
    <w:rsid w:val="54A56696"/>
    <w:rsid w:val="5585522E"/>
    <w:rsid w:val="56384123"/>
    <w:rsid w:val="568E4881"/>
    <w:rsid w:val="56A675E9"/>
    <w:rsid w:val="57D743E1"/>
    <w:rsid w:val="57FA52F1"/>
    <w:rsid w:val="58B8779D"/>
    <w:rsid w:val="59EF25FD"/>
    <w:rsid w:val="5A467009"/>
    <w:rsid w:val="5B03164F"/>
    <w:rsid w:val="5C930305"/>
    <w:rsid w:val="5E3F7935"/>
    <w:rsid w:val="5EB9725B"/>
    <w:rsid w:val="5F824DAF"/>
    <w:rsid w:val="5F964D7A"/>
    <w:rsid w:val="60397170"/>
    <w:rsid w:val="60775121"/>
    <w:rsid w:val="60F56832"/>
    <w:rsid w:val="619B7A21"/>
    <w:rsid w:val="62E7005B"/>
    <w:rsid w:val="66456B14"/>
    <w:rsid w:val="66C45567"/>
    <w:rsid w:val="67AE2E62"/>
    <w:rsid w:val="68CC5CA6"/>
    <w:rsid w:val="69EA3D2B"/>
    <w:rsid w:val="6A752697"/>
    <w:rsid w:val="6CDE764E"/>
    <w:rsid w:val="6DC8572F"/>
    <w:rsid w:val="6DE4391E"/>
    <w:rsid w:val="6E564335"/>
    <w:rsid w:val="707553CC"/>
    <w:rsid w:val="70912350"/>
    <w:rsid w:val="717A14B1"/>
    <w:rsid w:val="72595B46"/>
    <w:rsid w:val="72DB1512"/>
    <w:rsid w:val="72F325FA"/>
    <w:rsid w:val="74326599"/>
    <w:rsid w:val="7476424E"/>
    <w:rsid w:val="74B92939"/>
    <w:rsid w:val="751D3393"/>
    <w:rsid w:val="753F3F6E"/>
    <w:rsid w:val="776D4245"/>
    <w:rsid w:val="77F03A2E"/>
    <w:rsid w:val="7916548C"/>
    <w:rsid w:val="797D7BA7"/>
    <w:rsid w:val="7A735A72"/>
    <w:rsid w:val="7A8579F0"/>
    <w:rsid w:val="7A920C25"/>
    <w:rsid w:val="7B11212D"/>
    <w:rsid w:val="7B2C100F"/>
    <w:rsid w:val="7B330BD4"/>
    <w:rsid w:val="7B414473"/>
    <w:rsid w:val="7E3E2339"/>
    <w:rsid w:val="7E4A1249"/>
    <w:rsid w:val="7E8E7B89"/>
    <w:rsid w:val="7F74585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keepNext/>
      <w:pageBreakBefore/>
      <w:numPr>
        <w:ilvl w:val="0"/>
        <w:numId w:val="1"/>
      </w:numPr>
      <w:adjustRightInd/>
      <w:spacing w:before="4000" w:after="330" w:line="578" w:lineRule="auto"/>
      <w:jc w:val="center"/>
      <w:textAlignment w:val="auto"/>
      <w:outlineLvl w:val="0"/>
    </w:pPr>
    <w:rPr>
      <w:rFonts w:eastAsia="¿¬Ìå" w:cs="Times New Roman"/>
      <w:b/>
      <w:bCs/>
      <w:kern w:val="44"/>
      <w:sz w:val="36"/>
      <w:szCs w:val="36"/>
    </w:rPr>
  </w:style>
  <w:style w:type="paragraph" w:styleId="4">
    <w:name w:val="heading 2"/>
    <w:basedOn w:val="1"/>
    <w:next w:val="1"/>
    <w:qFormat/>
    <w:uiPriority w:val="0"/>
    <w:pPr>
      <w:keepNext/>
      <w:keepLines/>
      <w:spacing w:before="60" w:after="60" w:line="413" w:lineRule="auto"/>
      <w:outlineLvl w:val="1"/>
    </w:pPr>
    <w:rPr>
      <w:rFonts w:ascii="Arial" w:hAnsi="Arial" w:eastAsia="黑体"/>
      <w:b/>
      <w:bCs/>
      <w:szCs w:val="32"/>
    </w:rPr>
  </w:style>
  <w:style w:type="paragraph" w:styleId="5">
    <w:name w:val="heading 3"/>
    <w:basedOn w:val="1"/>
    <w:next w:val="1"/>
    <w:link w:val="66"/>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7">
    <w:name w:val="heading 6"/>
    <w:basedOn w:val="1"/>
    <w:next w:val="1"/>
    <w:qFormat/>
    <w:uiPriority w:val="1"/>
    <w:pPr>
      <w:spacing w:before="34"/>
      <w:ind w:left="100"/>
      <w:outlineLvl w:val="6"/>
    </w:pPr>
    <w:rPr>
      <w:rFonts w:ascii="宋体" w:hAnsi="宋体" w:eastAsia="宋体" w:cs="宋体"/>
      <w:b/>
      <w:bCs/>
      <w:sz w:val="24"/>
      <w:szCs w:val="24"/>
    </w:rPr>
  </w:style>
  <w:style w:type="character" w:default="1" w:styleId="25">
    <w:name w:val="Default Paragraph Font"/>
    <w:semiHidden/>
    <w:qFormat/>
    <w:uiPriority w:val="0"/>
  </w:style>
  <w:style w:type="table" w:default="1" w:styleId="23">
    <w:name w:val="Normal Table"/>
    <w:semiHidden/>
    <w:qFormat/>
    <w:uiPriority w:val="0"/>
    <w:tblPr>
      <w:tblCellMar>
        <w:top w:w="0" w:type="dxa"/>
        <w:left w:w="108" w:type="dxa"/>
        <w:bottom w:w="0" w:type="dxa"/>
        <w:right w:w="108" w:type="dxa"/>
      </w:tblCellMar>
    </w:tblPr>
  </w:style>
  <w:style w:type="paragraph" w:styleId="2">
    <w:name w:val="List 2"/>
    <w:basedOn w:val="1"/>
    <w:qFormat/>
    <w:uiPriority w:val="0"/>
    <w:pPr>
      <w:ind w:left="100" w:leftChars="200" w:hanging="200" w:hangingChars="200"/>
    </w:pPr>
    <w:rPr>
      <w:sz w:val="28"/>
    </w:rPr>
  </w:style>
  <w:style w:type="paragraph" w:styleId="8">
    <w:name w:val="Normal Indent"/>
    <w:basedOn w:val="1"/>
    <w:next w:val="1"/>
    <w:qFormat/>
    <w:uiPriority w:val="0"/>
    <w:pPr>
      <w:ind w:firstLine="420"/>
    </w:pPr>
    <w:rPr>
      <w:szCs w:val="20"/>
    </w:rPr>
  </w:style>
  <w:style w:type="paragraph" w:styleId="9">
    <w:name w:val="annotation text"/>
    <w:basedOn w:val="1"/>
    <w:qFormat/>
    <w:uiPriority w:val="0"/>
    <w:pPr>
      <w:jc w:val="left"/>
    </w:pPr>
    <w:rPr>
      <w:rFonts w:ascii="Calibri" w:hAnsi="Calibri" w:eastAsia="宋体" w:cs="Times New Roman"/>
      <w:kern w:val="2"/>
      <w:szCs w:val="22"/>
    </w:rPr>
  </w:style>
  <w:style w:type="paragraph" w:styleId="10">
    <w:name w:val="Body Text"/>
    <w:basedOn w:val="1"/>
    <w:qFormat/>
    <w:uiPriority w:val="1"/>
    <w:rPr>
      <w:rFonts w:ascii="宋体" w:hAnsi="宋体" w:eastAsia="宋体" w:cs="宋体"/>
      <w:sz w:val="24"/>
      <w:szCs w:val="24"/>
    </w:rPr>
  </w:style>
  <w:style w:type="paragraph" w:styleId="11">
    <w:name w:val="Body Text Indent"/>
    <w:basedOn w:val="1"/>
    <w:next w:val="12"/>
    <w:qFormat/>
    <w:uiPriority w:val="0"/>
    <w:pPr>
      <w:spacing w:line="200" w:lineRule="exact"/>
      <w:ind w:firstLine="301"/>
    </w:pPr>
    <w:rPr>
      <w:rFonts w:ascii="宋体" w:hAnsi="Courier New"/>
      <w:spacing w:val="-4"/>
      <w:kern w:val="0"/>
      <w:sz w:val="18"/>
      <w:szCs w:val="20"/>
    </w:rPr>
  </w:style>
  <w:style w:type="paragraph" w:styleId="12">
    <w:name w:val="envelope return"/>
    <w:basedOn w:val="1"/>
    <w:qFormat/>
    <w:uiPriority w:val="0"/>
    <w:pPr>
      <w:snapToGrid w:val="0"/>
    </w:pPr>
    <w:rPr>
      <w:rFonts w:ascii="Arial" w:hAnsi="Arial" w:eastAsia="宋体" w:cs="Times New Roman"/>
    </w:rPr>
  </w:style>
  <w:style w:type="paragraph" w:styleId="13">
    <w:name w:val="toc 3"/>
    <w:basedOn w:val="1"/>
    <w:next w:val="1"/>
    <w:qFormat/>
    <w:uiPriority w:val="0"/>
    <w:pPr>
      <w:ind w:left="840" w:leftChars="400"/>
    </w:pPr>
  </w:style>
  <w:style w:type="paragraph" w:styleId="14">
    <w:name w:val="Plain Text"/>
    <w:basedOn w:val="1"/>
    <w:next w:val="6"/>
    <w:qFormat/>
    <w:uiPriority w:val="0"/>
    <w:rPr>
      <w:rFonts w:ascii="宋体" w:hAnsi="Courier New"/>
      <w:szCs w:val="20"/>
    </w:rPr>
  </w:style>
  <w:style w:type="paragraph" w:styleId="15">
    <w:name w:val="Body Text Indent 2"/>
    <w:basedOn w:val="1"/>
    <w:qFormat/>
    <w:uiPriority w:val="0"/>
    <w:pPr>
      <w:adjustRightInd/>
      <w:spacing w:line="360" w:lineRule="auto"/>
      <w:ind w:right="-288" w:rightChars="-137" w:firstLine="420"/>
      <w:textAlignment w:val="auto"/>
    </w:pPr>
    <w:rPr>
      <w:rFonts w:ascii="仿宋_GB2312" w:hAnsi="宋体" w:eastAsia="仿宋_GB2312" w:cs="Times New Roman"/>
      <w:bCs/>
      <w:kern w:val="2"/>
      <w:sz w:val="28"/>
      <w:szCs w:val="24"/>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8">
    <w:name w:val="toc 1"/>
    <w:basedOn w:val="1"/>
    <w:next w:val="1"/>
    <w:qFormat/>
    <w:uiPriority w:val="0"/>
  </w:style>
  <w:style w:type="paragraph" w:styleId="19">
    <w:name w:val="toc 2"/>
    <w:basedOn w:val="1"/>
    <w:next w:val="1"/>
    <w:qFormat/>
    <w:uiPriority w:val="0"/>
    <w:pPr>
      <w:ind w:left="420" w:leftChars="200"/>
    </w:pPr>
  </w:style>
  <w:style w:type="paragraph" w:styleId="20">
    <w:name w:val="Normal (Web)"/>
    <w:basedOn w:val="1"/>
    <w:qFormat/>
    <w:uiPriority w:val="0"/>
    <w:pPr>
      <w:spacing w:before="100" w:beforeAutospacing="1" w:after="100" w:afterAutospacing="1"/>
      <w:jc w:val="left"/>
    </w:pPr>
    <w:rPr>
      <w:rFonts w:ascii="宋体" w:hAnsi="宋体"/>
      <w:sz w:val="24"/>
      <w:szCs w:val="24"/>
    </w:rPr>
  </w:style>
  <w:style w:type="paragraph" w:styleId="21">
    <w:name w:val="Title"/>
    <w:basedOn w:val="1"/>
    <w:next w:val="1"/>
    <w:qFormat/>
    <w:uiPriority w:val="0"/>
    <w:pPr>
      <w:spacing w:before="240" w:after="60"/>
      <w:jc w:val="center"/>
      <w:outlineLvl w:val="0"/>
    </w:pPr>
    <w:rPr>
      <w:rFonts w:ascii="Cambria" w:hAnsi="Cambria" w:cs="Times New Roman"/>
      <w:b/>
      <w:bCs/>
      <w:sz w:val="32"/>
      <w:szCs w:val="32"/>
    </w:rPr>
  </w:style>
  <w:style w:type="paragraph" w:styleId="22">
    <w:name w:val="Body Text First Indent 2"/>
    <w:basedOn w:val="11"/>
    <w:qFormat/>
    <w:uiPriority w:val="0"/>
    <w:pPr>
      <w:ind w:left="420" w:firstLine="420" w:firstLineChars="200"/>
    </w:pPr>
    <w:rPr>
      <w:rFonts w:ascii="Times New Roman" w:hAnsi="Times New Roman" w:eastAsia="宋体" w:cs="Times New Roman"/>
    </w:r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rPr>
  </w:style>
  <w:style w:type="character" w:styleId="27">
    <w:name w:val="page number"/>
    <w:basedOn w:val="25"/>
    <w:qFormat/>
    <w:uiPriority w:val="0"/>
  </w:style>
  <w:style w:type="character" w:styleId="28">
    <w:name w:val="HTML Sample"/>
    <w:basedOn w:val="25"/>
    <w:qFormat/>
    <w:uiPriority w:val="0"/>
    <w:rPr>
      <w:rFonts w:ascii="Courier New" w:hAnsi="Courier New"/>
    </w:rPr>
  </w:style>
  <w:style w:type="paragraph" w:customStyle="1" w:styleId="29">
    <w:name w:val="表格文字"/>
    <w:basedOn w:val="1"/>
    <w:qFormat/>
    <w:uiPriority w:val="0"/>
    <w:pPr>
      <w:adjustRightInd w:val="0"/>
      <w:spacing w:line="300" w:lineRule="exact"/>
      <w:jc w:val="left"/>
    </w:pPr>
    <w:rPr>
      <w:rFonts w:ascii="宋体" w:hAnsi="宋体" w:eastAsia="仿宋_GB2312"/>
      <w:szCs w:val="21"/>
    </w:rPr>
  </w:style>
  <w:style w:type="paragraph" w:customStyle="1" w:styleId="30">
    <w:name w:val="MSG_EN_FONT_STYLE_NAME_TEMPLATE_ROLE_LEVEL MSG_EN_FONT_STYLE_NAME_BY_ROLE_HEADING 4"/>
    <w:basedOn w:val="1"/>
    <w:link w:val="31"/>
    <w:unhideWhenUsed/>
    <w:qFormat/>
    <w:uiPriority w:val="99"/>
    <w:pPr>
      <w:shd w:val="clear" w:color="auto" w:fill="FFFFFF"/>
      <w:spacing w:beforeLines="0" w:after="720" w:afterLines="0" w:line="240" w:lineRule="atLeast"/>
      <w:jc w:val="center"/>
      <w:outlineLvl w:val="3"/>
    </w:pPr>
    <w:rPr>
      <w:rFonts w:hint="eastAsia" w:ascii="宋体" w:hAnsi="宋体" w:eastAsia="宋体"/>
      <w:b/>
      <w:sz w:val="30"/>
    </w:rPr>
  </w:style>
  <w:style w:type="character" w:customStyle="1" w:styleId="31">
    <w:name w:val="MSG_EN_FONT_STYLE_NAME_TEMPLATE_ROLE_LEVEL MSG_EN_FONT_STYLE_NAME_BY_ROLE_HEADING 4_"/>
    <w:basedOn w:val="25"/>
    <w:link w:val="30"/>
    <w:unhideWhenUsed/>
    <w:qFormat/>
    <w:uiPriority w:val="99"/>
    <w:rPr>
      <w:rFonts w:hint="eastAsia" w:ascii="宋体" w:hAnsi="宋体" w:eastAsia="宋体"/>
      <w:b/>
      <w:sz w:val="30"/>
    </w:rPr>
  </w:style>
  <w:style w:type="paragraph" w:customStyle="1" w:styleId="32">
    <w:name w:val="MSG_EN_FONT_STYLE_NAME_TEMPLATE_ROLE MSG_EN_FONT_STYLE_NAME_BY_ROLE_TEXT"/>
    <w:basedOn w:val="1"/>
    <w:link w:val="33"/>
    <w:unhideWhenUsed/>
    <w:qFormat/>
    <w:uiPriority w:val="99"/>
    <w:pPr>
      <w:shd w:val="clear" w:color="auto" w:fill="FFFFFF"/>
      <w:spacing w:before="720" w:beforeLines="0" w:afterLines="0" w:line="317" w:lineRule="exact"/>
      <w:ind w:hanging="840"/>
      <w:jc w:val="distribute"/>
    </w:pPr>
    <w:rPr>
      <w:rFonts w:hint="eastAsia" w:ascii="宋体" w:hAnsi="宋体" w:eastAsia="宋体"/>
      <w:sz w:val="19"/>
    </w:rPr>
  </w:style>
  <w:style w:type="character" w:customStyle="1" w:styleId="33">
    <w:name w:val="MSG_EN_FONT_STYLE_NAME_TEMPLATE_ROLE MSG_EN_FONT_STYLE_NAME_BY_ROLE_TEXT_"/>
    <w:basedOn w:val="25"/>
    <w:link w:val="32"/>
    <w:unhideWhenUsed/>
    <w:qFormat/>
    <w:uiPriority w:val="99"/>
    <w:rPr>
      <w:rFonts w:hint="eastAsia" w:ascii="宋体" w:hAnsi="宋体" w:eastAsia="宋体"/>
      <w:sz w:val="19"/>
    </w:rPr>
  </w:style>
  <w:style w:type="paragraph" w:customStyle="1" w:styleId="34">
    <w:name w:val="MSG_EN_FONT_STYLE_NAME_TEMPLATE_ROLE_LEVEL MSG_EN_FONT_STYLE_NAME_BY_ROLE_HEADING 6"/>
    <w:basedOn w:val="1"/>
    <w:link w:val="35"/>
    <w:unhideWhenUsed/>
    <w:qFormat/>
    <w:uiPriority w:val="99"/>
    <w:pPr>
      <w:shd w:val="clear" w:color="auto" w:fill="FFFFFF"/>
      <w:spacing w:beforeLines="0" w:afterLines="0" w:line="317" w:lineRule="exact"/>
      <w:jc w:val="distribute"/>
      <w:outlineLvl w:val="5"/>
    </w:pPr>
    <w:rPr>
      <w:rFonts w:hint="eastAsia" w:ascii="宋体" w:hAnsi="宋体" w:eastAsia="宋体"/>
      <w:b/>
      <w:sz w:val="19"/>
    </w:rPr>
  </w:style>
  <w:style w:type="character" w:customStyle="1" w:styleId="35">
    <w:name w:val="MSG_EN_FONT_STYLE_NAME_TEMPLATE_ROLE_LEVEL MSG_EN_FONT_STYLE_NAME_BY_ROLE_HEADING 6_"/>
    <w:basedOn w:val="25"/>
    <w:link w:val="34"/>
    <w:unhideWhenUsed/>
    <w:qFormat/>
    <w:uiPriority w:val="99"/>
    <w:rPr>
      <w:rFonts w:hint="eastAsia" w:ascii="宋体" w:hAnsi="宋体" w:eastAsia="宋体"/>
      <w:b/>
      <w:sz w:val="19"/>
    </w:rPr>
  </w:style>
  <w:style w:type="paragraph" w:customStyle="1" w:styleId="36">
    <w:name w:val="MSG_EN_FONT_STYLE_NAME_TEMPLATE_ROLE_NUMBER MSG_EN_FONT_STYLE_NAME_BY_ROLE_TEXT 4"/>
    <w:basedOn w:val="1"/>
    <w:link w:val="38"/>
    <w:unhideWhenUsed/>
    <w:qFormat/>
    <w:uiPriority w:val="99"/>
    <w:pPr>
      <w:shd w:val="clear" w:color="auto" w:fill="FFFFFF"/>
      <w:spacing w:beforeLines="0" w:afterLines="0" w:line="317" w:lineRule="exact"/>
      <w:ind w:firstLine="420"/>
      <w:jc w:val="distribute"/>
    </w:pPr>
    <w:rPr>
      <w:rFonts w:hint="default" w:ascii="宋体" w:hAnsi="宋体" w:eastAsia="宋体"/>
      <w:b/>
      <w:sz w:val="20"/>
      <w:lang w:val="en-US" w:eastAsia="en-US"/>
    </w:rPr>
  </w:style>
  <w:style w:type="character" w:customStyle="1" w:styleId="37">
    <w:name w:val="MSG_EN_FONT_STYLE_NAME_TEMPLATE_ROLE_NUMBER MSG_EN_FONT_STYLE_NAME_BY_ROLE_TEXT 4 + MSG_EN_FONT_STYLE_MODIFER_SIZE 9.5"/>
    <w:basedOn w:val="38"/>
    <w:unhideWhenUsed/>
    <w:qFormat/>
    <w:uiPriority w:val="99"/>
    <w:rPr>
      <w:rFonts w:hint="eastAsia" w:ascii="宋体" w:hAnsi="宋体" w:eastAsia="宋体"/>
      <w:b w:val="0"/>
      <w:sz w:val="19"/>
    </w:rPr>
  </w:style>
  <w:style w:type="character" w:customStyle="1" w:styleId="38">
    <w:name w:val="MSG_EN_FONT_STYLE_NAME_TEMPLATE_ROLE_NUMBER MSG_EN_FONT_STYLE_NAME_BY_ROLE_TEXT 4_"/>
    <w:basedOn w:val="25"/>
    <w:link w:val="36"/>
    <w:unhideWhenUsed/>
    <w:qFormat/>
    <w:uiPriority w:val="99"/>
    <w:rPr>
      <w:rFonts w:hint="default" w:ascii="宋体" w:hAnsi="宋体" w:eastAsia="宋体"/>
      <w:b/>
      <w:sz w:val="20"/>
      <w:lang w:val="en-US" w:eastAsia="en-US"/>
    </w:rPr>
  </w:style>
  <w:style w:type="character" w:customStyle="1" w:styleId="39">
    <w:name w:val="MSG_EN_FONT_STYLE_NAME_TEMPLATE_ROLE MSG_EN_FONT_STYLE_NAME_BY_ROLE_TEXT + MSG_EN_FONT_STYLE_MODIFER_BOLD"/>
    <w:basedOn w:val="33"/>
    <w:unhideWhenUsed/>
    <w:qFormat/>
    <w:uiPriority w:val="99"/>
    <w:rPr>
      <w:rFonts w:hint="eastAsia"/>
      <w:b/>
      <w:sz w:val="19"/>
    </w:rPr>
  </w:style>
  <w:style w:type="character" w:customStyle="1" w:styleId="40">
    <w:name w:val="MSG_EN_FONT_STYLE_NAME_TEMPLATE_ROLE MSG_EN_FONT_STYLE_NAME_BY_ROLE_TEXT1"/>
    <w:basedOn w:val="33"/>
    <w:unhideWhenUsed/>
    <w:qFormat/>
    <w:uiPriority w:val="99"/>
    <w:rPr>
      <w:rFonts w:hint="default" w:ascii="宋体" w:hAnsi="宋体" w:eastAsia="宋体"/>
      <w:sz w:val="19"/>
      <w:lang w:val="en-US" w:eastAsia="en-US"/>
    </w:rPr>
  </w:style>
  <w:style w:type="paragraph" w:customStyle="1" w:styleId="41">
    <w:name w:val="MSG_EN_FONT_STYLE_NAME_TEMPLATE_ROLE_NUMBER MSG_EN_FONT_STYLE_NAME_BY_ROLE_TEXT 5"/>
    <w:basedOn w:val="1"/>
    <w:link w:val="43"/>
    <w:unhideWhenUsed/>
    <w:qFormat/>
    <w:uiPriority w:val="99"/>
    <w:pPr>
      <w:shd w:val="clear" w:color="auto" w:fill="FFFFFF"/>
      <w:spacing w:beforeLines="0" w:afterLines="0" w:line="317" w:lineRule="exact"/>
      <w:jc w:val="distribute"/>
    </w:pPr>
    <w:rPr>
      <w:rFonts w:hint="default" w:ascii="宋体" w:hAnsi="宋体" w:eastAsia="宋体"/>
      <w:sz w:val="19"/>
      <w:lang w:val="en-US" w:eastAsia="en-US"/>
    </w:rPr>
  </w:style>
  <w:style w:type="character" w:customStyle="1" w:styleId="42">
    <w:name w:val="MSG_EN_FONT_STYLE_NAME_TEMPLATE_ROLE_NUMBER MSG_EN_FONT_STYLE_NAME_BY_ROLE_TEXT 5 + MSG_EN_FONT_STYLE_MODIFER_BOLD"/>
    <w:basedOn w:val="43"/>
    <w:unhideWhenUsed/>
    <w:qFormat/>
    <w:uiPriority w:val="99"/>
    <w:rPr>
      <w:rFonts w:hint="eastAsia" w:ascii="宋体" w:hAnsi="宋体" w:eastAsia="宋体"/>
      <w:b/>
      <w:sz w:val="19"/>
    </w:rPr>
  </w:style>
  <w:style w:type="character" w:customStyle="1" w:styleId="43">
    <w:name w:val="MSG_EN_FONT_STYLE_NAME_TEMPLATE_ROLE_NUMBER MSG_EN_FONT_STYLE_NAME_BY_ROLE_TEXT 5_"/>
    <w:basedOn w:val="25"/>
    <w:link w:val="41"/>
    <w:unhideWhenUsed/>
    <w:qFormat/>
    <w:uiPriority w:val="99"/>
    <w:rPr>
      <w:rFonts w:hint="default" w:ascii="宋体" w:hAnsi="宋体" w:eastAsia="宋体"/>
      <w:sz w:val="19"/>
      <w:lang w:val="en-US" w:eastAsia="en-US"/>
    </w:rPr>
  </w:style>
  <w:style w:type="character" w:customStyle="1" w:styleId="44">
    <w:name w:val="MSG_EN_FONT_STYLE_NAME_TEMPLATE_ROLE_NUMBER MSG_EN_FONT_STYLE_NAME_BY_ROLE_TEXT 51"/>
    <w:basedOn w:val="43"/>
    <w:unhideWhenUsed/>
    <w:qFormat/>
    <w:uiPriority w:val="99"/>
    <w:rPr>
      <w:rFonts w:hint="eastAsia" w:ascii="宋体" w:hAnsi="宋体" w:eastAsia="宋体"/>
      <w:sz w:val="19"/>
    </w:rPr>
  </w:style>
  <w:style w:type="paragraph" w:customStyle="1" w:styleId="45">
    <w:name w:val="1"/>
    <w:basedOn w:val="1"/>
    <w:next w:val="14"/>
    <w:qFormat/>
    <w:uiPriority w:val="0"/>
    <w:rPr>
      <w:rFonts w:ascii="宋体" w:hAnsi="Courier New"/>
      <w:szCs w:val="20"/>
    </w:rPr>
  </w:style>
  <w:style w:type="paragraph" w:customStyle="1" w:styleId="46">
    <w:name w:val="MSG_EN_FONT_STYLE_NAME_TEMPLATE_ROLE_NUMBER MSG_EN_FONT_STYLE_NAME_BY_ROLE_TEXT 6"/>
    <w:basedOn w:val="1"/>
    <w:link w:val="47"/>
    <w:unhideWhenUsed/>
    <w:qFormat/>
    <w:uiPriority w:val="99"/>
    <w:pPr>
      <w:shd w:val="clear" w:color="auto" w:fill="FFFFFF"/>
      <w:spacing w:beforeLines="0" w:afterLines="0" w:line="240" w:lineRule="atLeast"/>
      <w:jc w:val="center"/>
    </w:pPr>
    <w:rPr>
      <w:rFonts w:hint="eastAsia" w:ascii="宋体" w:hAnsi="宋体" w:eastAsia="宋体"/>
      <w:b/>
      <w:sz w:val="19"/>
    </w:rPr>
  </w:style>
  <w:style w:type="character" w:customStyle="1" w:styleId="47">
    <w:name w:val="MSG_EN_FONT_STYLE_NAME_TEMPLATE_ROLE_NUMBER MSG_EN_FONT_STYLE_NAME_BY_ROLE_TEXT 6_"/>
    <w:basedOn w:val="25"/>
    <w:link w:val="46"/>
    <w:unhideWhenUsed/>
    <w:qFormat/>
    <w:uiPriority w:val="99"/>
    <w:rPr>
      <w:rFonts w:hint="eastAsia" w:ascii="宋体" w:hAnsi="宋体" w:eastAsia="宋体"/>
      <w:b/>
      <w:sz w:val="19"/>
    </w:rPr>
  </w:style>
  <w:style w:type="character" w:customStyle="1" w:styleId="48">
    <w:name w:val="MSG_EN_FONT_STYLE_NAME_TEMPLATE_ROLE MSG_EN_FONT_STYLE_NAME_BY_ROLE_TEXT + MSG_EN_FONT_STYLE_MODIFER_SIZE 4"/>
    <w:basedOn w:val="33"/>
    <w:unhideWhenUsed/>
    <w:qFormat/>
    <w:uiPriority w:val="99"/>
    <w:rPr>
      <w:rFonts w:hint="eastAsia"/>
      <w:w w:val="10"/>
      <w:sz w:val="8"/>
    </w:rPr>
  </w:style>
  <w:style w:type="character" w:customStyle="1" w:styleId="49">
    <w:name w:val="MSG_EN_FONT_STYLE_NAME_TEMPLATE_ROLE_NUMBER MSG_EN_FONT_STYLE_NAME_BY_ROLE_TEXT 6 + MSG_EN_FONT_STYLE_MODIFER_NOT_BOLD"/>
    <w:basedOn w:val="47"/>
    <w:unhideWhenUsed/>
    <w:qFormat/>
    <w:uiPriority w:val="99"/>
    <w:rPr>
      <w:rFonts w:hint="eastAsia"/>
      <w:b w:val="0"/>
      <w:sz w:val="19"/>
    </w:rPr>
  </w:style>
  <w:style w:type="paragraph" w:customStyle="1" w:styleId="50">
    <w:name w:val="MSG_EN_FONT_STYLE_NAME_TEMPLATE_ROLE_NUMBER MSG_EN_FONT_STYLE_NAME_BY_ROLE_TEXT 18"/>
    <w:basedOn w:val="1"/>
    <w:link w:val="51"/>
    <w:unhideWhenUsed/>
    <w:qFormat/>
    <w:uiPriority w:val="99"/>
    <w:pPr>
      <w:shd w:val="clear" w:color="auto" w:fill="FFFFFF"/>
      <w:spacing w:beforeLines="0" w:afterLines="0" w:line="240" w:lineRule="atLeast"/>
      <w:jc w:val="center"/>
    </w:pPr>
    <w:rPr>
      <w:rFonts w:hint="eastAsia"/>
      <w:sz w:val="8"/>
      <w:lang w:val="en-US" w:eastAsia="en-US"/>
    </w:rPr>
  </w:style>
  <w:style w:type="character" w:customStyle="1" w:styleId="51">
    <w:name w:val="MSG_EN_FONT_STYLE_NAME_TEMPLATE_ROLE_NUMBER MSG_EN_FONT_STYLE_NAME_BY_ROLE_TEXT 18_"/>
    <w:basedOn w:val="25"/>
    <w:link w:val="50"/>
    <w:autoRedefine/>
    <w:unhideWhenUsed/>
    <w:qFormat/>
    <w:uiPriority w:val="99"/>
    <w:rPr>
      <w:rFonts w:hint="eastAsia"/>
      <w:sz w:val="8"/>
      <w:lang w:val="en-US" w:eastAsia="en-US"/>
    </w:rPr>
  </w:style>
  <w:style w:type="character" w:customStyle="1" w:styleId="52">
    <w:name w:val="MSG_EN_FONT_STYLE_NAME_TEMPLATE_ROLE_NUMBER MSG_EN_FONT_STYLE_NAME_BY_ROLE_TEXT 18 + MSG_EN_FONT_STYLE_MODIFER_NAME SimSun"/>
    <w:basedOn w:val="51"/>
    <w:unhideWhenUsed/>
    <w:qFormat/>
    <w:uiPriority w:val="99"/>
    <w:rPr>
      <w:rFonts w:hint="eastAsia" w:ascii="宋体" w:hAnsi="宋体" w:eastAsia="宋体"/>
      <w:w w:val="250"/>
      <w:sz w:val="8"/>
    </w:rPr>
  </w:style>
  <w:style w:type="character" w:customStyle="1" w:styleId="53">
    <w:name w:val="font11"/>
    <w:basedOn w:val="25"/>
    <w:qFormat/>
    <w:uiPriority w:val="0"/>
    <w:rPr>
      <w:rFonts w:hint="eastAsia" w:ascii="宋体" w:hAnsi="宋体" w:eastAsia="宋体" w:cs="宋体"/>
      <w:color w:val="000000"/>
      <w:sz w:val="18"/>
      <w:szCs w:val="18"/>
      <w:u w:val="none"/>
    </w:rPr>
  </w:style>
  <w:style w:type="character" w:customStyle="1" w:styleId="54">
    <w:name w:val="font01"/>
    <w:basedOn w:val="25"/>
    <w:qFormat/>
    <w:uiPriority w:val="0"/>
    <w:rPr>
      <w:rFonts w:hint="default" w:ascii="Calibri" w:hAnsi="Calibri" w:cs="Calibri"/>
      <w:color w:val="000000"/>
      <w:sz w:val="18"/>
      <w:szCs w:val="18"/>
      <w:u w:val="none"/>
    </w:rPr>
  </w:style>
  <w:style w:type="paragraph" w:customStyle="1" w:styleId="55">
    <w:name w:val="Table Paragraph"/>
    <w:basedOn w:val="1"/>
    <w:qFormat/>
    <w:uiPriority w:val="1"/>
    <w:rPr>
      <w:rFonts w:ascii="宋体" w:hAnsi="宋体" w:eastAsia="宋体" w:cs="宋体"/>
    </w:rPr>
  </w:style>
  <w:style w:type="paragraph" w:customStyle="1" w:styleId="56">
    <w:name w:val="正文呀2"/>
    <w:basedOn w:val="57"/>
    <w:qFormat/>
    <w:uiPriority w:val="0"/>
  </w:style>
  <w:style w:type="paragraph" w:customStyle="1" w:styleId="57">
    <w:name w:val="正文呀"/>
    <w:basedOn w:val="1"/>
    <w:qFormat/>
    <w:uiPriority w:val="0"/>
    <w:pPr>
      <w:adjustRightInd/>
      <w:spacing w:line="420" w:lineRule="exact"/>
      <w:ind w:firstLine="420" w:firstLineChars="200"/>
      <w:textAlignment w:val="auto"/>
    </w:pPr>
    <w:rPr>
      <w:rFonts w:ascii="宋体" w:hAnsi="宋体" w:eastAsia="微软雅黑" w:cs="Times New Roman"/>
      <w:kern w:val="2"/>
      <w:szCs w:val="21"/>
    </w:rPr>
  </w:style>
  <w:style w:type="paragraph" w:customStyle="1" w:styleId="58">
    <w:name w:val="正文小标题"/>
    <w:basedOn w:val="3"/>
    <w:qFormat/>
    <w:uiPriority w:val="0"/>
    <w:pPr>
      <w:keepLines/>
      <w:pageBreakBefore w:val="0"/>
      <w:numPr>
        <w:ilvl w:val="0"/>
        <w:numId w:val="0"/>
      </w:numPr>
      <w:spacing w:before="340" w:line="420" w:lineRule="exact"/>
      <w:jc w:val="both"/>
    </w:pPr>
    <w:rPr>
      <w:rFonts w:ascii="Calibri" w:hAnsi="宋体" w:eastAsia="微软雅黑"/>
      <w:b w:val="0"/>
      <w:bCs w:val="0"/>
      <w:kern w:val="0"/>
      <w:sz w:val="21"/>
      <w:szCs w:val="21"/>
    </w:rPr>
  </w:style>
  <w:style w:type="paragraph" w:customStyle="1" w:styleId="59">
    <w:name w:val="Blockquote"/>
    <w:basedOn w:val="1"/>
    <w:autoRedefine/>
    <w:qFormat/>
    <w:uiPriority w:val="0"/>
    <w:pPr>
      <w:autoSpaceDE w:val="0"/>
      <w:autoSpaceDN w:val="0"/>
      <w:spacing w:before="100" w:after="100" w:line="240" w:lineRule="auto"/>
      <w:ind w:left="360" w:right="360"/>
      <w:jc w:val="left"/>
      <w:textAlignment w:val="auto"/>
    </w:pPr>
    <w:rPr>
      <w:rFonts w:ascii="Times New Roman" w:hAnsi="Times New Roman" w:cs="Times New Roman"/>
      <w:sz w:val="24"/>
    </w:rPr>
  </w:style>
  <w:style w:type="paragraph" w:customStyle="1" w:styleId="60">
    <w:name w:val="bb"/>
    <w:basedOn w:val="1"/>
    <w:autoRedefine/>
    <w:qFormat/>
    <w:uiPriority w:val="0"/>
    <w:pPr>
      <w:widowControl/>
      <w:adjustRightInd/>
      <w:spacing w:before="100" w:beforeAutospacing="1" w:after="100" w:afterAutospacing="1" w:line="240" w:lineRule="auto"/>
      <w:jc w:val="left"/>
      <w:textAlignment w:val="auto"/>
    </w:pPr>
    <w:rPr>
      <w:rFonts w:hint="eastAsia"/>
      <w:sz w:val="24"/>
      <w:szCs w:val="24"/>
    </w:rPr>
  </w:style>
  <w:style w:type="character" w:customStyle="1" w:styleId="61">
    <w:name w:val="标题 3 Char"/>
    <w:link w:val="5"/>
    <w:qFormat/>
    <w:uiPriority w:val="0"/>
    <w:rPr>
      <w:b/>
      <w:sz w:val="32"/>
    </w:rPr>
  </w:style>
  <w:style w:type="paragraph" w:customStyle="1" w:styleId="6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3">
    <w:name w:val="Body Text First Indent 21"/>
    <w:basedOn w:val="11"/>
    <w:qFormat/>
    <w:uiPriority w:val="0"/>
    <w:pPr>
      <w:spacing w:after="120"/>
      <w:ind w:left="420" w:leftChars="200" w:firstLine="420" w:firstLineChars="200"/>
    </w:pPr>
    <w:rPr>
      <w:rFonts w:hint="eastAsia" w:hAnsi="Times New Roman"/>
      <w:kern w:val="0"/>
      <w:sz w:val="24"/>
    </w:rPr>
  </w:style>
  <w:style w:type="paragraph" w:customStyle="1" w:styleId="64">
    <w:name w:val="_Style 1"/>
    <w:basedOn w:val="1"/>
    <w:qFormat/>
    <w:uiPriority w:val="0"/>
  </w:style>
  <w:style w:type="paragraph" w:styleId="65">
    <w:name w:val="List Paragraph"/>
    <w:basedOn w:val="1"/>
    <w:qFormat/>
    <w:uiPriority w:val="99"/>
    <w:pPr>
      <w:ind w:firstLine="420" w:firstLineChars="200"/>
    </w:pPr>
  </w:style>
  <w:style w:type="character" w:customStyle="1" w:styleId="66">
    <w:name w:val="标题 3 字符"/>
    <w:link w:val="5"/>
    <w:autoRedefine/>
    <w:qFormat/>
    <w:uiPriority w:val="0"/>
    <w:rPr>
      <w:rFonts w:ascii="Calibri" w:hAnsi="Calibri" w:eastAsia="宋体"/>
      <w:b/>
      <w:sz w:val="32"/>
    </w:rPr>
  </w:style>
  <w:style w:type="paragraph" w:customStyle="1" w:styleId="67">
    <w:name w:val="目录 81"/>
    <w:basedOn w:val="1"/>
    <w:next w:val="1"/>
    <w:qFormat/>
    <w:uiPriority w:val="0"/>
    <w:pPr>
      <w:ind w:left="1470"/>
    </w:pPr>
    <w:rPr>
      <w:sz w:val="18"/>
    </w:rPr>
  </w:style>
  <w:style w:type="table" w:customStyle="1" w:styleId="68">
    <w:name w:val="Table Normal"/>
    <w:semiHidden/>
    <w:unhideWhenUsed/>
    <w:qFormat/>
    <w:uiPriority w:val="0"/>
    <w:tblPr>
      <w:tblCellMar>
        <w:top w:w="0" w:type="dxa"/>
        <w:left w:w="0" w:type="dxa"/>
        <w:bottom w:w="0" w:type="dxa"/>
        <w:right w:w="0" w:type="dxa"/>
      </w:tblCellMar>
    </w:tblPr>
  </w:style>
  <w:style w:type="paragraph" w:customStyle="1" w:styleId="69">
    <w:name w:val="&gt;公告 正文"/>
    <w:autoRedefine/>
    <w:qFormat/>
    <w:uiPriority w:val="0"/>
    <w:pPr>
      <w:spacing w:line="360" w:lineRule="auto"/>
      <w:ind w:firstLine="480" w:firstLineChars="200"/>
    </w:pPr>
    <w:rPr>
      <w:rFonts w:ascii="宋体" w:hAnsi="宋体"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80</Pages>
  <Words>250</Words>
  <Characters>298</Characters>
  <Lines>0</Lines>
  <Paragraphs>0</Paragraphs>
  <TotalTime>81</TotalTime>
  <ScaleCrop>false</ScaleCrop>
  <LinksUpToDate>false</LinksUpToDate>
  <CharactersWithSpaces>343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2019-05-09T02:10:00Z</dcterms:created>
  <dc:creator>如果</dc:creator>
  <cp:lastModifiedBy>罗</cp:lastModifiedBy>
  <cp:lastPrinted>2025-06-23T04:12:00Z</cp:lastPrinted>
  <dcterms:modified xsi:type="dcterms:W3CDTF">2026-06-11T08:37:37Z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49BB9B31124846C0BE3487F325397A8F_13</vt:lpwstr>
  </property>
  <property fmtid="{D5CDD505-2E9C-101B-9397-08002B2CF9AE}" pid="4" name="KSOTemplateDocerSaveRecord">
    <vt:lpwstr>eyJoZGlkIjoiZjJlNDliY2QzODFmNjE5YWEzOWIzYjcxYWVkNmZmZGQiLCJ1c2VySWQiOiIzNTcxNzMwODUifQ==</vt:lpwstr>
  </property>
</Properties>
</file>