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C258">
      <w:pPr>
        <w:snapToGrid w:val="0"/>
        <w:spacing w:before="120" w:beforeLines="50" w:line="360" w:lineRule="auto"/>
        <w:jc w:val="center"/>
        <w:rPr>
          <w:rFonts w:hint="eastAsia" w:ascii="宋体" w:hAnsi="宋体" w:eastAsia="宋体" w:cs="宋体"/>
          <w:b/>
          <w:color w:val="000000" w:themeColor="text1"/>
          <w:sz w:val="48"/>
          <w:szCs w:val="48"/>
          <w:highlight w:val="none"/>
          <w:lang w:eastAsia="zh-CN"/>
          <w14:textFill>
            <w14:solidFill>
              <w14:schemeClr w14:val="tx1"/>
            </w14:solidFill>
          </w14:textFill>
        </w:rPr>
      </w:pPr>
      <w:bookmarkStart w:id="575" w:name="_GoBack"/>
      <w:bookmarkStart w:id="0" w:name="_Toc434315322"/>
      <w:r>
        <w:rPr>
          <w:rFonts w:hint="eastAsia" w:ascii="宋体" w:hAnsi="宋体" w:cs="宋体"/>
          <w:b/>
          <w:color w:val="000000" w:themeColor="text1"/>
          <w:sz w:val="48"/>
          <w:szCs w:val="48"/>
          <w:highlight w:val="none"/>
          <w:lang w:eastAsia="zh-CN"/>
          <w14:textFill>
            <w14:solidFill>
              <w14:schemeClr w14:val="tx1"/>
            </w14:solidFill>
          </w14:textFill>
        </w:rPr>
        <w:t xml:space="preserve">广西中佰项目管理有限公司 </w:t>
      </w:r>
    </w:p>
    <w:p w14:paraId="67F8F666">
      <w:pPr>
        <w:pStyle w:val="13"/>
        <w:ind w:firstLine="105"/>
        <w:jc w:val="center"/>
        <w:rPr>
          <w:rFonts w:hint="eastAsia" w:hAnsi="宋体" w:cs="宋体"/>
          <w:color w:val="000000" w:themeColor="text1"/>
          <w:highlight w:val="none"/>
          <w14:textFill>
            <w14:solidFill>
              <w14:schemeClr w14:val="tx1"/>
            </w14:solidFill>
          </w14:textFill>
        </w:rPr>
      </w:pPr>
    </w:p>
    <w:p w14:paraId="16ABAC8E">
      <w:pPr>
        <w:spacing w:line="360" w:lineRule="auto"/>
        <w:jc w:val="center"/>
        <w:rPr>
          <w:rFonts w:hint="eastAsia" w:ascii="宋体" w:hAnsi="宋体" w:cs="宋体"/>
          <w:color w:val="000000" w:themeColor="text1"/>
          <w:highlight w:val="none"/>
          <w14:textFill>
            <w14:solidFill>
              <w14:schemeClr w14:val="tx1"/>
            </w14:solidFill>
          </w14:textFill>
        </w:rPr>
      </w:pPr>
    </w:p>
    <w:p w14:paraId="763E8B34">
      <w:pPr>
        <w:spacing w:line="360" w:lineRule="auto"/>
        <w:jc w:val="left"/>
        <w:rPr>
          <w:rFonts w:hint="eastAsia" w:ascii="宋体" w:hAnsi="宋体" w:cs="宋体"/>
          <w:color w:val="000000" w:themeColor="text1"/>
          <w:highlight w:val="none"/>
          <w14:textFill>
            <w14:solidFill>
              <w14:schemeClr w14:val="tx1"/>
            </w14:solidFill>
          </w14:textFill>
        </w:rPr>
      </w:pPr>
    </w:p>
    <w:p w14:paraId="5352810D">
      <w:pPr>
        <w:spacing w:line="360" w:lineRule="auto"/>
        <w:jc w:val="center"/>
        <w:rPr>
          <w:rFonts w:hint="eastAsia" w:ascii="宋体" w:hAnsi="宋体" w:cs="宋体"/>
          <w:color w:val="000000" w:themeColor="text1"/>
          <w:highlight w:val="none"/>
          <w14:textFill>
            <w14:solidFill>
              <w14:schemeClr w14:val="tx1"/>
            </w14:solidFill>
          </w14:textFill>
        </w:rPr>
      </w:pPr>
    </w:p>
    <w:p w14:paraId="16B730CD">
      <w:pPr>
        <w:spacing w:line="360" w:lineRule="auto"/>
        <w:jc w:val="center"/>
        <w:rPr>
          <w:rFonts w:hint="eastAsia" w:ascii="宋体" w:hAnsi="宋体" w:cs="宋体"/>
          <w:color w:val="000000" w:themeColor="text1"/>
          <w:highlight w:val="none"/>
          <w14:textFill>
            <w14:solidFill>
              <w14:schemeClr w14:val="tx1"/>
            </w14:solidFill>
          </w14:textFill>
        </w:rPr>
      </w:pPr>
    </w:p>
    <w:p w14:paraId="3B95574A">
      <w:pPr>
        <w:spacing w:line="360" w:lineRule="auto"/>
        <w:jc w:val="center"/>
        <w:rPr>
          <w:rFonts w:hint="eastAsia" w:ascii="宋体" w:hAnsi="宋体" w:cs="宋体"/>
          <w:color w:val="000000" w:themeColor="text1"/>
          <w:highlight w:val="none"/>
          <w14:textFill>
            <w14:solidFill>
              <w14:schemeClr w14:val="tx1"/>
            </w14:solidFill>
          </w14:textFill>
        </w:rPr>
      </w:pPr>
    </w:p>
    <w:p w14:paraId="0510CA64">
      <w:pPr>
        <w:spacing w:line="360" w:lineRule="auto"/>
        <w:jc w:val="center"/>
        <w:rPr>
          <w:rFonts w:hint="eastAsia" w:ascii="宋体" w:hAnsi="宋体" w:cs="宋体"/>
          <w:b/>
          <w:color w:val="000000" w:themeColor="text1"/>
          <w:sz w:val="44"/>
          <w:szCs w:val="44"/>
          <w:highlight w:val="none"/>
          <w14:textFill>
            <w14:solidFill>
              <w14:schemeClr w14:val="tx1"/>
            </w14:solidFill>
          </w14:textFill>
        </w:rPr>
      </w:pPr>
    </w:p>
    <w:p w14:paraId="7360827D">
      <w:pPr>
        <w:spacing w:before="120" w:beforeLines="5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84"/>
          <w:szCs w:val="84"/>
          <w:highlight w:val="none"/>
          <w:lang w:val="en-US" w:eastAsia="zh-CN"/>
          <w14:textFill>
            <w14:solidFill>
              <w14:schemeClr w14:val="tx1"/>
            </w14:solidFill>
          </w14:textFill>
        </w:rPr>
        <w:t>竞争性磋商</w:t>
      </w:r>
      <w:r>
        <w:rPr>
          <w:rFonts w:hint="eastAsia" w:ascii="宋体" w:hAnsi="宋体" w:cs="宋体"/>
          <w:b/>
          <w:color w:val="000000" w:themeColor="text1"/>
          <w:sz w:val="84"/>
          <w:szCs w:val="84"/>
          <w:highlight w:val="none"/>
          <w14:textFill>
            <w14:solidFill>
              <w14:schemeClr w14:val="tx1"/>
            </w14:solidFill>
          </w14:textFill>
        </w:rPr>
        <w:t>文件</w:t>
      </w:r>
    </w:p>
    <w:p w14:paraId="22B43879">
      <w:pPr>
        <w:pStyle w:val="29"/>
        <w:ind w:firstLine="640"/>
        <w:rPr>
          <w:rFonts w:hint="eastAsia" w:ascii="宋体" w:hAnsi="宋体" w:eastAsia="宋体" w:cs="宋体"/>
          <w:color w:val="000000" w:themeColor="text1"/>
          <w:highlight w:val="none"/>
          <w14:textFill>
            <w14:solidFill>
              <w14:schemeClr w14:val="tx1"/>
            </w14:solidFill>
          </w14:textFill>
        </w:rPr>
      </w:pPr>
    </w:p>
    <w:p w14:paraId="0B32EA1A">
      <w:pPr>
        <w:pStyle w:val="29"/>
        <w:ind w:firstLine="640"/>
        <w:rPr>
          <w:rFonts w:hint="eastAsia" w:ascii="宋体" w:hAnsi="宋体" w:eastAsia="宋体" w:cs="宋体"/>
          <w:color w:val="000000" w:themeColor="text1"/>
          <w:highlight w:val="none"/>
          <w14:textFill>
            <w14:solidFill>
              <w14:schemeClr w14:val="tx1"/>
            </w14:solidFill>
          </w14:textFill>
        </w:rPr>
      </w:pPr>
    </w:p>
    <w:p w14:paraId="3416B3CB">
      <w:pPr>
        <w:pStyle w:val="29"/>
        <w:ind w:firstLine="640"/>
        <w:rPr>
          <w:rFonts w:hint="eastAsia" w:ascii="宋体" w:hAnsi="宋体" w:eastAsia="宋体" w:cs="宋体"/>
          <w:color w:val="000000" w:themeColor="text1"/>
          <w:highlight w:val="none"/>
          <w14:textFill>
            <w14:solidFill>
              <w14:schemeClr w14:val="tx1"/>
            </w14:solidFill>
          </w14:textFill>
        </w:rPr>
      </w:pPr>
    </w:p>
    <w:p w14:paraId="7546B38A">
      <w:pPr>
        <w:pStyle w:val="29"/>
        <w:ind w:firstLine="0" w:firstLineChars="0"/>
        <w:rPr>
          <w:rFonts w:hint="eastAsia" w:ascii="宋体" w:hAnsi="宋体" w:eastAsia="宋体" w:cs="宋体"/>
          <w:color w:val="000000" w:themeColor="text1"/>
          <w:highlight w:val="none"/>
          <w14:textFill>
            <w14:solidFill>
              <w14:schemeClr w14:val="tx1"/>
            </w14:solidFill>
          </w14:textFill>
        </w:rPr>
      </w:pPr>
    </w:p>
    <w:p w14:paraId="3979F252">
      <w:pPr>
        <w:pStyle w:val="13"/>
        <w:snapToGrid w:val="0"/>
        <w:spacing w:line="672" w:lineRule="auto"/>
        <w:ind w:firstLine="1006" w:firstLineChars="353"/>
        <w:rPr>
          <w:rFonts w:hint="eastAsia" w:hAnsi="宋体" w:cs="宋体"/>
          <w:color w:val="000000" w:themeColor="text1"/>
          <w:w w:val="95"/>
          <w:sz w:val="30"/>
          <w:szCs w:val="30"/>
          <w:highlight w:val="none"/>
          <w:lang w:eastAsia="zh-CN"/>
          <w14:textFill>
            <w14:solidFill>
              <w14:schemeClr w14:val="tx1"/>
            </w14:solidFill>
          </w14:textFill>
        </w:rPr>
      </w:pPr>
    </w:p>
    <w:p w14:paraId="22B947E1">
      <w:pPr>
        <w:pStyle w:val="13"/>
        <w:snapToGrid w:val="0"/>
        <w:spacing w:line="672" w:lineRule="auto"/>
        <w:ind w:left="0" w:leftChars="0" w:firstLine="1057" w:firstLineChars="371"/>
        <w:rPr>
          <w:rFonts w:hint="eastAsia" w:hAnsi="宋体" w:cs="宋体"/>
          <w:color w:val="000000" w:themeColor="text1"/>
          <w:w w:val="95"/>
          <w:sz w:val="30"/>
          <w:szCs w:val="30"/>
          <w:highlight w:val="none"/>
          <w:lang w:val="en-US" w:eastAsia="zh-CN"/>
          <w14:textFill>
            <w14:solidFill>
              <w14:schemeClr w14:val="tx1"/>
            </w14:solidFill>
          </w14:textFill>
        </w:rPr>
      </w:pPr>
      <w:r>
        <w:rPr>
          <w:rFonts w:hint="eastAsia" w:hAnsi="宋体" w:cs="宋体"/>
          <w:color w:val="000000" w:themeColor="text1"/>
          <w:w w:val="95"/>
          <w:sz w:val="30"/>
          <w:szCs w:val="30"/>
          <w:highlight w:val="none"/>
          <w:lang w:eastAsia="zh-CN"/>
          <w14:textFill>
            <w14:solidFill>
              <w14:schemeClr w14:val="tx1"/>
            </w14:solidFill>
          </w14:textFill>
        </w:rPr>
        <w:t>项目名称：浦北县六硍镇南进城路口扩宽建设挡土墙工程项目(二期）</w:t>
      </w:r>
      <w:r>
        <w:rPr>
          <w:rFonts w:hint="eastAsia" w:hAnsi="宋体" w:cs="宋体"/>
          <w:color w:val="000000" w:themeColor="text1"/>
          <w:w w:val="95"/>
          <w:sz w:val="30"/>
          <w:szCs w:val="30"/>
          <w:highlight w:val="none"/>
          <w:lang w:val="en-US" w:eastAsia="zh-CN"/>
          <w14:textFill>
            <w14:solidFill>
              <w14:schemeClr w14:val="tx1"/>
            </w14:solidFill>
          </w14:textFill>
        </w:rPr>
        <w:t xml:space="preserve">           </w:t>
      </w:r>
    </w:p>
    <w:p w14:paraId="7E1EB29B">
      <w:pPr>
        <w:pStyle w:val="13"/>
        <w:snapToGrid w:val="0"/>
        <w:spacing w:line="672" w:lineRule="auto"/>
        <w:ind w:firstLine="1006" w:firstLineChars="353"/>
        <w:rPr>
          <w:rFonts w:hint="eastAsia" w:hAnsi="宋体" w:cs="宋体"/>
          <w:color w:val="000000" w:themeColor="text1"/>
          <w:w w:val="95"/>
          <w:sz w:val="30"/>
          <w:szCs w:val="30"/>
          <w:highlight w:val="none"/>
          <w:lang w:val="en-US" w:eastAsia="zh-CN"/>
          <w14:textFill>
            <w14:solidFill>
              <w14:schemeClr w14:val="tx1"/>
            </w14:solidFill>
          </w14:textFill>
        </w:rPr>
      </w:pPr>
      <w:r>
        <w:rPr>
          <w:rFonts w:hint="eastAsia" w:hAnsi="宋体" w:cs="宋体"/>
          <w:color w:val="000000" w:themeColor="text1"/>
          <w:w w:val="95"/>
          <w:sz w:val="30"/>
          <w:szCs w:val="30"/>
          <w:highlight w:val="none"/>
          <w:lang w:eastAsia="zh-CN"/>
          <w14:textFill>
            <w14:solidFill>
              <w14:schemeClr w14:val="tx1"/>
            </w14:solidFill>
          </w14:textFill>
        </w:rPr>
        <w:t>项目编号：</w:t>
      </w:r>
      <w:r>
        <w:rPr>
          <w:rFonts w:hint="eastAsia" w:hAnsi="宋体" w:cs="宋体"/>
          <w:color w:val="000000" w:themeColor="text1"/>
          <w:w w:val="95"/>
          <w:sz w:val="30"/>
          <w:szCs w:val="30"/>
          <w:highlight w:val="none"/>
          <w:lang w:val="en-US" w:eastAsia="zh-CN"/>
          <w14:textFill>
            <w14:solidFill>
              <w14:schemeClr w14:val="tx1"/>
            </w14:solidFill>
          </w14:textFill>
        </w:rPr>
        <w:t xml:space="preserve"> QZZC2026-C2-220034-GXZB            </w:t>
      </w:r>
    </w:p>
    <w:p w14:paraId="6757194D">
      <w:pPr>
        <w:pStyle w:val="13"/>
        <w:snapToGrid w:val="0"/>
        <w:spacing w:line="672" w:lineRule="auto"/>
        <w:ind w:firstLine="1006" w:firstLineChars="353"/>
        <w:rPr>
          <w:rFonts w:hint="eastAsia" w:hAnsi="宋体" w:cs="宋体"/>
          <w:color w:val="000000" w:themeColor="text1"/>
          <w:w w:val="95"/>
          <w:sz w:val="30"/>
          <w:szCs w:val="30"/>
          <w:highlight w:val="none"/>
          <w:lang w:val="en-US" w:eastAsia="zh-CN"/>
          <w14:textFill>
            <w14:solidFill>
              <w14:schemeClr w14:val="tx1"/>
            </w14:solidFill>
          </w14:textFill>
        </w:rPr>
      </w:pPr>
      <w:r>
        <w:rPr>
          <w:rFonts w:hint="eastAsia" w:hAnsi="宋体" w:cs="宋体"/>
          <w:color w:val="000000" w:themeColor="text1"/>
          <w:w w:val="95"/>
          <w:sz w:val="30"/>
          <w:szCs w:val="30"/>
          <w:highlight w:val="none"/>
          <w:lang w:eastAsia="zh-CN"/>
          <w14:textFill>
            <w14:solidFill>
              <w14:schemeClr w14:val="tx1"/>
            </w14:solidFill>
          </w14:textFill>
        </w:rPr>
        <w:t>采购人：浦北县六硍镇人民政府（盖公章）</w:t>
      </w:r>
      <w:r>
        <w:rPr>
          <w:rFonts w:hint="eastAsia" w:hAnsi="宋体" w:cs="宋体"/>
          <w:color w:val="000000" w:themeColor="text1"/>
          <w:w w:val="95"/>
          <w:sz w:val="30"/>
          <w:szCs w:val="30"/>
          <w:highlight w:val="none"/>
          <w:lang w:val="en-US" w:eastAsia="zh-CN"/>
          <w14:textFill>
            <w14:solidFill>
              <w14:schemeClr w14:val="tx1"/>
            </w14:solidFill>
          </w14:textFill>
        </w:rPr>
        <w:t xml:space="preserve">             </w:t>
      </w:r>
    </w:p>
    <w:p w14:paraId="4F8876B5">
      <w:pPr>
        <w:pStyle w:val="13"/>
        <w:snapToGrid w:val="0"/>
        <w:spacing w:line="672" w:lineRule="auto"/>
        <w:ind w:firstLine="1006" w:firstLineChars="353"/>
        <w:rPr>
          <w:rFonts w:hint="eastAsia" w:hAnsi="宋体" w:cs="宋体"/>
          <w:color w:val="000000" w:themeColor="text1"/>
          <w:w w:val="95"/>
          <w:sz w:val="30"/>
          <w:szCs w:val="30"/>
          <w:highlight w:val="none"/>
          <w14:textFill>
            <w14:solidFill>
              <w14:schemeClr w14:val="tx1"/>
            </w14:solidFill>
          </w14:textFill>
        </w:rPr>
      </w:pPr>
      <w:r>
        <w:rPr>
          <w:rFonts w:hint="eastAsia" w:hAnsi="宋体" w:cs="宋体"/>
          <w:color w:val="000000" w:themeColor="text1"/>
          <w:w w:val="95"/>
          <w:sz w:val="30"/>
          <w:szCs w:val="30"/>
          <w:highlight w:val="none"/>
          <w:lang w:eastAsia="zh-CN"/>
          <w14:textFill>
            <w14:solidFill>
              <w14:schemeClr w14:val="tx1"/>
            </w14:solidFill>
          </w14:textFill>
        </w:rPr>
        <w:t>采购代理机构：</w:t>
      </w:r>
      <w:r>
        <w:rPr>
          <w:rFonts w:hint="eastAsia" w:hAnsi="宋体" w:cs="宋体"/>
          <w:color w:val="000000" w:themeColor="text1"/>
          <w:w w:val="95"/>
          <w:sz w:val="30"/>
          <w:szCs w:val="30"/>
          <w:highlight w:val="none"/>
          <w:lang w:val="en-US" w:eastAsia="zh-CN"/>
          <w14:textFill>
            <w14:solidFill>
              <w14:schemeClr w14:val="tx1"/>
            </w14:solidFill>
          </w14:textFill>
        </w:rPr>
        <w:t xml:space="preserve">广西中佰项目管理有限公司 </w:t>
      </w:r>
      <w:r>
        <w:rPr>
          <w:rFonts w:hint="eastAsia" w:hAnsi="宋体" w:cs="宋体"/>
          <w:color w:val="000000" w:themeColor="text1"/>
          <w:w w:val="95"/>
          <w:sz w:val="30"/>
          <w:szCs w:val="30"/>
          <w:highlight w:val="none"/>
          <w:lang w:eastAsia="zh-CN"/>
          <w14:textFill>
            <w14:solidFill>
              <w14:schemeClr w14:val="tx1"/>
            </w14:solidFill>
          </w14:textFill>
        </w:rPr>
        <w:t>（盖公章）</w:t>
      </w:r>
      <w:r>
        <w:rPr>
          <w:rFonts w:hint="eastAsia" w:hAnsi="宋体" w:cs="宋体"/>
          <w:color w:val="000000" w:themeColor="text1"/>
          <w:w w:val="95"/>
          <w:sz w:val="30"/>
          <w:szCs w:val="30"/>
          <w:highlight w:val="none"/>
          <w:lang w:val="en-US" w:eastAsia="zh-CN"/>
          <w14:textFill>
            <w14:solidFill>
              <w14:schemeClr w14:val="tx1"/>
            </w14:solidFill>
          </w14:textFill>
        </w:rPr>
        <w:t xml:space="preserve">       </w:t>
      </w:r>
    </w:p>
    <w:p w14:paraId="1FB87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cs="宋体"/>
          <w:color w:val="000000" w:themeColor="text1"/>
          <w:w w:val="95"/>
          <w:sz w:val="30"/>
          <w:szCs w:val="30"/>
          <w:highlight w:val="none"/>
          <w:lang w:eastAsia="zh-CN"/>
          <w14:textFill>
            <w14:solidFill>
              <w14:schemeClr w14:val="tx1"/>
            </w14:solidFill>
          </w14:textFill>
        </w:rPr>
        <w:t>202</w:t>
      </w:r>
      <w:r>
        <w:rPr>
          <w:rFonts w:hint="eastAsia" w:hAnsi="宋体" w:cs="宋体"/>
          <w:color w:val="000000" w:themeColor="text1"/>
          <w:w w:val="95"/>
          <w:sz w:val="30"/>
          <w:szCs w:val="30"/>
          <w:highlight w:val="none"/>
          <w:lang w:val="en-US" w:eastAsia="zh-CN"/>
          <w14:textFill>
            <w14:solidFill>
              <w14:schemeClr w14:val="tx1"/>
            </w14:solidFill>
          </w14:textFill>
        </w:rPr>
        <w:t>6</w:t>
      </w:r>
      <w:r>
        <w:rPr>
          <w:rFonts w:hint="eastAsia" w:hAnsi="宋体" w:cs="宋体"/>
          <w:color w:val="000000" w:themeColor="text1"/>
          <w:w w:val="95"/>
          <w:sz w:val="30"/>
          <w:szCs w:val="30"/>
          <w:highlight w:val="none"/>
          <w:lang w:eastAsia="zh-CN"/>
          <w14:textFill>
            <w14:solidFill>
              <w14:schemeClr w14:val="tx1"/>
            </w14:solidFill>
          </w14:textFill>
        </w:rPr>
        <w:t>年</w:t>
      </w:r>
      <w:r>
        <w:rPr>
          <w:rFonts w:hint="eastAsia" w:hAnsi="宋体" w:cs="宋体"/>
          <w:color w:val="000000" w:themeColor="text1"/>
          <w:w w:val="95"/>
          <w:sz w:val="30"/>
          <w:szCs w:val="30"/>
          <w:highlight w:val="none"/>
          <w:lang w:val="en-US" w:eastAsia="zh-CN"/>
          <w14:textFill>
            <w14:solidFill>
              <w14:schemeClr w14:val="tx1"/>
            </w14:solidFill>
          </w14:textFill>
        </w:rPr>
        <w:t>4</w:t>
      </w:r>
      <w:r>
        <w:rPr>
          <w:rFonts w:hint="eastAsia" w:hAnsi="宋体" w:cs="宋体"/>
          <w:color w:val="000000" w:themeColor="text1"/>
          <w:w w:val="95"/>
          <w:sz w:val="30"/>
          <w:szCs w:val="30"/>
          <w:highlight w:val="none"/>
          <w:lang w:eastAsia="zh-CN"/>
          <w14:textFill>
            <w14:solidFill>
              <w14:schemeClr w14:val="tx1"/>
            </w14:solidFill>
          </w14:textFill>
        </w:rPr>
        <w:t>月</w:t>
      </w:r>
      <w:r>
        <w:rPr>
          <w:rFonts w:hint="eastAsia" w:hAnsi="宋体" w:cs="宋体"/>
          <w:color w:val="000000" w:themeColor="text1"/>
          <w:w w:val="95"/>
          <w:sz w:val="30"/>
          <w:szCs w:val="30"/>
          <w:highlight w:val="none"/>
          <w:lang w:val="en-US" w:eastAsia="zh-CN"/>
          <w14:textFill>
            <w14:solidFill>
              <w14:schemeClr w14:val="tx1"/>
            </w14:solidFill>
          </w14:textFill>
        </w:rPr>
        <w:t>23</w:t>
      </w:r>
      <w:r>
        <w:rPr>
          <w:rFonts w:hint="eastAsia" w:hAnsi="宋体" w:cs="宋体"/>
          <w:color w:val="000000" w:themeColor="text1"/>
          <w:w w:val="95"/>
          <w:sz w:val="30"/>
          <w:szCs w:val="30"/>
          <w:highlight w:val="none"/>
          <w:lang w:eastAsia="zh-CN"/>
          <w14:textFill>
            <w14:solidFill>
              <w14:schemeClr w14:val="tx1"/>
            </w14:solidFill>
          </w14:textFill>
        </w:rPr>
        <w:t>日</w:t>
      </w:r>
      <w:r>
        <w:rPr>
          <w:rFonts w:hint="eastAsia" w:hAnsi="宋体" w:cs="宋体"/>
          <w:color w:val="000000" w:themeColor="text1"/>
          <w:highlight w:val="none"/>
          <w14:textFill>
            <w14:solidFill>
              <w14:schemeClr w14:val="tx1"/>
            </w14:solidFill>
          </w14:textFill>
        </w:rPr>
        <w:br w:type="page"/>
      </w:r>
    </w:p>
    <w:p w14:paraId="55EF4AF5">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000000" w:themeColor="text1"/>
          <w:highlight w:val="none"/>
          <w14:textFill>
            <w14:solidFill>
              <w14:schemeClr w14:val="tx1"/>
            </w14:solidFill>
          </w14:textFill>
        </w:rPr>
        <w:sectPr>
          <w:headerReference r:id="rId3" w:type="first"/>
          <w:pgSz w:w="11906" w:h="16838"/>
          <w:pgMar w:top="1134" w:right="1134" w:bottom="1134" w:left="1417" w:header="850" w:footer="992" w:gutter="0"/>
          <w:cols w:space="720" w:num="1"/>
          <w:docGrid w:type="lines" w:linePitch="317" w:charSpace="0"/>
        </w:sectPr>
      </w:pPr>
    </w:p>
    <w:sdt>
      <w:sdtPr>
        <w:rPr>
          <w:rFonts w:ascii="宋体" w:hAnsi="宋体" w:eastAsia="宋体" w:cs="Times New Roman"/>
          <w:color w:val="000000" w:themeColor="text1"/>
          <w:kern w:val="2"/>
          <w:sz w:val="28"/>
          <w:szCs w:val="36"/>
          <w:highlight w:val="none"/>
          <w:lang w:val="en-US" w:eastAsia="zh-CN" w:bidi="ar-SA"/>
          <w14:textFill>
            <w14:solidFill>
              <w14:schemeClr w14:val="tx1"/>
            </w14:solidFill>
          </w14:textFill>
        </w:rPr>
        <w:id w:val="147475717"/>
        <w15:color w:val="DBDBDB"/>
        <w:docPartObj>
          <w:docPartGallery w:val="Table of Contents"/>
          <w:docPartUnique/>
        </w:docPartObj>
      </w:sdtPr>
      <w:sdtEndPr>
        <w:rPr>
          <w:rFonts w:ascii="宋体" w:hAnsi="宋体" w:eastAsia="宋体" w:cs="宋体"/>
          <w:color w:val="000000" w:themeColor="text1"/>
          <w:kern w:val="2"/>
          <w:sz w:val="28"/>
          <w:szCs w:val="40"/>
          <w:highlight w:val="none"/>
          <w:lang w:val="en-US" w:eastAsia="zh-CN" w:bidi="ar-SA"/>
          <w14:textFill>
            <w14:solidFill>
              <w14:schemeClr w14:val="tx1"/>
            </w14:solidFill>
          </w14:textFill>
        </w:rPr>
      </w:sdtEndPr>
      <w:sdtContent>
        <w:p w14:paraId="4935ABD1">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000000" w:themeColor="text1"/>
              <w:sz w:val="44"/>
              <w:szCs w:val="44"/>
              <w:highlight w:val="none"/>
              <w14:textFill>
                <w14:solidFill>
                  <w14:schemeClr w14:val="tx1"/>
                </w14:solidFill>
              </w14:textFill>
            </w:rPr>
          </w:pPr>
          <w:r>
            <w:rPr>
              <w:rFonts w:ascii="宋体" w:hAnsi="宋体" w:eastAsia="宋体"/>
              <w:b/>
              <w:bCs/>
              <w:color w:val="000000" w:themeColor="text1"/>
              <w:sz w:val="44"/>
              <w:szCs w:val="44"/>
              <w:highlight w:val="none"/>
              <w14:textFill>
                <w14:solidFill>
                  <w14:schemeClr w14:val="tx1"/>
                </w14:solidFill>
              </w14:textFill>
            </w:rPr>
            <w:t>目</w:t>
          </w:r>
          <w:r>
            <w:rPr>
              <w:rFonts w:hint="eastAsia" w:ascii="宋体" w:hAnsi="宋体"/>
              <w:b/>
              <w:bCs/>
              <w:color w:val="000000" w:themeColor="text1"/>
              <w:sz w:val="44"/>
              <w:szCs w:val="44"/>
              <w:highlight w:val="none"/>
              <w:lang w:val="en-US" w:eastAsia="zh-CN"/>
              <w14:textFill>
                <w14:solidFill>
                  <w14:schemeClr w14:val="tx1"/>
                </w14:solidFill>
              </w14:textFill>
            </w:rPr>
            <w:t xml:space="preserve">  </w:t>
          </w:r>
          <w:r>
            <w:rPr>
              <w:rFonts w:ascii="宋体" w:hAnsi="宋体" w:eastAsia="宋体"/>
              <w:b/>
              <w:bCs/>
              <w:color w:val="000000" w:themeColor="text1"/>
              <w:sz w:val="44"/>
              <w:szCs w:val="44"/>
              <w:highlight w:val="none"/>
              <w14:textFill>
                <w14:solidFill>
                  <w14:schemeClr w14:val="tx1"/>
                </w14:solidFill>
              </w14:textFill>
            </w:rPr>
            <w:t>录</w:t>
          </w:r>
        </w:p>
        <w:p w14:paraId="09B72D3B">
          <w:pPr>
            <w:pStyle w:val="20"/>
            <w:tabs>
              <w:tab w:val="right" w:leader="dot" w:pos="9799"/>
            </w:tabs>
            <w:rPr>
              <w:rFonts w:hint="eastAsia" w:ascii="宋体" w:hAnsi="宋体" w:eastAsia="宋体" w:cs="宋体"/>
              <w:color w:val="000000" w:themeColor="text1"/>
              <w:sz w:val="28"/>
              <w:szCs w:val="36"/>
              <w:highlight w:val="none"/>
              <w14:textFill>
                <w14:solidFill>
                  <w14:schemeClr w14:val="tx1"/>
                </w14:solidFill>
              </w14:textFill>
            </w:rPr>
          </w:pPr>
          <w:r>
            <w:rPr>
              <w:rFonts w:ascii="宋体" w:hAnsi="宋体" w:cs="宋体"/>
              <w:color w:val="000000" w:themeColor="text1"/>
              <w:sz w:val="32"/>
              <w:szCs w:val="40"/>
              <w:highlight w:val="none"/>
              <w14:textFill>
                <w14:solidFill>
                  <w14:schemeClr w14:val="tx1"/>
                </w14:solidFill>
              </w14:textFill>
            </w:rPr>
            <w:fldChar w:fldCharType="begin"/>
          </w:r>
          <w:r>
            <w:rPr>
              <w:rFonts w:ascii="宋体" w:hAnsi="宋体" w:cs="宋体"/>
              <w:color w:val="000000" w:themeColor="text1"/>
              <w:sz w:val="32"/>
              <w:szCs w:val="40"/>
              <w:highlight w:val="none"/>
              <w14:textFill>
                <w14:solidFill>
                  <w14:schemeClr w14:val="tx1"/>
                </w14:solidFill>
              </w14:textFill>
            </w:rPr>
            <w:instrText xml:space="preserve">TOC \o "1-1" \h \u </w:instrText>
          </w:r>
          <w:r>
            <w:rPr>
              <w:rFonts w:ascii="宋体" w:hAnsi="宋体" w:cs="宋体"/>
              <w:color w:val="000000" w:themeColor="text1"/>
              <w:sz w:val="32"/>
              <w:szCs w:val="40"/>
              <w:highlight w:val="none"/>
              <w14:textFill>
                <w14:solidFill>
                  <w14:schemeClr w14:val="tx1"/>
                </w14:solidFill>
              </w14:textFill>
            </w:rPr>
            <w:fldChar w:fldCharType="separate"/>
          </w:r>
        </w:p>
        <w:p w14:paraId="41C103A7">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_Toc29312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竞争性磋商公告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_Toc29312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56E43E4">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_Toc5416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14"/>
              <w:kern w:val="0"/>
              <w:position w:val="-6"/>
              <w:sz w:val="24"/>
              <w:szCs w:val="24"/>
              <w:highlight w:val="none"/>
              <w14:textFill>
                <w14:solidFill>
                  <w14:schemeClr w14:val="tx1"/>
                </w14:solidFill>
              </w14:textFill>
            </w:rPr>
            <w:t xml:space="preserve">第二章 </w:t>
          </w:r>
          <w:r>
            <w:rPr>
              <w:rFonts w:hint="eastAsia" w:ascii="宋体" w:hAnsi="宋体" w:cs="宋体"/>
              <w:bCs/>
              <w:color w:val="000000" w:themeColor="text1"/>
              <w:spacing w:val="-14"/>
              <w:kern w:val="0"/>
              <w:position w:val="-6"/>
              <w:sz w:val="24"/>
              <w:szCs w:val="24"/>
              <w:highlight w:val="none"/>
              <w:lang w:val="en-US" w:eastAsia="zh-CN"/>
              <w14:textFill>
                <w14:solidFill>
                  <w14:schemeClr w14:val="tx1"/>
                </w14:solidFill>
              </w14:textFill>
            </w:rPr>
            <w:t xml:space="preserve">  供应商</w:t>
          </w:r>
          <w:r>
            <w:rPr>
              <w:rFonts w:hint="eastAsia" w:ascii="宋体" w:hAnsi="宋体" w:eastAsia="宋体" w:cs="宋体"/>
              <w:bCs/>
              <w:color w:val="000000" w:themeColor="text1"/>
              <w:spacing w:val="-14"/>
              <w:kern w:val="0"/>
              <w:position w:val="-6"/>
              <w:sz w:val="24"/>
              <w:szCs w:val="24"/>
              <w:highlight w:val="none"/>
              <w14:textFill>
                <w14:solidFill>
                  <w14:schemeClr w14:val="tx1"/>
                </w14:solidFill>
              </w14:textFill>
            </w:rPr>
            <w:t>须知前附表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_Toc5416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3A9DDD2">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_Toc26558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14"/>
              <w:kern w:val="0"/>
              <w:position w:val="-6"/>
              <w:sz w:val="24"/>
              <w:szCs w:val="24"/>
              <w:highlight w:val="none"/>
              <w14:textFill>
                <w14:solidFill>
                  <w14:schemeClr w14:val="tx1"/>
                </w14:solidFill>
              </w14:textFill>
            </w:rPr>
            <w:t xml:space="preserve">第三章  </w:t>
          </w:r>
          <w:r>
            <w:rPr>
              <w:rFonts w:hint="eastAsia" w:ascii="宋体" w:hAnsi="宋体" w:cs="宋体"/>
              <w:bCs/>
              <w:color w:val="000000" w:themeColor="text1"/>
              <w:spacing w:val="-14"/>
              <w:kern w:val="0"/>
              <w:position w:val="-6"/>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4"/>
              <w:kern w:val="0"/>
              <w:position w:val="-6"/>
              <w:sz w:val="24"/>
              <w:szCs w:val="24"/>
              <w:highlight w:val="none"/>
              <w14:textFill>
                <w14:solidFill>
                  <w14:schemeClr w14:val="tx1"/>
                </w14:solidFill>
              </w14:textFill>
            </w:rPr>
            <w:t>项目基本情况及要求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_Toc26558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0135AEF">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_Toc20069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第四章</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评审标准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_Toc20069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2388870">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_Toc15543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bCs/>
              <w:color w:val="000000" w:themeColor="text1"/>
              <w:kern w:val="0"/>
              <w:sz w:val="24"/>
              <w:szCs w:val="24"/>
              <w:highlight w:val="none"/>
              <w14:textFill>
                <w14:solidFill>
                  <w14:schemeClr w14:val="tx1"/>
                </w14:solidFill>
              </w14:textFill>
            </w:rPr>
            <w:t>第</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bCs/>
              <w:color w:val="000000" w:themeColor="text1"/>
              <w:kern w:val="0"/>
              <w:sz w:val="24"/>
              <w:szCs w:val="24"/>
              <w:highlight w:val="none"/>
              <w14:textFill>
                <w14:solidFill>
                  <w14:schemeClr w14:val="tx1"/>
                </w14:solidFill>
              </w14:textFill>
            </w:rPr>
            <w:t>章</w:t>
          </w:r>
          <w:r>
            <w:rPr>
              <w:rFonts w:hint="eastAsia" w:ascii="宋体" w:hAnsi="宋体" w:cs="宋体"/>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响应文件（格式）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_Toc15543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A24DFE4">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_Toc3612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14"/>
              <w:kern w:val="0"/>
              <w:position w:val="-6"/>
              <w:sz w:val="24"/>
              <w:szCs w:val="24"/>
              <w:highlight w:val="none"/>
              <w14:textFill>
                <w14:solidFill>
                  <w14:schemeClr w14:val="tx1"/>
                </w14:solidFill>
              </w14:textFill>
            </w:rPr>
            <w:t xml:space="preserve">第六章 </w:t>
          </w:r>
          <w:r>
            <w:rPr>
              <w:rFonts w:hint="eastAsia" w:ascii="宋体" w:hAnsi="宋体" w:cs="宋体"/>
              <w:color w:val="000000" w:themeColor="text1"/>
              <w:spacing w:val="-14"/>
              <w:kern w:val="0"/>
              <w:position w:val="-6"/>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4"/>
              <w:kern w:val="0"/>
              <w:position w:val="-6"/>
              <w:sz w:val="24"/>
              <w:szCs w:val="24"/>
              <w:highlight w:val="none"/>
              <w14:textFill>
                <w14:solidFill>
                  <w14:schemeClr w14:val="tx1"/>
                </w14:solidFill>
              </w14:textFill>
            </w:rPr>
            <w:t>合同主要条款 (参考格式)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_Toc3612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475B93C">
          <w:pPr>
            <w:pStyle w:val="20"/>
            <w:tabs>
              <w:tab w:val="right" w:leader="dot" w:pos="9799"/>
            </w:tabs>
            <w:spacing w:line="360" w:lineRule="auto"/>
            <w:rPr>
              <w:color w:val="000000" w:themeColor="text1"/>
              <w:sz w:val="20"/>
              <w:szCs w:val="22"/>
              <w:highlight w:val="none"/>
              <w14:textFill>
                <w14:solidFill>
                  <w14:schemeClr w14:val="tx1"/>
                </w14:solidFill>
              </w14:textFill>
            </w:rPr>
          </w:pPr>
        </w:p>
        <w:p w14:paraId="6B05511D">
          <w:pPr>
            <w:pStyle w:val="20"/>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000000" w:themeColor="text1"/>
              <w:sz w:val="32"/>
              <w:szCs w:val="40"/>
              <w:highlight w:val="none"/>
              <w14:textFill>
                <w14:solidFill>
                  <w14:schemeClr w14:val="tx1"/>
                </w14:solidFill>
              </w14:textFill>
            </w:rPr>
          </w:pPr>
          <w:r>
            <w:rPr>
              <w:rFonts w:ascii="宋体" w:hAnsi="宋体" w:cs="宋体"/>
              <w:color w:val="000000" w:themeColor="text1"/>
              <w:szCs w:val="40"/>
              <w:highlight w:val="none"/>
              <w14:textFill>
                <w14:solidFill>
                  <w14:schemeClr w14:val="tx1"/>
                </w14:solidFill>
              </w14:textFill>
            </w:rPr>
            <w:fldChar w:fldCharType="end"/>
          </w:r>
          <w:r>
            <w:rPr>
              <w:rFonts w:hint="eastAsia" w:ascii="宋体" w:hAnsi="宋体" w:cs="宋体"/>
              <w:color w:val="000000" w:themeColor="text1"/>
              <w:szCs w:val="40"/>
              <w:highlight w:val="none"/>
              <w:lang w:eastAsia="zh-CN"/>
              <w14:textFill>
                <w14:solidFill>
                  <w14:schemeClr w14:val="tx1"/>
                </w14:solidFill>
              </w14:textFill>
            </w:rPr>
            <w:tab/>
          </w:r>
        </w:p>
      </w:sdtContent>
    </w:sdt>
    <w:p w14:paraId="15E1BAA1">
      <w:pPr>
        <w:pStyle w:val="10"/>
        <w:tabs>
          <w:tab w:val="left" w:pos="4386"/>
        </w:tabs>
        <w:autoSpaceDE/>
        <w:autoSpaceDN/>
        <w:adjustRightInd/>
        <w:spacing w:line="320" w:lineRule="exact"/>
        <w:jc w:val="left"/>
        <w:rPr>
          <w:rFonts w:hint="eastAsia" w:hAnsi="宋体" w:eastAsia="宋体" w:cs="宋体"/>
          <w:b/>
          <w:bCs/>
          <w:color w:val="000000" w:themeColor="text1"/>
          <w:spacing w:val="-14"/>
          <w:position w:val="-6"/>
          <w:sz w:val="36"/>
          <w:szCs w:val="36"/>
          <w:highlight w:val="none"/>
          <w:lang w:eastAsia="zh-CN"/>
          <w14:textFill>
            <w14:solidFill>
              <w14:schemeClr w14:val="tx1"/>
            </w14:solidFill>
          </w14:textFill>
        </w:rPr>
      </w:pPr>
      <w:r>
        <w:rPr>
          <w:rFonts w:hint="eastAsia" w:hAnsi="宋体" w:cs="宋体"/>
          <w:b/>
          <w:bCs/>
          <w:color w:val="000000" w:themeColor="text1"/>
          <w:spacing w:val="-14"/>
          <w:position w:val="-6"/>
          <w:sz w:val="36"/>
          <w:szCs w:val="36"/>
          <w:highlight w:val="none"/>
          <w:lang w:eastAsia="zh-CN"/>
          <w14:textFill>
            <w14:solidFill>
              <w14:schemeClr w14:val="tx1"/>
            </w14:solidFill>
          </w14:textFill>
        </w:rPr>
        <w:tab/>
      </w:r>
    </w:p>
    <w:p w14:paraId="6467A939">
      <w:pPr>
        <w:tabs>
          <w:tab w:val="left" w:pos="6703"/>
        </w:tabs>
        <w:bidi w:val="0"/>
        <w:jc w:val="left"/>
        <w:rPr>
          <w:rFonts w:hint="eastAsia" w:eastAsia="宋体"/>
          <w:color w:val="000000" w:themeColor="text1"/>
          <w:highlight w:val="none"/>
          <w:lang w:eastAsia="zh-CN"/>
          <w14:textFill>
            <w14:solidFill>
              <w14:schemeClr w14:val="tx1"/>
            </w14:solidFill>
          </w14:textFill>
        </w:rPr>
        <w:sectPr>
          <w:headerReference r:id="rId4" w:type="default"/>
          <w:footerReference r:id="rId5" w:type="default"/>
          <w:pgSz w:w="11906" w:h="16838"/>
          <w:pgMar w:top="1440" w:right="1080" w:bottom="1440" w:left="460" w:header="851" w:footer="794" w:gutter="567"/>
          <w:pgNumType w:fmt="decimal" w:start="1"/>
          <w:cols w:space="720" w:num="1"/>
        </w:sectPr>
      </w:pPr>
      <w:r>
        <w:rPr>
          <w:rFonts w:hint="eastAsia"/>
          <w:color w:val="000000" w:themeColor="text1"/>
          <w:highlight w:val="none"/>
          <w:lang w:eastAsia="zh-CN"/>
          <w14:textFill>
            <w14:solidFill>
              <w14:schemeClr w14:val="tx1"/>
            </w14:solidFill>
          </w14:textFill>
        </w:rPr>
        <w:tab/>
      </w:r>
    </w:p>
    <w:p w14:paraId="132488B4">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000000" w:themeColor="text1"/>
          <w:sz w:val="32"/>
          <w:szCs w:val="32"/>
          <w:highlight w:val="none"/>
          <w:lang w:eastAsia="zh-CN"/>
          <w14:textFill>
            <w14:solidFill>
              <w14:schemeClr w14:val="tx1"/>
            </w14:solidFill>
          </w14:textFill>
        </w:rPr>
      </w:pPr>
      <w:bookmarkStart w:id="1" w:name="_Toc29312"/>
      <w:r>
        <w:rPr>
          <w:rFonts w:hint="eastAsia"/>
          <w:color w:val="000000" w:themeColor="text1"/>
          <w:sz w:val="32"/>
          <w:szCs w:val="32"/>
          <w:highlight w:val="none"/>
          <w14:textFill>
            <w14:solidFill>
              <w14:schemeClr w14:val="tx1"/>
            </w14:solidFill>
          </w14:textFill>
        </w:rPr>
        <w:t>第一章</w:t>
      </w:r>
      <w:bookmarkEnd w:id="0"/>
      <w:bookmarkEnd w:id="1"/>
      <w:bookmarkStart w:id="2" w:name="_Toc434315323"/>
      <w:r>
        <w:rPr>
          <w:rFonts w:hint="eastAsia"/>
          <w:color w:val="000000" w:themeColor="text1"/>
          <w:sz w:val="32"/>
          <w:szCs w:val="32"/>
          <w:highlight w:val="none"/>
          <w:lang w:val="en-US" w:eastAsia="zh-CN"/>
          <w14:textFill>
            <w14:solidFill>
              <w14:schemeClr w14:val="tx1"/>
            </w14:solidFill>
          </w14:textFill>
        </w:rPr>
        <w:t xml:space="preserve">  竞争性</w:t>
      </w:r>
      <w:r>
        <w:rPr>
          <w:rFonts w:hint="eastAsia"/>
          <w:color w:val="000000" w:themeColor="text1"/>
          <w:sz w:val="32"/>
          <w:szCs w:val="32"/>
          <w:highlight w:val="none"/>
          <w:lang w:eastAsia="zh-CN"/>
          <w14:textFill>
            <w14:solidFill>
              <w14:schemeClr w14:val="tx1"/>
            </w14:solidFill>
          </w14:textFill>
        </w:rPr>
        <w:t>磋商公告</w:t>
      </w:r>
    </w:p>
    <w:p w14:paraId="51068A76">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t>广西中佰项目管理有限公司</w:t>
      </w:r>
      <w:r>
        <w:rPr>
          <w:rFonts w:hint="eastAsia" w:ascii="宋体" w:hAnsi="宋体"/>
          <w:b/>
          <w:color w:val="000000" w:themeColor="text1"/>
          <w:sz w:val="30"/>
          <w:szCs w:val="30"/>
          <w:highlight w:val="none"/>
          <w14:textFill>
            <w14:solidFill>
              <w14:schemeClr w14:val="tx1"/>
            </w14:solidFill>
          </w14:textFill>
        </w:rPr>
        <w:t>关于</w:t>
      </w:r>
      <w:bookmarkStart w:id="3" w:name="_Toc2948"/>
      <w:r>
        <w:rPr>
          <w:rFonts w:hint="eastAsia" w:ascii="宋体" w:hAnsi="宋体"/>
          <w:b/>
          <w:color w:val="000000" w:themeColor="text1"/>
          <w:sz w:val="30"/>
          <w:szCs w:val="30"/>
          <w:highlight w:val="none"/>
          <w:u w:val="none"/>
          <w:lang w:val="en-US" w:eastAsia="zh-CN"/>
          <w14:textFill>
            <w14:solidFill>
              <w14:schemeClr w14:val="tx1"/>
            </w14:solidFill>
          </w14:textFill>
        </w:rPr>
        <w:t>浦北县六硍镇南进城路口扩宽建设挡土墙工程项目(二期）竞争</w:t>
      </w:r>
      <w:r>
        <w:rPr>
          <w:rFonts w:hint="eastAsia" w:ascii="宋体" w:hAnsi="宋体" w:eastAsia="宋体"/>
          <w:b/>
          <w:color w:val="000000" w:themeColor="text1"/>
          <w:sz w:val="30"/>
          <w:szCs w:val="30"/>
          <w:highlight w:val="none"/>
          <w:lang w:val="en-US" w:eastAsia="zh-CN"/>
          <w14:textFill>
            <w14:solidFill>
              <w14:schemeClr w14:val="tx1"/>
            </w14:solidFill>
          </w14:textFill>
        </w:rPr>
        <w:t>性</w:t>
      </w:r>
      <w:r>
        <w:rPr>
          <w:rFonts w:hint="eastAsia" w:ascii="宋体" w:hAnsi="宋体" w:eastAsia="宋体"/>
          <w:b/>
          <w:color w:val="000000" w:themeColor="text1"/>
          <w:sz w:val="30"/>
          <w:szCs w:val="30"/>
          <w:highlight w:val="none"/>
          <w:lang w:eastAsia="zh-CN"/>
          <w14:textFill>
            <w14:solidFill>
              <w14:schemeClr w14:val="tx1"/>
            </w14:solidFill>
          </w14:textFill>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4397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FD49B3A">
            <w:pPr>
              <w:pageBreakBefore w:val="0"/>
              <w:kinsoku/>
              <w:wordWrap/>
              <w:overflowPunct/>
              <w:topLinePunct w:val="0"/>
              <w:bidi w:val="0"/>
              <w:spacing w:line="38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3FBD58F2">
            <w:pPr>
              <w:pageBreakBefore w:val="0"/>
              <w:kinsoku/>
              <w:wordWrap/>
              <w:overflowPunct/>
              <w:topLinePunct w:val="0"/>
              <w:bidi w:val="0"/>
              <w:spacing w:line="380" w:lineRule="exact"/>
              <w:ind w:firstLine="420" w:firstLineChars="200"/>
              <w:textAlignment w:val="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浦北县六硍镇南进城路口扩宽建设挡土墙工程项目(二期）</w:t>
            </w:r>
            <w:r>
              <w:rPr>
                <w:rFonts w:hint="eastAsia" w:ascii="宋体" w:hAnsi="宋体" w:cs="宋体"/>
                <w:color w:val="000000" w:themeColor="text1"/>
                <w:szCs w:val="21"/>
                <w:highlight w:val="none"/>
                <w14:textFill>
                  <w14:solidFill>
                    <w14:schemeClr w14:val="tx1"/>
                  </w14:solidFill>
                </w14:textFill>
              </w:rPr>
              <w:t>采购项目的潜在供应商应在</w:t>
            </w:r>
            <w:r>
              <w:rPr>
                <w:rFonts w:hint="eastAsia" w:ascii="宋体" w:hAnsi="宋体" w:cs="宋体"/>
                <w:color w:val="000000" w:themeColor="text1"/>
                <w:szCs w:val="21"/>
                <w:highlight w:val="none"/>
                <w:u w:val="singl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https://www.gcy.zfcg.gxzf.gov.cn</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获取</w:t>
            </w:r>
            <w:r>
              <w:rPr>
                <w:rFonts w:hint="eastAsia" w:ascii="宋体" w:hAnsi="宋体" w:cs="宋体"/>
                <w:color w:val="000000" w:themeColor="text1"/>
                <w:highlight w:val="none"/>
                <w14:textFill>
                  <w14:solidFill>
                    <w14:schemeClr w14:val="tx1"/>
                  </w14:solidFill>
                </w14:textFill>
              </w:rPr>
              <w:t>采购文件</w:t>
            </w:r>
            <w:r>
              <w:rPr>
                <w:rFonts w:hint="eastAsia" w:ascii="宋体" w:hAnsi="宋体" w:cs="宋体"/>
                <w:color w:val="000000" w:themeColor="text1"/>
                <w:szCs w:val="21"/>
                <w:highlight w:val="none"/>
                <w14:textFill>
                  <w14:solidFill>
                    <w14:schemeClr w14:val="tx1"/>
                  </w14:solidFill>
                </w14:textFill>
              </w:rPr>
              <w:t>，并于</w:t>
            </w:r>
            <w:r>
              <w:rPr>
                <w:rFonts w:hint="eastAsia" w:ascii="宋体" w:hAnsi="宋体" w:cs="宋体"/>
                <w:color w:val="000000" w:themeColor="text1"/>
                <w:szCs w:val="21"/>
                <w:highlight w:val="none"/>
                <w:u w:val="single"/>
                <w:lang w:val="en-US" w:eastAsia="zh-CN"/>
                <w14:textFill>
                  <w14:solidFill>
                    <w14:schemeClr w14:val="tx1"/>
                  </w14:solidFill>
                </w14:textFill>
              </w:rPr>
              <w:t>2026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12</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分（北京时间）</w:t>
            </w:r>
            <w:r>
              <w:rPr>
                <w:rFonts w:hint="eastAsia" w:ascii="宋体" w:hAnsi="宋体" w:cs="宋体"/>
                <w:color w:val="000000" w:themeColor="text1"/>
                <w:szCs w:val="21"/>
                <w:highlight w:val="none"/>
                <w14:textFill>
                  <w14:solidFill>
                    <w14:schemeClr w14:val="tx1"/>
                  </w14:solidFill>
                </w14:textFill>
              </w:rPr>
              <w:t>前提交响应文件。</w:t>
            </w:r>
          </w:p>
        </w:tc>
      </w:tr>
    </w:tbl>
    <w:p w14:paraId="7E505F25">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000000" w:themeColor="text1"/>
          <w:sz w:val="21"/>
          <w:szCs w:val="21"/>
          <w:highlight w:val="none"/>
          <w14:textFill>
            <w14:solidFill>
              <w14:schemeClr w14:val="tx1"/>
            </w14:solidFill>
          </w14:textFill>
        </w:rPr>
      </w:pPr>
      <w:bookmarkStart w:id="4" w:name="_Toc35393798"/>
      <w:bookmarkStart w:id="5" w:name="_Toc31859"/>
      <w:bookmarkStart w:id="6" w:name="_Toc28359089"/>
      <w:bookmarkStart w:id="7" w:name="_Toc35393629"/>
      <w:bookmarkStart w:id="8" w:name="_Toc28359012"/>
      <w:bookmarkStart w:id="9" w:name="_Toc9324"/>
      <w:r>
        <w:rPr>
          <w:rFonts w:hint="eastAsia" w:ascii="宋体" w:hAnsi="宋体" w:eastAsia="宋体" w:cs="宋体"/>
          <w:bCs w:val="0"/>
          <w:color w:val="000000" w:themeColor="text1"/>
          <w:sz w:val="21"/>
          <w:szCs w:val="21"/>
          <w:highlight w:val="none"/>
          <w14:textFill>
            <w14:solidFill>
              <w14:schemeClr w14:val="tx1"/>
            </w14:solidFill>
          </w14:textFill>
        </w:rPr>
        <w:t>一、项目基本情况</w:t>
      </w:r>
      <w:bookmarkEnd w:id="4"/>
      <w:bookmarkEnd w:id="5"/>
      <w:bookmarkEnd w:id="6"/>
      <w:bookmarkEnd w:id="7"/>
      <w:bookmarkEnd w:id="8"/>
      <w:bookmarkEnd w:id="9"/>
    </w:p>
    <w:p w14:paraId="55D04ED2">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QZZC2026-C2-220034-GXZB</w:t>
      </w:r>
    </w:p>
    <w:p w14:paraId="61688E98">
      <w:pPr>
        <w:pageBreakBefore w:val="0"/>
        <w:widowControl w:val="0"/>
        <w:kinsoku/>
        <w:wordWrap/>
        <w:overflowPunct/>
        <w:topLinePunct w:val="0"/>
        <w:bidi w:val="0"/>
        <w:adjustRightInd/>
        <w:spacing w:line="380" w:lineRule="exact"/>
        <w:ind w:firstLine="420" w:firstLineChars="200"/>
        <w:textAlignment w:val="auto"/>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none"/>
          <w:lang w:val="en-US" w:eastAsia="zh-CN"/>
          <w14:textFill>
            <w14:solidFill>
              <w14:schemeClr w14:val="tx1"/>
            </w14:solidFill>
          </w14:textFill>
        </w:rPr>
        <w:t>浦北县六硍镇南进城路口扩宽建设</w:t>
      </w:r>
      <w:r>
        <w:rPr>
          <w:rFonts w:hint="eastAsia" w:ascii="宋体" w:hAnsi="宋体" w:cs="宋体"/>
          <w:color w:val="000000" w:themeColor="text1"/>
          <w:szCs w:val="21"/>
          <w:highlight w:val="none"/>
          <w:u w:val="none"/>
          <w:lang w:val="en-US" w:eastAsia="zh-CN"/>
          <w14:textFill>
            <w14:solidFill>
              <w14:schemeClr w14:val="tx1"/>
            </w14:solidFill>
          </w14:textFill>
        </w:rPr>
        <w:t>挡土墙工程项目(二期）</w:t>
      </w:r>
    </w:p>
    <w:p w14:paraId="3DC6C66B">
      <w:pPr>
        <w:pageBreakBefore w:val="0"/>
        <w:widowControl w:val="0"/>
        <w:kinsoku/>
        <w:wordWrap/>
        <w:overflowPunct/>
        <w:topLinePunct w:val="0"/>
        <w:bidi w:val="0"/>
        <w:adjustRightInd/>
        <w:spacing w:line="38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w:t>
      </w:r>
      <w:r>
        <w:rPr>
          <w:rFonts w:hint="eastAsia" w:ascii="宋体" w:hAnsi="宋体" w:cs="宋体"/>
          <w:color w:val="000000" w:themeColor="text1"/>
          <w:highlight w:val="none"/>
          <w14:textFill>
            <w14:solidFill>
              <w14:schemeClr w14:val="tx1"/>
            </w14:solidFill>
          </w14:textFill>
        </w:rPr>
        <w:t>竞争性磋商</w:t>
      </w:r>
    </w:p>
    <w:p w14:paraId="76D9E8C8">
      <w:pPr>
        <w:pageBreakBefore w:val="0"/>
        <w:widowControl w:val="0"/>
        <w:kinsoku/>
        <w:wordWrap/>
        <w:overflowPunct/>
        <w:topLinePunct w:val="0"/>
        <w:bidi w:val="0"/>
        <w:adjustRightInd/>
        <w:spacing w:line="38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w:t>
      </w:r>
      <w:r>
        <w:rPr>
          <w:rFonts w:hint="eastAsia" w:ascii="宋体" w:hAnsi="宋体" w:cs="宋体"/>
          <w:color w:val="000000" w:themeColor="text1"/>
          <w:szCs w:val="21"/>
          <w:highlight w:val="none"/>
          <w:lang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金额（元）：</w:t>
      </w:r>
      <w:r>
        <w:rPr>
          <w:rFonts w:hint="eastAsia" w:ascii="宋体" w:hAnsi="宋体" w:cs="宋体"/>
          <w:color w:val="000000" w:themeColor="text1"/>
          <w:szCs w:val="21"/>
          <w:highlight w:val="none"/>
          <w:lang w:val="en-US" w:eastAsia="zh-CN"/>
          <w14:textFill>
            <w14:solidFill>
              <w14:schemeClr w14:val="tx1"/>
            </w14:solidFill>
          </w14:textFill>
        </w:rPr>
        <w:t>872536.05</w:t>
      </w:r>
    </w:p>
    <w:p w14:paraId="661A39BE">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采购需求：本项目位于浦北县六硍镇内，主要建设挡土墙等内容。具体详见竞争性磋商文件、工程量清单及施工图纸。</w:t>
      </w:r>
    </w:p>
    <w:p w14:paraId="21DFB527">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标项名称:</w:t>
      </w:r>
      <w:r>
        <w:rPr>
          <w:rFonts w:hint="eastAsia" w:ascii="宋体" w:hAnsi="宋体" w:cs="宋体"/>
          <w:color w:val="000000" w:themeColor="text1"/>
          <w:szCs w:val="21"/>
          <w:highlight w:val="none"/>
          <w:u w:val="none"/>
          <w:lang w:val="en-US" w:eastAsia="zh-CN"/>
          <w14:textFill>
            <w14:solidFill>
              <w14:schemeClr w14:val="tx1"/>
            </w14:solidFill>
          </w14:textFill>
        </w:rPr>
        <w:t>浦北县六硍镇南进城路口扩宽建设挡土墙工程项目(二期）</w:t>
      </w:r>
    </w:p>
    <w:p w14:paraId="5D1E595D">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数量:不限</w:t>
      </w:r>
    </w:p>
    <w:p w14:paraId="4F9EBA68">
      <w:pPr>
        <w:pageBreakBefore w:val="0"/>
        <w:widowControl w:val="0"/>
        <w:kinsoku/>
        <w:wordWrap/>
        <w:overflowPunct/>
        <w:topLinePunct w:val="0"/>
        <w:bidi w:val="0"/>
        <w:adjustRightInd/>
        <w:spacing w:line="380" w:lineRule="exact"/>
        <w:ind w:left="420" w:leftChars="200" w:firstLine="0" w:firstLineChars="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预算金额（元）:</w:t>
      </w:r>
      <w:r>
        <w:rPr>
          <w:rFonts w:hint="eastAsia" w:ascii="宋体" w:hAnsi="宋体" w:cs="宋体"/>
          <w:color w:val="000000" w:themeColor="text1"/>
          <w:szCs w:val="21"/>
          <w:highlight w:val="none"/>
          <w:lang w:val="en-US" w:eastAsia="zh-CN"/>
          <w14:textFill>
            <w14:solidFill>
              <w14:schemeClr w14:val="tx1"/>
            </w14:solidFill>
          </w14:textFill>
        </w:rPr>
        <w:t>872536.05</w:t>
      </w:r>
    </w:p>
    <w:p w14:paraId="57C3CA7A">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简要规格描述或项目基本概况介绍、用途：</w:t>
      </w:r>
      <w:r>
        <w:rPr>
          <w:rFonts w:hint="eastAsia" w:ascii="宋体" w:hAnsi="宋体" w:cs="宋体"/>
          <w:color w:val="000000" w:themeColor="text1"/>
          <w:szCs w:val="21"/>
          <w:highlight w:val="none"/>
          <w:u w:val="none"/>
          <w:lang w:val="en-US" w:eastAsia="zh-CN"/>
          <w14:textFill>
            <w14:solidFill>
              <w14:schemeClr w14:val="tx1"/>
            </w14:solidFill>
          </w14:textFill>
        </w:rPr>
        <w:t>浦北县六硍镇南进城路口扩宽建设挡土墙工程项目(二期）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具体详见竞争性磋商文件、工程量清单及施工图纸</w:t>
      </w:r>
      <w:r>
        <w:rPr>
          <w:rFonts w:hint="eastAsia" w:ascii="宋体" w:hAnsi="宋体" w:cs="宋体"/>
          <w:color w:val="000000" w:themeColor="text1"/>
          <w:szCs w:val="21"/>
          <w:highlight w:val="none"/>
          <w:lang w:val="en-US" w:eastAsia="zh-CN"/>
          <w14:textFill>
            <w14:solidFill>
              <w14:schemeClr w14:val="tx1"/>
            </w14:solidFill>
          </w14:textFill>
        </w:rPr>
        <w:t>。</w:t>
      </w:r>
    </w:p>
    <w:p w14:paraId="36215659">
      <w:pPr>
        <w:pageBreakBefore w:val="0"/>
        <w:widowControl w:val="0"/>
        <w:kinsoku/>
        <w:wordWrap/>
        <w:overflowPunct/>
        <w:topLinePunct w:val="0"/>
        <w:bidi w:val="0"/>
        <w:adjustRightInd/>
        <w:spacing w:line="380" w:lineRule="exact"/>
        <w:ind w:firstLine="420" w:firstLineChars="200"/>
        <w:textAlignment w:val="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最高限价（如有）：</w:t>
      </w:r>
      <w:r>
        <w:rPr>
          <w:rFonts w:hint="eastAsia" w:ascii="宋体" w:hAnsi="宋体" w:cs="宋体"/>
          <w:color w:val="000000" w:themeColor="text1"/>
          <w:szCs w:val="21"/>
          <w:highlight w:val="none"/>
          <w:lang w:eastAsia="zh-CN"/>
          <w14:textFill>
            <w14:solidFill>
              <w14:schemeClr w14:val="tx1"/>
            </w14:solidFill>
          </w14:textFill>
        </w:rPr>
        <w:t>872536.05</w:t>
      </w:r>
    </w:p>
    <w:p w14:paraId="7998736D">
      <w:pPr>
        <w:pageBreakBefore w:val="0"/>
        <w:widowControl w:val="0"/>
        <w:kinsoku/>
        <w:wordWrap/>
        <w:overflowPunct/>
        <w:topLinePunct w:val="0"/>
        <w:bidi w:val="0"/>
        <w:adjustRightInd/>
        <w:spacing w:line="38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合同履约期限：</w:t>
      </w:r>
      <w:r>
        <w:rPr>
          <w:rFonts w:hint="eastAsia" w:ascii="宋体" w:hAnsi="宋体" w:cs="宋体"/>
          <w:color w:val="000000" w:themeColor="text1"/>
          <w:szCs w:val="21"/>
          <w:highlight w:val="none"/>
          <w:lang w:eastAsia="zh-CN"/>
          <w14:textFill>
            <w14:solidFill>
              <w14:schemeClr w14:val="tx1"/>
            </w14:solidFill>
          </w14:textFill>
        </w:rPr>
        <w:t>施工工期</w:t>
      </w:r>
      <w:r>
        <w:rPr>
          <w:rFonts w:hint="eastAsia" w:ascii="宋体" w:hAnsi="宋体" w:cs="宋体"/>
          <w:color w:val="000000" w:themeColor="text1"/>
          <w:szCs w:val="21"/>
          <w:highlight w:val="none"/>
          <w:lang w:val="en-US" w:eastAsia="zh-CN"/>
          <w14:textFill>
            <w14:solidFill>
              <w14:schemeClr w14:val="tx1"/>
            </w14:solidFill>
          </w14:textFill>
        </w:rPr>
        <w:t>6个月</w:t>
      </w:r>
    </w:p>
    <w:p w14:paraId="5504D403">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本标项（否）接受联合体投标</w:t>
      </w:r>
    </w:p>
    <w:p w14:paraId="4AA1226B">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lang w:eastAsia="zh-CN"/>
          <w14:textFill>
            <w14:solidFill>
              <w14:schemeClr w14:val="tx1"/>
            </w14:solidFill>
          </w14:textFill>
        </w:rPr>
        <w:t>本项目为线上电子招标项目，有意向参与本项目的供应商应当做好参与全流程电子招投标交易的充分准备。</w:t>
      </w:r>
    </w:p>
    <w:p w14:paraId="04AB8B81">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000000" w:themeColor="text1"/>
          <w:sz w:val="21"/>
          <w:szCs w:val="21"/>
          <w:highlight w:val="none"/>
          <w14:textFill>
            <w14:solidFill>
              <w14:schemeClr w14:val="tx1"/>
            </w14:solidFill>
          </w14:textFill>
        </w:rPr>
      </w:pPr>
      <w:bookmarkStart w:id="10" w:name="_Toc28359013"/>
      <w:bookmarkStart w:id="11" w:name="_Toc28359090"/>
      <w:bookmarkStart w:id="12" w:name="_Toc21513"/>
      <w:bookmarkStart w:id="13" w:name="_Toc35393630"/>
      <w:bookmarkStart w:id="14" w:name="_Toc35393799"/>
      <w:r>
        <w:rPr>
          <w:rFonts w:hint="eastAsia" w:ascii="宋体" w:hAnsi="宋体" w:eastAsia="宋体" w:cs="宋体"/>
          <w:bCs w:val="0"/>
          <w:color w:val="000000" w:themeColor="text1"/>
          <w:sz w:val="21"/>
          <w:szCs w:val="21"/>
          <w:highlight w:val="none"/>
          <w14:textFill>
            <w14:solidFill>
              <w14:schemeClr w14:val="tx1"/>
            </w14:solidFill>
          </w14:textFill>
        </w:rPr>
        <w:t>二、申请人的资格要求：</w:t>
      </w:r>
      <w:bookmarkEnd w:id="10"/>
      <w:bookmarkEnd w:id="11"/>
      <w:bookmarkEnd w:id="12"/>
      <w:bookmarkEnd w:id="13"/>
      <w:bookmarkEnd w:id="14"/>
    </w:p>
    <w:p w14:paraId="0310939A">
      <w:pPr>
        <w:pageBreakBefore w:val="0"/>
        <w:widowControl w:val="0"/>
        <w:kinsoku/>
        <w:wordWrap/>
        <w:overflowPunct/>
        <w:topLinePunct w:val="0"/>
        <w:bidi w:val="0"/>
        <w:adjustRightInd/>
        <w:snapToGrid w:val="0"/>
        <w:spacing w:line="38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1.符合《中华人民共和国政府采购法》第二十二条规定</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6455F529">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r>
        <w:rPr>
          <w:rFonts w:hint="eastAsia" w:ascii="宋体" w:hAnsi="宋体" w:cs="宋体"/>
          <w:color w:val="000000" w:themeColor="text1"/>
          <w:szCs w:val="21"/>
          <w:highlight w:val="none"/>
          <w:lang w:eastAsia="zh-CN"/>
          <w14:textFill>
            <w14:solidFill>
              <w14:schemeClr w14:val="tx1"/>
            </w14:solidFill>
          </w14:textFill>
        </w:rPr>
        <w:t>本项目属于专门面向中小微企业采购的项目，供应商须为中小微企业（监狱企业、残疾人福利性单位视同小型、微型企业）。</w:t>
      </w:r>
    </w:p>
    <w:p w14:paraId="4682A481">
      <w:pPr>
        <w:pStyle w:val="10"/>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5" w:name="_Toc28359014"/>
      <w:bookmarkStart w:id="16" w:name="_Toc28359091"/>
      <w:r>
        <w:rPr>
          <w:rFonts w:hint="eastAsia" w:hAnsi="宋体" w:cs="宋体"/>
          <w:color w:val="000000" w:themeColor="text1"/>
          <w:sz w:val="21"/>
          <w:szCs w:val="21"/>
          <w:highlight w:val="none"/>
          <w14:textFill>
            <w14:solidFill>
              <w14:schemeClr w14:val="tx1"/>
            </w14:solidFill>
          </w14:textFill>
        </w:rPr>
        <w:t>3.本项目的特定资格要求：</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eastAsia="zh-CN"/>
          <w14:textFill>
            <w14:solidFill>
              <w14:schemeClr w14:val="tx1"/>
            </w14:solidFill>
          </w14:textFill>
        </w:rPr>
        <w:t>）竞标人须具备具备市政公用工程</w:t>
      </w:r>
      <w:r>
        <w:rPr>
          <w:rFonts w:hint="eastAsia" w:hAnsi="宋体" w:cs="宋体"/>
          <w:color w:val="000000" w:themeColor="text1"/>
          <w:sz w:val="21"/>
          <w:szCs w:val="21"/>
          <w:highlight w:val="none"/>
          <w:lang w:val="en-US" w:eastAsia="zh-CN"/>
          <w14:textFill>
            <w14:solidFill>
              <w14:schemeClr w14:val="tx1"/>
            </w14:solidFill>
          </w14:textFill>
        </w:rPr>
        <w:t>施工</w:t>
      </w:r>
      <w:r>
        <w:rPr>
          <w:rFonts w:hint="eastAsia" w:hAnsi="宋体" w:cs="宋体"/>
          <w:color w:val="000000" w:themeColor="text1"/>
          <w:sz w:val="21"/>
          <w:szCs w:val="21"/>
          <w:highlight w:val="none"/>
          <w:lang w:eastAsia="zh-CN"/>
          <w14:textFill>
            <w14:solidFill>
              <w14:schemeClr w14:val="tx1"/>
            </w14:solidFill>
          </w14:textFill>
        </w:rPr>
        <w:t>总承包叁级或建筑工程施工总承包叁级以上（含本级）资质以及有效的安全生产许可证，在人员、设备、资金等方面具备相应的施工能力</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拟投入本工程的项目经理必须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具备建筑工程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或市政公用工程</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专业二级（含二级）以上注册建造师执业资格，且具备有效的安全生产考核合格证书（B类）</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本项目不接受有在建、已中标未开工或已列为其他项目中标候选人第一名的建造师作为项目经理（符合《广西壮族自治区建筑市场诚信卡管理暂行办法》第十六条第一款及桂建管﹝2016﹞70号、桂建管〔2020〕11号文除外）。 </w:t>
      </w:r>
    </w:p>
    <w:p w14:paraId="429D22A3">
      <w:pPr>
        <w:pStyle w:val="3"/>
        <w:pageBreakBefore w:val="0"/>
        <w:widowControl w:val="0"/>
        <w:kinsoku/>
        <w:wordWrap/>
        <w:overflowPunct/>
        <w:topLinePunct w:val="0"/>
        <w:bidi w:val="0"/>
        <w:adjustRightInd/>
        <w:spacing w:line="380" w:lineRule="exact"/>
        <w:textAlignment w:val="auto"/>
        <w:outlineLvl w:val="0"/>
        <w:rPr>
          <w:rFonts w:hint="eastAsia" w:ascii="宋体" w:hAnsi="宋体" w:eastAsia="宋体" w:cs="宋体"/>
          <w:bCs w:val="0"/>
          <w:color w:val="000000" w:themeColor="text1"/>
          <w:sz w:val="21"/>
          <w:szCs w:val="21"/>
          <w:highlight w:val="none"/>
          <w14:textFill>
            <w14:solidFill>
              <w14:schemeClr w14:val="tx1"/>
            </w14:solidFill>
          </w14:textFill>
        </w:rPr>
      </w:pPr>
      <w:bookmarkStart w:id="17" w:name="_Toc35393800"/>
      <w:bookmarkStart w:id="18" w:name="_Toc13777"/>
      <w:bookmarkStart w:id="19" w:name="_Toc9125"/>
      <w:bookmarkStart w:id="20" w:name="_Toc35393631"/>
      <w:r>
        <w:rPr>
          <w:rFonts w:hint="eastAsia" w:ascii="宋体" w:hAnsi="宋体" w:eastAsia="宋体" w:cs="宋体"/>
          <w:bCs w:val="0"/>
          <w:color w:val="000000" w:themeColor="text1"/>
          <w:sz w:val="21"/>
          <w:szCs w:val="21"/>
          <w:highlight w:val="none"/>
          <w14:textFill>
            <w14:solidFill>
              <w14:schemeClr w14:val="tx1"/>
            </w14:solidFill>
          </w14:textFill>
        </w:rPr>
        <w:t>三、获取采购文件</w:t>
      </w:r>
      <w:bookmarkEnd w:id="15"/>
      <w:bookmarkEnd w:id="16"/>
      <w:bookmarkEnd w:id="17"/>
      <w:bookmarkEnd w:id="18"/>
      <w:bookmarkEnd w:id="19"/>
      <w:bookmarkEnd w:id="20"/>
    </w:p>
    <w:p w14:paraId="1E04CBC0">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000000" w:themeColor="text1"/>
          <w:szCs w:val="21"/>
          <w:highlight w:val="none"/>
          <w:u w:val="none"/>
          <w:lang w:eastAsia="zh-CN"/>
          <w14:textFill>
            <w14:solidFill>
              <w14:schemeClr w14:val="tx1"/>
            </w14:solidFill>
          </w14:textFill>
        </w:rPr>
      </w:pPr>
      <w:r>
        <w:rPr>
          <w:rFonts w:hint="eastAsia" w:ascii="宋体" w:hAnsi="宋体" w:cs="宋体"/>
          <w:color w:val="000000" w:themeColor="text1"/>
          <w:szCs w:val="21"/>
          <w:highlight w:val="none"/>
          <w:u w:val="none"/>
          <w14:textFill>
            <w14:solidFill>
              <w14:schemeClr w14:val="tx1"/>
            </w14:solidFill>
          </w14:textFill>
        </w:rPr>
        <w:t>时间：</w:t>
      </w:r>
      <w:r>
        <w:rPr>
          <w:rFonts w:hint="eastAsia" w:ascii="宋体" w:hAnsi="宋体" w:cs="宋体"/>
          <w:color w:val="000000" w:themeColor="text1"/>
          <w:szCs w:val="21"/>
          <w:highlight w:val="none"/>
          <w:u w:val="none"/>
          <w:lang w:val="en-US" w:eastAsia="zh-CN"/>
          <w14:textFill>
            <w14:solidFill>
              <w14:schemeClr w14:val="tx1"/>
            </w14:solidFill>
          </w14:textFill>
        </w:rPr>
        <w:t>2026年4月23日</w:t>
      </w:r>
      <w:r>
        <w:rPr>
          <w:rFonts w:hint="eastAsia" w:ascii="宋体" w:hAnsi="宋体" w:cs="宋体"/>
          <w:color w:val="000000" w:themeColor="text1"/>
          <w:szCs w:val="21"/>
          <w:highlight w:val="none"/>
          <w:u w:val="none"/>
          <w14:textFill>
            <w14:solidFill>
              <w14:schemeClr w14:val="tx1"/>
            </w14:solidFill>
          </w14:textFill>
        </w:rPr>
        <w:t>至</w:t>
      </w:r>
      <w:r>
        <w:rPr>
          <w:rFonts w:hint="eastAsia" w:ascii="宋体" w:hAnsi="宋体" w:cs="宋体"/>
          <w:color w:val="000000" w:themeColor="text1"/>
          <w:szCs w:val="21"/>
          <w:highlight w:val="none"/>
          <w:u w:val="none"/>
          <w:lang w:val="en-US" w:eastAsia="zh-CN"/>
          <w14:textFill>
            <w14:solidFill>
              <w14:schemeClr w14:val="tx1"/>
            </w14:solidFill>
          </w14:textFill>
        </w:rPr>
        <w:t>2026年4月30日</w:t>
      </w:r>
      <w:r>
        <w:rPr>
          <w:rFonts w:hint="eastAsia" w:ascii="宋体" w:hAnsi="宋体" w:cs="宋体"/>
          <w:color w:val="000000" w:themeColor="text1"/>
          <w:szCs w:val="21"/>
          <w:highlight w:val="none"/>
          <w:u w:val="none"/>
          <w14:textFill>
            <w14:solidFill>
              <w14:schemeClr w14:val="tx1"/>
            </w14:solidFill>
          </w14:textFill>
        </w:rPr>
        <w:t>，每天上午8:00至12:00，下午</w:t>
      </w:r>
      <w:r>
        <w:rPr>
          <w:rFonts w:hint="eastAsia" w:ascii="宋体" w:hAnsi="宋体" w:cs="宋体"/>
          <w:color w:val="000000" w:themeColor="text1"/>
          <w:szCs w:val="21"/>
          <w:highlight w:val="none"/>
          <w:u w:val="none"/>
          <w:lang w:val="en-US" w:eastAsia="zh-CN"/>
          <w14:textFill>
            <w14:solidFill>
              <w14:schemeClr w14:val="tx1"/>
            </w14:solidFill>
          </w14:textFill>
        </w:rPr>
        <w:t>15</w:t>
      </w:r>
      <w:r>
        <w:rPr>
          <w:rFonts w:hint="eastAsia" w:ascii="宋体" w:hAnsi="宋体" w:cs="宋体"/>
          <w:color w:val="000000" w:themeColor="text1"/>
          <w:szCs w:val="21"/>
          <w:highlight w:val="none"/>
          <w:u w:val="none"/>
          <w14:textFill>
            <w14:solidFill>
              <w14:schemeClr w14:val="tx1"/>
            </w14:solidFill>
          </w14:textFill>
        </w:rPr>
        <w:t>:00至</w:t>
      </w:r>
      <w:r>
        <w:rPr>
          <w:rFonts w:hint="eastAsia" w:ascii="宋体" w:hAnsi="宋体" w:cs="宋体"/>
          <w:color w:val="000000" w:themeColor="text1"/>
          <w:szCs w:val="21"/>
          <w:highlight w:val="none"/>
          <w:u w:val="none"/>
          <w:lang w:val="en-US" w:eastAsia="zh-CN"/>
          <w14:textFill>
            <w14:solidFill>
              <w14:schemeClr w14:val="tx1"/>
            </w14:solidFill>
          </w14:textFill>
        </w:rPr>
        <w:t>18</w:t>
      </w:r>
      <w:r>
        <w:rPr>
          <w:rFonts w:hint="eastAsia" w:ascii="宋体" w:hAnsi="宋体" w:cs="宋体"/>
          <w:color w:val="000000" w:themeColor="text1"/>
          <w:szCs w:val="21"/>
          <w:highlight w:val="none"/>
          <w:u w:val="none"/>
          <w14:textFill>
            <w14:solidFill>
              <w14:schemeClr w14:val="tx1"/>
            </w14:solidFill>
          </w14:textFill>
        </w:rPr>
        <w:t>:</w:t>
      </w:r>
      <w:r>
        <w:rPr>
          <w:rFonts w:hint="eastAsia" w:ascii="宋体" w:hAnsi="宋体" w:cs="宋体"/>
          <w:color w:val="000000" w:themeColor="text1"/>
          <w:szCs w:val="21"/>
          <w:highlight w:val="none"/>
          <w:u w:val="none"/>
          <w:lang w:val="en-US" w:eastAsia="zh-CN"/>
          <w14:textFill>
            <w14:solidFill>
              <w14:schemeClr w14:val="tx1"/>
            </w14:solidFill>
          </w14:textFill>
        </w:rPr>
        <w:t>00</w:t>
      </w:r>
      <w:r>
        <w:rPr>
          <w:rFonts w:hint="eastAsia" w:ascii="宋体" w:hAnsi="宋体" w:cs="宋体"/>
          <w:color w:val="000000" w:themeColor="text1"/>
          <w:szCs w:val="21"/>
          <w:highlight w:val="none"/>
          <w:u w:val="none"/>
          <w14:textFill>
            <w14:solidFill>
              <w14:schemeClr w14:val="tx1"/>
            </w14:solidFill>
          </w14:textFill>
        </w:rPr>
        <w:t>（北京时间，法定节假日除外）</w:t>
      </w:r>
      <w:r>
        <w:rPr>
          <w:rFonts w:hint="eastAsia" w:ascii="宋体" w:hAnsi="宋体" w:cs="宋体"/>
          <w:color w:val="000000" w:themeColor="text1"/>
          <w:szCs w:val="21"/>
          <w:highlight w:val="none"/>
          <w:u w:val="none"/>
          <w:lang w:eastAsia="zh-CN"/>
          <w14:textFill>
            <w14:solidFill>
              <w14:schemeClr w14:val="tx1"/>
            </w14:solidFill>
          </w14:textFill>
        </w:rPr>
        <w:t>。</w:t>
      </w:r>
    </w:p>
    <w:p w14:paraId="176F8263">
      <w:pPr>
        <w:keepNext w:val="0"/>
        <w:keepLines w:val="0"/>
        <w:pageBreakBefore w:val="0"/>
        <w:widowControl w:val="0"/>
        <w:kinsoku/>
        <w:wordWrap/>
        <w:overflowPunct/>
        <w:topLinePunct w:val="0"/>
        <w:autoSpaceDE/>
        <w:autoSpaceDN/>
        <w:bidi w:val="0"/>
        <w:adjustRightInd/>
        <w:spacing w:line="380" w:lineRule="exact"/>
        <w:ind w:left="0" w:leftChars="0" w:firstLine="367" w:firstLineChars="175"/>
        <w:textAlignment w:val="auto"/>
        <w:rPr>
          <w:rFonts w:hint="eastAsia" w:ascii="宋体" w:hAnsi="宋体" w:eastAsia="宋体" w:cs="宋体"/>
          <w:iCs/>
          <w:color w:val="000000" w:themeColor="text1"/>
          <w:spacing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u w:val="none"/>
          <w14:textFill>
            <w14:solidFill>
              <w14:schemeClr w14:val="tx1"/>
            </w14:solidFill>
          </w14:textFill>
        </w:rPr>
        <w:t>地</w:t>
      </w:r>
      <w:r>
        <w:rPr>
          <w:rFonts w:hint="eastAsia" w:ascii="宋体" w:hAnsi="宋体" w:cs="宋体"/>
          <w:color w:val="000000" w:themeColor="text1"/>
          <w:spacing w:val="0"/>
          <w:sz w:val="21"/>
          <w:szCs w:val="21"/>
          <w:highlight w:val="none"/>
          <w:u w:val="none"/>
          <w:lang w:eastAsia="zh-CN"/>
          <w14:textFill>
            <w14:solidFill>
              <w14:schemeClr w14:val="tx1"/>
            </w14:solidFill>
          </w14:textFill>
        </w:rPr>
        <w:t>点</w:t>
      </w:r>
      <w:r>
        <w:rPr>
          <w:rFonts w:hint="eastAsia" w:ascii="宋体" w:hAnsi="宋体" w:cs="宋体"/>
          <w:color w:val="000000" w:themeColor="text1"/>
          <w:spacing w:val="0"/>
          <w:sz w:val="21"/>
          <w:szCs w:val="21"/>
          <w:highlight w:val="none"/>
          <w:u w:val="none"/>
          <w:lang w:val="en-US" w:eastAsia="zh-CN"/>
          <w14:textFill>
            <w14:solidFill>
              <w14:schemeClr w14:val="tx1"/>
            </w14:solidFill>
          </w14:textFill>
        </w:rPr>
        <w:t>（网址）</w:t>
      </w:r>
      <w:r>
        <w:rPr>
          <w:rFonts w:hint="eastAsia" w:ascii="宋体" w:hAnsi="宋体" w:eastAsia="宋体" w:cs="宋体"/>
          <w:color w:val="000000" w:themeColor="text1"/>
          <w:spacing w:val="0"/>
          <w:sz w:val="21"/>
          <w:szCs w:val="21"/>
          <w:highlight w:val="none"/>
          <w:u w:val="none"/>
          <w:lang w:val="en-US" w:eastAsia="zh-CN"/>
          <w14:textFill>
            <w14:solidFill>
              <w14:schemeClr w14:val="tx1"/>
            </w14:solidFill>
          </w14:textFill>
        </w:rPr>
        <w:t>：</w:t>
      </w:r>
      <w:r>
        <w:rPr>
          <w:rFonts w:hint="eastAsia" w:ascii="宋体" w:hAnsi="宋体" w:cs="Times New Roman"/>
          <w:color w:val="000000" w:themeColor="text1"/>
          <w:szCs w:val="21"/>
          <w:highlight w:val="none"/>
          <w:u w:val="none"/>
          <w:lang w:eastAsia="zh-CN"/>
          <w14:textFill>
            <w14:solidFill>
              <w14:schemeClr w14:val="tx1"/>
            </w14:solidFill>
          </w14:textFill>
        </w:rPr>
        <w:t>广西政府采购云平台</w:t>
      </w:r>
      <w:r>
        <w:rPr>
          <w:rFonts w:hint="eastAsia" w:ascii="宋体" w:hAnsi="宋体" w:eastAsia="宋体" w:cs="Times New Roman"/>
          <w:color w:val="000000" w:themeColor="text1"/>
          <w:szCs w:val="21"/>
          <w:highlight w:val="none"/>
          <w:u w:val="none"/>
          <w14:textFill>
            <w14:solidFill>
              <w14:schemeClr w14:val="tx1"/>
            </w14:solidFill>
          </w14:textFill>
        </w:rPr>
        <w:t>（</w:t>
      </w:r>
      <w:r>
        <w:rPr>
          <w:rFonts w:hint="eastAsia" w:ascii="宋体" w:hAnsi="宋体" w:cs="Times New Roman"/>
          <w:color w:val="000000" w:themeColor="text1"/>
          <w:szCs w:val="21"/>
          <w:highlight w:val="none"/>
          <w:u w:val="none"/>
          <w:lang w:eastAsia="zh-CN"/>
          <w14:textFill>
            <w14:solidFill>
              <w14:schemeClr w14:val="tx1"/>
            </w14:solidFill>
          </w14:textFill>
        </w:rPr>
        <w:t>https://www.gcy.zfcg.gxzf.gov.cn</w:t>
      </w:r>
      <w:r>
        <w:rPr>
          <w:rFonts w:hint="eastAsia" w:ascii="宋体" w:hAnsi="宋体" w:eastAsia="宋体" w:cs="Times New Roman"/>
          <w:color w:val="000000" w:themeColor="text1"/>
          <w:szCs w:val="21"/>
          <w:highlight w:val="none"/>
          <w:u w:val="none"/>
          <w14:textFill>
            <w14:solidFill>
              <w14:schemeClr w14:val="tx1"/>
            </w14:solidFill>
          </w14:textFill>
        </w:rPr>
        <w:t>）</w:t>
      </w:r>
    </w:p>
    <w:p w14:paraId="3B728233">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w:t>
      </w:r>
      <w:r>
        <w:rPr>
          <w:rFonts w:hint="eastAsia" w:ascii="宋体" w:hAnsi="宋体"/>
          <w:color w:val="000000" w:themeColor="text1"/>
          <w:szCs w:val="21"/>
          <w:highlight w:val="none"/>
          <w:lang w:eastAsia="zh-CN"/>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5F6075A5">
      <w:pPr>
        <w:keepNext/>
        <w:keepLines/>
        <w:pageBreakBefore w:val="0"/>
        <w:widowControl w:val="0"/>
        <w:kinsoku/>
        <w:wordWrap/>
        <w:overflowPunct/>
        <w:topLinePunct w:val="0"/>
        <w:bidi w:val="0"/>
        <w:adjustRightInd/>
        <w:spacing w:line="380" w:lineRule="exact"/>
        <w:jc w:val="both"/>
        <w:textAlignment w:val="auto"/>
        <w:outlineLvl w:val="0"/>
        <w:rPr>
          <w:rFonts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bookmarkStart w:id="21" w:name="_Toc28970"/>
      <w:bookmarkStart w:id="22" w:name="_Toc35393801"/>
      <w:bookmarkStart w:id="23" w:name="_Toc28359092"/>
      <w:bookmarkStart w:id="24" w:name="_Toc35393632"/>
      <w:bookmarkStart w:id="25" w:name="_Toc28359015"/>
      <w:bookmarkStart w:id="26" w:name="_Toc18110"/>
      <w:bookmarkStart w:id="27" w:name="_Toc35393633"/>
      <w:bookmarkStart w:id="28" w:name="_Toc28359093"/>
      <w:bookmarkStart w:id="29" w:name="_Toc35393802"/>
      <w:bookmarkStart w:id="30" w:name="_Toc24973"/>
      <w:bookmarkStart w:id="31" w:name="_Toc3197"/>
      <w:bookmarkStart w:id="32" w:name="_Toc28359016"/>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四、</w:t>
      </w:r>
      <w:bookmarkEnd w:id="21"/>
      <w:bookmarkEnd w:id="22"/>
      <w:bookmarkEnd w:id="23"/>
      <w:bookmarkEnd w:id="24"/>
      <w:bookmarkEnd w:id="25"/>
      <w:bookmarkEnd w:id="26"/>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提交投标文件截止时间、开标时间和地点</w:t>
      </w:r>
    </w:p>
    <w:p w14:paraId="33DD586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1、首次响应文件提交截止时间（北京时间）：</w:t>
      </w:r>
      <w:r>
        <w:rPr>
          <w:rFonts w:hint="eastAsia" w:ascii="宋体" w:hAnsi="宋体" w:eastAsia="宋体" w:cs="宋体"/>
          <w:color w:val="000000" w:themeColor="text1"/>
          <w:szCs w:val="21"/>
          <w:highlight w:val="none"/>
          <w14:textFill>
            <w14:solidFill>
              <w14:schemeClr w14:val="tx1"/>
            </w14:solidFill>
          </w14:textFill>
        </w:rPr>
        <w:t>2026年5月12日9时30分</w:t>
      </w:r>
      <w:r>
        <w:rPr>
          <w:rFonts w:hint="eastAsia" w:ascii="宋体" w:hAnsi="宋体" w:eastAsia="宋体" w:cs="Times New Roman"/>
          <w:color w:val="000000" w:themeColor="text1"/>
          <w:szCs w:val="21"/>
          <w:highlight w:val="none"/>
          <w14:textFill>
            <w14:solidFill>
              <w14:schemeClr w14:val="tx1"/>
            </w14:solidFill>
          </w14:textFill>
        </w:rPr>
        <w:t>（从磋商文件开始发出之日起至供应商提交首次响应文件截止之日止不得少于10日）</w:t>
      </w:r>
    </w:p>
    <w:p w14:paraId="3D2B20A2">
      <w:pPr>
        <w:pStyle w:val="3"/>
        <w:pageBreakBefore w:val="0"/>
        <w:widowControl w:val="0"/>
        <w:kinsoku/>
        <w:wordWrap/>
        <w:overflowPunct/>
        <w:topLinePunct w:val="0"/>
        <w:bidi w:val="0"/>
        <w:adjustRightInd/>
        <w:spacing w:line="380" w:lineRule="exact"/>
        <w:textAlignment w:val="auto"/>
        <w:outlineLvl w:val="0"/>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2、开标地点：本项目将在广西政府采购云平台电子开标大厅解密、开标。本项目采用远程异地评标，评标主场设在浦北县公共资源交易中心（浦北县总工会3楼），评标副会场设在</w:t>
      </w:r>
      <w:r>
        <w:rPr>
          <w:rFonts w:hint="eastAsia" w:ascii="宋体" w:hAnsi="宋体" w:eastAsia="宋体" w:cs="Times New Roman"/>
          <w:b w:val="0"/>
          <w:bCs w:val="0"/>
          <w:color w:val="000000" w:themeColor="text1"/>
          <w:kern w:val="2"/>
          <w:sz w:val="21"/>
          <w:szCs w:val="21"/>
          <w:highlight w:val="none"/>
          <w:u w:val="single"/>
          <w:lang w:val="en-US" w:eastAsia="zh-CN" w:bidi="ar-SA"/>
          <w14:textFill>
            <w14:solidFill>
              <w14:schemeClr w14:val="tx1"/>
            </w14:solidFill>
          </w14:textFill>
        </w:rPr>
        <w:t>玉林市兴业县公共资源交易中心 。</w:t>
      </w:r>
    </w:p>
    <w:p w14:paraId="349ECAFB">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000000" w:themeColor="text1"/>
          <w:sz w:val="21"/>
          <w:szCs w:val="21"/>
          <w:highlight w:val="none"/>
          <w:u w:val="none"/>
          <w14:textFill>
            <w14:solidFill>
              <w14:schemeClr w14:val="tx1"/>
            </w14:solidFill>
          </w14:textFill>
        </w:rPr>
      </w:pPr>
      <w:r>
        <w:rPr>
          <w:rFonts w:hint="eastAsia" w:ascii="宋体" w:hAnsi="宋体" w:eastAsia="宋体" w:cs="宋体"/>
          <w:bCs w:val="0"/>
          <w:color w:val="000000" w:themeColor="text1"/>
          <w:sz w:val="21"/>
          <w:szCs w:val="21"/>
          <w:highlight w:val="none"/>
          <w:u w:val="none"/>
          <w14:textFill>
            <w14:solidFill>
              <w14:schemeClr w14:val="tx1"/>
            </w14:solidFill>
          </w14:textFill>
        </w:rPr>
        <w:t>五、响应文件开启</w:t>
      </w:r>
      <w:bookmarkEnd w:id="27"/>
      <w:bookmarkEnd w:id="28"/>
      <w:bookmarkEnd w:id="29"/>
      <w:bookmarkEnd w:id="30"/>
      <w:bookmarkEnd w:id="31"/>
      <w:bookmarkEnd w:id="32"/>
    </w:p>
    <w:p w14:paraId="67CA6DFD">
      <w:pPr>
        <w:keepNext w:val="0"/>
        <w:keepLines w:val="0"/>
        <w:pageBreakBefore w:val="0"/>
        <w:widowControl w:val="0"/>
        <w:kinsoku/>
        <w:wordWrap/>
        <w:overflowPunct/>
        <w:topLinePunct w:val="0"/>
        <w:autoSpaceDE/>
        <w:autoSpaceDN/>
        <w:bidi w:val="0"/>
        <w:adjustRightInd/>
        <w:spacing w:line="380" w:lineRule="exact"/>
        <w:ind w:left="0" w:leftChars="0" w:firstLine="367" w:firstLineChars="175"/>
        <w:textAlignment w:val="auto"/>
        <w:rPr>
          <w:rFonts w:hint="eastAsia" w:ascii="宋体" w:hAnsi="宋体" w:eastAsia="宋体"/>
          <w:bCs/>
          <w:color w:val="000000" w:themeColor="text1"/>
          <w:szCs w:val="21"/>
          <w:highlight w:val="none"/>
          <w:u w:val="none"/>
          <w:lang w:eastAsia="zh-CN"/>
          <w14:textFill>
            <w14:solidFill>
              <w14:schemeClr w14:val="tx1"/>
            </w14:solidFill>
          </w14:textFill>
        </w:rPr>
      </w:pPr>
      <w:r>
        <w:rPr>
          <w:rFonts w:hint="eastAsia" w:ascii="宋体" w:hAnsi="宋体"/>
          <w:bCs/>
          <w:color w:val="000000" w:themeColor="text1"/>
          <w:szCs w:val="21"/>
          <w:highlight w:val="none"/>
          <w:u w:val="none"/>
          <w14:textFill>
            <w14:solidFill>
              <w14:schemeClr w14:val="tx1"/>
            </w14:solidFill>
          </w14:textFill>
        </w:rPr>
        <w:t>开启时间：</w:t>
      </w:r>
      <w:r>
        <w:rPr>
          <w:rFonts w:hint="eastAsia" w:ascii="宋体" w:hAnsi="宋体" w:cs="宋体"/>
          <w:color w:val="000000" w:themeColor="text1"/>
          <w:szCs w:val="21"/>
          <w:highlight w:val="none"/>
          <w:u w:val="single"/>
          <w:lang w:val="en-US" w:eastAsia="zh-CN"/>
          <w14:textFill>
            <w14:solidFill>
              <w14:schemeClr w14:val="tx1"/>
            </w14:solidFill>
          </w14:textFill>
        </w:rPr>
        <w:t>2026年5月12日9时30分</w:t>
      </w:r>
      <w:r>
        <w:rPr>
          <w:rFonts w:hint="eastAsia" w:ascii="宋体" w:hAnsi="宋体"/>
          <w:bCs/>
          <w:color w:val="000000" w:themeColor="text1"/>
          <w:szCs w:val="21"/>
          <w:highlight w:val="none"/>
          <w:u w:val="none"/>
          <w14:textFill>
            <w14:solidFill>
              <w14:schemeClr w14:val="tx1"/>
            </w14:solidFill>
          </w14:textFill>
        </w:rPr>
        <w:t>（北京时间）</w:t>
      </w:r>
    </w:p>
    <w:p w14:paraId="5ABC3A31">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bCs/>
          <w:color w:val="000000" w:themeColor="text1"/>
          <w:szCs w:val="21"/>
          <w:highlight w:val="none"/>
          <w:u w:val="none"/>
          <w:lang w:eastAsia="zh-CN"/>
          <w14:textFill>
            <w14:solidFill>
              <w14:schemeClr w14:val="tx1"/>
            </w14:solidFill>
          </w14:textFill>
        </w:rPr>
      </w:pPr>
      <w:r>
        <w:rPr>
          <w:rFonts w:hint="eastAsia" w:ascii="宋体" w:hAnsi="宋体"/>
          <w:bCs/>
          <w:color w:val="000000" w:themeColor="text1"/>
          <w:szCs w:val="21"/>
          <w:highlight w:val="none"/>
          <w:u w:val="none"/>
          <w14:textFill>
            <w14:solidFill>
              <w14:schemeClr w14:val="tx1"/>
            </w14:solidFill>
          </w14:textFill>
        </w:rPr>
        <w:t>地点：“</w:t>
      </w:r>
      <w:r>
        <w:rPr>
          <w:rFonts w:hint="eastAsia" w:ascii="宋体" w:hAnsi="宋体"/>
          <w:bCs/>
          <w:color w:val="000000" w:themeColor="text1"/>
          <w:szCs w:val="21"/>
          <w:highlight w:val="none"/>
          <w:u w:val="none"/>
          <w:lang w:val="en-US" w:eastAsia="zh-CN"/>
          <w14:textFill>
            <w14:solidFill>
              <w14:schemeClr w14:val="tx1"/>
            </w14:solidFill>
          </w14:textFill>
        </w:rPr>
        <w:t>广西</w:t>
      </w:r>
      <w:r>
        <w:rPr>
          <w:rFonts w:hint="eastAsia" w:ascii="宋体" w:hAnsi="宋体"/>
          <w:bCs/>
          <w:color w:val="000000" w:themeColor="text1"/>
          <w:szCs w:val="21"/>
          <w:highlight w:val="none"/>
          <w:u w:val="none"/>
          <w14:textFill>
            <w14:solidFill>
              <w14:schemeClr w14:val="tx1"/>
            </w14:solidFill>
          </w14:textFill>
        </w:rPr>
        <w:t>政采云</w:t>
      </w:r>
      <w:r>
        <w:rPr>
          <w:rFonts w:hint="eastAsia" w:ascii="宋体" w:hAnsi="宋体"/>
          <w:bCs/>
          <w:color w:val="000000" w:themeColor="text1"/>
          <w:szCs w:val="21"/>
          <w:highlight w:val="none"/>
          <w:u w:val="none"/>
          <w:lang w:val="en-US" w:eastAsia="zh-CN"/>
          <w14:textFill>
            <w14:solidFill>
              <w14:schemeClr w14:val="tx1"/>
            </w14:solidFill>
          </w14:textFill>
        </w:rPr>
        <w:t>平台</w:t>
      </w:r>
      <w:r>
        <w:rPr>
          <w:rFonts w:hint="eastAsia" w:ascii="宋体" w:hAnsi="宋体"/>
          <w:bCs/>
          <w:color w:val="000000" w:themeColor="text1"/>
          <w:szCs w:val="21"/>
          <w:highlight w:val="none"/>
          <w:u w:val="none"/>
          <w14:textFill>
            <w14:solidFill>
              <w14:schemeClr w14:val="tx1"/>
            </w14:solidFill>
          </w14:textFill>
        </w:rPr>
        <w:t>”平台电子开标大厅在线解密开启 </w:t>
      </w:r>
    </w:p>
    <w:p w14:paraId="05EA1F0D">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000000" w:themeColor="text1"/>
          <w:sz w:val="21"/>
          <w:szCs w:val="21"/>
          <w:highlight w:val="none"/>
          <w:u w:val="none"/>
          <w14:textFill>
            <w14:solidFill>
              <w14:schemeClr w14:val="tx1"/>
            </w14:solidFill>
          </w14:textFill>
        </w:rPr>
      </w:pPr>
      <w:bookmarkStart w:id="33" w:name="_Toc35393803"/>
      <w:bookmarkStart w:id="34" w:name="_Toc35393634"/>
      <w:bookmarkStart w:id="35" w:name="_Toc28359017"/>
      <w:bookmarkStart w:id="36" w:name="_Toc17419"/>
      <w:bookmarkStart w:id="37" w:name="_Toc28359094"/>
      <w:bookmarkStart w:id="38" w:name="_Toc5452"/>
      <w:r>
        <w:rPr>
          <w:rFonts w:hint="eastAsia" w:ascii="宋体" w:hAnsi="宋体" w:eastAsia="宋体" w:cs="宋体"/>
          <w:bCs w:val="0"/>
          <w:color w:val="000000" w:themeColor="text1"/>
          <w:sz w:val="21"/>
          <w:szCs w:val="21"/>
          <w:highlight w:val="none"/>
          <w:u w:val="none"/>
          <w14:textFill>
            <w14:solidFill>
              <w14:schemeClr w14:val="tx1"/>
            </w14:solidFill>
          </w14:textFill>
        </w:rPr>
        <w:t>六、公告期限</w:t>
      </w:r>
      <w:bookmarkEnd w:id="33"/>
      <w:bookmarkEnd w:id="34"/>
      <w:bookmarkEnd w:id="35"/>
      <w:bookmarkEnd w:id="36"/>
      <w:bookmarkEnd w:id="37"/>
      <w:bookmarkEnd w:id="38"/>
    </w:p>
    <w:p w14:paraId="680A484D">
      <w:pPr>
        <w:pageBreakBefore w:val="0"/>
        <w:widowControl w:val="0"/>
        <w:kinsoku/>
        <w:wordWrap/>
        <w:overflowPunct/>
        <w:topLinePunct w:val="0"/>
        <w:bidi w:val="0"/>
        <w:adjustRightInd/>
        <w:spacing w:line="38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06D61536">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000000" w:themeColor="text1"/>
          <w:sz w:val="21"/>
          <w:szCs w:val="21"/>
          <w:highlight w:val="none"/>
          <w14:textFill>
            <w14:solidFill>
              <w14:schemeClr w14:val="tx1"/>
            </w14:solidFill>
          </w14:textFill>
        </w:rPr>
      </w:pPr>
      <w:bookmarkStart w:id="39" w:name="_Toc321"/>
      <w:bookmarkStart w:id="40" w:name="_Toc35393804"/>
      <w:bookmarkStart w:id="41" w:name="_Toc26297"/>
      <w:bookmarkStart w:id="42" w:name="_Toc35393635"/>
      <w:r>
        <w:rPr>
          <w:rFonts w:hint="eastAsia" w:ascii="宋体" w:hAnsi="宋体" w:eastAsia="宋体" w:cs="宋体"/>
          <w:bCs w:val="0"/>
          <w:color w:val="000000" w:themeColor="text1"/>
          <w:sz w:val="21"/>
          <w:szCs w:val="21"/>
          <w:highlight w:val="none"/>
          <w14:textFill>
            <w14:solidFill>
              <w14:schemeClr w14:val="tx1"/>
            </w14:solidFill>
          </w14:textFill>
        </w:rPr>
        <w:t>七、其他补充事宜</w:t>
      </w:r>
      <w:bookmarkEnd w:id="39"/>
      <w:bookmarkEnd w:id="40"/>
      <w:bookmarkEnd w:id="41"/>
      <w:bookmarkEnd w:id="42"/>
    </w:p>
    <w:p w14:paraId="7040D449">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bookmarkStart w:id="43" w:name="_Toc28359095"/>
      <w:bookmarkStart w:id="44" w:name="_Toc28359018"/>
      <w:bookmarkStart w:id="45" w:name="_Toc35393636"/>
      <w:bookmarkStart w:id="46" w:name="_Toc35393805"/>
      <w:r>
        <w:rPr>
          <w:rFonts w:hint="eastAsia" w:ascii="宋体" w:hAnsi="宋体" w:cs="宋体"/>
          <w:color w:val="000000" w:themeColor="text1"/>
          <w:szCs w:val="21"/>
          <w:highlight w:val="none"/>
          <w14:textFill>
            <w14:solidFill>
              <w14:schemeClr w14:val="tx1"/>
            </w14:solidFill>
          </w14:textFill>
        </w:rPr>
        <w:t>1.本项目为全流程电子化政府采购项目，供应商应按照本项目采购文件和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的要求编制、加密并提交电子响应文件。未完成</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供应商注册入驻并办理数字证书（CA认证）的供应商将无法参与本项目政府采购活动。供应商在使用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参与投标过程中遇到涉及平台使用的任何问题，</w:t>
      </w:r>
      <w:r>
        <w:rPr>
          <w:rFonts w:hint="eastAsia" w:ascii="宋体" w:hAnsi="宋体"/>
          <w:color w:val="000000" w:themeColor="text1"/>
          <w:szCs w:val="21"/>
          <w:highlight w:val="none"/>
          <w14:textFill>
            <w14:solidFill>
              <w14:schemeClr w14:val="tx1"/>
            </w14:solidFill>
          </w14:textFill>
        </w:rPr>
        <w:t>可致电</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技术支持热线咨询</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95763</w:t>
      </w:r>
      <w:r>
        <w:rPr>
          <w:rFonts w:hint="eastAsia" w:ascii="宋体"/>
          <w:color w:val="000000" w:themeColor="text1"/>
          <w:szCs w:val="21"/>
          <w:highlight w:val="none"/>
          <w14:textFill>
            <w14:solidFill>
              <w14:schemeClr w14:val="tx1"/>
            </w14:solidFill>
          </w14:textFill>
        </w:rPr>
        <w:t>。</w:t>
      </w:r>
    </w:p>
    <w:p w14:paraId="3B7BC4F9">
      <w:pPr>
        <w:pageBreakBefore w:val="0"/>
        <w:kinsoku/>
        <w:wordWrap/>
        <w:overflowPunct/>
        <w:topLinePunct w:val="0"/>
        <w:bidi w:val="0"/>
        <w:spacing w:line="380" w:lineRule="exact"/>
        <w:ind w:firstLine="210" w:firstLineChars="1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（1）供应商应及时熟悉掌握电子标系统操作指南（见政采云电子卖场首页右上角—服务中心—帮助文档—项目采购）：https://service.zcygov.cn/#/knowledges/tree?tag=AG1DtGwBFdiHxlNdhY0r。</w:t>
      </w:r>
    </w:p>
    <w:p w14:paraId="2BD4C1E3">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（2）供应商应及时完成</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供应商注册入驻和办理政采云CA证书申领和绑定（见广西壮族自治区政府采购网—办事服务—下载专区-政采云CA证书办理操作指南）。</w:t>
      </w:r>
    </w:p>
    <w:p w14:paraId="0A9AA0E5">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须通过政采云供应商客户端软件制作电子响应文件，政采云供应商客户端软件请供应商自行前往下载并安装（见广西壮族自治区政府采购网—办事服务—下载专区-广西壮族自治区全流程电子招投标项目管理系统--供应商客户端）。</w:t>
      </w:r>
    </w:p>
    <w:p w14:paraId="11DFC7BC">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2.本项目需要落实的政府采购政策</w:t>
      </w:r>
    </w:p>
    <w:p w14:paraId="4D6B9BA7">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37E413AB">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（2）政府采购支持采用本国产品的政策。</w:t>
      </w:r>
    </w:p>
    <w:p w14:paraId="45C1F2C6">
      <w:pPr>
        <w:pageBreakBefore w:val="0"/>
        <w:kinsoku/>
        <w:wordWrap/>
        <w:overflowPunct/>
        <w:topLinePunct w:val="0"/>
        <w:bidi w:val="0"/>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（3）强制采购节能产品；优先采购节能产品、环境标志产品。</w:t>
      </w:r>
    </w:p>
    <w:p w14:paraId="217613DF">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（4）政府采购促</w:t>
      </w:r>
      <w:r>
        <w:rPr>
          <w:rFonts w:hint="eastAsia" w:ascii="宋体" w:hAnsi="宋体" w:eastAsia="宋体" w:cs="宋体"/>
          <w:color w:val="000000" w:themeColor="text1"/>
          <w:szCs w:val="21"/>
          <w:highlight w:val="none"/>
          <w14:textFill>
            <w14:solidFill>
              <w14:schemeClr w14:val="tx1"/>
            </w14:solidFill>
          </w14:textFill>
        </w:rPr>
        <w:t>进残疾人就业政策。</w:t>
      </w:r>
    </w:p>
    <w:p w14:paraId="3ADDA238">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（5）政府采购支持监狱企业发展。</w:t>
      </w:r>
    </w:p>
    <w:p w14:paraId="4392C8A3">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3.网上查询地址</w:t>
      </w:r>
    </w:p>
    <w:p w14:paraId="26339D52">
      <w:pPr>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000000" w:themeColor="text1"/>
          <w:szCs w:val="21"/>
          <w:highlight w:val="none"/>
          <w:lang w:bidi="ar"/>
          <w14:textFill>
            <w14:solidFill>
              <w14:schemeClr w14:val="tx1"/>
            </w14:solidFill>
          </w14:textFill>
        </w:rPr>
      </w:pPr>
      <w:bookmarkStart w:id="47" w:name="_Toc227"/>
      <w:bookmarkStart w:id="48" w:name="_Toc23726"/>
      <w:r>
        <w:rPr>
          <w:rFonts w:hint="eastAsia" w:ascii="宋体" w:hAnsi="宋体" w:eastAsia="宋体" w:cs="宋体"/>
          <w:color w:val="000000" w:themeColor="text1"/>
          <w:szCs w:val="21"/>
          <w:highlight w:val="none"/>
          <w:lang w:bidi="ar"/>
          <w14:textFill>
            <w14:solidFill>
              <w14:schemeClr w14:val="tx1"/>
            </w14:solidFill>
          </w14:textFill>
        </w:rPr>
        <w:t>广西壮族自治区政府采购网http</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//zfcg.gxzf.gov.cn/、中国政府采购网http</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//www.ccgp.gov.cn/</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全国公共资源交易平台 （广西.钦州）http</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//ggzy.jgswj.gxzf.gov.cn/qzggzy/ 、全国公共资源交易平台（广西·浦北）http</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//ggzy.jgswj.gxzf.gov.cn/pbggzy/。</w:t>
      </w:r>
    </w:p>
    <w:p w14:paraId="65E4F193">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监督部门：浦北县政府采购监督管理办公室   联系电话：0777-8314622</w:t>
      </w:r>
    </w:p>
    <w:p w14:paraId="616922F5">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5.评标说明：本项目为远程异地全流程电子评标，评标主会场地址：浦北县公共资源交易中心（总工会3楼），评标副会场设在</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玉林市兴业县公共资源交易中心</w:t>
      </w:r>
      <w:r>
        <w:rPr>
          <w:rFonts w:hint="eastAsia" w:ascii="宋体" w:hAnsi="宋体" w:eastAsia="宋体" w:cs="宋体"/>
          <w:color w:val="000000" w:themeColor="text1"/>
          <w:szCs w:val="21"/>
          <w:highlight w:val="none"/>
          <w:lang w:val="en-US" w:eastAsia="zh-CN" w:bidi="ar"/>
          <w14:textFill>
            <w14:solidFill>
              <w14:schemeClr w14:val="tx1"/>
            </w14:solidFill>
          </w14:textFill>
        </w:rPr>
        <w:t>。</w:t>
      </w:r>
    </w:p>
    <w:p w14:paraId="04898A66">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6.投标注意事项：</w:t>
      </w:r>
    </w:p>
    <w:p w14:paraId="40559175">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1）投标文件提交方式：本项目为全流程电子化政府采购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2B0365E5">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（2）供应商应及时熟悉掌握电子标系统操作指南（见广西政府采购云平台电子卖场首页右上角—服务中心—帮助文档—项目采购）；及时完成CA申领和绑定（见广西政府采购网—办事服务—下载专区- CA证书办理操作指南）。</w:t>
      </w:r>
    </w:p>
    <w:p w14:paraId="4A731AA9">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原在政采云平台注册的临时供应商需在新平台重新注册登记。</w:t>
      </w:r>
    </w:p>
    <w:p w14:paraId="33F45334">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（4）为确保网上操作合法、有效和安全，请供应商确保在电子投标过程中能够对相关数据电文进行加密和使用电子签章，妥善保管CA数字证书并使用有效的CA数字证书参与整个采购活动。</w:t>
      </w:r>
    </w:p>
    <w:p w14:paraId="7220C27D">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23C54A3">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（5）CA证书在线解密：供应商投标时，需携带制作投标文件时用来加密的有效数字证书（CA认证）登录广西政府采购云平台电子开标大厅现场按规定时间对加密的投标文件进行解密，否则后果自负。</w:t>
      </w:r>
    </w:p>
    <w:p w14:paraId="6DA6A39D">
      <w:pPr>
        <w:pageBreakBefore w:val="0"/>
        <w:widowControl/>
        <w:kinsoku/>
        <w:wordWrap/>
        <w:overflowPunct/>
        <w:topLinePunct w:val="0"/>
        <w:bidi w:val="0"/>
        <w:spacing w:line="380" w:lineRule="exact"/>
        <w:ind w:firstLine="420" w:firstLineChars="200"/>
        <w:jc w:val="left"/>
        <w:textAlignment w:val="auto"/>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57ACA397">
      <w:pPr>
        <w:pStyle w:val="3"/>
        <w:pageBreakBefore w:val="0"/>
        <w:widowControl w:val="0"/>
        <w:kinsoku/>
        <w:wordWrap/>
        <w:overflowPunct/>
        <w:topLinePunct w:val="0"/>
        <w:bidi w:val="0"/>
        <w:adjustRightInd/>
        <w:spacing w:line="380" w:lineRule="exact"/>
        <w:textAlignment w:val="auto"/>
        <w:outlineLvl w:val="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八、凡对本次采购提出询问，请按以下方式联系</w:t>
      </w:r>
      <w:bookmarkEnd w:id="43"/>
      <w:bookmarkEnd w:id="44"/>
      <w:bookmarkEnd w:id="45"/>
      <w:bookmarkEnd w:id="46"/>
      <w:bookmarkEnd w:id="47"/>
      <w:bookmarkEnd w:id="48"/>
    </w:p>
    <w:p w14:paraId="0617BE51">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bookmarkStart w:id="49" w:name="_Toc28359019"/>
      <w:bookmarkStart w:id="50" w:name="_Toc35393637"/>
      <w:bookmarkStart w:id="51" w:name="_Toc35393806"/>
      <w:bookmarkStart w:id="52" w:name="_Toc28359096"/>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1.采购人信息</w:t>
      </w:r>
      <w:bookmarkEnd w:id="49"/>
      <w:bookmarkEnd w:id="50"/>
      <w:bookmarkEnd w:id="51"/>
      <w:bookmarkEnd w:id="52"/>
    </w:p>
    <w:p w14:paraId="468C39FC">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 xml:space="preserve">名    称：浦北县六硍镇人民政府  </w:t>
      </w:r>
    </w:p>
    <w:p w14:paraId="7ABD1EDA">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地    址：浦北县六硍镇金舟街1号  </w:t>
      </w:r>
    </w:p>
    <w:p w14:paraId="15E48685">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项目联系人：覃湘</w:t>
      </w:r>
    </w:p>
    <w:p w14:paraId="0A538D69">
      <w:pPr>
        <w:pageBreakBefore w:val="0"/>
        <w:widowControl w:val="0"/>
        <w:kinsoku/>
        <w:wordWrap/>
        <w:overflowPunct/>
        <w:topLinePunct w:val="0"/>
        <w:bidi w:val="0"/>
        <w:adjustRightInd/>
        <w:spacing w:line="380" w:lineRule="exact"/>
        <w:ind w:left="1041" w:leftChars="371" w:hanging="262" w:hangingChars="125"/>
        <w:jc w:val="left"/>
        <w:textAlignment w:val="auto"/>
        <w:rPr>
          <w:rFonts w:hint="default"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项目联系方式：0777-8758002</w:t>
      </w:r>
    </w:p>
    <w:p w14:paraId="678EAB7D">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bookmarkStart w:id="53" w:name="_Toc28359020"/>
      <w:bookmarkStart w:id="54" w:name="_Toc35393638"/>
      <w:bookmarkStart w:id="55" w:name="_Toc28359097"/>
      <w:bookmarkStart w:id="56" w:name="_Toc35393807"/>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2.采购代理机构信息</w:t>
      </w:r>
      <w:bookmarkEnd w:id="53"/>
      <w:bookmarkEnd w:id="54"/>
      <w:bookmarkEnd w:id="55"/>
      <w:bookmarkEnd w:id="56"/>
    </w:p>
    <w:p w14:paraId="4F8BB3A5">
      <w:pPr>
        <w:pageBreakBefore w:val="0"/>
        <w:widowControl w:val="0"/>
        <w:kinsoku/>
        <w:wordWrap/>
        <w:overflowPunct/>
        <w:topLinePunct w:val="0"/>
        <w:bidi w:val="0"/>
        <w:adjustRightInd/>
        <w:spacing w:line="380" w:lineRule="exact"/>
        <w:ind w:firstLine="840" w:firstLineChars="400"/>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名    称：广西中佰项目管理有限公司 　</w:t>
      </w:r>
    </w:p>
    <w:p w14:paraId="7E8118C3">
      <w:pPr>
        <w:pageBreakBefore w:val="0"/>
        <w:widowControl w:val="0"/>
        <w:kinsoku/>
        <w:wordWrap/>
        <w:overflowPunct/>
        <w:topLinePunct w:val="0"/>
        <w:bidi w:val="0"/>
        <w:adjustRightInd/>
        <w:spacing w:line="380" w:lineRule="exact"/>
        <w:ind w:firstLine="840" w:firstLineChars="400"/>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地　　址：</w:t>
      </w:r>
      <w:bookmarkStart w:id="57" w:name="_Toc28359098"/>
      <w:bookmarkStart w:id="58" w:name="_Toc35393808"/>
      <w:bookmarkStart w:id="59" w:name="_Toc35393639"/>
      <w:bookmarkStart w:id="60" w:name="_Toc28359021"/>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浦北县小江镇东滨路（东方丽园）9幢32号       </w:t>
      </w:r>
    </w:p>
    <w:p w14:paraId="11D93AD9">
      <w:pPr>
        <w:pStyle w:val="3"/>
        <w:pageBreakBefore w:val="0"/>
        <w:widowControl w:val="0"/>
        <w:kinsoku/>
        <w:wordWrap/>
        <w:overflowPunct/>
        <w:topLinePunct w:val="0"/>
        <w:bidi w:val="0"/>
        <w:adjustRightInd/>
        <w:spacing w:line="380" w:lineRule="exact"/>
        <w:ind w:firstLine="630" w:firstLineChars="300"/>
        <w:textAlignment w:val="auto"/>
        <w:rPr>
          <w:rFonts w:hint="default"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 项目联系人：陈慧玲</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ab/>
      </w:r>
    </w:p>
    <w:p w14:paraId="251D9954">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 项目联系方式：</w:t>
      </w:r>
      <w:bookmarkEnd w:id="57"/>
      <w:bookmarkEnd w:id="58"/>
      <w:bookmarkEnd w:id="59"/>
      <w:bookmarkEnd w:id="60"/>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0777-8331248</w:t>
      </w:r>
    </w:p>
    <w:p w14:paraId="7703880D">
      <w:pPr>
        <w:pStyle w:val="49"/>
        <w:pageBreakBefore w:val="0"/>
        <w:numPr>
          <w:ilvl w:val="0"/>
          <w:numId w:val="0"/>
        </w:numPr>
        <w:kinsoku/>
        <w:wordWrap/>
        <w:overflowPunct/>
        <w:topLinePunct w:val="0"/>
        <w:bidi w:val="0"/>
        <w:spacing w:line="380" w:lineRule="exact"/>
        <w:textAlignment w:val="auto"/>
        <w:rPr>
          <w:rFonts w:hint="default"/>
          <w:color w:val="000000" w:themeColor="text1"/>
          <w:highlight w:val="none"/>
          <w:lang w:val="en-US" w:eastAsia="zh-CN"/>
          <w14:textFill>
            <w14:solidFill>
              <w14:schemeClr w14:val="tx1"/>
            </w14:solidFill>
          </w14:textFill>
        </w:rPr>
      </w:pPr>
    </w:p>
    <w:p w14:paraId="6B76861C">
      <w:pPr>
        <w:pageBreakBefore w:val="0"/>
        <w:kinsoku/>
        <w:wordWrap/>
        <w:overflowPunct/>
        <w:topLinePunct w:val="0"/>
        <w:bidi w:val="0"/>
        <w:spacing w:line="380" w:lineRule="exac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p>
    <w:p w14:paraId="6652084C">
      <w:pPr>
        <w:pageBreakBefore w:val="0"/>
        <w:kinsoku/>
        <w:wordWrap/>
        <w:overflowPunct/>
        <w:topLinePunct w:val="0"/>
        <w:bidi w:val="0"/>
        <w:spacing w:line="380" w:lineRule="exact"/>
        <w:ind w:firstLine="420" w:firstLineChars="20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eastAsia="zh-CN"/>
          <w14:textFill>
            <w14:solidFill>
              <w14:schemeClr w14:val="tx1"/>
            </w14:solidFill>
          </w14:textFill>
        </w:rPr>
        <w:t xml:space="preserve">广西中佰项目管理有限公司 </w:t>
      </w:r>
    </w:p>
    <w:p w14:paraId="6E58D567">
      <w:pPr>
        <w:pStyle w:val="10"/>
        <w:pageBreakBefore w:val="0"/>
        <w:kinsoku/>
        <w:wordWrap/>
        <w:overflowPunct/>
        <w:topLinePunct w:val="0"/>
        <w:bidi w:val="0"/>
        <w:spacing w:line="380" w:lineRule="exact"/>
        <w:ind w:firstLine="6930" w:firstLineChars="3300"/>
        <w:textAlignment w:val="auto"/>
        <w:rPr>
          <w:rFonts w:hint="eastAsia" w:ascii="宋体" w:hAnsi="宋体" w:cs="宋体"/>
          <w:b/>
          <w:bCs/>
          <w:color w:val="000000" w:themeColor="text1"/>
          <w:spacing w:val="-14"/>
          <w:position w:val="-6"/>
          <w:sz w:val="28"/>
          <w:szCs w:val="28"/>
          <w:highlight w:val="none"/>
          <w14:textFill>
            <w14:solidFill>
              <w14:schemeClr w14:val="tx1"/>
            </w14:solidFill>
          </w14:textFill>
        </w:rPr>
      </w:pPr>
      <w:r>
        <w:rPr>
          <w:rFonts w:hint="eastAsia" w:hAnsi="宋体" w:cs="宋体"/>
          <w:color w:val="000000" w:themeColor="text1"/>
          <w:kern w:val="2"/>
          <w:sz w:val="21"/>
          <w:szCs w:val="24"/>
          <w:highlight w:val="none"/>
          <w:lang w:val="en-US" w:eastAsia="zh-CN" w:bidi="ar-SA"/>
          <w14:textFill>
            <w14:solidFill>
              <w14:schemeClr w14:val="tx1"/>
            </w14:solidFill>
          </w14:textFill>
        </w:rPr>
        <w:t>2026年4月23日</w:t>
      </w:r>
    </w:p>
    <w:p w14:paraId="3F5C5019">
      <w:pPr>
        <w:pStyle w:val="49"/>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p>
    <w:p w14:paraId="65C616A1">
      <w:pPr>
        <w:pStyle w:val="49"/>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p>
    <w:p w14:paraId="03BBFF8D">
      <w:pPr>
        <w:pStyle w:val="49"/>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p>
    <w:p w14:paraId="3EE5D3F9">
      <w:pPr>
        <w:pStyle w:val="49"/>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p>
    <w:p w14:paraId="2F34C0E4">
      <w:pPr>
        <w:pStyle w:val="49"/>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p>
    <w:p w14:paraId="21D29DD4">
      <w:pPr>
        <w:pStyle w:val="49"/>
        <w:rPr>
          <w:rFonts w:hint="default" w:ascii="宋体" w:hAnsi="宋体" w:eastAsia="宋体" w:cs="宋体"/>
          <w:b w:val="0"/>
          <w:color w:val="000000" w:themeColor="text1"/>
          <w:sz w:val="21"/>
          <w:szCs w:val="21"/>
          <w:highlight w:val="none"/>
          <w:lang w:val="en-US" w:eastAsia="zh-CN"/>
          <w14:textFill>
            <w14:solidFill>
              <w14:schemeClr w14:val="tx1"/>
            </w14:solidFill>
          </w14:textFill>
        </w:rPr>
      </w:pPr>
    </w:p>
    <w:p w14:paraId="54FEDB71">
      <w:pPr>
        <w:pStyle w:val="49"/>
        <w:rPr>
          <w:rFonts w:hint="eastAsia" w:ascii="宋体" w:hAnsi="宋体"/>
          <w:color w:val="000000" w:themeColor="text1"/>
          <w:szCs w:val="21"/>
          <w:highlight w:val="none"/>
          <w14:textFill>
            <w14:solidFill>
              <w14:schemeClr w14:val="tx1"/>
            </w14:solidFill>
          </w14:textFill>
        </w:rPr>
      </w:pPr>
    </w:p>
    <w:p w14:paraId="3CCDFA95">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FB34D23">
      <w:pPr>
        <w:numPr>
          <w:ilvl w:val="0"/>
          <w:numId w:val="1"/>
        </w:numPr>
        <w:jc w:val="center"/>
        <w:outlineLvl w:val="0"/>
        <w:rPr>
          <w:rFonts w:ascii="宋体" w:hAnsi="宋体" w:cs="宋体"/>
          <w:b/>
          <w:bCs/>
          <w:color w:val="000000" w:themeColor="text1"/>
          <w:spacing w:val="-14"/>
          <w:kern w:val="0"/>
          <w:position w:val="-6"/>
          <w:sz w:val="36"/>
          <w:szCs w:val="36"/>
          <w:highlight w:val="none"/>
          <w14:textFill>
            <w14:solidFill>
              <w14:schemeClr w14:val="tx1"/>
            </w14:solidFill>
          </w14:textFill>
        </w:rPr>
      </w:pPr>
      <w:bookmarkStart w:id="61" w:name="_Toc5416"/>
      <w:r>
        <w:rPr>
          <w:rFonts w:hint="eastAsia" w:ascii="宋体" w:hAnsi="宋体" w:cs="宋体"/>
          <w:b/>
          <w:bCs/>
          <w:color w:val="000000" w:themeColor="text1"/>
          <w:spacing w:val="-14"/>
          <w:kern w:val="0"/>
          <w:position w:val="-6"/>
          <w:sz w:val="36"/>
          <w:szCs w:val="36"/>
          <w:highlight w:val="none"/>
          <w:lang w:eastAsia="zh-CN"/>
          <w14:textFill>
            <w14:solidFill>
              <w14:schemeClr w14:val="tx1"/>
            </w14:solidFill>
          </w14:textFill>
        </w:rPr>
        <w:t>供应商</w:t>
      </w:r>
      <w:r>
        <w:rPr>
          <w:rFonts w:hint="eastAsia" w:ascii="宋体" w:hAnsi="宋体" w:cs="宋体"/>
          <w:b/>
          <w:bCs/>
          <w:color w:val="000000" w:themeColor="text1"/>
          <w:spacing w:val="-14"/>
          <w:kern w:val="0"/>
          <w:position w:val="-6"/>
          <w:sz w:val="36"/>
          <w:szCs w:val="36"/>
          <w:highlight w:val="none"/>
          <w14:textFill>
            <w14:solidFill>
              <w14:schemeClr w14:val="tx1"/>
            </w14:solidFill>
          </w14:textFill>
        </w:rPr>
        <w:t>须知前附表</w:t>
      </w:r>
      <w:bookmarkEnd w:id="61"/>
    </w:p>
    <w:bookmarkEnd w:id="2"/>
    <w:tbl>
      <w:tblPr>
        <w:tblStyle w:val="30"/>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1F0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31A7F970">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1E20FA4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1299D164">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14:paraId="7004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F4F45D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92" w:type="dxa"/>
            <w:tcBorders>
              <w:top w:val="single" w:color="auto" w:sz="4" w:space="0"/>
              <w:left w:val="single" w:color="auto" w:sz="4" w:space="0"/>
              <w:bottom w:val="single" w:color="auto" w:sz="4" w:space="0"/>
              <w:right w:val="single" w:color="auto" w:sz="4" w:space="0"/>
            </w:tcBorders>
            <w:vAlign w:val="center"/>
          </w:tcPr>
          <w:p w14:paraId="01785172">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1777B5AD">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浦北县六硍镇南进城路口扩宽建设挡土墙工程项目(二期）</w:t>
            </w:r>
          </w:p>
          <w:p w14:paraId="6A7BFD26">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编</w:t>
            </w:r>
            <w:r>
              <w:rPr>
                <w:rFonts w:hint="eastAsia" w:ascii="宋体" w:hAnsi="宋体" w:cs="宋体"/>
                <w:color w:val="000000" w:themeColor="text1"/>
                <w:szCs w:val="21"/>
                <w:highlight w:val="none"/>
                <w14:textFill>
                  <w14:solidFill>
                    <w14:schemeClr w14:val="tx1"/>
                  </w14:solidFill>
                </w14:textFill>
              </w:rPr>
              <w:t>号：</w:t>
            </w:r>
            <w:r>
              <w:rPr>
                <w:rFonts w:hint="eastAsia" w:ascii="宋体" w:hAnsi="宋体" w:cs="宋体"/>
                <w:color w:val="000000" w:themeColor="text1"/>
                <w:szCs w:val="21"/>
                <w:highlight w:val="none"/>
                <w:lang w:eastAsia="zh-CN"/>
                <w14:textFill>
                  <w14:solidFill>
                    <w14:schemeClr w14:val="tx1"/>
                  </w14:solidFill>
                </w14:textFill>
              </w:rPr>
              <w:t>QZZC2026-C2-220034-GXZB</w:t>
            </w:r>
          </w:p>
        </w:tc>
      </w:tr>
      <w:tr w14:paraId="162B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B7082A5">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992" w:type="dxa"/>
            <w:tcBorders>
              <w:top w:val="single" w:color="auto" w:sz="4" w:space="0"/>
              <w:left w:val="single" w:color="auto" w:sz="4" w:space="0"/>
              <w:bottom w:val="single" w:color="auto" w:sz="4" w:space="0"/>
              <w:right w:val="single" w:color="auto" w:sz="4" w:space="0"/>
            </w:tcBorders>
            <w:vAlign w:val="center"/>
          </w:tcPr>
          <w:p w14:paraId="18CEC3B9">
            <w:pPr>
              <w:pStyle w:val="13"/>
              <w:keepNext w:val="0"/>
              <w:keepLines w:val="0"/>
              <w:pageBreakBefore w:val="0"/>
              <w:widowControl w:val="0"/>
              <w:kinsoku/>
              <w:wordWrap/>
              <w:overflowPunct/>
              <w:topLinePunct w:val="0"/>
              <w:autoSpaceDE/>
              <w:autoSpaceDN/>
              <w:bidi w:val="0"/>
              <w:adjustRightInd/>
              <w:spacing w:line="380" w:lineRule="exact"/>
              <w:jc w:val="center"/>
              <w:textAlignment w:val="auto"/>
              <w:rPr>
                <w:rFonts w:hAnsi="宋体" w:cs="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资格</w:t>
            </w:r>
          </w:p>
        </w:tc>
        <w:tc>
          <w:tcPr>
            <w:tcW w:w="7164" w:type="dxa"/>
            <w:tcBorders>
              <w:top w:val="single" w:color="auto" w:sz="4" w:space="0"/>
              <w:left w:val="single" w:color="auto" w:sz="4" w:space="0"/>
              <w:bottom w:val="single" w:color="auto" w:sz="4" w:space="0"/>
              <w:right w:val="single" w:color="auto" w:sz="4" w:space="0"/>
            </w:tcBorders>
            <w:vAlign w:val="center"/>
          </w:tcPr>
          <w:p w14:paraId="77C1BB67">
            <w:pPr>
              <w:keepNext w:val="0"/>
              <w:keepLines w:val="0"/>
              <w:pageBreakBefore w:val="0"/>
              <w:widowControl w:val="0"/>
              <w:kinsoku/>
              <w:wordWrap/>
              <w:overflowPunct/>
              <w:topLinePunct w:val="0"/>
              <w:autoSpaceDE/>
              <w:autoSpaceDN/>
              <w:bidi w:val="0"/>
              <w:adjustRightInd/>
              <w:spacing w:line="380" w:lineRule="exact"/>
              <w:jc w:val="left"/>
              <w:textAlignment w:val="auto"/>
              <w:rPr>
                <w:color w:val="000000" w:themeColor="text1"/>
                <w:highlight w:val="none"/>
                <w14:textFill>
                  <w14:solidFill>
                    <w14:schemeClr w14:val="tx1"/>
                  </w14:solidFill>
                </w14:textFill>
              </w:rPr>
            </w:pPr>
            <w:bookmarkStart w:id="62" w:name="OLE_LINK8"/>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资格</w:t>
            </w:r>
            <w:r>
              <w:rPr>
                <w:rFonts w:hint="eastAsia"/>
                <w:color w:val="000000" w:themeColor="text1"/>
                <w:highlight w:val="none"/>
                <w:lang w:eastAsia="zh-CN"/>
                <w14:textFill>
                  <w14:solidFill>
                    <w14:schemeClr w14:val="tx1"/>
                  </w14:solidFill>
                </w14:textFill>
              </w:rPr>
              <w:t>要求</w:t>
            </w:r>
            <w:r>
              <w:rPr>
                <w:rFonts w:hint="eastAsia"/>
                <w:color w:val="000000" w:themeColor="text1"/>
                <w:highlight w:val="none"/>
                <w14:textFill>
                  <w14:solidFill>
                    <w14:schemeClr w14:val="tx1"/>
                  </w14:solidFill>
                </w14:textFill>
              </w:rPr>
              <w:t>：</w:t>
            </w:r>
          </w:p>
          <w:bookmarkEnd w:id="62"/>
          <w:p w14:paraId="746707C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1.符合《中华人民共和国政府采购法》第二十二条规定。 </w:t>
            </w:r>
          </w:p>
          <w:p w14:paraId="60FEFFE3">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r>
              <w:rPr>
                <w:rFonts w:hint="eastAsia" w:ascii="宋体" w:hAnsi="宋体" w:cs="宋体"/>
                <w:color w:val="000000" w:themeColor="text1"/>
                <w:szCs w:val="21"/>
                <w:highlight w:val="none"/>
                <w:lang w:eastAsia="zh-CN"/>
                <w14:textFill>
                  <w14:solidFill>
                    <w14:schemeClr w14:val="tx1"/>
                  </w14:solidFill>
                </w14:textFill>
              </w:rPr>
              <w:t>本项目属于专门面向中小微企业采购的项目，供应商须为中小微企业（监狱企业、残疾人福利性单位视同小型、微型企业）。</w:t>
            </w:r>
          </w:p>
          <w:p w14:paraId="07FE6E3F">
            <w:pPr>
              <w:pStyle w:val="10"/>
              <w:keepNext w:val="0"/>
              <w:keepLines w:val="0"/>
              <w:pageBreakBefore w:val="0"/>
              <w:widowControl w:val="0"/>
              <w:kinsoku/>
              <w:wordWrap/>
              <w:overflowPunct/>
              <w:topLinePunct w:val="0"/>
              <w:autoSpaceDE/>
              <w:autoSpaceDN/>
              <w:bidi w:val="0"/>
              <w:adjustRightInd/>
              <w:spacing w:after="0" w:line="38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3.本项目的特定资格要求：</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eastAsia="zh-CN"/>
                <w14:textFill>
                  <w14:solidFill>
                    <w14:schemeClr w14:val="tx1"/>
                  </w14:solidFill>
                </w14:textFill>
              </w:rPr>
              <w:t>）竞标人须具备市政公用工程施工总承包叁级或建筑工程施工总承包叁级以上（含本级）资质以及有效的安全生产许可证，在人员、设备、资金等方面具备相应的施工能力</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拟投入本工程的项目经理必须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具备建筑工程或市政公用工程专业二级（含二级）以上注册建造师执业资格，且具备有效的安全生产考核合格证书（B类）</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有在建、已中标未开工或已列为其他项目中标候选人第一名的建造师作为项目经理（符合《广西壮族自治区建筑市场诚信卡管理暂行办法》第十六条第一款及桂建管﹝2016﹞70号、桂建管〔2020〕11号文除外）</w:t>
            </w:r>
          </w:p>
          <w:p w14:paraId="36E27EE4">
            <w:pPr>
              <w:keepNext w:val="0"/>
              <w:keepLines w:val="0"/>
              <w:pageBreakBefore w:val="0"/>
              <w:widowControl w:val="0"/>
              <w:kinsoku/>
              <w:wordWrap/>
              <w:overflowPunct/>
              <w:topLinePunct w:val="0"/>
              <w:bidi w:val="0"/>
              <w:adjustRightInd/>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5B2BD276">
            <w:pPr>
              <w:keepNext w:val="0"/>
              <w:keepLines w:val="0"/>
              <w:pageBreakBefore w:val="0"/>
              <w:widowControl w:val="0"/>
              <w:kinsoku/>
              <w:wordWrap/>
              <w:overflowPunct/>
              <w:topLinePunct w:val="0"/>
              <w:bidi w:val="0"/>
              <w:adjustRightInd/>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单位负责人为同</w:t>
            </w:r>
            <w:r>
              <w:rPr>
                <w:rFonts w:hint="eastAsia" w:ascii="宋体" w:hAnsi="宋体" w:eastAsia="宋体" w:cs="宋体"/>
                <w:color w:val="000000" w:themeColor="text1"/>
                <w:szCs w:val="21"/>
                <w:highlight w:val="none"/>
                <w14:textFill>
                  <w14:solidFill>
                    <w14:schemeClr w14:val="tx1"/>
                  </w14:solidFill>
                </w14:textFill>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8A2EE6">
            <w:pPr>
              <w:keepNext w:val="0"/>
              <w:keepLines w:val="0"/>
              <w:pageBreakBefore w:val="0"/>
              <w:widowControl w:val="0"/>
              <w:kinsoku/>
              <w:wordWrap/>
              <w:overflowPunct/>
              <w:topLinePunct w:val="0"/>
              <w:bidi w:val="0"/>
              <w:adjustRightInd/>
              <w:spacing w:line="38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168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1FFACAE2">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992" w:type="dxa"/>
            <w:tcBorders>
              <w:top w:val="single" w:color="auto" w:sz="4" w:space="0"/>
              <w:left w:val="single" w:color="auto" w:sz="4" w:space="0"/>
              <w:bottom w:val="single" w:color="auto" w:sz="4" w:space="0"/>
              <w:right w:val="single" w:color="auto" w:sz="4" w:space="0"/>
            </w:tcBorders>
            <w:vAlign w:val="center"/>
          </w:tcPr>
          <w:p w14:paraId="7ACE6590">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竞标</w:t>
            </w:r>
            <w:r>
              <w:rPr>
                <w:rFonts w:hint="eastAsia" w:ascii="宋体" w:hAnsi="宋体" w:cs="宋体"/>
                <w:color w:val="000000" w:themeColor="text1"/>
                <w:szCs w:val="21"/>
                <w:highlight w:val="none"/>
                <w14:textFill>
                  <w14:solidFill>
                    <w14:schemeClr w14:val="tx1"/>
                  </w14:solidFill>
                </w14:textFill>
              </w:rPr>
              <w:t>报价</w:t>
            </w:r>
          </w:p>
        </w:tc>
        <w:tc>
          <w:tcPr>
            <w:tcW w:w="7164" w:type="dxa"/>
            <w:tcBorders>
              <w:top w:val="single" w:color="auto" w:sz="4" w:space="0"/>
              <w:left w:val="single" w:color="auto" w:sz="4" w:space="0"/>
              <w:bottom w:val="single" w:color="auto" w:sz="4" w:space="0"/>
              <w:right w:val="single" w:color="auto" w:sz="4" w:space="0"/>
            </w:tcBorders>
            <w:vAlign w:val="center"/>
          </w:tcPr>
          <w:p w14:paraId="1501690E">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竞标</w:t>
            </w:r>
            <w:r>
              <w:rPr>
                <w:rFonts w:hint="eastAsia" w:ascii="宋体" w:hAnsi="宋体" w:cs="宋体"/>
                <w:color w:val="000000" w:themeColor="text1"/>
                <w:highlight w:val="none"/>
                <w:lang w:eastAsia="zh-CN"/>
                <w14:textFill>
                  <w14:solidFill>
                    <w14:schemeClr w14:val="tx1"/>
                  </w14:solidFill>
                </w14:textFill>
              </w:rPr>
              <w:t>报价：</w:t>
            </w:r>
          </w:p>
          <w:p w14:paraId="0175467A">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1.供应商必须就所投项目的全部内容作完整唯一报价，漏项报价的或有选择的或有条件的报价，其磋商将视为无效。</w:t>
            </w:r>
          </w:p>
          <w:p w14:paraId="6A52E048">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磋商报价为二次报价，第二次报价为最后报价。                            </w:t>
            </w:r>
          </w:p>
          <w:p w14:paraId="28227497">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45EA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FC24321">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992" w:type="dxa"/>
            <w:tcBorders>
              <w:top w:val="single" w:color="auto" w:sz="4" w:space="0"/>
              <w:left w:val="single" w:color="auto" w:sz="4" w:space="0"/>
              <w:bottom w:val="single" w:color="auto" w:sz="4" w:space="0"/>
              <w:right w:val="single" w:color="auto" w:sz="4" w:space="0"/>
            </w:tcBorders>
            <w:vAlign w:val="center"/>
          </w:tcPr>
          <w:p w14:paraId="3B6140EA">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23946A57">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w:t>
            </w:r>
            <w:r>
              <w:rPr>
                <w:rFonts w:hint="eastAsia" w:ascii="宋体" w:hAnsi="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szCs w:val="21"/>
                <w:highlight w:val="none"/>
                <w14:textFill>
                  <w14:solidFill>
                    <w14:schemeClr w14:val="tx1"/>
                  </w14:solidFill>
                </w14:textFill>
              </w:rPr>
              <w:t>”编写（第五章未附格式的，由供应商自行拟定），不可涂改并在规定加盖公章处加盖电子公章，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9D876FD">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Courier New"/>
                <w:color w:val="000000" w:themeColor="text1"/>
                <w:szCs w:val="21"/>
                <w:highlight w:val="none"/>
                <w14:textFill>
                  <w14:solidFill>
                    <w14:schemeClr w14:val="tx1"/>
                  </w14:solidFill>
                </w14:textFill>
              </w:rPr>
              <w:t>.响应文件电子版密封方式：电子响应文件通过平台有效CA加密后在“政采云”平台</w:t>
            </w:r>
            <w:r>
              <w:rPr>
                <w:rFonts w:hint="eastAsia" w:ascii="宋体" w:hAnsi="宋体" w:cs="Courier New"/>
                <w:color w:val="000000" w:themeColor="text1"/>
                <w:szCs w:val="21"/>
                <w:highlight w:val="none"/>
                <w:lang w:eastAsia="zh-CN"/>
                <w14:textFill>
                  <w14:solidFill>
                    <w14:schemeClr w14:val="tx1"/>
                  </w14:solidFill>
                </w14:textFill>
              </w:rPr>
              <w:t>递交</w:t>
            </w:r>
            <w:r>
              <w:rPr>
                <w:rFonts w:hint="eastAsia" w:ascii="宋体" w:hAnsi="宋体" w:cs="Courier New"/>
                <w:color w:val="000000" w:themeColor="text1"/>
                <w:szCs w:val="21"/>
                <w:highlight w:val="none"/>
                <w14:textFill>
                  <w14:solidFill>
                    <w14:schemeClr w14:val="tx1"/>
                  </w14:solidFill>
                </w14:textFill>
              </w:rPr>
              <w:t>。</w:t>
            </w:r>
          </w:p>
        </w:tc>
      </w:tr>
      <w:tr w14:paraId="2507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ED4671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p>
        </w:tc>
        <w:tc>
          <w:tcPr>
            <w:tcW w:w="1992" w:type="dxa"/>
            <w:tcBorders>
              <w:top w:val="single" w:color="auto" w:sz="4" w:space="0"/>
              <w:left w:val="single" w:color="auto" w:sz="4" w:space="0"/>
              <w:bottom w:val="single" w:color="auto" w:sz="4" w:space="0"/>
              <w:right w:val="single" w:color="auto" w:sz="4" w:space="0"/>
            </w:tcBorders>
            <w:vAlign w:val="center"/>
          </w:tcPr>
          <w:p w14:paraId="3A641065">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7D450C59">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w:t>
            </w:r>
            <w:r>
              <w:rPr>
                <w:color w:val="000000" w:themeColor="text1"/>
                <w:spacing w:val="-3"/>
                <w:sz w:val="21"/>
                <w:highlight w:val="none"/>
                <w14:textFill>
                  <w14:solidFill>
                    <w14:schemeClr w14:val="tx1"/>
                  </w14:solidFill>
                </w14:textFill>
              </w:rPr>
              <w:t>电子备份响应文件</w:t>
            </w:r>
            <w:r>
              <w:rPr>
                <w:rFonts w:hint="eastAsia"/>
                <w:color w:val="000000" w:themeColor="text1"/>
                <w:spacing w:val="-3"/>
                <w:sz w:val="21"/>
                <w:highlight w:val="none"/>
                <w:lang w:eastAsia="zh-CN"/>
                <w14:textFill>
                  <w14:solidFill>
                    <w14:schemeClr w14:val="tx1"/>
                  </w14:solidFill>
                </w14:textFill>
              </w:rPr>
              <w:t>。</w:t>
            </w:r>
          </w:p>
          <w:p w14:paraId="7F0E143C">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本项目接受</w:t>
            </w:r>
            <w:r>
              <w:rPr>
                <w:color w:val="000000" w:themeColor="text1"/>
                <w:spacing w:val="-3"/>
                <w:sz w:val="21"/>
                <w:highlight w:val="none"/>
                <w14:textFill>
                  <w14:solidFill>
                    <w14:schemeClr w14:val="tx1"/>
                  </w14:solidFill>
                </w14:textFill>
              </w:rPr>
              <w:t>电子备份响应文件</w:t>
            </w:r>
            <w:r>
              <w:rPr>
                <w:rFonts w:hint="eastAsia" w:ascii="宋体" w:hAnsi="宋体"/>
                <w:color w:val="000000" w:themeColor="text1"/>
                <w:szCs w:val="21"/>
                <w:highlight w:val="none"/>
                <w:lang w:eastAsia="zh-CN"/>
                <w14:textFill>
                  <w14:solidFill>
                    <w14:schemeClr w14:val="tx1"/>
                  </w14:solidFill>
                </w14:textFill>
              </w:rPr>
              <w:t>。</w:t>
            </w:r>
          </w:p>
          <w:p w14:paraId="53E4BB14">
            <w:pPr>
              <w:pStyle w:val="9"/>
              <w:keepNext w:val="0"/>
              <w:keepLines w:val="0"/>
              <w:pageBreakBefore w:val="0"/>
              <w:widowControl w:val="0"/>
              <w:kinsoku/>
              <w:wordWrap/>
              <w:overflowPunct/>
              <w:topLinePunct w:val="0"/>
              <w:autoSpaceDE/>
              <w:autoSpaceDN/>
              <w:bidi w:val="0"/>
              <w:adjustRightInd/>
              <w:spacing w:line="380" w:lineRule="exact"/>
              <w:ind w:left="0"/>
              <w:textAlignment w:val="auto"/>
              <w:rPr>
                <w:color w:val="000000" w:themeColor="text1"/>
                <w:spacing w:val="-3"/>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供应商</w:t>
            </w:r>
            <w:r>
              <w:rPr>
                <w:rFonts w:hint="eastAsia"/>
                <w:color w:val="000000" w:themeColor="text1"/>
                <w:spacing w:val="-3"/>
                <w:sz w:val="21"/>
                <w:highlight w:val="none"/>
                <w:lang w:eastAsia="zh-CN"/>
                <w14:textFill>
                  <w14:solidFill>
                    <w14:schemeClr w14:val="tx1"/>
                  </w14:solidFill>
                </w14:textFill>
              </w:rPr>
              <w:t>可根据自身情况自行准备</w:t>
            </w:r>
            <w:r>
              <w:rPr>
                <w:color w:val="000000" w:themeColor="text1"/>
                <w:spacing w:val="-3"/>
                <w:sz w:val="21"/>
                <w:highlight w:val="none"/>
                <w14:textFill>
                  <w14:solidFill>
                    <w14:schemeClr w14:val="tx1"/>
                  </w14:solidFill>
                </w14:textFill>
              </w:rPr>
              <w:t xml:space="preserve">电子备份响应文件： </w:t>
            </w:r>
          </w:p>
          <w:p w14:paraId="59D25B70">
            <w:pPr>
              <w:pStyle w:val="9"/>
              <w:keepNext w:val="0"/>
              <w:keepLines w:val="0"/>
              <w:pageBreakBefore w:val="0"/>
              <w:widowControl w:val="0"/>
              <w:numPr>
                <w:ilvl w:val="0"/>
                <w:numId w:val="2"/>
              </w:numPr>
              <w:kinsoku/>
              <w:wordWrap/>
              <w:overflowPunct/>
              <w:topLinePunct w:val="0"/>
              <w:autoSpaceDE/>
              <w:autoSpaceDN/>
              <w:bidi w:val="0"/>
              <w:adjustRightInd/>
              <w:spacing w:line="380" w:lineRule="exact"/>
              <w:ind w:left="0"/>
              <w:textAlignment w:val="auto"/>
              <w:rPr>
                <w:rFonts w:ascii="Times New Roman" w:hAnsi="Times New Roman" w:eastAsia="宋体" w:cs="Times New Roman"/>
                <w:color w:val="000000" w:themeColor="text1"/>
                <w:spacing w:val="-3"/>
                <w:sz w:val="21"/>
                <w:highlight w:val="none"/>
                <w14:textFill>
                  <w14:solidFill>
                    <w14:schemeClr w14:val="tx1"/>
                  </w14:solidFill>
                </w14:textFill>
              </w:rPr>
            </w:pPr>
            <w:r>
              <w:rPr>
                <w:color w:val="000000" w:themeColor="text1"/>
                <w:spacing w:val="-3"/>
                <w:sz w:val="21"/>
                <w:highlight w:val="none"/>
                <w14:textFill>
                  <w14:solidFill>
                    <w14:schemeClr w14:val="tx1"/>
                  </w14:solidFill>
                </w14:textFill>
              </w:rPr>
              <w:t>电子备份响应文件</w:t>
            </w:r>
            <w:r>
              <w:rPr>
                <w:color w:val="000000" w:themeColor="text1"/>
                <w:spacing w:val="-7"/>
                <w:sz w:val="21"/>
                <w:highlight w:val="none"/>
                <w14:textFill>
                  <w14:solidFill>
                    <w14:schemeClr w14:val="tx1"/>
                  </w14:solidFill>
                </w14:textFill>
              </w:rPr>
              <w:t>以</w:t>
            </w:r>
            <w:r>
              <w:rPr>
                <w:rFonts w:hint="eastAsia"/>
                <w:color w:val="000000" w:themeColor="text1"/>
                <w:spacing w:val="-7"/>
                <w:sz w:val="21"/>
                <w:highlight w:val="none"/>
                <w:lang w:eastAsia="zh-CN"/>
                <w14:textFill>
                  <w14:solidFill>
                    <w14:schemeClr w14:val="tx1"/>
                  </w14:solidFill>
                </w14:textFill>
              </w:rPr>
              <w:t>邮件</w:t>
            </w:r>
            <w:r>
              <w:rPr>
                <w:color w:val="000000" w:themeColor="text1"/>
                <w:spacing w:val="-10"/>
                <w:sz w:val="21"/>
                <w:highlight w:val="none"/>
                <w14:textFill>
                  <w14:solidFill>
                    <w14:schemeClr w14:val="tx1"/>
                  </w14:solidFill>
                </w14:textFill>
              </w:rPr>
              <w:t>形式提供。数量</w:t>
            </w:r>
            <w:r>
              <w:rPr>
                <w:rFonts w:ascii="Times New Roman" w:hAnsi="Times New Roman" w:eastAsia="宋体" w:cs="Times New Roman"/>
                <w:color w:val="000000" w:themeColor="text1"/>
                <w:spacing w:val="-3"/>
                <w:sz w:val="21"/>
                <w:highlight w:val="none"/>
                <w14:textFill>
                  <w14:solidFill>
                    <w14:schemeClr w14:val="tx1"/>
                  </w14:solidFill>
                </w14:textFill>
              </w:rPr>
              <w:t>为1份。</w:t>
            </w:r>
          </w:p>
          <w:p w14:paraId="6E7A95B8">
            <w:pPr>
              <w:pStyle w:val="9"/>
              <w:keepNext w:val="0"/>
              <w:keepLines w:val="0"/>
              <w:pageBreakBefore w:val="0"/>
              <w:widowControl w:val="0"/>
              <w:numPr>
                <w:ilvl w:val="0"/>
                <w:numId w:val="2"/>
              </w:numPr>
              <w:kinsoku/>
              <w:wordWrap/>
              <w:overflowPunct/>
              <w:topLinePunct w:val="0"/>
              <w:autoSpaceDE/>
              <w:autoSpaceDN/>
              <w:bidi w:val="0"/>
              <w:adjustRightInd/>
              <w:spacing w:line="380" w:lineRule="exact"/>
              <w:ind w:left="0"/>
              <w:textAlignment w:val="auto"/>
              <w:rPr>
                <w:rFonts w:hint="eastAsia" w:cs="Times New Roman"/>
                <w:color w:val="000000" w:themeColor="text1"/>
                <w:spacing w:val="-3"/>
                <w:sz w:val="21"/>
                <w:highlight w:val="none"/>
                <w:lang w:eastAsia="zh-CN"/>
                <w14:textFill>
                  <w14:solidFill>
                    <w14:schemeClr w14:val="tx1"/>
                  </w14:solidFill>
                </w14:textFill>
              </w:rPr>
            </w:pPr>
            <w:r>
              <w:rPr>
                <w:rFonts w:hint="eastAsia" w:cs="Times New Roman"/>
                <w:color w:val="000000" w:themeColor="text1"/>
                <w:spacing w:val="-3"/>
                <w:sz w:val="21"/>
                <w:highlight w:val="none"/>
                <w:lang w:eastAsia="zh-CN"/>
                <w14:textFill>
                  <w14:solidFill>
                    <w14:schemeClr w14:val="tx1"/>
                  </w14:solidFill>
                </w14:textFill>
              </w:rPr>
              <w:t>电子备份响应文件接收邮箱：</w:t>
            </w:r>
            <w:r>
              <w:rPr>
                <w:rFonts w:hint="eastAsia" w:cs="Times New Roman"/>
                <w:color w:val="000000" w:themeColor="text1"/>
                <w:spacing w:val="-3"/>
                <w:sz w:val="21"/>
                <w:highlight w:val="none"/>
                <w:lang w:val="en-US" w:eastAsia="zh-CN"/>
                <w14:textFill>
                  <w14:solidFill>
                    <w14:schemeClr w14:val="tx1"/>
                  </w14:solidFill>
                </w14:textFill>
              </w:rPr>
              <w:t xml:space="preserve"> </w:t>
            </w:r>
          </w:p>
          <w:p w14:paraId="6DC5D0AF">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t>（</w:t>
            </w:r>
            <w:r>
              <w:rPr>
                <w:rFonts w:hint="eastAsia" w:cs="Times New Roman"/>
                <w:b w:val="0"/>
                <w:bCs w:val="0"/>
                <w:color w:val="000000" w:themeColor="text1"/>
                <w:spacing w:val="-3"/>
                <w:sz w:val="21"/>
                <w:highlight w:val="none"/>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t>）</w:t>
            </w:r>
            <w:r>
              <w:rPr>
                <w:rFonts w:hint="eastAsia" w:cs="Times New Roman"/>
                <w:color w:val="000000" w:themeColor="text1"/>
                <w:spacing w:val="-3"/>
                <w:sz w:val="21"/>
                <w:highlight w:val="none"/>
                <w:lang w:eastAsia="zh-CN"/>
                <w14:textFill>
                  <w14:solidFill>
                    <w14:schemeClr w14:val="tx1"/>
                  </w14:solidFill>
                </w14:textFill>
              </w:rPr>
              <w:t>电子备份响应文件</w:t>
            </w:r>
            <w:r>
              <w:rPr>
                <w:rFonts w:hint="eastAsia" w:cs="Times New Roman"/>
                <w:b w:val="0"/>
                <w:bCs w:val="0"/>
                <w:color w:val="000000" w:themeColor="text1"/>
                <w:spacing w:val="-3"/>
                <w:sz w:val="21"/>
                <w:highlight w:val="none"/>
                <w:lang w:eastAsia="zh-CN"/>
                <w14:textFill>
                  <w14:solidFill>
                    <w14:schemeClr w14:val="tx1"/>
                  </w14:solidFill>
                </w14:textFill>
              </w:rPr>
              <w:t>提交截止</w:t>
            </w:r>
            <w:r>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t>时间：</w:t>
            </w:r>
            <w:r>
              <w:rPr>
                <w:rFonts w:hint="eastAsia" w:cs="Times New Roman"/>
                <w:b w:val="0"/>
                <w:bCs w:val="0"/>
                <w:color w:val="000000" w:themeColor="text1"/>
                <w:spacing w:val="-3"/>
                <w:sz w:val="21"/>
                <w:highlight w:val="none"/>
                <w:lang w:eastAsia="zh-CN"/>
                <w14:textFill>
                  <w14:solidFill>
                    <w14:schemeClr w14:val="tx1"/>
                  </w14:solidFill>
                </w14:textFill>
              </w:rPr>
              <w:t>与</w:t>
            </w:r>
            <w:r>
              <w:rPr>
                <w:rFonts w:hint="eastAsia" w:ascii="宋体" w:hAnsi="宋体" w:eastAsia="宋体" w:cs="宋体"/>
                <w:bCs w:val="0"/>
                <w:color w:val="000000" w:themeColor="text1"/>
                <w:sz w:val="21"/>
                <w:szCs w:val="21"/>
                <w:highlight w:val="none"/>
                <w14:textFill>
                  <w14:solidFill>
                    <w14:schemeClr w14:val="tx1"/>
                  </w14:solidFill>
                </w14:textFill>
              </w:rPr>
              <w:t>响应文件提交</w:t>
            </w:r>
            <w:r>
              <w:rPr>
                <w:rFonts w:hint="eastAsia" w:ascii="宋体" w:hAnsi="宋体" w:eastAsia="宋体" w:cs="宋体"/>
                <w:bCs w:val="0"/>
                <w:color w:val="000000" w:themeColor="text1"/>
                <w:sz w:val="21"/>
                <w:szCs w:val="21"/>
                <w:highlight w:val="none"/>
                <w:lang w:eastAsia="zh-CN"/>
                <w14:textFill>
                  <w14:solidFill>
                    <w14:schemeClr w14:val="tx1"/>
                  </w14:solidFill>
                </w14:textFill>
              </w:rPr>
              <w:t>截止时间一致，逾期提交的不予受理。</w:t>
            </w:r>
          </w:p>
          <w:p w14:paraId="273C5035">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val="0"/>
                <w:color w:val="000000" w:themeColor="text1"/>
                <w:szCs w:val="21"/>
                <w:highlight w:val="none"/>
                <w:lang w:eastAsia="zh-CN"/>
                <w14:textFill>
                  <w14:solidFill>
                    <w14:schemeClr w14:val="tx1"/>
                  </w14:solidFill>
                </w14:textFill>
              </w:rPr>
            </w:pPr>
            <w:r>
              <w:rPr>
                <w:rFonts w:hint="eastAsia" w:ascii="宋体" w:hAnsi="宋体" w:eastAsia="宋体" w:cs="Times New Roman"/>
                <w:b w:val="0"/>
                <w:bCs w:val="0"/>
                <w:color w:val="000000" w:themeColor="text1"/>
                <w:szCs w:val="21"/>
                <w:highlight w:val="none"/>
                <w:lang w:eastAsia="zh-CN"/>
                <w14:textFill>
                  <w14:solidFill>
                    <w14:schemeClr w14:val="tx1"/>
                  </w14:solidFill>
                </w14:textFill>
              </w:rPr>
              <w:t>（</w:t>
            </w:r>
            <w:r>
              <w:rPr>
                <w:rFonts w:hint="eastAsia" w:ascii="宋体" w:hAnsi="宋体" w:cs="Times New Roman"/>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Times New Roman"/>
                <w:b w:val="0"/>
                <w:bCs w:val="0"/>
                <w:color w:val="000000" w:themeColor="text1"/>
                <w:szCs w:val="21"/>
                <w:highlight w:val="none"/>
                <w:lang w:eastAsia="zh-CN"/>
                <w14:textFill>
                  <w14:solidFill>
                    <w14:schemeClr w14:val="tx1"/>
                  </w14:solidFill>
                </w14:textFill>
              </w:rPr>
              <w:t>）供应商邮件发送的内容如下：</w:t>
            </w:r>
          </w:p>
          <w:p w14:paraId="3DF8543C">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t>项目名称：</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577E2D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pacing w:val="0"/>
                <w:sz w:val="21"/>
                <w:szCs w:val="21"/>
                <w:highlight w:val="none"/>
                <w:u w:val="single"/>
                <w:lang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t>项目编号</w:t>
            </w:r>
            <w:r>
              <w:rPr>
                <w:rFonts w:hint="eastAsia" w:ascii="宋体" w:hAnsi="宋体" w:eastAsia="宋体" w:cs="宋体"/>
                <w:b w:val="0"/>
                <w:bCs w:val="0"/>
                <w:color w:val="000000" w:themeColor="text1"/>
                <w:spacing w:val="0"/>
                <w:sz w:val="21"/>
                <w:szCs w:val="21"/>
                <w:highlight w:val="none"/>
                <w:u w:val="single"/>
                <w:lang w:eastAsia="zh-CN"/>
                <w14:textFill>
                  <w14:solidFill>
                    <w14:schemeClr w14:val="tx1"/>
                  </w14:solidFill>
                </w14:textFill>
              </w:rPr>
              <w:t>：</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70ED0B07">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pacing w:val="0"/>
                <w:sz w:val="21"/>
                <w:szCs w:val="21"/>
                <w:highlight w:val="none"/>
                <w:u w:val="single"/>
                <w:lang w:eastAsia="zh-CN"/>
                <w14:textFill>
                  <w14:solidFill>
                    <w14:schemeClr w14:val="tx1"/>
                  </w14:solidFill>
                </w14:textFill>
              </w:rPr>
            </w:pPr>
            <w:r>
              <w:rPr>
                <w:rFonts w:hint="eastAsia" w:ascii="宋体" w:hAnsi="宋体" w:cs="宋体"/>
                <w:b w:val="0"/>
                <w:bCs w:val="0"/>
                <w:color w:val="000000" w:themeColor="text1"/>
                <w:spacing w:val="0"/>
                <w:sz w:val="21"/>
                <w:szCs w:val="21"/>
                <w:highlight w:val="none"/>
                <w:u w:val="none"/>
                <w:lang w:eastAsia="zh-CN"/>
                <w14:textFill>
                  <w14:solidFill>
                    <w14:schemeClr w14:val="tx1"/>
                  </w14:solidFill>
                </w14:textFill>
              </w:rPr>
              <w:t>分标号</w:t>
            </w:r>
            <w:r>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t>（如有）：</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25F1A855">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eastAsia="zh-CN"/>
                <w14:textFill>
                  <w14:solidFill>
                    <w14:schemeClr w14:val="tx1"/>
                  </w14:solidFill>
                </w14:textFill>
              </w:rPr>
              <w:t>供应商名称：</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03B6E500">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t>法定代表人或其委托代理人姓名：</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213F6ABC">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eastAsia="宋体" w:cs="Times New Roman"/>
                <w:b w:val="0"/>
                <w:bCs w:val="0"/>
                <w:color w:val="000000" w:themeColor="text1"/>
                <w:szCs w:val="21"/>
                <w:highlight w:val="none"/>
                <w:u w:val="single"/>
                <w:lang w:eastAsia="zh-CN"/>
                <w14:textFill>
                  <w14:solidFill>
                    <w14:schemeClr w14:val="tx1"/>
                  </w14:solidFill>
                </w14:textFill>
              </w:rPr>
            </w:pPr>
            <w:r>
              <w:rPr>
                <w:rFonts w:hint="eastAsia" w:ascii="宋体" w:hAnsi="宋体" w:eastAsia="宋体" w:cs="宋体"/>
                <w:b w:val="0"/>
                <w:bCs w:val="0"/>
                <w:color w:val="000000" w:themeColor="text1"/>
                <w:spacing w:val="0"/>
                <w:sz w:val="21"/>
                <w:szCs w:val="21"/>
                <w:highlight w:val="none"/>
                <w:u w:val="none"/>
                <w:lang w:val="en-US" w:eastAsia="zh-CN"/>
                <w14:textFill>
                  <w14:solidFill>
                    <w14:schemeClr w14:val="tx1"/>
                  </w14:solidFill>
                </w14:textFill>
              </w:rPr>
              <w:t>法定代表人或其委托代理人手机号码：</w:t>
            </w:r>
            <w:r>
              <w:rPr>
                <w:rFonts w:hint="eastAsia" w:ascii="宋体" w:hAnsi="宋体" w:eastAsia="宋体" w:cs="宋体"/>
                <w:b w:val="0"/>
                <w:bCs w:val="0"/>
                <w:color w:val="000000" w:themeColor="text1"/>
                <w:spacing w:val="0"/>
                <w:sz w:val="21"/>
                <w:szCs w:val="21"/>
                <w:highlight w:val="none"/>
                <w:u w:val="single"/>
                <w:lang w:val="en-US" w:eastAsia="zh-CN"/>
                <w14:textFill>
                  <w14:solidFill>
                    <w14:schemeClr w14:val="tx1"/>
                  </w14:solidFill>
                </w14:textFill>
              </w:rPr>
              <w:t xml:space="preserve">                  </w:t>
            </w:r>
          </w:p>
          <w:p w14:paraId="2E8E4EBA">
            <w:pPr>
              <w:pStyle w:val="9"/>
              <w:keepNext w:val="0"/>
              <w:keepLines w:val="0"/>
              <w:pageBreakBefore w:val="0"/>
              <w:widowControl w:val="0"/>
              <w:kinsoku/>
              <w:wordWrap/>
              <w:overflowPunct/>
              <w:topLinePunct w:val="0"/>
              <w:autoSpaceDE/>
              <w:autoSpaceDN/>
              <w:bidi w:val="0"/>
              <w:adjustRightInd/>
              <w:spacing w:line="380" w:lineRule="exact"/>
              <w:ind w:left="0" w:left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t>（</w:t>
            </w:r>
            <w:r>
              <w:rPr>
                <w:rFonts w:hint="eastAsia" w:cs="Times New Roman"/>
                <w:b w:val="0"/>
                <w:bCs w:val="0"/>
                <w:color w:val="000000" w:themeColor="text1"/>
                <w:spacing w:val="-3"/>
                <w:sz w:val="21"/>
                <w:highlight w:val="none"/>
                <w:lang w:val="en-US" w:eastAsia="zh-CN"/>
                <w14:textFill>
                  <w14:solidFill>
                    <w14:schemeClr w14:val="tx1"/>
                  </w14:solidFill>
                </w14:textFill>
              </w:rPr>
              <w:t>5</w:t>
            </w:r>
            <w:r>
              <w:rPr>
                <w:rFonts w:hint="eastAsia" w:ascii="Times New Roman" w:hAnsi="Times New Roman" w:eastAsia="宋体" w:cs="Times New Roman"/>
                <w:b w:val="0"/>
                <w:bCs w:val="0"/>
                <w:color w:val="000000" w:themeColor="text1"/>
                <w:spacing w:val="-3"/>
                <w:sz w:val="21"/>
                <w:highlight w:val="none"/>
                <w:lang w:eastAsia="zh-CN"/>
                <w14:textFill>
                  <w14:solidFill>
                    <w14:schemeClr w14:val="tx1"/>
                  </w14:solidFill>
                </w14:textFill>
              </w:rPr>
              <w:t>）</w:t>
            </w:r>
            <w:r>
              <w:rPr>
                <w:rFonts w:ascii="Times New Roman" w:hAnsi="Times New Roman" w:eastAsia="宋体" w:cs="Times New Roman"/>
                <w:b w:val="0"/>
                <w:bCs w:val="0"/>
                <w:color w:val="000000" w:themeColor="text1"/>
                <w:spacing w:val="-3"/>
                <w:sz w:val="21"/>
                <w:highlight w:val="none"/>
                <w14:textFill>
                  <w14:solidFill>
                    <w14:schemeClr w14:val="tx1"/>
                  </w14:solidFill>
                </w14:textFill>
              </w:rPr>
              <w:t>响应文件启用顺序和效力：响应文件的启用，按先后顺位</w:t>
            </w:r>
            <w:r>
              <w:rPr>
                <w:rFonts w:ascii="Times New Roman" w:hAnsi="Times New Roman" w:eastAsia="宋体" w:cs="Times New Roman"/>
                <w:color w:val="000000" w:themeColor="text1"/>
                <w:spacing w:val="-3"/>
                <w:sz w:val="21"/>
                <w:highlight w:val="none"/>
                <w14:textFill>
                  <w14:solidFill>
                    <w14:schemeClr w14:val="tx1"/>
                  </w14:solidFill>
                </w14:textFill>
              </w:rPr>
              <w:t>分别为</w:t>
            </w:r>
            <w:r>
              <w:rPr>
                <w:rFonts w:hint="eastAsia" w:cs="Times New Roman"/>
                <w:color w:val="000000" w:themeColor="text1"/>
                <w:spacing w:val="-3"/>
                <w:sz w:val="21"/>
                <w:highlight w:val="none"/>
                <w:lang w:eastAsia="zh-CN"/>
                <w14:textFill>
                  <w14:solidFill>
                    <w14:schemeClr w14:val="tx1"/>
                  </w14:solidFill>
                </w14:textFill>
              </w:rPr>
              <w:t>广西政府采购云平台上传的加密</w:t>
            </w:r>
            <w:r>
              <w:rPr>
                <w:rFonts w:ascii="Times New Roman" w:hAnsi="Times New Roman" w:eastAsia="宋体" w:cs="Times New Roman"/>
                <w:color w:val="000000" w:themeColor="text1"/>
                <w:spacing w:val="-3"/>
                <w:sz w:val="21"/>
                <w:highlight w:val="none"/>
                <w14:textFill>
                  <w14:solidFill>
                    <w14:schemeClr w14:val="tx1"/>
                  </w14:solidFill>
                </w14:textFill>
              </w:rPr>
              <w:t>电子响应文件、以</w:t>
            </w:r>
            <w:r>
              <w:rPr>
                <w:rFonts w:hint="eastAsia" w:cs="Times New Roman"/>
                <w:color w:val="000000" w:themeColor="text1"/>
                <w:spacing w:val="-3"/>
                <w:sz w:val="21"/>
                <w:highlight w:val="none"/>
                <w:lang w:eastAsia="zh-CN"/>
                <w14:textFill>
                  <w14:solidFill>
                    <w14:schemeClr w14:val="tx1"/>
                  </w14:solidFill>
                </w14:textFill>
              </w:rPr>
              <w:t>邮件</w:t>
            </w:r>
            <w:r>
              <w:rPr>
                <w:rFonts w:ascii="Times New Roman" w:hAnsi="Times New Roman" w:eastAsia="宋体" w:cs="Times New Roman"/>
                <w:color w:val="000000" w:themeColor="text1"/>
                <w:spacing w:val="-3"/>
                <w:sz w:val="21"/>
                <w:highlight w:val="none"/>
                <w14:textFill>
                  <w14:solidFill>
                    <w14:schemeClr w14:val="tx1"/>
                  </w14:solidFill>
                </w14:textFill>
              </w:rPr>
              <w:t>形式</w:t>
            </w:r>
            <w:r>
              <w:rPr>
                <w:rFonts w:hint="eastAsia" w:cs="Times New Roman"/>
                <w:color w:val="000000" w:themeColor="text1"/>
                <w:spacing w:val="-3"/>
                <w:sz w:val="21"/>
                <w:highlight w:val="none"/>
                <w:lang w:eastAsia="zh-CN"/>
                <w14:textFill>
                  <w14:solidFill>
                    <w14:schemeClr w14:val="tx1"/>
                  </w14:solidFill>
                </w14:textFill>
              </w:rPr>
              <w:t>提交</w:t>
            </w:r>
            <w:r>
              <w:rPr>
                <w:rFonts w:ascii="Times New Roman" w:hAnsi="Times New Roman" w:eastAsia="宋体" w:cs="Times New Roman"/>
                <w:color w:val="000000" w:themeColor="text1"/>
                <w:spacing w:val="-3"/>
                <w:sz w:val="21"/>
                <w:highlight w:val="none"/>
                <w14:textFill>
                  <w14:solidFill>
                    <w14:schemeClr w14:val="tx1"/>
                  </w14:solidFill>
                </w14:textFill>
              </w:rPr>
              <w:t>的电子备份响应文件。顺位在先的响应文件已按时解密的</w:t>
            </w:r>
            <w:r>
              <w:rPr>
                <w:rFonts w:hint="eastAsia" w:ascii="Times New Roman" w:hAnsi="Times New Roman" w:eastAsia="宋体" w:cs="Times New Roman"/>
                <w:color w:val="000000" w:themeColor="text1"/>
                <w:spacing w:val="-3"/>
                <w:sz w:val="21"/>
                <w:highlight w:val="none"/>
                <w:lang w:eastAsia="zh-CN"/>
                <w14:textFill>
                  <w14:solidFill>
                    <w14:schemeClr w14:val="tx1"/>
                  </w14:solidFill>
                </w14:textFill>
              </w:rPr>
              <w:t>，</w:t>
            </w:r>
            <w:r>
              <w:rPr>
                <w:rFonts w:ascii="Times New Roman" w:hAnsi="Times New Roman" w:eastAsia="宋体" w:cs="Times New Roman"/>
                <w:color w:val="000000" w:themeColor="text1"/>
                <w:spacing w:val="-3"/>
                <w:sz w:val="21"/>
                <w:highlight w:val="none"/>
                <w14:textFill>
                  <w14:solidFill>
                    <w14:schemeClr w14:val="tx1"/>
                  </w14:solidFill>
                </w14:textFill>
              </w:rPr>
              <w:t>下一顺位响应文件自动失效。在下一顺位的响应文件启用时，前一顺位的响应文件自动失效。</w:t>
            </w:r>
          </w:p>
        </w:tc>
      </w:tr>
      <w:tr w14:paraId="025C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88D4B7D">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1992" w:type="dxa"/>
            <w:tcBorders>
              <w:top w:val="single" w:color="auto" w:sz="4" w:space="0"/>
              <w:left w:val="single" w:color="auto" w:sz="4" w:space="0"/>
              <w:bottom w:val="single" w:color="auto" w:sz="4" w:space="0"/>
              <w:right w:val="single" w:color="auto" w:sz="4" w:space="0"/>
            </w:tcBorders>
            <w:vAlign w:val="center"/>
          </w:tcPr>
          <w:p w14:paraId="1100178B">
            <w:pPr>
              <w:keepNext w:val="0"/>
              <w:keepLines w:val="0"/>
              <w:pageBreakBefore w:val="0"/>
              <w:widowControl w:val="0"/>
              <w:kinsoku/>
              <w:wordWrap/>
              <w:overflowPunct/>
              <w:topLinePunct w:val="0"/>
              <w:autoSpaceDE/>
              <w:autoSpaceDN/>
              <w:bidi w:val="0"/>
              <w:adjustRightInd/>
              <w:spacing w:line="38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竞标</w:t>
            </w:r>
            <w:r>
              <w:rPr>
                <w:rFonts w:hint="eastAsia"/>
                <w:color w:val="000000" w:themeColor="text1"/>
                <w:highlight w:val="none"/>
                <w14:textFill>
                  <w14:solidFill>
                    <w14:schemeClr w14:val="tx1"/>
                  </w14:solidFill>
                </w14:textFill>
              </w:rPr>
              <w:t>有效期</w:t>
            </w:r>
          </w:p>
        </w:tc>
        <w:tc>
          <w:tcPr>
            <w:tcW w:w="7164" w:type="dxa"/>
            <w:tcBorders>
              <w:top w:val="single" w:color="auto" w:sz="4" w:space="0"/>
              <w:left w:val="single" w:color="auto" w:sz="4" w:space="0"/>
              <w:bottom w:val="single" w:color="auto" w:sz="4" w:space="0"/>
              <w:right w:val="single" w:color="auto" w:sz="4" w:space="0"/>
            </w:tcBorders>
            <w:vAlign w:val="center"/>
          </w:tcPr>
          <w:p w14:paraId="3C0217FB">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竞</w:t>
            </w:r>
            <w:r>
              <w:rPr>
                <w:rFonts w:hint="eastAsia" w:ascii="宋体" w:hAnsi="宋体" w:cs="宋体"/>
                <w:color w:val="000000" w:themeColor="text1"/>
                <w:szCs w:val="21"/>
                <w:highlight w:val="none"/>
                <w:lang w:eastAsia="zh-CN"/>
                <w14:textFill>
                  <w14:solidFill>
                    <w14:schemeClr w14:val="tx1"/>
                  </w14:solidFill>
                </w14:textFill>
              </w:rPr>
              <w:t>标</w:t>
            </w:r>
            <w:r>
              <w:rPr>
                <w:rFonts w:hint="eastAsia" w:ascii="宋体" w:hAnsi="宋体" w:cs="宋体"/>
                <w:color w:val="000000" w:themeColor="text1"/>
                <w:szCs w:val="21"/>
                <w:highlight w:val="none"/>
                <w14:textFill>
                  <w14:solidFill>
                    <w14:schemeClr w14:val="tx1"/>
                  </w14:solidFill>
                </w14:textFill>
              </w:rPr>
              <w:t>有效期：</w:t>
            </w:r>
            <w:r>
              <w:rPr>
                <w:rFonts w:hint="eastAsia"/>
                <w:color w:val="000000" w:themeColor="text1"/>
                <w:highlight w:val="none"/>
                <w:lang w:eastAsia="zh-CN"/>
                <w14:textFill>
                  <w14:solidFill>
                    <w14:schemeClr w14:val="tx1"/>
                  </w14:solidFill>
                </w14:textFill>
              </w:rPr>
              <w:t>竞</w:t>
            </w:r>
            <w:r>
              <w:rPr>
                <w:rFonts w:hint="eastAsia" w:ascii="宋体" w:hAnsi="宋体" w:cs="宋体"/>
                <w:color w:val="000000" w:themeColor="text1"/>
                <w:szCs w:val="21"/>
                <w:highlight w:val="none"/>
                <w:lang w:eastAsia="zh-CN"/>
                <w14:textFill>
                  <w14:solidFill>
                    <w14:schemeClr w14:val="tx1"/>
                  </w14:solidFill>
                </w14:textFill>
              </w:rPr>
              <w:t>标</w:t>
            </w:r>
            <w:r>
              <w:rPr>
                <w:rFonts w:hint="eastAsia" w:ascii="宋体" w:hAnsi="宋体" w:cs="宋体"/>
                <w:color w:val="000000" w:themeColor="text1"/>
                <w:szCs w:val="21"/>
                <w:highlight w:val="none"/>
                <w14:textFill>
                  <w14:solidFill>
                    <w14:schemeClr w14:val="tx1"/>
                  </w14:solidFill>
                </w14:textFill>
              </w:rPr>
              <w:t>截止日期后60天</w:t>
            </w:r>
          </w:p>
        </w:tc>
      </w:tr>
      <w:tr w14:paraId="0278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1E2FB5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1992" w:type="dxa"/>
            <w:tcBorders>
              <w:top w:val="single" w:color="auto" w:sz="4" w:space="0"/>
              <w:left w:val="single" w:color="auto" w:sz="4" w:space="0"/>
              <w:bottom w:val="single" w:color="auto" w:sz="4" w:space="0"/>
              <w:right w:val="single" w:color="auto" w:sz="4" w:space="0"/>
            </w:tcBorders>
            <w:vAlign w:val="center"/>
          </w:tcPr>
          <w:p w14:paraId="5918F994">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354024EE">
            <w:pPr>
              <w:pStyle w:val="13"/>
              <w:keepNext w:val="0"/>
              <w:keepLines w:val="0"/>
              <w:pageBreakBefore w:val="0"/>
              <w:widowControl w:val="0"/>
              <w:kinsoku/>
              <w:wordWrap/>
              <w:overflowPunct/>
              <w:topLinePunct w:val="0"/>
              <w:bidi w:val="0"/>
              <w:adjustRightInd/>
              <w:spacing w:line="380" w:lineRule="exact"/>
              <w:rPr>
                <w:rFonts w:hint="default" w:hAnsi="宋体" w:cs="宋体"/>
                <w:color w:val="000000" w:themeColor="text1"/>
                <w:kern w:val="0"/>
                <w:szCs w:val="21"/>
                <w:highlight w:val="none"/>
                <w:lang w:val="en-US" w:eastAsia="zh-CN"/>
                <w14:textFill>
                  <w14:solidFill>
                    <w14:schemeClr w14:val="tx1"/>
                  </w14:solidFill>
                </w14:textFill>
              </w:rPr>
            </w:pPr>
            <w:r>
              <w:rPr>
                <w:rFonts w:hint="eastAsia" w:hAnsi="宋体" w:cs="宋体"/>
                <w:color w:val="000000" w:themeColor="text1"/>
                <w:kern w:val="0"/>
                <w:szCs w:val="21"/>
                <w:highlight w:val="none"/>
                <w:lang w:eastAsia="zh-CN"/>
                <w14:textFill>
                  <w14:solidFill>
                    <w14:schemeClr w14:val="tx1"/>
                  </w14:solidFill>
                </w14:textFill>
              </w:rPr>
              <w:t>本项目是否要求收取磋商保证金：</w:t>
            </w:r>
            <w:r>
              <w:rPr>
                <w:rFonts w:hint="eastAsia" w:hAnsi="宋体" w:cs="宋体"/>
                <w:color w:val="000000" w:themeColor="text1"/>
                <w:kern w:val="0"/>
                <w:szCs w:val="21"/>
                <w:highlight w:val="none"/>
                <w:lang w:val="en-US" w:eastAsia="zh-CN"/>
                <w14:textFill>
                  <w14:solidFill>
                    <w14:schemeClr w14:val="tx1"/>
                  </w14:solidFill>
                </w14:textFill>
              </w:rPr>
              <w:sym w:font="Wingdings" w:char="00A8"/>
            </w:r>
            <w:r>
              <w:rPr>
                <w:rFonts w:hint="eastAsia" w:hAnsi="宋体" w:cs="宋体"/>
                <w:color w:val="000000" w:themeColor="text1"/>
                <w:kern w:val="0"/>
                <w:szCs w:val="21"/>
                <w:highlight w:val="none"/>
                <w:lang w:val="en-US" w:eastAsia="zh-CN"/>
                <w14:textFill>
                  <w14:solidFill>
                    <w14:schemeClr w14:val="tx1"/>
                  </w14:solidFill>
                </w14:textFill>
              </w:rPr>
              <w:t xml:space="preserve">要求   </w:t>
            </w:r>
            <w:r>
              <w:rPr>
                <w:rFonts w:hint="eastAsia" w:hAnsi="宋体" w:cs="宋体"/>
                <w:color w:val="000000" w:themeColor="text1"/>
                <w:kern w:val="0"/>
                <w:szCs w:val="21"/>
                <w:highlight w:val="none"/>
                <w:lang w:val="en-US" w:eastAsia="zh-CN"/>
                <w14:textFill>
                  <w14:solidFill>
                    <w14:schemeClr w14:val="tx1"/>
                  </w14:solidFill>
                </w14:textFill>
              </w:rPr>
              <w:sym w:font="Wingdings" w:char="00FE"/>
            </w:r>
            <w:r>
              <w:rPr>
                <w:rFonts w:hint="eastAsia" w:hAnsi="宋体" w:cs="宋体"/>
                <w:color w:val="000000" w:themeColor="text1"/>
                <w:kern w:val="0"/>
                <w:szCs w:val="21"/>
                <w:highlight w:val="none"/>
                <w:lang w:val="en-US" w:eastAsia="zh-CN"/>
                <w14:textFill>
                  <w14:solidFill>
                    <w14:schemeClr w14:val="tx1"/>
                  </w14:solidFill>
                </w14:textFill>
              </w:rPr>
              <w:t>不要求</w:t>
            </w:r>
          </w:p>
          <w:p w14:paraId="63709A42">
            <w:pPr>
              <w:pStyle w:val="13"/>
              <w:keepNext w:val="0"/>
              <w:keepLines w:val="0"/>
              <w:pageBreakBefore w:val="0"/>
              <w:widowControl w:val="0"/>
              <w:kinsoku/>
              <w:wordWrap/>
              <w:overflowPunct/>
              <w:topLinePunct w:val="0"/>
              <w:bidi w:val="0"/>
              <w:adjustRightInd/>
              <w:spacing w:line="380" w:lineRule="exac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lang w:eastAsia="zh-CN"/>
                <w14:textFill>
                  <w14:solidFill>
                    <w14:schemeClr w14:val="tx1"/>
                  </w14:solidFill>
                </w14:textFill>
              </w:rPr>
              <w:t>磋商</w:t>
            </w:r>
            <w:r>
              <w:rPr>
                <w:rFonts w:hint="eastAsia" w:hAnsi="宋体" w:cs="宋体"/>
                <w:color w:val="000000" w:themeColor="text1"/>
                <w:kern w:val="0"/>
                <w:szCs w:val="21"/>
                <w:highlight w:val="none"/>
                <w14:textFill>
                  <w14:solidFill>
                    <w14:schemeClr w14:val="tx1"/>
                  </w14:solidFill>
                </w14:textFill>
              </w:rPr>
              <w:t>保证金</w:t>
            </w:r>
            <w:bookmarkStart w:id="63" w:name="OLE_LINK18"/>
            <w:r>
              <w:rPr>
                <w:rFonts w:hint="eastAsia" w:hAnsi="宋体" w:cs="宋体"/>
                <w:color w:val="000000" w:themeColor="text1"/>
                <w:kern w:val="0"/>
                <w:szCs w:val="21"/>
                <w:highlight w:val="none"/>
                <w14:textFill>
                  <w14:solidFill>
                    <w14:schemeClr w14:val="tx1"/>
                  </w14:solidFill>
                </w14:textFill>
              </w:rPr>
              <w:t>:</w:t>
            </w:r>
            <w:bookmarkEnd w:id="63"/>
            <w:r>
              <w:rPr>
                <w:rFonts w:hint="eastAsia" w:hAnsi="宋体"/>
                <w:color w:val="000000" w:themeColor="text1"/>
                <w:szCs w:val="21"/>
                <w:highlight w:val="none"/>
                <w:lang w:val="en-US" w:eastAsia="zh-CN"/>
                <w14:textFill>
                  <w14:solidFill>
                    <w14:schemeClr w14:val="tx1"/>
                  </w14:solidFill>
                </w14:textFill>
              </w:rPr>
              <w:t>0元</w:t>
            </w:r>
            <w:r>
              <w:rPr>
                <w:rFonts w:hint="eastAsia" w:hAnsi="宋体" w:cs="宋体"/>
                <w:color w:val="000000" w:themeColor="text1"/>
                <w:kern w:val="0"/>
                <w:szCs w:val="21"/>
                <w:highlight w:val="none"/>
                <w14:textFill>
                  <w14:solidFill>
                    <w14:schemeClr w14:val="tx1"/>
                  </w14:solidFill>
                </w14:textFill>
              </w:rPr>
              <w:t>。</w:t>
            </w:r>
          </w:p>
          <w:p w14:paraId="5EED124E">
            <w:pPr>
              <w:pStyle w:val="13"/>
              <w:keepNext w:val="0"/>
              <w:keepLines w:val="0"/>
              <w:pageBreakBefore w:val="0"/>
              <w:widowControl w:val="0"/>
              <w:kinsoku/>
              <w:wordWrap/>
              <w:overflowPunct/>
              <w:topLinePunct w:val="0"/>
              <w:bidi w:val="0"/>
              <w:adjustRightInd/>
              <w:spacing w:line="380" w:lineRule="exact"/>
              <w:rPr>
                <w:rFonts w:hAnsi="宋体" w:cs="宋体"/>
                <w:color w:val="000000" w:themeColor="text1"/>
                <w:kern w:val="0"/>
                <w:szCs w:val="2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磋商</w:t>
            </w:r>
            <w:r>
              <w:rPr>
                <w:rFonts w:hint="eastAsia" w:hAnsi="宋体"/>
                <w:color w:val="000000" w:themeColor="text1"/>
                <w:szCs w:val="21"/>
                <w:highlight w:val="none"/>
                <w14:textFill>
                  <w14:solidFill>
                    <w14:schemeClr w14:val="tx1"/>
                  </w14:solidFill>
                </w14:textFill>
              </w:rPr>
              <w:t>保证金缴纳形式：银行转账、支票、汇票、本票或者银行、保险机构出具的保函，禁止采用现钞方式。</w:t>
            </w:r>
          </w:p>
          <w:p w14:paraId="7E9F2B4E">
            <w:pPr>
              <w:pStyle w:val="13"/>
              <w:keepNext w:val="0"/>
              <w:keepLines w:val="0"/>
              <w:pageBreakBefore w:val="0"/>
              <w:widowControl w:val="0"/>
              <w:kinsoku/>
              <w:wordWrap/>
              <w:overflowPunct/>
              <w:topLinePunct w:val="0"/>
              <w:bidi w:val="0"/>
              <w:adjustRightInd/>
              <w:spacing w:line="380" w:lineRule="exac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采用银行转账方式的，</w:t>
            </w:r>
            <w:r>
              <w:rPr>
                <w:rFonts w:hint="eastAsia" w:hAnsi="宋体" w:cs="宋体"/>
                <w:color w:val="000000" w:themeColor="text1"/>
                <w:kern w:val="0"/>
                <w:szCs w:val="21"/>
                <w:highlight w:val="none"/>
                <w:lang w:eastAsia="zh-CN"/>
                <w14:textFill>
                  <w14:solidFill>
                    <w14:schemeClr w14:val="tx1"/>
                  </w14:solidFill>
                </w14:textFill>
              </w:rPr>
              <w:t>竞</w:t>
            </w:r>
            <w:r>
              <w:rPr>
                <w:rFonts w:hint="eastAsia" w:hAnsi="宋体" w:cs="宋体"/>
                <w:color w:val="000000" w:themeColor="text1"/>
                <w:kern w:val="0"/>
                <w:szCs w:val="21"/>
                <w:highlight w:val="none"/>
                <w14:textFill>
                  <w14:solidFill>
                    <w14:schemeClr w14:val="tx1"/>
                  </w14:solidFill>
                </w14:textFill>
              </w:rPr>
              <w:t>标人将</w:t>
            </w:r>
            <w:r>
              <w:rPr>
                <w:rFonts w:hint="eastAsia" w:hAnsi="宋体" w:cs="宋体"/>
                <w:color w:val="000000" w:themeColor="text1"/>
                <w:kern w:val="0"/>
                <w:szCs w:val="21"/>
                <w:highlight w:val="none"/>
                <w:lang w:eastAsia="zh-CN"/>
                <w14:textFill>
                  <w14:solidFill>
                    <w14:schemeClr w14:val="tx1"/>
                  </w14:solidFill>
                </w14:textFill>
              </w:rPr>
              <w:t>磋商</w:t>
            </w:r>
            <w:r>
              <w:rPr>
                <w:rFonts w:hint="eastAsia" w:hAnsi="宋体" w:cs="宋体"/>
                <w:color w:val="000000" w:themeColor="text1"/>
                <w:kern w:val="0"/>
                <w:szCs w:val="21"/>
                <w:highlight w:val="none"/>
                <w14:textFill>
                  <w14:solidFill>
                    <w14:schemeClr w14:val="tx1"/>
                  </w14:solidFill>
                </w14:textFill>
              </w:rPr>
              <w:t>保证金从</w:t>
            </w:r>
            <w:r>
              <w:rPr>
                <w:rFonts w:hint="eastAsia" w:hAnsi="宋体" w:cs="宋体"/>
                <w:color w:val="000000" w:themeColor="text1"/>
                <w:kern w:val="0"/>
                <w:szCs w:val="21"/>
                <w:highlight w:val="none"/>
                <w:lang w:eastAsia="zh-CN"/>
                <w14:textFill>
                  <w14:solidFill>
                    <w14:schemeClr w14:val="tx1"/>
                  </w14:solidFill>
                </w14:textFill>
              </w:rPr>
              <w:t>竞</w:t>
            </w:r>
            <w:r>
              <w:rPr>
                <w:rFonts w:hint="eastAsia" w:hAnsi="宋体" w:cs="宋体"/>
                <w:color w:val="000000" w:themeColor="text1"/>
                <w:kern w:val="0"/>
                <w:szCs w:val="21"/>
                <w:highlight w:val="none"/>
                <w14:textFill>
                  <w14:solidFill>
                    <w14:schemeClr w14:val="tx1"/>
                  </w14:solidFill>
                </w14:textFill>
              </w:rPr>
              <w:t>标人基本账户转出交至以下指定的</w:t>
            </w:r>
            <w:r>
              <w:rPr>
                <w:rFonts w:hint="eastAsia" w:hAnsi="宋体" w:cs="宋体"/>
                <w:color w:val="000000" w:themeColor="text1"/>
                <w:kern w:val="0"/>
                <w:szCs w:val="21"/>
                <w:highlight w:val="none"/>
                <w:lang w:eastAsia="zh-CN"/>
                <w14:textFill>
                  <w14:solidFill>
                    <w14:schemeClr w14:val="tx1"/>
                  </w14:solidFill>
                </w14:textFill>
              </w:rPr>
              <w:t>磋商</w:t>
            </w:r>
            <w:r>
              <w:rPr>
                <w:rFonts w:hint="eastAsia" w:hAnsi="宋体" w:cs="宋体"/>
                <w:color w:val="000000" w:themeColor="text1"/>
                <w:kern w:val="0"/>
                <w:szCs w:val="21"/>
                <w:highlight w:val="none"/>
                <w14:textFill>
                  <w14:solidFill>
                    <w14:schemeClr w14:val="tx1"/>
                  </w14:solidFill>
                </w14:textFill>
              </w:rPr>
              <w:t>保证金专用账户，且提交到指定账户时间不得迟于</w:t>
            </w:r>
            <w:r>
              <w:rPr>
                <w:rFonts w:hint="eastAsia" w:hAnsi="宋体" w:cs="宋体"/>
                <w:color w:val="000000" w:themeColor="text1"/>
                <w:kern w:val="0"/>
                <w:szCs w:val="21"/>
                <w:highlight w:val="none"/>
                <w:lang w:eastAsia="zh-CN"/>
                <w14:textFill>
                  <w14:solidFill>
                    <w14:schemeClr w14:val="tx1"/>
                  </w14:solidFill>
                </w14:textFill>
              </w:rPr>
              <w:t>响应文件提交</w:t>
            </w:r>
            <w:r>
              <w:rPr>
                <w:rFonts w:hint="eastAsia" w:hAnsi="宋体" w:cs="宋体"/>
                <w:color w:val="000000" w:themeColor="text1"/>
                <w:kern w:val="0"/>
                <w:szCs w:val="21"/>
                <w:highlight w:val="none"/>
                <w14:textFill>
                  <w14:solidFill>
                    <w14:schemeClr w14:val="tx1"/>
                  </w14:solidFill>
                </w14:textFill>
              </w:rPr>
              <w:t>截止时间（以到账为准）:</w:t>
            </w:r>
          </w:p>
          <w:p w14:paraId="37744F7D">
            <w:pPr>
              <w:pStyle w:val="13"/>
              <w:keepNext w:val="0"/>
              <w:keepLines w:val="0"/>
              <w:pageBreakBefore w:val="0"/>
              <w:widowControl w:val="0"/>
              <w:kinsoku/>
              <w:wordWrap/>
              <w:overflowPunct/>
              <w:topLinePunct w:val="0"/>
              <w:bidi w:val="0"/>
              <w:adjustRightInd/>
              <w:spacing w:line="380" w:lineRule="exac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开户行：</w:t>
            </w:r>
          </w:p>
          <w:p w14:paraId="7A9D37A1">
            <w:pPr>
              <w:pStyle w:val="13"/>
              <w:keepNext w:val="0"/>
              <w:keepLines w:val="0"/>
              <w:pageBreakBefore w:val="0"/>
              <w:widowControl w:val="0"/>
              <w:kinsoku/>
              <w:wordWrap/>
              <w:overflowPunct/>
              <w:topLinePunct w:val="0"/>
              <w:bidi w:val="0"/>
              <w:adjustRightInd/>
              <w:spacing w:line="380" w:lineRule="exac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户名：</w:t>
            </w:r>
          </w:p>
          <w:p w14:paraId="507B693F">
            <w:pPr>
              <w:pStyle w:val="13"/>
              <w:keepNext w:val="0"/>
              <w:keepLines w:val="0"/>
              <w:pageBreakBefore w:val="0"/>
              <w:widowControl w:val="0"/>
              <w:kinsoku/>
              <w:wordWrap/>
              <w:overflowPunct/>
              <w:topLinePunct w:val="0"/>
              <w:bidi w:val="0"/>
              <w:adjustRightInd/>
              <w:spacing w:line="380" w:lineRule="exac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 xml:space="preserve">账号： </w:t>
            </w:r>
          </w:p>
        </w:tc>
      </w:tr>
      <w:tr w14:paraId="1D2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2C827E9">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992" w:type="dxa"/>
            <w:tcBorders>
              <w:top w:val="single" w:color="auto" w:sz="4" w:space="0"/>
              <w:left w:val="single" w:color="auto" w:sz="4" w:space="0"/>
              <w:bottom w:val="single" w:color="auto" w:sz="4" w:space="0"/>
              <w:right w:val="single" w:color="auto" w:sz="4" w:space="0"/>
            </w:tcBorders>
            <w:vAlign w:val="center"/>
          </w:tcPr>
          <w:p w14:paraId="2C3F4D69">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响应</w:t>
            </w:r>
            <w:r>
              <w:rPr>
                <w:rFonts w:hint="eastAsia" w:hAnsi="宋体" w:cs="宋体"/>
                <w:color w:val="000000" w:themeColor="text1"/>
                <w:highlight w:val="none"/>
                <w14:textFill>
                  <w14:solidFill>
                    <w14:schemeClr w14:val="tx1"/>
                  </w14:solidFill>
                </w14:textFill>
              </w:rPr>
              <w:t>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1E876ABF">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6FD4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73148D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992" w:type="dxa"/>
            <w:tcBorders>
              <w:top w:val="single" w:color="auto" w:sz="4" w:space="0"/>
              <w:left w:val="single" w:color="auto" w:sz="4" w:space="0"/>
              <w:bottom w:val="single" w:color="auto" w:sz="4" w:space="0"/>
              <w:right w:val="single" w:color="auto" w:sz="4" w:space="0"/>
            </w:tcBorders>
            <w:vAlign w:val="center"/>
          </w:tcPr>
          <w:p w14:paraId="6BE86EFE">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4326D210">
            <w:pPr>
              <w:pStyle w:val="13"/>
              <w:keepNext w:val="0"/>
              <w:keepLines w:val="0"/>
              <w:pageBreakBefore w:val="0"/>
              <w:widowControl w:val="0"/>
              <w:kinsoku/>
              <w:wordWrap/>
              <w:overflowPunct/>
              <w:topLinePunct w:val="0"/>
              <w:autoSpaceDE/>
              <w:autoSpaceDN/>
              <w:bidi w:val="0"/>
              <w:adjustRightInd/>
              <w:spacing w:line="380" w:lineRule="exact"/>
              <w:jc w:val="left"/>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评标委员会构成：</w:t>
            </w:r>
            <w:r>
              <w:rPr>
                <w:rFonts w:hint="eastAsia"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14:textFill>
                  <w14:solidFill>
                    <w14:schemeClr w14:val="tx1"/>
                  </w14:solidFill>
                </w14:textFill>
              </w:rPr>
              <w:t>人，其中采购单位代表</w:t>
            </w:r>
            <w:r>
              <w:rPr>
                <w:rFonts w:hint="eastAsia" w:hAnsi="宋体" w:cs="宋体"/>
                <w:color w:val="000000" w:themeColor="text1"/>
                <w:highlight w:val="none"/>
                <w:lang w:val="en-US" w:eastAsia="zh-CN"/>
                <w14:textFill>
                  <w14:solidFill>
                    <w14:schemeClr w14:val="tx1"/>
                  </w14:solidFill>
                </w14:textFill>
              </w:rPr>
              <w:t>1</w:t>
            </w:r>
            <w:r>
              <w:rPr>
                <w:rFonts w:hint="eastAsia" w:hAnsi="宋体" w:cs="宋体"/>
                <w:color w:val="000000" w:themeColor="text1"/>
                <w:highlight w:val="none"/>
                <w14:textFill>
                  <w14:solidFill>
                    <w14:schemeClr w14:val="tx1"/>
                  </w14:solidFill>
                </w14:textFill>
              </w:rPr>
              <w:t>人，专家</w:t>
            </w: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人；</w:t>
            </w:r>
          </w:p>
          <w:p w14:paraId="6E683881">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评标专家确定方式：随机抽取。</w:t>
            </w:r>
          </w:p>
        </w:tc>
      </w:tr>
      <w:tr w14:paraId="26F9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F69A07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1992" w:type="dxa"/>
            <w:tcBorders>
              <w:top w:val="single" w:color="auto" w:sz="4" w:space="0"/>
              <w:left w:val="single" w:color="auto" w:sz="4" w:space="0"/>
              <w:bottom w:val="single" w:color="auto" w:sz="4" w:space="0"/>
              <w:right w:val="single" w:color="auto" w:sz="4" w:space="0"/>
            </w:tcBorders>
            <w:vAlign w:val="center"/>
          </w:tcPr>
          <w:p w14:paraId="0DAFF99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581844B7">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36D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3170D5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1992" w:type="dxa"/>
            <w:tcBorders>
              <w:top w:val="single" w:color="auto" w:sz="4" w:space="0"/>
              <w:left w:val="single" w:color="auto" w:sz="4" w:space="0"/>
              <w:bottom w:val="single" w:color="auto" w:sz="4" w:space="0"/>
              <w:right w:val="single" w:color="auto" w:sz="4" w:space="0"/>
            </w:tcBorders>
            <w:vAlign w:val="center"/>
          </w:tcPr>
          <w:p w14:paraId="5FDE6F9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7E356B03">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评标方法：</w:t>
            </w:r>
            <w:r>
              <w:rPr>
                <w:rFonts w:hint="eastAsia"/>
                <w:color w:val="000000" w:themeColor="text1"/>
                <w:highlight w:val="none"/>
                <w14:textFill>
                  <w14:solidFill>
                    <w14:schemeClr w14:val="tx1"/>
                  </w14:solidFill>
                </w14:textFill>
              </w:rPr>
              <w:t>综合评分法</w:t>
            </w:r>
          </w:p>
        </w:tc>
      </w:tr>
      <w:tr w14:paraId="5FAF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7F91139D">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1992" w:type="dxa"/>
            <w:tcBorders>
              <w:top w:val="single" w:color="auto" w:sz="4" w:space="0"/>
              <w:left w:val="single" w:color="auto" w:sz="4" w:space="0"/>
              <w:bottom w:val="single" w:color="auto" w:sz="4" w:space="0"/>
              <w:right w:val="single" w:color="auto" w:sz="4" w:space="0"/>
            </w:tcBorders>
            <w:vAlign w:val="center"/>
          </w:tcPr>
          <w:p w14:paraId="62CB1F34">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2078E0F6">
            <w:pPr>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商务条款评审中允许负偏离的非实质性条款数为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p w14:paraId="13D7244E">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服务需求评审中允许负偏离的非实质性条款数为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tc>
      </w:tr>
      <w:tr w14:paraId="046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069DB66C">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1992" w:type="dxa"/>
            <w:tcBorders>
              <w:top w:val="single" w:color="auto" w:sz="4" w:space="0"/>
              <w:left w:val="single" w:color="auto" w:sz="4" w:space="0"/>
              <w:bottom w:val="single" w:color="auto" w:sz="4" w:space="0"/>
              <w:right w:val="single" w:color="auto" w:sz="4" w:space="0"/>
            </w:tcBorders>
            <w:vAlign w:val="center"/>
          </w:tcPr>
          <w:p w14:paraId="5C34CBFF">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702DE4ED">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5D4B4946">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本项目收取履约保证金，具体规定如下：</w:t>
            </w:r>
          </w:p>
          <w:p w14:paraId="45364450">
            <w:pPr>
              <w:keepNext w:val="0"/>
              <w:keepLines w:val="0"/>
              <w:pageBreakBefore w:val="0"/>
              <w:widowControl w:val="0"/>
              <w:kinsoku/>
              <w:wordWrap/>
              <w:overflowPunct/>
              <w:topLinePunct w:val="0"/>
              <w:bidi w:val="0"/>
              <w:adjustRightInd/>
              <w:spacing w:line="380" w:lineRule="exact"/>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%，成交供应商属于中小企业的按成交金额的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（注：履约保证金不超过</w:t>
            </w:r>
            <w:r>
              <w:rPr>
                <w:rFonts w:hint="eastAsia"/>
                <w:b/>
                <w:color w:val="000000" w:themeColor="text1"/>
                <w:highlight w:val="none"/>
                <w14:textFill>
                  <w14:solidFill>
                    <w14:schemeClr w14:val="tx1"/>
                  </w14:solidFill>
                </w14:textFill>
              </w:rPr>
              <w:t>政府采购合同金额的</w:t>
            </w:r>
            <w:r>
              <w:rPr>
                <w:rFonts w:ascii="宋体" w:hAnsi="宋体" w:cs="宋体"/>
                <w:b/>
                <w:color w:val="000000" w:themeColor="text1"/>
                <w:szCs w:val="21"/>
                <w:highlight w:val="none"/>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%，对中小企业收取的履约保证金数额不得超过政府采购合同金额的2%。采购人可根据供应商的资信等情况减免履约保证金。）</w:t>
            </w:r>
          </w:p>
          <w:p w14:paraId="614BCC75">
            <w:pPr>
              <w:keepNext w:val="0"/>
              <w:keepLines w:val="0"/>
              <w:pageBreakBefore w:val="0"/>
              <w:widowControl w:val="0"/>
              <w:kinsoku/>
              <w:wordWrap/>
              <w:overflowPunct/>
              <w:topLinePunct w:val="0"/>
              <w:bidi w:val="0"/>
              <w:adjustRightInd/>
              <w:spacing w:line="380" w:lineRule="exact"/>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履约保证金提交方式：银行转账、支票、汇票、本票或者银行、保险机构出具的保函等非现金方式。</w:t>
            </w:r>
          </w:p>
        </w:tc>
      </w:tr>
      <w:tr w14:paraId="6588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37FA9B56">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1992" w:type="dxa"/>
            <w:tcBorders>
              <w:top w:val="single" w:color="auto" w:sz="4" w:space="0"/>
              <w:left w:val="single" w:color="auto" w:sz="4" w:space="0"/>
              <w:bottom w:val="single" w:color="auto" w:sz="4" w:space="0"/>
              <w:right w:val="single" w:color="auto" w:sz="4" w:space="0"/>
            </w:tcBorders>
            <w:vAlign w:val="center"/>
          </w:tcPr>
          <w:p w14:paraId="05FE548A">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6BE22911">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本项目采购预算价：</w:t>
            </w:r>
            <w:r>
              <w:rPr>
                <w:rFonts w:hint="eastAsia" w:ascii="宋体" w:hAnsi="宋体" w:cs="宋体"/>
                <w:color w:val="000000" w:themeColor="text1"/>
                <w:szCs w:val="21"/>
                <w:highlight w:val="none"/>
                <w:lang w:val="en-US" w:eastAsia="zh-CN"/>
                <w14:textFill>
                  <w14:solidFill>
                    <w14:schemeClr w14:val="tx1"/>
                  </w14:solidFill>
                </w14:textFill>
              </w:rPr>
              <w:t>872536.05</w:t>
            </w:r>
            <w:r>
              <w:rPr>
                <w:rFonts w:hint="eastAsia" w:asciiTheme="minorEastAsia" w:hAnsiTheme="minorEastAsia" w:eastAsiaTheme="minorEastAsia" w:cstheme="minorEastAsia"/>
                <w:color w:val="000000" w:themeColor="text1"/>
                <w:spacing w:val="-3"/>
                <w:kern w:val="2"/>
                <w:sz w:val="21"/>
                <w:szCs w:val="21"/>
                <w:highlight w:val="none"/>
                <w:lang w:val="en-US" w:eastAsia="zh-CN"/>
                <w14:textFill>
                  <w14:solidFill>
                    <w14:schemeClr w14:val="tx1"/>
                  </w14:solidFill>
                </w14:textFill>
              </w:rPr>
              <w:t>元</w:t>
            </w:r>
          </w:p>
        </w:tc>
      </w:tr>
      <w:tr w14:paraId="5132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39F8B02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1992" w:type="dxa"/>
            <w:tcBorders>
              <w:top w:val="single" w:color="auto" w:sz="4" w:space="0"/>
              <w:left w:val="single" w:color="auto" w:sz="4" w:space="0"/>
              <w:bottom w:val="single" w:color="auto" w:sz="4" w:space="0"/>
              <w:right w:val="single" w:color="auto" w:sz="4" w:space="0"/>
            </w:tcBorders>
            <w:vAlign w:val="center"/>
          </w:tcPr>
          <w:p w14:paraId="1A45E0ED">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4060CEFB">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以书面形式</w:t>
            </w:r>
          </w:p>
        </w:tc>
      </w:tr>
      <w:tr w14:paraId="5A4C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CEDE557">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6</w:t>
            </w:r>
          </w:p>
        </w:tc>
        <w:tc>
          <w:tcPr>
            <w:tcW w:w="1992" w:type="dxa"/>
            <w:tcBorders>
              <w:top w:val="single" w:color="auto" w:sz="4" w:space="0"/>
              <w:left w:val="single" w:color="auto" w:sz="4" w:space="0"/>
              <w:bottom w:val="single" w:color="auto" w:sz="4" w:space="0"/>
              <w:right w:val="single" w:color="auto" w:sz="4" w:space="0"/>
            </w:tcBorders>
            <w:vAlign w:val="center"/>
          </w:tcPr>
          <w:p w14:paraId="3D6F1F28">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5C6DB0A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000000" w:themeColor="text1"/>
                <w:szCs w:val="21"/>
                <w:highlight w:val="none"/>
                <w:u w:val="none"/>
                <w:lang w:eastAsia="zh-CN"/>
                <w14:textFill>
                  <w14:solidFill>
                    <w14:schemeClr w14:val="tx1"/>
                  </w14:solidFill>
                </w14:textFill>
              </w:rPr>
            </w:pPr>
            <w:r>
              <w:rPr>
                <w:rFonts w:hint="eastAsia" w:ascii="宋体" w:hAnsi="宋体"/>
                <w:color w:val="000000" w:themeColor="text1"/>
                <w:szCs w:val="21"/>
                <w:highlight w:val="none"/>
                <w:u w:val="none"/>
                <w:lang w:eastAsia="zh-CN"/>
                <w14:textFill>
                  <w14:solidFill>
                    <w14:schemeClr w14:val="tx1"/>
                  </w14:solidFill>
                </w14:textFill>
              </w:rPr>
              <w:t xml:space="preserve">广西中佰项目管理有限公司 </w:t>
            </w:r>
          </w:p>
          <w:p w14:paraId="0169017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default" w:ascii="宋体" w:hAnsi="宋体" w:eastAsia="宋体"/>
                <w:color w:val="000000" w:themeColor="text1"/>
                <w:szCs w:val="21"/>
                <w:highlight w:val="none"/>
                <w:u w:val="none"/>
                <w:lang w:val="en-US" w:eastAsia="zh-CN"/>
                <w14:textFill>
                  <w14:solidFill>
                    <w14:schemeClr w14:val="tx1"/>
                  </w14:solidFill>
                </w14:textFill>
              </w:rPr>
            </w:pPr>
            <w:r>
              <w:rPr>
                <w:rFonts w:ascii="宋体" w:hAnsi="宋体"/>
                <w:color w:val="000000" w:themeColor="text1"/>
                <w:szCs w:val="21"/>
                <w:highlight w:val="none"/>
                <w:u w:val="none"/>
                <w14:textFill>
                  <w14:solidFill>
                    <w14:schemeClr w14:val="tx1"/>
                  </w14:solidFill>
                </w14:textFill>
              </w:rPr>
              <w:t>联系电话</w:t>
            </w:r>
            <w:r>
              <w:rPr>
                <w:rFonts w:hint="eastAsia"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lang w:val="en-US" w:eastAsia="zh-CN"/>
                <w14:textFill>
                  <w14:solidFill>
                    <w14:schemeClr w14:val="tx1"/>
                  </w14:solidFill>
                </w14:textFill>
              </w:rPr>
              <w:t>0777-8331248</w:t>
            </w:r>
          </w:p>
          <w:p w14:paraId="49DF1B19">
            <w:pPr>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Ansi="宋体"/>
                <w:b/>
                <w:color w:val="000000" w:themeColor="text1"/>
                <w:highlight w:val="none"/>
                <w14:textFill>
                  <w14:solidFill>
                    <w14:schemeClr w14:val="tx1"/>
                  </w14:solidFill>
                </w14:textFill>
              </w:rPr>
            </w:pPr>
            <w:r>
              <w:rPr>
                <w:rFonts w:ascii="宋体" w:hAnsi="宋体"/>
                <w:color w:val="000000" w:themeColor="text1"/>
                <w:szCs w:val="21"/>
                <w:highlight w:val="none"/>
                <w:u w:val="none"/>
                <w14:textFill>
                  <w14:solidFill>
                    <w14:schemeClr w14:val="tx1"/>
                  </w14:solidFill>
                </w14:textFill>
              </w:rPr>
              <w:t>通讯地址</w:t>
            </w:r>
            <w:r>
              <w:rPr>
                <w:rFonts w:hint="eastAsia" w:ascii="宋体" w:hAnsi="宋体" w:cs="Helvetica"/>
                <w:color w:val="000000" w:themeColor="text1"/>
                <w:szCs w:val="21"/>
                <w:highlight w:val="none"/>
                <w:u w:val="none"/>
                <w14:textFill>
                  <w14:solidFill>
                    <w14:schemeClr w14:val="tx1"/>
                  </w14:solidFill>
                </w14:textFill>
              </w:rPr>
              <w:t>：</w:t>
            </w:r>
            <w:r>
              <w:rPr>
                <w:rFonts w:hint="eastAsia" w:ascii="宋体" w:hAnsi="宋体" w:cs="Times New Roman"/>
                <w:color w:val="000000" w:themeColor="text1"/>
                <w:szCs w:val="21"/>
                <w:highlight w:val="none"/>
                <w:u w:val="none"/>
                <w:lang w:eastAsia="zh-CN"/>
                <w14:textFill>
                  <w14:solidFill>
                    <w14:schemeClr w14:val="tx1"/>
                  </w14:solidFill>
                </w14:textFill>
              </w:rPr>
              <w:t>浦北县小江镇东滨路（东方丽园）9幢32号</w:t>
            </w:r>
          </w:p>
        </w:tc>
      </w:tr>
      <w:tr w14:paraId="707C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3D6649C9">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992" w:type="dxa"/>
            <w:tcBorders>
              <w:top w:val="single" w:color="auto" w:sz="4" w:space="0"/>
              <w:left w:val="single" w:color="auto" w:sz="4" w:space="0"/>
              <w:bottom w:val="single" w:color="auto" w:sz="4" w:space="0"/>
              <w:right w:val="single" w:color="auto" w:sz="4" w:space="0"/>
            </w:tcBorders>
            <w:vAlign w:val="center"/>
          </w:tcPr>
          <w:p w14:paraId="5A8A286E">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3687CCE2">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质疑期内每个工作日</w:t>
            </w:r>
            <w:r>
              <w:rPr>
                <w:rFonts w:hint="eastAsia" w:hAnsi="宋体"/>
                <w:color w:val="000000" w:themeColor="text1"/>
                <w:highlight w:val="none"/>
                <w:u w:val="single"/>
                <w14:textFill>
                  <w14:solidFill>
                    <w14:schemeClr w14:val="tx1"/>
                  </w14:solidFill>
                </w14:textFill>
              </w:rPr>
              <w:t>08</w:t>
            </w:r>
            <w:r>
              <w:rPr>
                <w:rFonts w:hint="eastAsia" w:hAnsi="宋体"/>
                <w:color w:val="000000" w:themeColor="text1"/>
                <w:highlight w:val="none"/>
                <w14:textFill>
                  <w14:solidFill>
                    <w14:schemeClr w14:val="tx1"/>
                  </w14:solidFill>
                </w14:textFill>
              </w:rPr>
              <w:t>时</w:t>
            </w:r>
            <w:r>
              <w:rPr>
                <w:rFonts w:hint="eastAsia" w:hAnsi="宋体"/>
                <w:color w:val="000000" w:themeColor="text1"/>
                <w:highlight w:val="none"/>
                <w:u w:val="single"/>
                <w14:textFill>
                  <w14:solidFill>
                    <w14:schemeClr w14:val="tx1"/>
                  </w14:solidFill>
                </w14:textFill>
              </w:rPr>
              <w:t>00</w:t>
            </w:r>
            <w:r>
              <w:rPr>
                <w:rFonts w:hint="eastAsia" w:hAnsi="宋体"/>
                <w:color w:val="000000" w:themeColor="text1"/>
                <w:highlight w:val="none"/>
                <w14:textFill>
                  <w14:solidFill>
                    <w14:schemeClr w14:val="tx1"/>
                  </w14:solidFill>
                </w14:textFill>
              </w:rPr>
              <w:t>分到</w:t>
            </w:r>
            <w:r>
              <w:rPr>
                <w:rFonts w:hint="eastAsia" w:hAnsi="宋体"/>
                <w:color w:val="000000" w:themeColor="text1"/>
                <w:highlight w:val="none"/>
                <w:u w:val="single"/>
                <w14:textFill>
                  <w14:solidFill>
                    <w14:schemeClr w14:val="tx1"/>
                  </w14:solidFill>
                </w14:textFill>
              </w:rPr>
              <w:t>12</w:t>
            </w:r>
            <w:r>
              <w:rPr>
                <w:rFonts w:hint="eastAsia" w:hAnsi="宋体"/>
                <w:color w:val="000000" w:themeColor="text1"/>
                <w:highlight w:val="none"/>
                <w14:textFill>
                  <w14:solidFill>
                    <w14:schemeClr w14:val="tx1"/>
                  </w14:solidFill>
                </w14:textFill>
              </w:rPr>
              <w:t>时</w:t>
            </w:r>
            <w:r>
              <w:rPr>
                <w:rFonts w:hint="eastAsia" w:hAnsi="宋体"/>
                <w:color w:val="000000" w:themeColor="text1"/>
                <w:highlight w:val="none"/>
                <w:u w:val="single"/>
                <w14:textFill>
                  <w14:solidFill>
                    <w14:schemeClr w14:val="tx1"/>
                  </w14:solidFill>
                </w14:textFill>
              </w:rPr>
              <w:t>00</w:t>
            </w:r>
            <w:r>
              <w:rPr>
                <w:rFonts w:hint="eastAsia" w:hAnsi="宋体"/>
                <w:color w:val="000000" w:themeColor="text1"/>
                <w:highlight w:val="none"/>
                <w14:textFill>
                  <w14:solidFill>
                    <w14:schemeClr w14:val="tx1"/>
                  </w14:solidFill>
                </w14:textFill>
              </w:rPr>
              <w:t>分，</w:t>
            </w:r>
            <w:r>
              <w:rPr>
                <w:rFonts w:hint="eastAsia" w:hAnsi="宋体"/>
                <w:color w:val="000000" w:themeColor="text1"/>
                <w:highlight w:val="none"/>
                <w:u w:val="single"/>
                <w14:textFill>
                  <w14:solidFill>
                    <w14:schemeClr w14:val="tx1"/>
                  </w14:solidFill>
                </w14:textFill>
              </w:rPr>
              <w:t>15</w:t>
            </w:r>
            <w:r>
              <w:rPr>
                <w:rFonts w:hint="eastAsia" w:hAnsi="宋体"/>
                <w:color w:val="000000" w:themeColor="text1"/>
                <w:highlight w:val="none"/>
                <w14:textFill>
                  <w14:solidFill>
                    <w14:schemeClr w14:val="tx1"/>
                  </w14:solidFill>
                </w14:textFill>
              </w:rPr>
              <w:t>时</w:t>
            </w:r>
            <w:r>
              <w:rPr>
                <w:rFonts w:hint="eastAsia" w:hAnsi="宋体"/>
                <w:color w:val="000000" w:themeColor="text1"/>
                <w:highlight w:val="none"/>
                <w:u w:val="single"/>
                <w14:textFill>
                  <w14:solidFill>
                    <w14:schemeClr w14:val="tx1"/>
                  </w14:solidFill>
                </w14:textFill>
              </w:rPr>
              <w:t>00</w:t>
            </w:r>
            <w:r>
              <w:rPr>
                <w:rFonts w:hint="eastAsia" w:hAnsi="宋体"/>
                <w:color w:val="000000" w:themeColor="text1"/>
                <w:highlight w:val="none"/>
                <w14:textFill>
                  <w14:solidFill>
                    <w14:schemeClr w14:val="tx1"/>
                  </w14:solidFill>
                </w14:textFill>
              </w:rPr>
              <w:t>分到</w:t>
            </w:r>
            <w:r>
              <w:rPr>
                <w:rFonts w:hint="eastAsia" w:hAnsi="宋体"/>
                <w:color w:val="000000" w:themeColor="text1"/>
                <w:highlight w:val="none"/>
                <w:u w:val="single"/>
                <w14:textFill>
                  <w14:solidFill>
                    <w14:schemeClr w14:val="tx1"/>
                  </w14:solidFill>
                </w14:textFill>
              </w:rPr>
              <w:t>18</w:t>
            </w:r>
            <w:r>
              <w:rPr>
                <w:rFonts w:hint="eastAsia" w:hAnsi="宋体"/>
                <w:color w:val="000000" w:themeColor="text1"/>
                <w:highlight w:val="none"/>
                <w14:textFill>
                  <w14:solidFill>
                    <w14:schemeClr w14:val="tx1"/>
                  </w14:solidFill>
                </w14:textFill>
              </w:rPr>
              <w:t>时</w:t>
            </w:r>
            <w:r>
              <w:rPr>
                <w:rFonts w:hint="eastAsia" w:hAnsi="宋体"/>
                <w:color w:val="000000" w:themeColor="text1"/>
                <w:highlight w:val="none"/>
                <w:u w:val="single"/>
                <w14:textFill>
                  <w14:solidFill>
                    <w14:schemeClr w14:val="tx1"/>
                  </w14:solidFill>
                </w14:textFill>
              </w:rPr>
              <w:t>00</w:t>
            </w:r>
            <w:r>
              <w:rPr>
                <w:rFonts w:hint="eastAsia" w:hAnsi="宋体"/>
                <w:color w:val="000000" w:themeColor="text1"/>
                <w:highlight w:val="none"/>
                <w14:textFill>
                  <w14:solidFill>
                    <w14:schemeClr w14:val="tx1"/>
                  </w14:solidFill>
                </w14:textFill>
              </w:rPr>
              <w:t>分</w:t>
            </w:r>
          </w:p>
        </w:tc>
      </w:tr>
      <w:tr w14:paraId="7F47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C6EA58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1992" w:type="dxa"/>
            <w:tcBorders>
              <w:top w:val="single" w:color="auto" w:sz="4" w:space="0"/>
              <w:left w:val="single" w:color="auto" w:sz="4" w:space="0"/>
              <w:bottom w:val="single" w:color="auto" w:sz="4" w:space="0"/>
              <w:right w:val="single" w:color="auto" w:sz="4" w:space="0"/>
            </w:tcBorders>
            <w:vAlign w:val="center"/>
          </w:tcPr>
          <w:p w14:paraId="244D1E69">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3F4EB245">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1.代理服务费：按国家计委计价格[2002]1980号和发改办[2003]857号文规定由招标代理机构向成交供应商收取。即按成交金额100万元以下为1.0%，100-500万元为0.7%，并且按差额定率累进法计算。</w:t>
            </w:r>
          </w:p>
          <w:p w14:paraId="31C9082E">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 代理服务费收取银行账户：</w:t>
            </w:r>
          </w:p>
          <w:p w14:paraId="523C64B0">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 xml:space="preserve">开户名称：广西中佰项目管理有限公司 </w:t>
            </w:r>
          </w:p>
          <w:p w14:paraId="66561078">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账  号：4505 0110 1205 0000 1410</w:t>
            </w:r>
          </w:p>
          <w:p w14:paraId="03964E2F">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olor w:val="000000" w:themeColor="text1"/>
                <w:highlight w:val="none"/>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开户行：中国建设银行股份有限公司浦北支行</w:t>
            </w:r>
          </w:p>
        </w:tc>
      </w:tr>
      <w:tr w14:paraId="031B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47BDBE0">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19</w:t>
            </w:r>
          </w:p>
        </w:tc>
        <w:tc>
          <w:tcPr>
            <w:tcW w:w="1992" w:type="dxa"/>
            <w:tcBorders>
              <w:top w:val="single" w:color="auto" w:sz="4" w:space="0"/>
              <w:left w:val="single" w:color="auto" w:sz="4" w:space="0"/>
              <w:bottom w:val="single" w:color="auto" w:sz="4" w:space="0"/>
              <w:right w:val="single" w:color="auto" w:sz="4" w:space="0"/>
            </w:tcBorders>
            <w:vAlign w:val="center"/>
          </w:tcPr>
          <w:p w14:paraId="27F41F7F">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52E9F3C5">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b/>
                <w:color w:val="000000" w:themeColor="text1"/>
                <w:sz w:val="21"/>
                <w:highlight w:val="none"/>
                <w:lang w:val="en-US" w:eastAsia="zh-CN"/>
                <w14:textFill>
                  <w14:solidFill>
                    <w14:schemeClr w14:val="tx1"/>
                  </w14:solidFill>
                </w14:textFill>
              </w:rPr>
            </w:pPr>
            <w:r>
              <w:rPr>
                <w:rFonts w:hint="eastAsia" w:hAnsi="宋体" w:cs="宋体"/>
                <w:b/>
                <w:color w:val="000000" w:themeColor="text1"/>
                <w:sz w:val="21"/>
                <w:highlight w:val="none"/>
                <w:lang w:val="en-US" w:eastAsia="zh-CN"/>
                <w14:textFill>
                  <w14:solidFill>
                    <w14:schemeClr w14:val="tx1"/>
                  </w14:solidFill>
                </w14:textFill>
              </w:rPr>
              <w:t>解释权：</w:t>
            </w:r>
            <w:r>
              <w:rPr>
                <w:rFonts w:hAnsi="宋体" w:cs="宋体"/>
                <w:color w:val="000000" w:themeColor="text1"/>
                <w:sz w:val="21"/>
                <w:highlight w:val="none"/>
                <w:lang w:val="en-US" w:eastAsia="zh-CN"/>
                <w14:textFill>
                  <w14:solidFill>
                    <w14:schemeClr w14:val="tx1"/>
                  </w14:solidFill>
                </w14:textFill>
              </w:rPr>
              <w:t>构成本</w:t>
            </w:r>
            <w:r>
              <w:rPr>
                <w:rFonts w:hint="eastAsia" w:hAnsi="宋体" w:cs="宋体"/>
                <w:color w:val="000000" w:themeColor="text1"/>
                <w:sz w:val="21"/>
                <w:highlight w:val="none"/>
                <w:lang w:val="en-US" w:eastAsia="zh-CN"/>
                <w14:textFill>
                  <w14:solidFill>
                    <w14:schemeClr w14:val="tx1"/>
                  </w14:solidFill>
                </w14:textFill>
              </w:rPr>
              <w:t>磋商文件</w:t>
            </w:r>
            <w:r>
              <w:rPr>
                <w:rFonts w:hAnsi="宋体" w:cs="宋体"/>
                <w:color w:val="000000" w:themeColor="text1"/>
                <w:sz w:val="21"/>
                <w:highlight w:val="none"/>
                <w:lang w:val="en-US" w:eastAsia="zh-CN"/>
                <w14:textFill>
                  <w14:solidFill>
                    <w14:schemeClr w14:val="tx1"/>
                  </w14:solidFill>
                </w14:textFill>
              </w:rPr>
              <w:t>的各个组成文件应互为解释，互为说明；除</w:t>
            </w:r>
            <w:r>
              <w:rPr>
                <w:rFonts w:hint="eastAsia" w:hAnsi="宋体" w:cs="宋体"/>
                <w:color w:val="000000" w:themeColor="text1"/>
                <w:sz w:val="21"/>
                <w:highlight w:val="none"/>
                <w:lang w:val="en-US" w:eastAsia="zh-CN"/>
                <w14:textFill>
                  <w14:solidFill>
                    <w14:schemeClr w14:val="tx1"/>
                  </w14:solidFill>
                </w14:textFill>
              </w:rPr>
              <w:t>磋商文件</w:t>
            </w:r>
            <w:r>
              <w:rPr>
                <w:rFonts w:hAnsi="宋体" w:cs="宋体"/>
                <w:color w:val="000000" w:themeColor="text1"/>
                <w:sz w:val="21"/>
                <w:highlight w:val="none"/>
                <w:lang w:val="en-US" w:eastAsia="zh-CN"/>
                <w14:textFill>
                  <w14:solidFill>
                    <w14:schemeClr w14:val="tx1"/>
                  </w14:solidFill>
                </w14:textFill>
              </w:rPr>
              <w:t>中有特别规定外，仅适用于</w:t>
            </w:r>
            <w:r>
              <w:rPr>
                <w:rFonts w:hint="eastAsia" w:hAnsi="宋体" w:cs="宋体"/>
                <w:color w:val="000000" w:themeColor="text1"/>
                <w:sz w:val="21"/>
                <w:highlight w:val="none"/>
                <w:lang w:val="en-US" w:eastAsia="zh-CN"/>
                <w14:textFill>
                  <w14:solidFill>
                    <w14:schemeClr w14:val="tx1"/>
                  </w14:solidFill>
                </w14:textFill>
              </w:rPr>
              <w:t>竞标</w:t>
            </w:r>
            <w:r>
              <w:rPr>
                <w:rFonts w:hAnsi="宋体" w:cs="宋体"/>
                <w:color w:val="000000" w:themeColor="text1"/>
                <w:sz w:val="21"/>
                <w:highlight w:val="none"/>
                <w:lang w:val="en-US" w:eastAsia="zh-CN"/>
                <w14:textFill>
                  <w14:solidFill>
                    <w14:schemeClr w14:val="tx1"/>
                  </w14:solidFill>
                </w14:textFill>
              </w:rPr>
              <w:t>阶段的规定，按</w:t>
            </w:r>
            <w:r>
              <w:rPr>
                <w:rFonts w:hint="eastAsia" w:hAnsi="宋体" w:cs="宋体"/>
                <w:color w:val="000000" w:themeColor="text1"/>
                <w:sz w:val="21"/>
                <w:highlight w:val="none"/>
                <w:lang w:val="en-US" w:eastAsia="zh-CN"/>
                <w14:textFill>
                  <w14:solidFill>
                    <w14:schemeClr w14:val="tx1"/>
                  </w14:solidFill>
                </w14:textFill>
              </w:rPr>
              <w:t>更正公告（澄清公告）</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竞争性磋商</w:t>
            </w:r>
            <w:r>
              <w:rPr>
                <w:rFonts w:hAnsi="宋体" w:cs="宋体"/>
                <w:color w:val="000000" w:themeColor="text1"/>
                <w:sz w:val="21"/>
                <w:highlight w:val="none"/>
                <w:lang w:val="en-US" w:eastAsia="zh-CN"/>
                <w14:textFill>
                  <w14:solidFill>
                    <w14:schemeClr w14:val="tx1"/>
                  </w14:solidFill>
                </w14:textFill>
              </w:rPr>
              <w:t>公告、</w:t>
            </w:r>
            <w:r>
              <w:rPr>
                <w:rFonts w:hint="eastAsia" w:hAnsi="宋体" w:cs="宋体"/>
                <w:color w:val="000000" w:themeColor="text1"/>
                <w:sz w:val="21"/>
                <w:highlight w:val="none"/>
                <w:lang w:val="en-US" w:eastAsia="zh-CN"/>
                <w14:textFill>
                  <w14:solidFill>
                    <w14:schemeClr w14:val="tx1"/>
                  </w14:solidFill>
                </w14:textFill>
              </w:rPr>
              <w:t>供应商</w:t>
            </w:r>
            <w:r>
              <w:rPr>
                <w:rFonts w:hAnsi="宋体" w:cs="宋体"/>
                <w:color w:val="000000" w:themeColor="text1"/>
                <w:sz w:val="21"/>
                <w:highlight w:val="none"/>
                <w:lang w:val="en-US" w:eastAsia="zh-CN"/>
                <w14:textFill>
                  <w14:solidFill>
                    <w14:schemeClr w14:val="tx1"/>
                  </w14:solidFill>
                </w14:textFill>
              </w:rPr>
              <w:t>须知</w:t>
            </w:r>
            <w:r>
              <w:rPr>
                <w:rFonts w:hint="eastAsia" w:hAnsi="宋体" w:cs="宋体"/>
                <w:color w:val="000000" w:themeColor="text1"/>
                <w:sz w:val="21"/>
                <w:highlight w:val="none"/>
                <w:lang w:val="en-US" w:eastAsia="zh-CN"/>
                <w14:textFill>
                  <w14:solidFill>
                    <w14:schemeClr w14:val="tx1"/>
                  </w14:solidFill>
                </w14:textFill>
              </w:rPr>
              <w:t>、采购需求</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评审程序、评审方法和评审标准</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响应</w:t>
            </w:r>
            <w:r>
              <w:rPr>
                <w:rFonts w:hAnsi="宋体" w:cs="宋体"/>
                <w:color w:val="000000" w:themeColor="text1"/>
                <w:sz w:val="21"/>
                <w:highlight w:val="none"/>
                <w:lang w:val="en-US" w:eastAsia="zh-CN"/>
                <w14:textFill>
                  <w14:solidFill>
                    <w14:schemeClr w14:val="tx1"/>
                  </w14:solidFill>
                </w14:textFill>
              </w:rPr>
              <w:t>文件格式</w:t>
            </w:r>
            <w:r>
              <w:rPr>
                <w:rFonts w:hint="eastAsia" w:hAnsi="宋体" w:cs="宋体"/>
                <w:color w:val="000000" w:themeColor="text1"/>
                <w:sz w:val="21"/>
                <w:highlight w:val="none"/>
                <w:lang w:val="en-US" w:eastAsia="zh-CN"/>
                <w14:textFill>
                  <w14:solidFill>
                    <w14:schemeClr w14:val="tx1"/>
                  </w14:solidFill>
                </w14:textFill>
              </w:rPr>
              <w:t>、合同文本</w:t>
            </w:r>
            <w:r>
              <w:rPr>
                <w:rFonts w:hAnsi="宋体" w:cs="宋体"/>
                <w:color w:val="000000" w:themeColor="text1"/>
                <w:sz w:val="21"/>
                <w:highlight w:val="none"/>
                <w:lang w:val="en-US" w:eastAsia="zh-CN"/>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s="宋体"/>
                <w:color w:val="000000" w:themeColor="text1"/>
                <w:sz w:val="21"/>
                <w:highlight w:val="none"/>
                <w:lang w:val="en-US" w:eastAsia="zh-CN"/>
                <w14:textFill>
                  <w14:solidFill>
                    <w14:schemeClr w14:val="tx1"/>
                  </w14:solidFill>
                </w14:textFill>
              </w:rPr>
              <w:t>更正公告（澄清公告）</w:t>
            </w:r>
            <w:r>
              <w:rPr>
                <w:rFonts w:hAnsi="宋体" w:cs="宋体"/>
                <w:color w:val="000000" w:themeColor="text1"/>
                <w:sz w:val="21"/>
                <w:highlight w:val="none"/>
                <w:lang w:val="en-US" w:eastAsia="zh-CN"/>
                <w14:textFill>
                  <w14:solidFill>
                    <w14:schemeClr w14:val="tx1"/>
                  </w14:solidFill>
                </w14:textFill>
              </w:rPr>
              <w:t>与同步更新的</w:t>
            </w:r>
            <w:r>
              <w:rPr>
                <w:rFonts w:hint="eastAsia" w:hAnsi="宋体" w:cs="宋体"/>
                <w:color w:val="000000" w:themeColor="text1"/>
                <w:sz w:val="21"/>
                <w:highlight w:val="none"/>
                <w:lang w:val="en-US" w:eastAsia="zh-CN"/>
                <w14:textFill>
                  <w14:solidFill>
                    <w14:schemeClr w14:val="tx1"/>
                  </w14:solidFill>
                </w14:textFill>
              </w:rPr>
              <w:t>磋商文件</w:t>
            </w:r>
            <w:r>
              <w:rPr>
                <w:rFonts w:hAnsi="宋体" w:cs="宋体"/>
                <w:color w:val="000000" w:themeColor="text1"/>
                <w:sz w:val="21"/>
                <w:highlight w:val="none"/>
                <w:lang w:val="en-US" w:eastAsia="zh-CN"/>
                <w14:textFill>
                  <w14:solidFill>
                    <w14:schemeClr w14:val="tx1"/>
                  </w14:solidFill>
                </w14:textFill>
              </w:rPr>
              <w:t>不一致时以</w:t>
            </w:r>
            <w:r>
              <w:rPr>
                <w:rFonts w:hint="eastAsia" w:hAnsi="宋体" w:cs="宋体"/>
                <w:color w:val="000000" w:themeColor="text1"/>
                <w:sz w:val="21"/>
                <w:highlight w:val="none"/>
                <w:lang w:val="en-US" w:eastAsia="zh-CN"/>
                <w14:textFill>
                  <w14:solidFill>
                    <w14:schemeClr w14:val="tx1"/>
                  </w14:solidFill>
                </w14:textFill>
              </w:rPr>
              <w:t>更正公告（澄清公告）</w:t>
            </w:r>
            <w:r>
              <w:rPr>
                <w:rFonts w:hAnsi="宋体" w:cs="宋体"/>
                <w:color w:val="000000" w:themeColor="text1"/>
                <w:sz w:val="21"/>
                <w:highlight w:val="none"/>
                <w:lang w:val="en-US" w:eastAsia="zh-CN"/>
                <w14:textFill>
                  <w14:solidFill>
                    <w14:schemeClr w14:val="tx1"/>
                  </w14:solidFill>
                </w14:textFill>
              </w:rPr>
              <w:t>为准。按本款前述规定仍不能形成结论的，</w:t>
            </w:r>
            <w:r>
              <w:rPr>
                <w:rFonts w:hAnsi="宋体" w:cs="宋体"/>
                <w:b/>
                <w:color w:val="000000" w:themeColor="text1"/>
                <w:sz w:val="21"/>
                <w:highlight w:val="none"/>
                <w:lang w:val="en-US" w:eastAsia="zh-CN"/>
                <w14:textFill>
                  <w14:solidFill>
                    <w14:schemeClr w14:val="tx1"/>
                  </w14:solidFill>
                </w14:textFill>
              </w:rPr>
              <w:t>由</w:t>
            </w:r>
            <w:r>
              <w:rPr>
                <w:rFonts w:hint="eastAsia" w:hAnsi="宋体" w:cs="宋体"/>
                <w:b/>
                <w:color w:val="000000" w:themeColor="text1"/>
                <w:sz w:val="21"/>
                <w:highlight w:val="none"/>
                <w:lang w:val="en-US" w:eastAsia="zh-CN"/>
                <w14:textFill>
                  <w14:solidFill>
                    <w14:schemeClr w14:val="tx1"/>
                  </w14:solidFill>
                </w14:textFill>
              </w:rPr>
              <w:t>采购</w:t>
            </w:r>
            <w:r>
              <w:rPr>
                <w:rFonts w:hAnsi="宋体" w:cs="宋体"/>
                <w:b/>
                <w:color w:val="000000" w:themeColor="text1"/>
                <w:sz w:val="21"/>
                <w:highlight w:val="none"/>
                <w:lang w:val="en-US" w:eastAsia="zh-CN"/>
                <w14:textFill>
                  <w14:solidFill>
                    <w14:schemeClr w14:val="tx1"/>
                  </w14:solidFill>
                </w14:textFill>
              </w:rPr>
              <w:t>人</w:t>
            </w:r>
            <w:r>
              <w:rPr>
                <w:rFonts w:hint="eastAsia" w:hAnsi="宋体" w:cs="宋体"/>
                <w:b/>
                <w:color w:val="000000" w:themeColor="text1"/>
                <w:sz w:val="21"/>
                <w:highlight w:val="none"/>
                <w:lang w:val="en-US" w:eastAsia="zh-CN"/>
                <w14:textFill>
                  <w14:solidFill>
                    <w14:schemeClr w14:val="tx1"/>
                  </w14:solidFill>
                </w14:textFill>
              </w:rPr>
              <w:t>或者采购代理机构</w:t>
            </w:r>
            <w:r>
              <w:rPr>
                <w:rFonts w:hAnsi="宋体" w:cs="宋体"/>
                <w:b/>
                <w:color w:val="000000" w:themeColor="text1"/>
                <w:sz w:val="21"/>
                <w:highlight w:val="none"/>
                <w:lang w:val="en-US" w:eastAsia="zh-CN"/>
                <w14:textFill>
                  <w14:solidFill>
                    <w14:schemeClr w14:val="tx1"/>
                  </w14:solidFill>
                </w14:textFill>
              </w:rPr>
              <w:t>负责解释。</w:t>
            </w:r>
          </w:p>
          <w:p w14:paraId="16080607">
            <w:pPr>
              <w:pStyle w:val="13"/>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hAnsi="宋体" w:cs="宋体"/>
                <w:b/>
                <w:color w:val="000000" w:themeColor="text1"/>
                <w:sz w:val="21"/>
                <w:highlight w:val="none"/>
                <w:lang w:val="en-US" w:eastAsia="zh-CN"/>
                <w14:textFill>
                  <w14:solidFill>
                    <w14:schemeClr w14:val="tx1"/>
                  </w14:solidFill>
                </w14:textFill>
              </w:rPr>
              <w:t>法律责任：</w:t>
            </w:r>
            <w:r>
              <w:rPr>
                <w:rFonts w:hint="eastAsia" w:hAnsi="宋体" w:cs="宋体"/>
                <w:color w:val="000000" w:themeColor="text1"/>
                <w:sz w:val="21"/>
                <w:highlight w:val="none"/>
                <w:lang w:val="en-US" w:eastAsia="zh-CN"/>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CC0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C30BED6">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p>
        </w:tc>
        <w:tc>
          <w:tcPr>
            <w:tcW w:w="1992" w:type="dxa"/>
            <w:tcBorders>
              <w:top w:val="single" w:color="auto" w:sz="4" w:space="0"/>
              <w:left w:val="single" w:color="auto" w:sz="4" w:space="0"/>
              <w:bottom w:val="single" w:color="auto" w:sz="4" w:space="0"/>
              <w:right w:val="single" w:color="auto" w:sz="4" w:space="0"/>
            </w:tcBorders>
            <w:vAlign w:val="center"/>
          </w:tcPr>
          <w:p w14:paraId="36757DC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23B90F23">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B1E297">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4FFDD9F9">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90FD29">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4</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自然人竞标的，磋商文件规定盖公章处由自然人摁手指指印。</w:t>
            </w:r>
          </w:p>
          <w:p w14:paraId="7732A92A">
            <w:pPr>
              <w:pStyle w:val="13"/>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5</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本磋商文件所称的“以上”“以下”“以内”“届满”，包括本数；所称的“不满”“超过”“以外”，不包括本数。</w:t>
            </w:r>
          </w:p>
        </w:tc>
      </w:tr>
      <w:tr w14:paraId="032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51C213F">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992" w:type="dxa"/>
            <w:tcBorders>
              <w:top w:val="single" w:color="auto" w:sz="4" w:space="0"/>
              <w:left w:val="single" w:color="auto" w:sz="4" w:space="0"/>
              <w:bottom w:val="single" w:color="auto" w:sz="4" w:space="0"/>
              <w:right w:val="single" w:color="auto" w:sz="4" w:space="0"/>
            </w:tcBorders>
            <w:vAlign w:val="center"/>
          </w:tcPr>
          <w:p w14:paraId="0B8349F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pacing w:val="0"/>
                <w:szCs w:val="21"/>
                <w:highlight w:val="none"/>
                <w14:textFill>
                  <w14:solidFill>
                    <w14:schemeClr w14:val="tx1"/>
                  </w14:solidFill>
                </w14:textFill>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71E0F42E">
            <w:pPr>
              <w:pStyle w:val="13"/>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中须加盖供应商公章位置均采用CA签章，并根据“政府采购项目电子交易管理操作指南-供应商”及本</w:t>
            </w:r>
            <w:r>
              <w:rPr>
                <w:rFonts w:hint="eastAsia"/>
                <w:color w:val="000000" w:themeColor="text1"/>
                <w:highlight w:val="none"/>
                <w:lang w:eastAsia="zh-CN"/>
                <w14:textFill>
                  <w14:solidFill>
                    <w14:schemeClr w14:val="tx1"/>
                  </w14:solidFill>
                </w14:textFill>
              </w:rPr>
              <w:t>竞争性磋商文件</w:t>
            </w:r>
            <w:r>
              <w:rPr>
                <w:rFonts w:hint="eastAsia"/>
                <w:color w:val="000000" w:themeColor="text1"/>
                <w:highlight w:val="none"/>
                <w14:textFill>
                  <w14:solidFill>
                    <w14:schemeClr w14:val="tx1"/>
                  </w14:solidFill>
                </w14:textFill>
              </w:rPr>
              <w:t>规定的</w:t>
            </w:r>
            <w:r>
              <w:rPr>
                <w:rFonts w:hint="eastAsia"/>
                <w:color w:val="000000" w:themeColor="text1"/>
                <w:highlight w:val="none"/>
                <w:lang w:eastAsia="zh-CN"/>
                <w14:textFill>
                  <w14:solidFill>
                    <w14:schemeClr w14:val="tx1"/>
                  </w14:solidFill>
                </w14:textFill>
              </w:rPr>
              <w:t>要求</w:t>
            </w:r>
            <w:r>
              <w:rPr>
                <w:rFonts w:hint="eastAsia"/>
                <w:color w:val="000000" w:themeColor="text1"/>
                <w:highlight w:val="none"/>
                <w14:textFill>
                  <w14:solidFill>
                    <w14:schemeClr w14:val="tx1"/>
                  </w14:solidFill>
                </w14:textFill>
              </w:rPr>
              <w:t>编制</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并进行关联定位，以便</w:t>
            </w:r>
            <w:r>
              <w:rPr>
                <w:rFonts w:hint="eastAsia"/>
                <w:color w:val="000000" w:themeColor="text1"/>
                <w:highlight w:val="none"/>
                <w:lang w:eastAsia="zh-CN"/>
                <w14:textFill>
                  <w14:solidFill>
                    <w14:schemeClr w14:val="tx1"/>
                  </w14:solidFill>
                </w14:textFill>
              </w:rPr>
              <w:t>磋商小组</w:t>
            </w:r>
            <w:r>
              <w:rPr>
                <w:rFonts w:hint="eastAsia"/>
                <w:color w:val="000000" w:themeColor="text1"/>
                <w:highlight w:val="none"/>
                <w14:textFill>
                  <w14:solidFill>
                    <w14:schemeClr w14:val="tx1"/>
                  </w14:solidFill>
                </w14:textFill>
              </w:rPr>
              <w:t>在评审时，点击评分项可直接定位到该评分项内容。如对</w:t>
            </w:r>
            <w:r>
              <w:rPr>
                <w:rFonts w:hint="eastAsia"/>
                <w:color w:val="000000" w:themeColor="text1"/>
                <w:highlight w:val="none"/>
                <w:lang w:eastAsia="zh-CN"/>
                <w14:textFill>
                  <w14:solidFill>
                    <w14:schemeClr w14:val="tx1"/>
                  </w14:solidFill>
                </w14:textFill>
              </w:rPr>
              <w:t>竞争性磋商文件</w:t>
            </w:r>
            <w:r>
              <w:rPr>
                <w:rFonts w:hint="eastAsia"/>
                <w:color w:val="000000" w:themeColor="text1"/>
                <w:highlight w:val="none"/>
                <w14:textFill>
                  <w14:solidFill>
                    <w14:schemeClr w14:val="tx1"/>
                  </w14:solidFill>
                </w14:textFill>
              </w:rPr>
              <w:t>的某项要求，供应商的</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未能关联定位提供相应的内容与其对应，</w:t>
            </w:r>
            <w:r>
              <w:rPr>
                <w:rFonts w:hint="eastAsia"/>
                <w:color w:val="000000" w:themeColor="text1"/>
                <w:highlight w:val="none"/>
                <w:lang w:eastAsia="zh-CN"/>
                <w14:textFill>
                  <w14:solidFill>
                    <w14:schemeClr w14:val="tx1"/>
                  </w14:solidFill>
                </w14:textFill>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3F58A49F">
            <w:pPr>
              <w:pStyle w:val="13"/>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000000" w:themeColor="text1"/>
                <w:highlight w:val="none"/>
                <w14:textFill>
                  <w14:solidFill>
                    <w14:schemeClr w14:val="tx1"/>
                  </w14:solidFill>
                </w14:textFill>
              </w:rPr>
              <w:t>。</w:t>
            </w:r>
          </w:p>
          <w:p w14:paraId="410FC139">
            <w:pPr>
              <w:pStyle w:val="47"/>
              <w:keepNext w:val="0"/>
              <w:keepLines w:val="0"/>
              <w:pageBreakBefore w:val="0"/>
              <w:widowControl w:val="0"/>
              <w:kinsoku/>
              <w:wordWrap/>
              <w:overflowPunct/>
              <w:topLinePunct w:val="0"/>
              <w:autoSpaceDE/>
              <w:autoSpaceDN/>
              <w:bidi w:val="0"/>
              <w:adjustRightInd/>
              <w:snapToGrid/>
              <w:spacing w:before="0" w:after="0" w:line="380" w:lineRule="exact"/>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（3）补充事项：</w:t>
            </w:r>
            <w:r>
              <w:rPr>
                <w:rFonts w:hint="eastAsia" w:ascii="Times New Roman" w:hAns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成交</w:t>
            </w:r>
            <w:r>
              <w:rPr>
                <w:rFonts w:hint="eastAsia" w:asci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供应商</w:t>
            </w:r>
            <w:r>
              <w:rPr>
                <w:rFonts w:hint="eastAsia" w:ascii="Times New Roman" w:hAns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需在确定成交3日内打印盖章响应文件</w:t>
            </w:r>
            <w:r>
              <w:rPr>
                <w:rFonts w:hint="eastAsia" w:asci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（一式三份）</w:t>
            </w:r>
            <w:r>
              <w:rPr>
                <w:rFonts w:hint="eastAsia" w:ascii="Times New Roman" w:hAnsi="Times New Roman" w:eastAsia="宋体" w:cs="Times New Roman"/>
                <w:bCs w:val="0"/>
                <w:color w:val="000000" w:themeColor="text1"/>
                <w:spacing w:val="0"/>
                <w:kern w:val="2"/>
                <w:sz w:val="21"/>
                <w:szCs w:val="24"/>
                <w:highlight w:val="none"/>
                <w:lang w:val="en-US" w:eastAsia="zh-CN" w:bidi="ar-SA"/>
                <w14:textFill>
                  <w14:solidFill>
                    <w14:schemeClr w14:val="tx1"/>
                  </w14:solidFill>
                </w14:textFill>
              </w:rPr>
              <w:t>提供给代理机构，作为成果文件装订使用。</w:t>
            </w:r>
          </w:p>
        </w:tc>
      </w:tr>
    </w:tbl>
    <w:p w14:paraId="243CA684">
      <w:pPr>
        <w:rPr>
          <w:rFonts w:hint="eastAsia" w:ascii="宋体" w:hAnsi="宋体" w:cs="宋体"/>
          <w:b/>
          <w:bCs w:val="0"/>
          <w:color w:val="000000" w:themeColor="text1"/>
          <w:sz w:val="32"/>
          <w:szCs w:val="32"/>
          <w:highlight w:val="none"/>
          <w:lang w:val="en-US" w:eastAsia="zh-CN"/>
          <w14:textFill>
            <w14:solidFill>
              <w14:schemeClr w14:val="tx1"/>
            </w14:solidFill>
          </w14:textFill>
        </w:rPr>
      </w:pPr>
      <w:bookmarkStart w:id="64" w:name="_Toc8441"/>
      <w:bookmarkStart w:id="65" w:name="_Toc16298"/>
    </w:p>
    <w:p w14:paraId="1BB809A4">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 w:val="32"/>
          <w:szCs w:val="32"/>
          <w:highlight w:val="none"/>
          <w:lang w:val="en-US" w:eastAsia="zh-CN"/>
          <w14:textFill>
            <w14:solidFill>
              <w14:schemeClr w14:val="tx1"/>
            </w14:solidFill>
          </w14:textFill>
        </w:rPr>
        <w:t>供应商</w:t>
      </w:r>
      <w:r>
        <w:rPr>
          <w:rFonts w:hint="eastAsia" w:ascii="宋体" w:hAnsi="宋体" w:cs="宋体"/>
          <w:b/>
          <w:bCs w:val="0"/>
          <w:color w:val="000000" w:themeColor="text1"/>
          <w:sz w:val="32"/>
          <w:szCs w:val="32"/>
          <w:highlight w:val="none"/>
          <w14:textFill>
            <w14:solidFill>
              <w14:schemeClr w14:val="tx1"/>
            </w14:solidFill>
          </w14:textFill>
        </w:rPr>
        <w:t>须知</w:t>
      </w:r>
      <w:bookmarkEnd w:id="64"/>
      <w:bookmarkEnd w:id="65"/>
    </w:p>
    <w:p w14:paraId="42E44001">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一、总则</w:t>
      </w:r>
    </w:p>
    <w:p w14:paraId="244743E7">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1.适用范围</w:t>
      </w:r>
    </w:p>
    <w:p w14:paraId="4E9F5DC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025BEDB">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本竞争性磋商文件适用于本项目的所有采购程序和环节 (法律、法规另有规定的，从其规定) 。</w:t>
      </w:r>
    </w:p>
    <w:p w14:paraId="23D95408">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2.定义</w:t>
      </w:r>
    </w:p>
    <w:p w14:paraId="3BCD9C5A">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2.1“采购人”是指依法进行采购的国家机关、事业单位、团体组织。</w:t>
      </w:r>
    </w:p>
    <w:p w14:paraId="484A4DE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2.2“采购代理机构”是指政府采购代理机构 (以下简称采购代理机构) 是指集中采购机构以外、受采购人委托从事政府采购代理业务的社会中介机构。</w:t>
      </w:r>
    </w:p>
    <w:p w14:paraId="3E7225D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601290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2.4“工程”是指建设工程，包括建筑物和构筑物的新建、改建、扩建、装修、拆除、修缮等。</w:t>
      </w:r>
    </w:p>
    <w:p w14:paraId="0A3206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2.5“竞标”是指供应商按照本项目竞争性磋商公告规定的方式获取竞争性磋商文件、提交响应文件并希望获得标的的行为。</w:t>
      </w:r>
    </w:p>
    <w:p w14:paraId="7A1975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2.6“响应文件”是指：供应商根据本竞争性磋商文件要求，编制包含资格证明、报价商务技术等所有内容的文件。</w:t>
      </w:r>
    </w:p>
    <w:p w14:paraId="282D8E2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2.7“实质性要求”是指竞争性磋商文件中已经指明不满足则响应文件按无效响应处理的条款，或不能负偏离的条款，或采购需求中带“▲”的条款。</w:t>
      </w:r>
    </w:p>
    <w:p w14:paraId="44C034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2.8“正偏离”，是指响应文件对竞争性磋商文件“采购需求”中有关条款作出的响应优于条款要求并有利于采购人的情形。</w:t>
      </w:r>
    </w:p>
    <w:p w14:paraId="4F64EE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2.9“负偏离”，是指响应文件对竞争性磋商文件“采购需求”中有关条款作出的响应不满足条款要求导致采购人要求不能得到满足的情形。</w:t>
      </w:r>
    </w:p>
    <w:p w14:paraId="26AA794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1069A5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 (包括电报、电传、传真、电子数据交换和电子邮件) 等可以有形地表现所载内容的形式。</w:t>
      </w:r>
    </w:p>
    <w:p w14:paraId="78F388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2.12“首次报价”是指供应商提交的首次响应文件中的报价。                     </w:t>
      </w:r>
    </w:p>
    <w:p w14:paraId="5E12C8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2.13“评审价”是指供应商提交的最后报价并经修正和政策功能价格扣除后的价格。</w:t>
      </w:r>
    </w:p>
    <w:p w14:paraId="1B303300">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3.供应商的资格条件</w:t>
      </w:r>
    </w:p>
    <w:p w14:paraId="7163F2B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44868047">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4.竞标费用</w:t>
      </w:r>
    </w:p>
    <w:p w14:paraId="70120BC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供应商应承担参与本次采购活动有关的所有费用，包括但不限于获取磋商文件、勘查现场、编制和提交响应文件、参加磋商与应答、签订合同等，不论磋商结果如何，均应自行承担。  </w:t>
      </w:r>
    </w:p>
    <w:p w14:paraId="6572B6B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5.联合体竞标</w:t>
      </w:r>
    </w:p>
    <w:p w14:paraId="3BC63E4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 本项目不接受联合体竞标。</w:t>
      </w:r>
    </w:p>
    <w:p w14:paraId="45E50469">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6.转包与分包</w:t>
      </w:r>
    </w:p>
    <w:p w14:paraId="3900A22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 本项目不允许转包。</w:t>
      </w:r>
    </w:p>
    <w:p w14:paraId="281F61B0">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7.特别说明</w:t>
      </w:r>
    </w:p>
    <w:p w14:paraId="534B10A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如果本磋商文件要求供应商提供资格、信誉、荣誉、业绩与企业认证等材料的，则供应商所提供的以上材料必须为供应商所拥有。</w:t>
      </w:r>
    </w:p>
    <w:p w14:paraId="01B6436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供应商应仔细阅读竞争性磋商文件的所有内容，按照竞争性磋商文件的要求提交响应文件，并对所提供的全部资料的真实性承担法律责任。</w:t>
      </w:r>
    </w:p>
    <w:p w14:paraId="18EB6FC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 供应商在磋商活动中提供任何疑似虚假材料，将报监管部门查处；签订合同后发现的， 成交供应商须依照《中华人民共和国消费者权益保护法》规定赔偿采购人，且民事赔偿并不免除违法供应商的行政与刑事责任。</w:t>
      </w:r>
    </w:p>
    <w:p w14:paraId="3DEBDC8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 在政府采购活动中，采购人员及相关人员与供应商有下列利害关系之一的，应当回避：</w:t>
      </w:r>
    </w:p>
    <w:p w14:paraId="1E070E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参加采购活动前 3 年内与供应商存在劳动关系；</w:t>
      </w:r>
    </w:p>
    <w:p w14:paraId="189B02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参加采购活动前 3 年内担任供应商的董事、监事；</w:t>
      </w:r>
    </w:p>
    <w:p w14:paraId="31F938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参加采购活动前 3 年内是供应商的控股股东或者实际控制人；</w:t>
      </w:r>
    </w:p>
    <w:p w14:paraId="4A30B7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与供应商的法定代表人或负责人有夫妻、直系血亲、三代以内旁系血亲或者近姻亲关系；</w:t>
      </w:r>
    </w:p>
    <w:p w14:paraId="11582B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与供应商有其他可能影响政府采购活动公平、公正进行的关系。</w:t>
      </w:r>
    </w:p>
    <w:p w14:paraId="05D219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40F9D49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 有下列情形之一的视为供应商相互串通竞标，响应文件将被视为无效：</w:t>
      </w:r>
    </w:p>
    <w:p w14:paraId="095804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不同供应商的响应文件由同一单位或者个人编制；或者不同供应商报名的 IP地址一致的；</w:t>
      </w:r>
    </w:p>
    <w:p w14:paraId="5D7C43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不同供应商委托同一单位或者个人办理磋商事宜；</w:t>
      </w:r>
    </w:p>
    <w:p w14:paraId="2D095E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不同的供应商的响应文件载明的项目管理员为同一个人；</w:t>
      </w:r>
    </w:p>
    <w:p w14:paraId="1AA608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不同供应商的响应文件异常一致或者报价呈规律性差异；</w:t>
      </w:r>
    </w:p>
    <w:p w14:paraId="7CADAE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不同供应商的响应文件相互混装；</w:t>
      </w:r>
    </w:p>
    <w:p w14:paraId="1E18C5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不同供应商的磋商保证金从同一单位或者个人账户转出。</w:t>
      </w:r>
    </w:p>
    <w:p w14:paraId="0F2545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 供应商有下列情形之一的，属于恶意串通行为：</w:t>
      </w:r>
    </w:p>
    <w:p w14:paraId="2E6521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供应商直接或者间接从采购人或者采购代理机构处获得其他供应商的相关信息并修改其响应文件；</w:t>
      </w:r>
    </w:p>
    <w:p w14:paraId="440EBB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供应商按照采购人或者采购代理机构的授意撤换、修改响应文件；</w:t>
      </w:r>
    </w:p>
    <w:p w14:paraId="0E221A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供应商之间协商报价、技术方案等响应文件或者响应文件的实质性内容；</w:t>
      </w:r>
    </w:p>
    <w:p w14:paraId="3B9DE7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属于同一集团、协会、商会等组织成员的供应商按照该组织要求协同参加政府采购活动；</w:t>
      </w:r>
    </w:p>
    <w:p w14:paraId="120A7E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供应商之间事先约定一致抬高或者压低报价，或者在政府采购活动中事先约定轮流以高价位或者低价位成交，或者事先约定由某一特定供应商成交，然后再参加竞标；</w:t>
      </w:r>
    </w:p>
    <w:p w14:paraId="5FE9E3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供应商之间商定部分供应商放弃参加政府采购活动或者放弃成交；</w:t>
      </w:r>
    </w:p>
    <w:p w14:paraId="1A3392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 供应商与采购人或者采购代理机构之间、供应商相互之间，为谋求特定供应商成交或者排斥其他供应商的其他串通行为。</w:t>
      </w:r>
    </w:p>
    <w:p w14:paraId="0FF21A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 关联供应商不得参加同一合同项下政府采购活动，否则响应文件将被视为无效：</w:t>
      </w:r>
    </w:p>
    <w:p w14:paraId="62CC7F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单位负责人为同一人或者存在直接控股、管理关系的不同的供应商，不得参加同一合同项下的政府采购活动。</w:t>
      </w:r>
    </w:p>
    <w:p w14:paraId="6059BE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二、响应文件的编制</w:t>
      </w:r>
    </w:p>
    <w:p w14:paraId="7007BB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8.响应文件的编制原则</w:t>
      </w:r>
    </w:p>
    <w:p w14:paraId="406A9C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供应商应当按照竞争性磋商文件的要求编制响应文件，并对其提交的响应文件的真实性、合法性承担法律责任。响应文件应当对竞争性磋商文件作出实质性响应。</w:t>
      </w:r>
    </w:p>
    <w:p w14:paraId="6A52708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 响应文件编制基本要求</w:t>
      </w:r>
    </w:p>
    <w:p w14:paraId="459DC46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distribute"/>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9.1 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要求及本竞争性磋商采购文件要求制作、加密并递交。具体操作流程可参考《</w:t>
      </w:r>
      <w:r>
        <w:rPr>
          <w:rFonts w:hint="eastAsia" w:ascii="宋体" w:hAnsi="宋体" w:cs="宋体"/>
          <w:b w:val="0"/>
          <w:bCs/>
          <w:color w:val="000000" w:themeColor="text1"/>
          <w:szCs w:val="21"/>
          <w:highlight w:val="none"/>
          <w:lang w:val="en-US" w:eastAsia="zh-CN"/>
          <w14:textFill>
            <w14:solidFill>
              <w14:schemeClr w14:val="tx1"/>
            </w14:solidFill>
          </w14:textFill>
        </w:rPr>
        <w:t>政府采购项目电子交易管理操作指南-供应商</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指南可</w:t>
      </w:r>
      <w:r>
        <w:rPr>
          <w:rFonts w:hint="eastAsia" w:ascii="宋体" w:hAnsi="宋体" w:cs="宋体"/>
          <w:b w:val="0"/>
          <w:bCs/>
          <w:color w:val="000000" w:themeColor="text1"/>
          <w:szCs w:val="21"/>
          <w:highlight w:val="none"/>
          <w14:textFill>
            <w14:solidFill>
              <w14:schemeClr w14:val="tx1"/>
            </w14:solidFill>
          </w14:textFill>
        </w:rPr>
        <w:t>在“http://zfcg.gxzf.gov.cn/PurchaseAdvisory/ImportantNotice/2866753.html”下载。</w:t>
      </w:r>
    </w:p>
    <w:p w14:paraId="2D67FB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9.2 供应商提交的竞争性磋商响应文件以及供应商与</w:t>
      </w:r>
      <w:r>
        <w:rPr>
          <w:rFonts w:hint="eastAsia" w:ascii="宋体" w:hAnsi="宋体" w:cs="宋体"/>
          <w:b w:val="0"/>
          <w:bCs/>
          <w:color w:val="000000" w:themeColor="text1"/>
          <w:szCs w:val="21"/>
          <w:highlight w:val="none"/>
          <w:lang w:eastAsia="zh-CN"/>
          <w14:textFill>
            <w14:solidFill>
              <w14:schemeClr w14:val="tx1"/>
            </w14:solidFill>
          </w14:textFill>
        </w:rPr>
        <w:t xml:space="preserve">广西中佰项目管理有限公司 </w:t>
      </w:r>
      <w:r>
        <w:rPr>
          <w:rFonts w:hint="eastAsia" w:ascii="宋体" w:hAnsi="宋体" w:cs="宋体"/>
          <w:b w:val="0"/>
          <w:bCs/>
          <w:color w:val="000000" w:themeColor="text1"/>
          <w:szCs w:val="21"/>
          <w:highlight w:val="none"/>
          <w14:textFill>
            <w14:solidFill>
              <w14:schemeClr w14:val="tx1"/>
            </w14:solidFill>
          </w14:textFill>
        </w:rPr>
        <w:t>和采购人就有关磋商的所有来往函电均应使用中文。供应商提交的支持文件和印刷的文献可以使用别的语言，但其相应内容必须附有中文翻译文本，在解释竞争性磋商响应文件时以翻译文本为准。</w:t>
      </w:r>
    </w:p>
    <w:p w14:paraId="41D0D1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9.3 供应商应认真阅读、并充分理解本文件的全部内容 (包括所有的补充、修改内容)，承诺并履行本文件中各项条款规定及要求。</w:t>
      </w:r>
    </w:p>
    <w:p w14:paraId="12D33E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9.4 竞争性磋商响应文件必须按本文件的全部内容，包括所有的补充通知及附件进行编制。</w:t>
      </w:r>
    </w:p>
    <w:p w14:paraId="4DDCDE4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9.5 如因供应商只填写和提供了本文件要求的部分内容和附件，而给评审造成困难，其可能导致的结果和责任由供应商自行承担。</w:t>
      </w:r>
    </w:p>
    <w:p w14:paraId="276992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9.6 响应文件的组成：响应文件应分为资格证明文件、报价文件、商务技术文件三个部分组成。</w:t>
      </w:r>
      <w:r>
        <w:rPr>
          <w:rFonts w:hint="eastAsia" w:ascii="宋体" w:hAnsi="宋体" w:cs="宋体"/>
          <w:b/>
          <w:bCs w:val="0"/>
          <w:color w:val="000000" w:themeColor="text1"/>
          <w:szCs w:val="21"/>
          <w:highlight w:val="none"/>
          <w:lang w:eastAsia="zh-CN"/>
          <w14:textFill>
            <w14:solidFill>
              <w14:schemeClr w14:val="tx1"/>
            </w14:solidFill>
          </w14:textFill>
        </w:rPr>
        <w:t>以下注明“</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val="0"/>
          <w:color w:val="000000" w:themeColor="text1"/>
          <w:szCs w:val="21"/>
          <w:highlight w:val="none"/>
          <w:lang w:eastAsia="zh-CN"/>
          <w14:textFill>
            <w14:solidFill>
              <w14:schemeClr w14:val="tx1"/>
            </w14:solidFill>
          </w14:textFill>
        </w:rPr>
        <w:t>”的必须提供，否则竞标无效。</w:t>
      </w:r>
    </w:p>
    <w:p w14:paraId="475E06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1.资格证明文件</w:t>
      </w:r>
    </w:p>
    <w:p w14:paraId="14021FE9">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供应商为法人或者其他组织的提供其营业执照等证明文件复印件（如营业执照或者事业单位法人证书或者执业许可证或者登记证书等）；</w:t>
      </w:r>
    </w:p>
    <w:p w14:paraId="3E2327EF">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2</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eastAsia="zh-CN"/>
          <w14:textFill>
            <w14:solidFill>
              <w14:schemeClr w14:val="tx1"/>
            </w14:solidFill>
          </w14:textFill>
        </w:rPr>
        <w:t>以来</w:t>
      </w:r>
      <w:r>
        <w:rPr>
          <w:rFonts w:hint="eastAsia" w:ascii="宋体" w:hAnsi="宋体" w:cs="宋体"/>
          <w:color w:val="000000" w:themeColor="text1"/>
          <w:szCs w:val="21"/>
          <w:highlight w:val="none"/>
          <w14:textFill>
            <w14:solidFill>
              <w14:schemeClr w14:val="tx1"/>
            </w14:solidFill>
          </w14:textFill>
        </w:rPr>
        <w:t>任意</w:t>
      </w:r>
      <w:r>
        <w:rPr>
          <w:rFonts w:hint="eastAsia"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p>
    <w:p w14:paraId="06FC116C">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3</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供应商依法缴纳社会保障资金的相关材料</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eastAsia="zh-CN"/>
          <w14:textFill>
            <w14:solidFill>
              <w14:schemeClr w14:val="tx1"/>
            </w14:solidFill>
          </w14:textFill>
        </w:rPr>
        <w:t>以来</w:t>
      </w:r>
      <w:r>
        <w:rPr>
          <w:rFonts w:hint="eastAsia" w:ascii="宋体" w:hAnsi="宋体" w:cs="宋体"/>
          <w:color w:val="000000" w:themeColor="text1"/>
          <w:szCs w:val="21"/>
          <w:highlight w:val="none"/>
          <w14:textFill>
            <w14:solidFill>
              <w14:schemeClr w14:val="tx1"/>
            </w14:solidFill>
          </w14:textFill>
        </w:rPr>
        <w:t>任意</w:t>
      </w:r>
      <w:r>
        <w:rPr>
          <w:rFonts w:hint="eastAsia"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14:textFill>
            <w14:solidFill>
              <w14:schemeClr w14:val="tx1"/>
            </w14:solidFill>
          </w14:textFill>
        </w:rPr>
        <w:t>个月的依法缴纳社会保障资金的缴费凭证（专用收据或者社会保险缴纳清单）复印件；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p>
    <w:p w14:paraId="4DAEB41F">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)供应商财务状况报告（202</w:t>
      </w:r>
      <w:r>
        <w:rPr>
          <w:rFonts w:hint="eastAsia" w:ascii="宋体" w:hAnsi="宋体" w:cs="宋体"/>
          <w:color w:val="000000" w:themeColor="text1"/>
          <w:szCs w:val="21"/>
          <w:highlight w:val="none"/>
          <w:lang w:val="en-US" w:eastAsia="zh-CN"/>
          <w14:textFill>
            <w14:solidFill>
              <w14:schemeClr w14:val="tx1"/>
            </w14:solidFill>
          </w14:textFill>
        </w:rPr>
        <w:t>5或2024</w:t>
      </w:r>
      <w:r>
        <w:rPr>
          <w:rFonts w:hint="eastAsia" w:ascii="宋体" w:hAnsi="宋体" w:cs="宋体"/>
          <w:color w:val="000000" w:themeColor="text1"/>
          <w:szCs w:val="21"/>
          <w:highlight w:val="none"/>
          <w14:textFill>
            <w14:solidFill>
              <w14:schemeClr w14:val="tx1"/>
            </w14:solidFill>
          </w14:textFill>
        </w:rPr>
        <w:t>年度财务报表复印件，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p>
    <w:p w14:paraId="0B9C984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竞标声明（格式后附）；</w:t>
      </w:r>
    </w:p>
    <w:p w14:paraId="2590370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6</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供应商直接控股、管理关系信息表（格式后附）；</w:t>
      </w:r>
    </w:p>
    <w:p w14:paraId="54D389C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7</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本项目属于专门面向中小微企业采购的项目，供应商须为中小微企业（监狱企业、残疾人福利性单位视同小型、微型企业）。</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供应商必须在响应文件中提供《</w:t>
      </w:r>
      <w:r>
        <w:rPr>
          <w:rFonts w:hint="eastAsia" w:ascii="宋体" w:hAnsi="宋体"/>
          <w:bCs/>
          <w:color w:val="000000" w:themeColor="text1"/>
          <w:szCs w:val="21"/>
          <w:highlight w:val="none"/>
          <w14:textFill>
            <w14:solidFill>
              <w14:schemeClr w14:val="tx1"/>
            </w14:solidFill>
          </w14:textFill>
        </w:rPr>
        <w:t>中小企业声明函（工程）</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2"/>
          <w:highlight w:val="none"/>
          <w14:textFill>
            <w14:solidFill>
              <w14:schemeClr w14:val="tx1"/>
            </w14:solidFill>
          </w14:textFill>
        </w:rPr>
        <w:t>或残疾人福利性单位声明函或监狱企业证明材料</w:t>
      </w:r>
      <w:r>
        <w:rPr>
          <w:rFonts w:hint="eastAsia"/>
          <w:color w:val="000000" w:themeColor="text1"/>
          <w:szCs w:val="22"/>
          <w:highlight w:val="none"/>
          <w:lang w:val="en-US" w:eastAsia="zh-CN"/>
          <w14:textFill>
            <w14:solidFill>
              <w14:schemeClr w14:val="tx1"/>
            </w14:solidFill>
          </w14:textFill>
        </w:rPr>
        <w:t>]；</w:t>
      </w:r>
    </w:p>
    <w:p w14:paraId="60E0B8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8</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特定资格证明材料：（</w:t>
      </w:r>
      <w:r>
        <w:rPr>
          <w:rFonts w:hint="eastAsia" w:ascii="宋体" w:hAnsi="宋体" w:cs="宋体"/>
          <w:b w:val="0"/>
          <w:bCs/>
          <w:color w:val="000000" w:themeColor="text1"/>
          <w:szCs w:val="21"/>
          <w:highlight w:val="none"/>
          <w:lang w:val="en-US" w:eastAsia="zh-CN"/>
          <w14:textFill>
            <w14:solidFill>
              <w14:schemeClr w14:val="tx1"/>
            </w14:solidFill>
          </w14:textFill>
        </w:rPr>
        <w:t>1</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eastAsia="zh-CN"/>
          <w14:textFill>
            <w14:solidFill>
              <w14:schemeClr w14:val="tx1"/>
            </w14:solidFill>
          </w14:textFill>
        </w:rPr>
        <w:t>竞标人须具备公用工程施工总承包叁级或建筑工程施工总承包叁级以上（含本级）资质以及有效的安全生产许可证，在人员、设备、资金等方面具备相应的施工能力</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拟投入本工程的项目经理必须</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具备建筑工程或市政公用工程专业二级（含二级）以上注册建造师执业资格，且具备有效的安全生产考核合格证书（B类）（</w:t>
      </w:r>
      <w:r>
        <w:rPr>
          <w:rFonts w:hint="eastAsia" w:ascii="宋体" w:hAnsi="宋体"/>
          <w:color w:val="000000" w:themeColor="text1"/>
          <w:szCs w:val="21"/>
          <w:highlight w:val="none"/>
          <w14:textFill>
            <w14:solidFill>
              <w14:schemeClr w14:val="tx1"/>
            </w14:solidFill>
          </w14:textFill>
        </w:rPr>
        <w:t>供应商必须在响应文件中提供</w:t>
      </w:r>
      <w:r>
        <w:rPr>
          <w:rFonts w:hint="eastAsia" w:ascii="宋体" w:hAnsi="宋体"/>
          <w:color w:val="000000" w:themeColor="text1"/>
          <w:szCs w:val="21"/>
          <w:highlight w:val="none"/>
          <w:lang w:eastAsia="zh-CN"/>
          <w14:textFill>
            <w14:solidFill>
              <w14:schemeClr w14:val="tx1"/>
            </w14:solidFill>
          </w14:textFill>
        </w:rPr>
        <w:t>上述有效证书复印件）；</w:t>
      </w:r>
    </w:p>
    <w:p w14:paraId="1EF11C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9</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供应商</w:t>
      </w:r>
      <w:r>
        <w:rPr>
          <w:rFonts w:hint="eastAsia" w:ascii="宋体" w:hAnsi="宋体" w:cs="宋体"/>
          <w:b w:val="0"/>
          <w:bCs/>
          <w:color w:val="000000" w:themeColor="text1"/>
          <w:szCs w:val="21"/>
          <w:highlight w:val="none"/>
          <w14:textFill>
            <w14:solidFill>
              <w14:schemeClr w14:val="tx1"/>
            </w14:solidFill>
          </w14:textFill>
        </w:rPr>
        <w:t>针对资格证明需要说明的其他证明文件和说明。(格式自拟)</w:t>
      </w:r>
    </w:p>
    <w:p w14:paraId="20E733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2</w:t>
      </w:r>
      <w:r>
        <w:rPr>
          <w:rFonts w:hint="eastAsia" w:ascii="宋体" w:hAnsi="宋体" w:cs="宋体"/>
          <w:b/>
          <w:bCs w:val="0"/>
          <w:color w:val="000000" w:themeColor="text1"/>
          <w:szCs w:val="21"/>
          <w:highlight w:val="none"/>
          <w14:textFill>
            <w14:solidFill>
              <w14:schemeClr w14:val="tx1"/>
            </w14:solidFill>
          </w14:textFill>
        </w:rPr>
        <w:t>.报价文件</w:t>
      </w:r>
    </w:p>
    <w:p w14:paraId="4DF501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(1)磋商函；</w:t>
      </w:r>
    </w:p>
    <w:p w14:paraId="587568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(2)磋商函附录</w:t>
      </w:r>
      <w:r>
        <w:rPr>
          <w:rFonts w:hint="eastAsia" w:ascii="宋体" w:hAnsi="宋体" w:cs="宋体"/>
          <w:b/>
          <w:bCs w:val="0"/>
          <w:color w:val="000000" w:themeColor="text1"/>
          <w:szCs w:val="21"/>
          <w:highlight w:val="none"/>
          <w:lang w:eastAsia="zh-CN"/>
          <w14:textFill>
            <w14:solidFill>
              <w14:schemeClr w14:val="tx1"/>
            </w14:solidFill>
          </w14:textFill>
        </w:rPr>
        <w:t>；</w:t>
      </w:r>
    </w:p>
    <w:p w14:paraId="708693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(3)竞标报价表</w:t>
      </w:r>
      <w:r>
        <w:rPr>
          <w:rFonts w:hint="eastAsia" w:ascii="宋体" w:hAnsi="宋体" w:cs="宋体"/>
          <w:b w:val="0"/>
          <w:bCs/>
          <w:color w:val="000000" w:themeColor="text1"/>
          <w:szCs w:val="21"/>
          <w:highlight w:val="none"/>
          <w:lang w:eastAsia="zh-CN"/>
          <w14:textFill>
            <w14:solidFill>
              <w14:schemeClr w14:val="tx1"/>
            </w14:solidFill>
          </w14:textFill>
        </w:rPr>
        <w:t>；</w:t>
      </w:r>
    </w:p>
    <w:p w14:paraId="6C1EBE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4</w:t>
      </w:r>
      <w:r>
        <w:rPr>
          <w:rFonts w:hint="eastAsia" w:ascii="宋体" w:hAnsi="宋体" w:cs="宋体"/>
          <w:b w:val="0"/>
          <w:bCs/>
          <w:color w:val="000000" w:themeColor="text1"/>
          <w:szCs w:val="21"/>
          <w:highlight w:val="none"/>
          <w14:textFill>
            <w14:solidFill>
              <w14:schemeClr w14:val="tx1"/>
            </w14:solidFill>
          </w14:textFill>
        </w:rPr>
        <w:t>)已标价工程量清单；</w:t>
      </w:r>
    </w:p>
    <w:p w14:paraId="28BA53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供应商</w:t>
      </w:r>
      <w:r>
        <w:rPr>
          <w:rFonts w:hint="eastAsia" w:ascii="宋体" w:hAnsi="宋体" w:cs="宋体"/>
          <w:b w:val="0"/>
          <w:bCs/>
          <w:color w:val="000000" w:themeColor="text1"/>
          <w:szCs w:val="21"/>
          <w:highlight w:val="none"/>
          <w14:textFill>
            <w14:solidFill>
              <w14:schemeClr w14:val="tx1"/>
            </w14:solidFill>
          </w14:textFill>
        </w:rPr>
        <w:t>针对报价需要说明的其他文件和说明(格式自拟)</w:t>
      </w:r>
      <w:r>
        <w:rPr>
          <w:rFonts w:hint="eastAsia" w:ascii="宋体" w:hAnsi="宋体" w:cs="宋体"/>
          <w:b w:val="0"/>
          <w:bCs/>
          <w:color w:val="000000" w:themeColor="text1"/>
          <w:szCs w:val="21"/>
          <w:highlight w:val="none"/>
          <w:lang w:eastAsia="zh-CN"/>
          <w14:textFill>
            <w14:solidFill>
              <w14:schemeClr w14:val="tx1"/>
            </w14:solidFill>
          </w14:textFill>
        </w:rPr>
        <w:t>。</w:t>
      </w:r>
    </w:p>
    <w:p w14:paraId="10F228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3</w:t>
      </w:r>
      <w:r>
        <w:rPr>
          <w:rFonts w:hint="eastAsia" w:ascii="宋体" w:hAnsi="宋体" w:cs="宋体"/>
          <w:b/>
          <w:bCs w:val="0"/>
          <w:color w:val="000000" w:themeColor="text1"/>
          <w:szCs w:val="21"/>
          <w:highlight w:val="none"/>
          <w14:textFill>
            <w14:solidFill>
              <w14:schemeClr w14:val="tx1"/>
            </w14:solidFill>
          </w14:textFill>
        </w:rPr>
        <w:t>.商务技术文件</w:t>
      </w:r>
    </w:p>
    <w:p w14:paraId="25C14E5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(1)无串通竞标行为的承诺函（格式后附）；</w:t>
      </w:r>
    </w:p>
    <w:p w14:paraId="5E3833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(2)法定代表人身份证明书及法定代表人有效身份证正反面复印件（格式后附）；</w:t>
      </w:r>
    </w:p>
    <w:p w14:paraId="538CC8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bCs w:val="0"/>
          <w:color w:val="000000" w:themeColor="text1"/>
          <w:szCs w:val="21"/>
          <w:highlight w:val="none"/>
          <w14:textFill>
            <w14:solidFill>
              <w14:schemeClr w14:val="tx1"/>
            </w14:solidFill>
          </w14:textFill>
        </w:rPr>
        <w:t>（委托时必须提供）</w:t>
      </w:r>
    </w:p>
    <w:p w14:paraId="2A5C1E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4</w:t>
      </w:r>
      <w:r>
        <w:rPr>
          <w:rFonts w:hint="eastAsia" w:ascii="宋体" w:hAnsi="宋体" w:cs="宋体"/>
          <w:b w:val="0"/>
          <w:bCs/>
          <w:color w:val="000000" w:themeColor="text1"/>
          <w:szCs w:val="21"/>
          <w:highlight w:val="none"/>
          <w14:textFill>
            <w14:solidFill>
              <w14:schemeClr w14:val="tx1"/>
            </w14:solidFill>
          </w14:textFill>
        </w:rPr>
        <w:t>)施工组织设计；</w:t>
      </w:r>
    </w:p>
    <w:p w14:paraId="6DED3B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cs="宋体"/>
          <w:b w:val="0"/>
          <w:bCs/>
          <w:color w:val="000000" w:themeColor="text1"/>
          <w:szCs w:val="21"/>
          <w:highlight w:val="none"/>
          <w14:textFill>
            <w14:solidFill>
              <w14:schemeClr w14:val="tx1"/>
            </w14:solidFill>
          </w14:textFill>
        </w:rPr>
        <w:t>)项目管理机构配备情况表；</w:t>
      </w:r>
    </w:p>
    <w:p w14:paraId="274DEB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6</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供应商</w:t>
      </w:r>
      <w:r>
        <w:rPr>
          <w:rFonts w:hint="eastAsia" w:ascii="宋体" w:hAnsi="宋体" w:cs="宋体"/>
          <w:b w:val="0"/>
          <w:bCs/>
          <w:color w:val="000000" w:themeColor="text1"/>
          <w:szCs w:val="21"/>
          <w:highlight w:val="none"/>
          <w14:textFill>
            <w14:solidFill>
              <w14:schemeClr w14:val="tx1"/>
            </w14:solidFill>
          </w14:textFill>
        </w:rPr>
        <w:t>针对商务技术需要说明的其他文件和说明(格式自拟) ；</w:t>
      </w:r>
    </w:p>
    <w:p w14:paraId="4C79E3C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特别说明：</w:t>
      </w:r>
      <w:r>
        <w:rPr>
          <w:rFonts w:hint="eastAsia" w:ascii="宋体" w:hAnsi="宋体" w:cs="宋体"/>
          <w:b/>
          <w:bCs w:val="0"/>
          <w:color w:val="000000" w:themeColor="text1"/>
          <w:szCs w:val="21"/>
          <w:highlight w:val="none"/>
          <w:lang w:eastAsia="zh-CN"/>
          <w14:textFill>
            <w14:solidFill>
              <w14:schemeClr w14:val="tx1"/>
            </w14:solidFill>
          </w14:textFill>
        </w:rPr>
        <w:t>①</w:t>
      </w:r>
      <w:r>
        <w:rPr>
          <w:rFonts w:hint="eastAsia" w:ascii="宋体" w:hAnsi="宋体" w:cs="宋体"/>
          <w:b/>
          <w:bCs w:val="0"/>
          <w:color w:val="000000" w:themeColor="text1"/>
          <w:szCs w:val="21"/>
          <w:highlight w:val="none"/>
          <w14:textFill>
            <w14:solidFill>
              <w14:schemeClr w14:val="tx1"/>
            </w14:solidFill>
          </w14:textFill>
        </w:rPr>
        <w:t>电子磋商响应文件中所</w:t>
      </w:r>
      <w:r>
        <w:rPr>
          <w:rFonts w:hint="eastAsia" w:ascii="宋体" w:hAnsi="宋体" w:cs="宋体"/>
          <w:b/>
          <w:bCs w:val="0"/>
          <w:i w:val="0"/>
          <w:iCs w:val="0"/>
          <w:color w:val="000000" w:themeColor="text1"/>
          <w:szCs w:val="21"/>
          <w:highlight w:val="none"/>
          <w14:textFill>
            <w14:solidFill>
              <w14:schemeClr w14:val="tx1"/>
            </w14:solidFill>
          </w14:textFill>
        </w:rPr>
        <w:t>须加盖公章部分均采用CA签章</w:t>
      </w:r>
      <w:r>
        <w:rPr>
          <w:rFonts w:hint="eastAsia" w:ascii="宋体" w:hAnsi="宋体" w:cs="宋体"/>
          <w:b/>
          <w:bCs w:val="0"/>
          <w:color w:val="000000" w:themeColor="text1"/>
          <w:szCs w:val="21"/>
          <w:highlight w:val="none"/>
          <w14:textFill>
            <w14:solidFill>
              <w14:schemeClr w14:val="tx1"/>
            </w14:solidFill>
          </w14:textFill>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839C57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lang w:eastAsia="zh-CN"/>
          <w14:textFill>
            <w14:solidFill>
              <w14:schemeClr w14:val="tx1"/>
            </w14:solidFill>
          </w14:textFill>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cs="宋体"/>
          <w:b/>
          <w:bCs w:val="0"/>
          <w:color w:val="000000" w:themeColor="text1"/>
          <w:szCs w:val="21"/>
          <w:highlight w:val="none"/>
          <w14:textFill>
            <w14:solidFill>
              <w14:schemeClr w14:val="tx1"/>
            </w14:solidFill>
          </w14:textFill>
        </w:rPr>
        <w:t>。</w:t>
      </w:r>
    </w:p>
    <w:p w14:paraId="6D03AE93">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lang w:eastAsia="zh-CN"/>
          <w14:textFill>
            <w14:solidFill>
              <w14:schemeClr w14:val="tx1"/>
            </w14:solidFill>
          </w14:textFill>
        </w:rPr>
        <w:t>③</w:t>
      </w:r>
      <w:r>
        <w:rPr>
          <w:rFonts w:hint="eastAsia" w:ascii="宋体" w:hAnsi="宋体" w:cs="宋体"/>
          <w:b/>
          <w:bCs w:val="0"/>
          <w:color w:val="000000" w:themeColor="text1"/>
          <w:szCs w:val="21"/>
          <w:highlight w:val="none"/>
          <w14:textFill>
            <w14:solidFill>
              <w14:schemeClr w14:val="tx1"/>
            </w14:solidFill>
          </w14:textFill>
        </w:rPr>
        <w:t>竞争性磋商采购文件要求提供的各种复印件，须加盖供应商CA签章，否则其磋商无效。</w:t>
      </w:r>
    </w:p>
    <w:p w14:paraId="0FCD00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9.7 响应文件有效期：见</w:t>
      </w:r>
      <w:r>
        <w:rPr>
          <w:rFonts w:hint="eastAsia" w:ascii="宋体" w:hAnsi="宋体" w:cs="宋体"/>
          <w:b w:val="0"/>
          <w:bCs/>
          <w:color w:val="000000" w:themeColor="text1"/>
          <w:szCs w:val="21"/>
          <w:highlight w:val="none"/>
          <w:lang w:eastAsia="zh-CN"/>
          <w14:textFill>
            <w14:solidFill>
              <w14:schemeClr w14:val="tx1"/>
            </w14:solidFill>
          </w14:textFill>
        </w:rPr>
        <w:t>供应商</w:t>
      </w:r>
      <w:r>
        <w:rPr>
          <w:rFonts w:hint="eastAsia" w:ascii="宋体" w:hAnsi="宋体" w:cs="宋体"/>
          <w:b w:val="0"/>
          <w:bCs/>
          <w:color w:val="000000" w:themeColor="text1"/>
          <w:szCs w:val="21"/>
          <w:highlight w:val="none"/>
          <w14:textFill>
            <w14:solidFill>
              <w14:schemeClr w14:val="tx1"/>
            </w14:solidFill>
          </w14:textFill>
        </w:rPr>
        <w:t>须知前附表。</w:t>
      </w:r>
    </w:p>
    <w:p w14:paraId="4A6A4F4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9.8 磋商保证金：见</w:t>
      </w:r>
      <w:r>
        <w:rPr>
          <w:rFonts w:hint="eastAsia" w:ascii="宋体" w:hAnsi="宋体" w:cs="宋体"/>
          <w:b w:val="0"/>
          <w:bCs/>
          <w:color w:val="000000" w:themeColor="text1"/>
          <w:szCs w:val="21"/>
          <w:highlight w:val="none"/>
          <w:lang w:eastAsia="zh-CN"/>
          <w14:textFill>
            <w14:solidFill>
              <w14:schemeClr w14:val="tx1"/>
            </w14:solidFill>
          </w14:textFill>
        </w:rPr>
        <w:t>供应商</w:t>
      </w:r>
      <w:r>
        <w:rPr>
          <w:rFonts w:hint="eastAsia" w:ascii="宋体" w:hAnsi="宋体" w:cs="宋体"/>
          <w:b w:val="0"/>
          <w:bCs/>
          <w:color w:val="000000" w:themeColor="text1"/>
          <w:szCs w:val="21"/>
          <w:highlight w:val="none"/>
          <w14:textFill>
            <w14:solidFill>
              <w14:schemeClr w14:val="tx1"/>
            </w14:solidFill>
          </w14:textFill>
        </w:rPr>
        <w:t>须知前附表。</w:t>
      </w:r>
    </w:p>
    <w:p w14:paraId="75B4D3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10. 计量单位</w:t>
      </w:r>
    </w:p>
    <w:p w14:paraId="32F60F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10.1 磋商文件已有明确规定的，使用磋商文件规定的计量单位；磋商文件没有规定的，应采用</w:t>
      </w:r>
      <w:r>
        <w:rPr>
          <w:rFonts w:hint="eastAsia" w:ascii="宋体" w:hAnsi="宋体" w:cs="宋体"/>
          <w:b w:val="0"/>
          <w:bCs/>
          <w:color w:val="000000" w:themeColor="text1"/>
          <w:szCs w:val="21"/>
          <w:highlight w:val="none"/>
          <w:lang w:eastAsia="zh-CN"/>
          <w14:textFill>
            <w14:solidFill>
              <w14:schemeClr w14:val="tx1"/>
            </w14:solidFill>
          </w14:textFill>
        </w:rPr>
        <w:t>国家</w:t>
      </w:r>
      <w:r>
        <w:rPr>
          <w:rFonts w:hint="eastAsia" w:ascii="宋体" w:hAnsi="宋体" w:cs="宋体"/>
          <w:b w:val="0"/>
          <w:bCs/>
          <w:color w:val="000000" w:themeColor="text1"/>
          <w:szCs w:val="21"/>
          <w:highlight w:val="none"/>
          <w14:textFill>
            <w14:solidFill>
              <w14:schemeClr w14:val="tx1"/>
            </w14:solidFill>
          </w14:textFill>
        </w:rPr>
        <w:t>法定计量单位，货币种类为人民币，否则视同未响应。</w:t>
      </w:r>
    </w:p>
    <w:p w14:paraId="65C9CCC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三、磋商报价及采购预算</w:t>
      </w:r>
    </w:p>
    <w:p w14:paraId="063DB3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11.1对于本文件中未列明，而供应商认为必需的费用也需列入总报价。在合同实施时，采购人将不予支付成交供应商没有列入的项目费用，并认为此项目的费用已包括在总报价中。</w:t>
      </w:r>
    </w:p>
    <w:p w14:paraId="452CB5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11.2供应商必须就所磋商的采购项目的全部内容作完整唯一报价，漏项报价的或有选择的或有条件的报价，其竞标将视为无效。</w:t>
      </w:r>
    </w:p>
    <w:p w14:paraId="1D55DD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11.3本项目磋商报价费用指按照采购需求完成该项目的所有服务工作的费用总和。</w:t>
      </w:r>
    </w:p>
    <w:p w14:paraId="6B0D17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29088893">
      <w:pPr>
        <w:keepNext w:val="0"/>
        <w:keepLines w:val="0"/>
        <w:pageBreakBefore w:val="0"/>
        <w:kinsoku/>
        <w:overflowPunct/>
        <w:topLinePunct w:val="0"/>
        <w:autoSpaceDE/>
        <w:autoSpaceDN/>
        <w:bidi w:val="0"/>
        <w:adjustRightInd/>
        <w:spacing w:line="380" w:lineRule="exact"/>
        <w:ind w:firstLine="422" w:firstLineChars="200"/>
        <w:textAlignment w:val="auto"/>
        <w:rPr>
          <w:rFonts w:ascii="Times New Roman" w:hAnsi="Times New Roman" w:eastAsia="宋体" w:cs="Times New Roman"/>
          <w:b/>
          <w:color w:val="000000" w:themeColor="text1"/>
          <w:highlight w:val="none"/>
          <w14:textFill>
            <w14:solidFill>
              <w14:schemeClr w14:val="tx1"/>
            </w14:solidFill>
          </w14:textFill>
        </w:rPr>
      </w:pPr>
      <w:r>
        <w:rPr>
          <w:rFonts w:hint="eastAsia" w:ascii="宋体" w:hAnsi="宋体" w:eastAsia="宋体" w:cs="Courier New"/>
          <w:b/>
          <w:color w:val="000000" w:themeColor="text1"/>
          <w:szCs w:val="21"/>
          <w:highlight w:val="none"/>
          <w:lang w:val="en-US" w:eastAsia="zh-CN"/>
          <w14:textFill>
            <w14:solidFill>
              <w14:schemeClr w14:val="tx1"/>
            </w14:solidFill>
          </w14:textFill>
        </w:rPr>
        <w:t>11.5</w:t>
      </w:r>
      <w:r>
        <w:rPr>
          <w:rFonts w:hint="eastAsia" w:ascii="Times New Roman" w:hAnsi="Times New Roman" w:eastAsia="宋体" w:cs="Times New Roman"/>
          <w:b/>
          <w:color w:val="000000" w:themeColor="text1"/>
          <w:highlight w:val="none"/>
          <w14:textFill>
            <w14:solidFill>
              <w14:schemeClr w14:val="tx1"/>
            </w14:solidFill>
          </w14:textFill>
        </w:rPr>
        <w:t>磋商报价：供应商必须就所竞项目的全部内容作完整唯一报价，漏项报价的或有选择的或有条件的报价，其响应文件将视为无效。</w:t>
      </w:r>
    </w:p>
    <w:p w14:paraId="2B82DEE1">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w:t>
      </w:r>
      <w:r>
        <w:rPr>
          <w:rFonts w:hint="eastAsia" w:ascii="宋体" w:hAnsi="Times New Roman" w:eastAsia="宋体" w:cs="Courier New"/>
          <w:b/>
          <w:color w:val="000000" w:themeColor="text1"/>
          <w:szCs w:val="21"/>
          <w:highlight w:val="none"/>
          <w:lang w:val="en-US" w:eastAsia="zh-CN"/>
          <w14:textFill>
            <w14:solidFill>
              <w14:schemeClr w14:val="tx1"/>
            </w14:solidFill>
          </w14:textFill>
        </w:rPr>
        <w:t>11.6</w:t>
      </w:r>
      <w:r>
        <w:rPr>
          <w:rFonts w:hint="eastAsia" w:ascii="宋体" w:hAnsi="Times New Roman" w:eastAsia="宋体" w:cs="Courier New"/>
          <w:b/>
          <w:color w:val="000000" w:themeColor="text1"/>
          <w:szCs w:val="21"/>
          <w:highlight w:val="none"/>
          <w14:textFill>
            <w14:solidFill>
              <w14:schemeClr w14:val="tx1"/>
            </w14:solidFill>
          </w14:textFill>
        </w:rPr>
        <w:t>异常低价审查：政府采购评审中出现下列情形之一的，评审委员会应当启动异常低价投标审查程序：</w:t>
      </w:r>
    </w:p>
    <w:p w14:paraId="6F134EA5">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（1）投标报价低于全部通过符合性审查供应商投标报价平均值</w:t>
      </w:r>
      <w:r>
        <w:rPr>
          <w:rFonts w:hint="eastAsia" w:ascii="宋体" w:cs="Courier New"/>
          <w:b/>
          <w:color w:val="000000" w:themeColor="text1"/>
          <w:szCs w:val="21"/>
          <w:highlight w:val="none"/>
          <w:lang w:val="en-US" w:eastAsia="zh-CN"/>
          <w14:textFill>
            <w14:solidFill>
              <w14:schemeClr w14:val="tx1"/>
            </w14:solidFill>
          </w14:textFill>
        </w:rPr>
        <w:t>65</w:t>
      </w:r>
      <w:r>
        <w:rPr>
          <w:rFonts w:hint="eastAsia" w:ascii="宋体" w:hAnsi="Times New Roman" w:eastAsia="宋体" w:cs="Courier New"/>
          <w:b/>
          <w:color w:val="000000" w:themeColor="text1"/>
          <w:szCs w:val="21"/>
          <w:highlight w:val="none"/>
          <w14:textFill>
            <w14:solidFill>
              <w14:schemeClr w14:val="tx1"/>
            </w14:solidFill>
          </w14:textFill>
        </w:rPr>
        <w:t>%的，即投标报价&lt;全部通过符合性审查供应商投标报价平均值×</w:t>
      </w:r>
      <w:r>
        <w:rPr>
          <w:rFonts w:hint="eastAsia" w:ascii="宋体" w:cs="Courier New"/>
          <w:b/>
          <w:color w:val="000000" w:themeColor="text1"/>
          <w:szCs w:val="21"/>
          <w:highlight w:val="none"/>
          <w:lang w:val="en-US" w:eastAsia="zh-CN"/>
          <w14:textFill>
            <w14:solidFill>
              <w14:schemeClr w14:val="tx1"/>
            </w14:solidFill>
          </w14:textFill>
        </w:rPr>
        <w:t>65</w:t>
      </w:r>
      <w:r>
        <w:rPr>
          <w:rFonts w:hint="eastAsia" w:ascii="宋体" w:hAnsi="Times New Roman" w:eastAsia="宋体" w:cs="Courier New"/>
          <w:b/>
          <w:color w:val="000000" w:themeColor="text1"/>
          <w:szCs w:val="21"/>
          <w:highlight w:val="none"/>
          <w14:textFill>
            <w14:solidFill>
              <w14:schemeClr w14:val="tx1"/>
            </w14:solidFill>
          </w14:textFill>
        </w:rPr>
        <w:t>%；</w:t>
      </w:r>
    </w:p>
    <w:p w14:paraId="59908C7C">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（2）投标报价低于通过符合性审查的次低报价供应商投标报价</w:t>
      </w:r>
      <w:r>
        <w:rPr>
          <w:rFonts w:hint="eastAsia" w:ascii="宋体" w:cs="Courier New"/>
          <w:b/>
          <w:color w:val="000000" w:themeColor="text1"/>
          <w:szCs w:val="21"/>
          <w:highlight w:val="none"/>
          <w:lang w:val="en-US" w:eastAsia="zh-CN"/>
          <w14:textFill>
            <w14:solidFill>
              <w14:schemeClr w14:val="tx1"/>
            </w14:solidFill>
          </w14:textFill>
        </w:rPr>
        <w:t>65</w:t>
      </w:r>
      <w:r>
        <w:rPr>
          <w:rFonts w:hint="eastAsia" w:ascii="宋体" w:hAnsi="Times New Roman" w:eastAsia="宋体" w:cs="Courier New"/>
          <w:b/>
          <w:color w:val="000000" w:themeColor="text1"/>
          <w:szCs w:val="21"/>
          <w:highlight w:val="none"/>
          <w14:textFill>
            <w14:solidFill>
              <w14:schemeClr w14:val="tx1"/>
            </w14:solidFill>
          </w14:textFill>
        </w:rPr>
        <w:t>%的，即投标报价&lt;通过符合性审查的次低报价供应商投标报价×</w:t>
      </w:r>
      <w:r>
        <w:rPr>
          <w:rFonts w:hint="eastAsia" w:ascii="宋体" w:cs="Courier New"/>
          <w:b/>
          <w:color w:val="000000" w:themeColor="text1"/>
          <w:szCs w:val="21"/>
          <w:highlight w:val="none"/>
          <w:lang w:val="en-US" w:eastAsia="zh-CN"/>
          <w14:textFill>
            <w14:solidFill>
              <w14:schemeClr w14:val="tx1"/>
            </w14:solidFill>
          </w14:textFill>
        </w:rPr>
        <w:t>65</w:t>
      </w:r>
      <w:r>
        <w:rPr>
          <w:rFonts w:hint="eastAsia" w:ascii="宋体" w:hAnsi="Times New Roman" w:eastAsia="宋体" w:cs="Courier New"/>
          <w:b/>
          <w:color w:val="000000" w:themeColor="text1"/>
          <w:szCs w:val="21"/>
          <w:highlight w:val="none"/>
          <w14:textFill>
            <w14:solidFill>
              <w14:schemeClr w14:val="tx1"/>
            </w14:solidFill>
          </w14:textFill>
        </w:rPr>
        <w:t>%；</w:t>
      </w:r>
    </w:p>
    <w:p w14:paraId="53EA200D">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（3）投标报价低于采购项目最高限价</w:t>
      </w:r>
      <w:r>
        <w:rPr>
          <w:rFonts w:hint="eastAsia" w:ascii="宋体" w:cs="Courier New"/>
          <w:b/>
          <w:color w:val="000000" w:themeColor="text1"/>
          <w:szCs w:val="21"/>
          <w:highlight w:val="none"/>
          <w:lang w:val="en-US" w:eastAsia="zh-CN"/>
          <w14:textFill>
            <w14:solidFill>
              <w14:schemeClr w14:val="tx1"/>
            </w14:solidFill>
          </w14:textFill>
        </w:rPr>
        <w:t>6</w:t>
      </w:r>
      <w:r>
        <w:rPr>
          <w:rFonts w:hint="eastAsia" w:ascii="宋体" w:hAnsi="Times New Roman" w:eastAsia="宋体" w:cs="Courier New"/>
          <w:b/>
          <w:color w:val="000000" w:themeColor="text1"/>
          <w:szCs w:val="21"/>
          <w:highlight w:val="none"/>
          <w14:textFill>
            <w14:solidFill>
              <w14:schemeClr w14:val="tx1"/>
            </w14:solidFill>
          </w14:textFill>
        </w:rPr>
        <w:t>5%的，即投标报价&lt;采购项目最高限价×</w:t>
      </w:r>
      <w:r>
        <w:rPr>
          <w:rFonts w:hint="eastAsia" w:ascii="宋体" w:cs="Courier New"/>
          <w:b/>
          <w:color w:val="000000" w:themeColor="text1"/>
          <w:szCs w:val="21"/>
          <w:highlight w:val="none"/>
          <w:lang w:val="en-US" w:eastAsia="zh-CN"/>
          <w14:textFill>
            <w14:solidFill>
              <w14:schemeClr w14:val="tx1"/>
            </w14:solidFill>
          </w14:textFill>
        </w:rPr>
        <w:t>6</w:t>
      </w:r>
      <w:r>
        <w:rPr>
          <w:rFonts w:hint="eastAsia" w:ascii="宋体" w:hAnsi="Times New Roman" w:eastAsia="宋体" w:cs="Courier New"/>
          <w:b/>
          <w:color w:val="000000" w:themeColor="text1"/>
          <w:szCs w:val="21"/>
          <w:highlight w:val="none"/>
          <w14:textFill>
            <w14:solidFill>
              <w14:schemeClr w14:val="tx1"/>
            </w14:solidFill>
          </w14:textFill>
        </w:rPr>
        <w:t>5%；</w:t>
      </w:r>
    </w:p>
    <w:p w14:paraId="50768DB1">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2749AFA9">
      <w:pPr>
        <w:spacing w:line="400" w:lineRule="exact"/>
        <w:ind w:firstLine="422" w:firstLineChars="200"/>
        <w:rPr>
          <w:rFonts w:hint="eastAsia" w:ascii="宋体" w:hAnsi="Times New Roman" w:eastAsia="宋体" w:cs="Courier New"/>
          <w:b/>
          <w:color w:val="000000" w:themeColor="text1"/>
          <w:szCs w:val="21"/>
          <w:highlight w:val="none"/>
          <w14:textFill>
            <w14:solidFill>
              <w14:schemeClr w14:val="tx1"/>
            </w14:solidFill>
          </w14:textFill>
        </w:rPr>
      </w:pPr>
      <w:r>
        <w:rPr>
          <w:rFonts w:hint="eastAsia" w:ascii="宋体" w:hAnsi="Times New Roman" w:eastAsia="宋体" w:cs="Courier New"/>
          <w:b/>
          <w:color w:val="000000" w:themeColor="text1"/>
          <w:szCs w:val="21"/>
          <w:highlight w:val="none"/>
          <w:lang w:val="en-US" w:eastAsia="zh-CN"/>
          <w14:textFill>
            <w14:solidFill>
              <w14:schemeClr w14:val="tx1"/>
            </w14:solidFill>
          </w14:textFill>
        </w:rPr>
        <w:t>11.7</w:t>
      </w:r>
      <w:r>
        <w:rPr>
          <w:rFonts w:hint="eastAsia" w:ascii="宋体" w:hAnsi="Times New Roman" w:eastAsia="宋体" w:cs="Courier New"/>
          <w:b/>
          <w:color w:val="000000" w:themeColor="text1"/>
          <w:szCs w:val="21"/>
          <w:highlight w:val="none"/>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D088CE1">
      <w:pPr>
        <w:spacing w:line="400" w:lineRule="exact"/>
        <w:ind w:firstLine="422" w:firstLineChars="200"/>
        <w:rPr>
          <w:rFonts w:hint="eastAsia"/>
          <w:color w:val="000000" w:themeColor="text1"/>
          <w:highlight w:val="none"/>
          <w14:textFill>
            <w14:solidFill>
              <w14:schemeClr w14:val="tx1"/>
            </w14:solidFill>
          </w14:textFill>
        </w:rPr>
      </w:pPr>
      <w:r>
        <w:rPr>
          <w:rFonts w:hint="eastAsia" w:ascii="宋体" w:hAnsi="Times New Roman" w:eastAsia="宋体" w:cs="Courier New"/>
          <w:b/>
          <w:color w:val="000000" w:themeColor="text1"/>
          <w:szCs w:val="2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CCEFE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四、响应文件的份数、封装和递交</w:t>
      </w:r>
    </w:p>
    <w:p w14:paraId="6BBEDA2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12. 竞争性磋商响应文件的份数：电子</w:t>
      </w:r>
      <w:r>
        <w:rPr>
          <w:rFonts w:hint="eastAsia" w:ascii="宋体" w:hAnsi="宋体" w:cs="宋体"/>
          <w:b w:val="0"/>
          <w:bCs/>
          <w:color w:val="000000" w:themeColor="text1"/>
          <w:szCs w:val="21"/>
          <w:highlight w:val="none"/>
          <w:lang w:eastAsia="zh-CN"/>
          <w14:textFill>
            <w14:solidFill>
              <w14:schemeClr w14:val="tx1"/>
            </w14:solidFill>
          </w14:textFill>
        </w:rPr>
        <w:t>加密</w:t>
      </w:r>
      <w:r>
        <w:rPr>
          <w:rFonts w:hint="eastAsia" w:ascii="宋体" w:hAnsi="宋体" w:cs="宋体"/>
          <w:b w:val="0"/>
          <w:bCs/>
          <w:color w:val="000000" w:themeColor="text1"/>
          <w:szCs w:val="21"/>
          <w:highlight w:val="none"/>
          <w14:textFill>
            <w14:solidFill>
              <w14:schemeClr w14:val="tx1"/>
            </w14:solidFill>
          </w14:textFill>
        </w:rPr>
        <w:t>响应文件一份</w:t>
      </w:r>
      <w:r>
        <w:rPr>
          <w:rFonts w:hint="eastAsia" w:ascii="宋体" w:hAnsi="宋体" w:cs="宋体"/>
          <w:b w:val="0"/>
          <w:bCs/>
          <w:color w:val="000000" w:themeColor="text1"/>
          <w:szCs w:val="21"/>
          <w:highlight w:val="none"/>
          <w:lang w:eastAsia="zh-CN"/>
          <w14:textFill>
            <w14:solidFill>
              <w14:schemeClr w14:val="tx1"/>
            </w14:solidFill>
          </w14:textFill>
        </w:rPr>
        <w:t>；</w:t>
      </w:r>
      <w:r>
        <w:rPr>
          <w:color w:val="000000" w:themeColor="text1"/>
          <w:spacing w:val="-3"/>
          <w:sz w:val="21"/>
          <w:highlight w:val="none"/>
          <w14:textFill>
            <w14:solidFill>
              <w14:schemeClr w14:val="tx1"/>
            </w14:solidFill>
          </w14:textFill>
        </w:rPr>
        <w:t>电子备份响应文件</w:t>
      </w:r>
      <w:r>
        <w:rPr>
          <w:rFonts w:hint="eastAsia"/>
          <w:color w:val="000000" w:themeColor="text1"/>
          <w:spacing w:val="-3"/>
          <w:sz w:val="21"/>
          <w:highlight w:val="none"/>
          <w:lang w:eastAsia="zh-CN"/>
          <w14:textFill>
            <w14:solidFill>
              <w14:schemeClr w14:val="tx1"/>
            </w14:solidFill>
          </w14:textFill>
        </w:rPr>
        <w:t>一份</w:t>
      </w:r>
      <w:r>
        <w:rPr>
          <w:rFonts w:hint="eastAsia" w:ascii="宋体" w:hAnsi="宋体" w:cs="宋体"/>
          <w:b w:val="0"/>
          <w:bCs/>
          <w:color w:val="000000" w:themeColor="text1"/>
          <w:szCs w:val="21"/>
          <w:highlight w:val="none"/>
          <w14:textFill>
            <w14:solidFill>
              <w14:schemeClr w14:val="tx1"/>
            </w14:solidFill>
          </w14:textFill>
        </w:rPr>
        <w:t>。</w:t>
      </w:r>
    </w:p>
    <w:p w14:paraId="6A8A3A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 位查找不到相关内容的，由供应商自行承担。</w:t>
      </w:r>
    </w:p>
    <w:p w14:paraId="4CBE89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13. 响应文件的递交</w:t>
      </w:r>
    </w:p>
    <w:p w14:paraId="2BDE5F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13.1 所有竞争性响应文件应于“第二章 磋商须知及前附表”中规定的截止时间前递交到规定地点。</w:t>
      </w:r>
    </w:p>
    <w:p w14:paraId="05D9FF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3C31FC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13.2 迟交的响应文件</w:t>
      </w:r>
    </w:p>
    <w:p w14:paraId="0400A5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采购人或采购代理人按照规定有权拒绝或原封退回在其规定的递交响应文件截止时间之后收到的任何响应文件。</w:t>
      </w:r>
    </w:p>
    <w:p w14:paraId="488762B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五、竞争性磋商 (简称磋商) 与评审</w:t>
      </w:r>
    </w:p>
    <w:p w14:paraId="54A4AE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14.磋商小组成立及响应文件的开启</w:t>
      </w:r>
    </w:p>
    <w:p w14:paraId="7AE4D4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21D4FA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74DEF20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14.3 响应文件的开启：具体详见“供应商须知前附表”。</w:t>
      </w:r>
    </w:p>
    <w:p w14:paraId="7412A97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15.响应文件评审程序</w:t>
      </w:r>
    </w:p>
    <w:p w14:paraId="4C7D47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15.1 资格审查</w:t>
      </w:r>
    </w:p>
    <w:p w14:paraId="057FFE8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15.1.1 响应文件开启后， 由磋商小组依法对供应商的资格证明文件进行审查。</w:t>
      </w:r>
    </w:p>
    <w:p w14:paraId="69D5F0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15.1.2 通过资格审查的合格供应商不足3 家的，不得进入符合性审查环节，采购人或采购代理机构应当重新开展采购活动。</w:t>
      </w:r>
    </w:p>
    <w:p w14:paraId="3983E0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 符合性审查</w:t>
      </w:r>
    </w:p>
    <w:p w14:paraId="7D1B3F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15.2.1 由磋商小组通过资格审查的合格供应商的响应文件的竞标报价、商务、技术等实质性要求进行符合性审查，以确定其是否满足竞争性磋商文件的实质性要求。</w:t>
      </w:r>
    </w:p>
    <w:p w14:paraId="3109E9B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15.2.2 磋商小组在对响应文件进行符合性审查时，可以要求供应商对响应文件中含义不明确、同类问题表述不一致或者有明显文字和计算错误的内容等作出必要的澄清、说明或者更 正。供应商的澄清、说明或者更正不得超出响应文件的范围或者改变响应文件的实质性内容。</w:t>
      </w:r>
    </w:p>
    <w:p w14:paraId="1C0DC6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15.2.3 磋商小组要求供应商澄清、说明或者更正响应文件应当要求供应商在合理时间内 通过</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 xml:space="preserve"> (</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的方式形式作出。供应商的澄清、说明或者更正 必须通过</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磋商小组进行判定。供应商的澄清、说明或者更正必须由法定代表人或者其委托代理人签字或者加盖 CA 签章。 由委托代理人签字的，若委托代理人不是响应文件中授权的委托代理人时， 必须同时出示有效的法定代表人授权委托书原件。供应商为自然人的，必须由本人签字并附身 份证明。</w:t>
      </w:r>
    </w:p>
    <w:p w14:paraId="526234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15.2.4 首次响应文件中报价出现前后不一致的，按照下列规定修正：</w:t>
      </w:r>
    </w:p>
    <w:p w14:paraId="42A805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响应文件中报价表内容与响应文件中相应内容不一致的，以报价表为准；</w:t>
      </w:r>
    </w:p>
    <w:p w14:paraId="3F2CCCE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大写金额和小写金额不一致的，以大写金额为准；</w:t>
      </w:r>
    </w:p>
    <w:p w14:paraId="49EEBC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 单价金额小数点或者百分比有明显错位的，以报价表的总价为准，并修改单价；</w:t>
      </w:r>
    </w:p>
    <w:p w14:paraId="13AE63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(4) 总价金额与按单价汇总金额不一致的，以单价金额计算结果为准。</w:t>
      </w:r>
    </w:p>
    <w:p w14:paraId="514D03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同时出现两种以上不一致的，按照以上 (1) - (4) 规定的顺序逐条进行修正。修正后的报价经供应商确认后产生约束力，供应商不确认的，其响应文件按无效响应处理。</w:t>
      </w:r>
    </w:p>
    <w:p w14:paraId="7E518A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15.2.5 磋商小组成员应当按照客观、公正、审慎的原则，根据第四章“评审程序、评审方法和评审标准”进行独立评审。磋商小组对响应文件进行评审，未实质性响应竞争性磋商文 件的响应文件按无效响应处理， 由磋商小组告知提交响应文件的供应商。</w:t>
      </w:r>
    </w:p>
    <w:p w14:paraId="0126B4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15.2.6 通过符合性审查的合格供应商不足 3 家的，不得进入磋商环节，采购人或采购代理机构应当重新开展采购活动。</w:t>
      </w:r>
    </w:p>
    <w:p w14:paraId="061CDDC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16.磋商</w:t>
      </w:r>
    </w:p>
    <w:p w14:paraId="1A1EEB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16.1 磋商小组按照“供应商须知前附表”确定的顺序，集中与单一供应商分别进行磋商，并予所有参加磋商的供应商平等的磋商机会。符合磋商资格的供应商必须实时关注</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 xml:space="preserve"> </w:t>
      </w:r>
      <w:r>
        <w:rPr>
          <w:rFonts w:hint="eastAsia" w:ascii="宋体" w:hAnsi="宋体" w:cs="宋体"/>
          <w:b w:val="0"/>
          <w:bCs/>
          <w:color w:val="000000" w:themeColor="text1"/>
          <w:szCs w:val="21"/>
          <w:highlight w:val="none"/>
          <w14:textFill>
            <w14:solidFill>
              <w14:schemeClr w14:val="tx1"/>
            </w14:solidFill>
          </w14:textFill>
        </w:rPr>
        <w:tab/>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开标信息，在接到磋商通知后规定时间内参加磋商，未在规定时间内参加磋商的视同放弃参加磋商权利，其响应文件按无效响应处理。</w:t>
      </w:r>
    </w:p>
    <w:p w14:paraId="22EAF0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B8511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16.3 对竞争性磋商文件作出的实质性变动是竞争性磋商文件的有效组成部分， 由磋商小组及时以书面形式同时通知所有参加磋商的供应商。</w:t>
      </w:r>
    </w:p>
    <w:p w14:paraId="58FE20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16.4 供应商必须按照磋商文件的变动情况和磋商小组的要求重新提交响应文件，并由其法定代表人或者授权代表签字或者加盖 CA 签章在</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 xml:space="preserve"> (</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F23AF5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16.5 磋商中，磋商的任何一方不得透露与磋商有关的其他供应商的技术资料、价格和其他信息。</w:t>
      </w:r>
    </w:p>
    <w:p w14:paraId="22518E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16.6 采购代理机构对磋商过程和重要磋商内容进行记录，磋商双方应在记录上签字确认。</w:t>
      </w:r>
    </w:p>
    <w:p w14:paraId="5AF849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16.7 磋商过程中重新提交的响应文件，供应商可以在开启前补充、修改。</w:t>
      </w:r>
    </w:p>
    <w:p w14:paraId="76C76B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30750D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16.9 对磋商过程提交的响应文件进行有效性、完整性和响应程度审查，通过审查的合格供应商不足 3 家的，除本须知正文第 16.8 条的情形外，采购人或采购代理机构应当重新开展采购活动。</w:t>
      </w:r>
    </w:p>
    <w:p w14:paraId="5452CF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16.10 本项目所有响应文件的首次报价及所有磋商报价均不公布。最后磋商结束后，磋商小组不得再与供应商进行任何形式的商谈。</w:t>
      </w:r>
    </w:p>
    <w:p w14:paraId="63E873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17.最后报价</w:t>
      </w:r>
    </w:p>
    <w:p w14:paraId="2E749E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17.1 磋商文件能够详细列明采购标的的技术、服务要求的，磋商结束后，由磋商小组要求所有继续参加磋商的供应商在规定时间内在</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 xml:space="preserve"> (</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提交最后报价，提交最后报价的供应商不得少于 3 家，除本章第 4.3 条外，否则必须重新采购。</w:t>
      </w:r>
    </w:p>
    <w:p w14:paraId="34B2393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17.2 磋商文件不能详细列明采购标的的技术、服务要求，需经磋商由供应商提供最后设计方案或者解决方案的，磋商结束后， 由磋商小组按照少数服从多数的原则投票推荐 3 家以上供应商的设计方案 或者解决方案 ， 并要求其在规定时间内在</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提交最后报价。</w:t>
      </w:r>
    </w:p>
    <w:p w14:paraId="56135EB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①最后报价与首次报价相比无调整的：供应商提交的最后报价只须注明与首次报价相同。</w:t>
      </w:r>
    </w:p>
    <w:p w14:paraId="01D9F6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 其报价无效并作无效响应处理。供应商在报价时可只报总价，但必须将包含已标价工程量清单 的最后报价在规定时间内在</w:t>
      </w:r>
      <w:r>
        <w:rPr>
          <w:rFonts w:hint="eastAsia" w:ascii="宋体" w:hAnsi="宋体" w:cs="宋体"/>
          <w:b w:val="0"/>
          <w:bCs/>
          <w:color w:val="000000" w:themeColor="text1"/>
          <w:szCs w:val="21"/>
          <w:highlight w:val="none"/>
          <w:lang w:eastAsia="zh-CN"/>
          <w14:textFill>
            <w14:solidFill>
              <w14:schemeClr w14:val="tx1"/>
            </w14:solidFill>
          </w14:textFill>
        </w:rPr>
        <w:t>广西政府采购云平台</w:t>
      </w:r>
      <w:r>
        <w:rPr>
          <w:rFonts w:hint="eastAsia" w:ascii="宋体" w:hAnsi="宋体" w:cs="宋体"/>
          <w:b w:val="0"/>
          <w:bCs/>
          <w:color w:val="000000" w:themeColor="text1"/>
          <w:szCs w:val="21"/>
          <w:highlight w:val="none"/>
          <w14:textFill>
            <w14:solidFill>
              <w14:schemeClr w14:val="tx1"/>
            </w14:solidFill>
          </w14:textFill>
        </w:rPr>
        <w:t xml:space="preserve"> (</w:t>
      </w:r>
      <w:r>
        <w:rPr>
          <w:rFonts w:hint="eastAsia" w:ascii="宋体" w:hAnsi="宋体" w:cs="宋体"/>
          <w:b w:val="0"/>
          <w:bCs/>
          <w:color w:val="000000" w:themeColor="text1"/>
          <w:szCs w:val="21"/>
          <w:highlight w:val="none"/>
          <w:lang w:eastAsia="zh-CN"/>
          <w14:textFill>
            <w14:solidFill>
              <w14:schemeClr w14:val="tx1"/>
            </w14:solidFill>
          </w14:textFill>
        </w:rPr>
        <w:t>https://www.gcy.zfcg.gxzf.gov.cn</w:t>
      </w:r>
      <w:r>
        <w:rPr>
          <w:rFonts w:hint="eastAsia" w:ascii="宋体" w:hAnsi="宋体" w:cs="宋体"/>
          <w:b w:val="0"/>
          <w:bCs/>
          <w:color w:val="000000" w:themeColor="text1"/>
          <w:szCs w:val="21"/>
          <w:highlight w:val="none"/>
          <w14:textFill>
            <w14:solidFill>
              <w14:schemeClr w14:val="tx1"/>
            </w14:solidFill>
          </w14:textFill>
        </w:rPr>
        <w:t>/) 提交，逾期则最后报价无效，以首次报价为准。</w:t>
      </w:r>
    </w:p>
    <w:p w14:paraId="03143A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 2 家。</w:t>
      </w:r>
    </w:p>
    <w:p w14:paraId="18E270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17.4 已经提交响应文件的供应商，在提交最后报价之前，可以根据磋商情况退出磋商，退出磋商的供应商的响应文件按无效响应处理。采购人、采购代理机构将退还退出磋商的供应商的保证金。</w:t>
      </w:r>
    </w:p>
    <w:p w14:paraId="77A8D5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17.5 供应商未在规定时间内提交最后报价的，视同退出磋商。</w:t>
      </w:r>
    </w:p>
    <w:p w14:paraId="69661C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17.6 磋商小组收齐某一分标最后报价后统一开启，磋商小组对最后报价进行有效性、完整性和响应程度的审查。</w:t>
      </w:r>
    </w:p>
    <w:p w14:paraId="691E9F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17.7 响应文件最后报价出现前后不一致的，按照本正文第 25.2.4 条的规定修正。</w:t>
      </w:r>
    </w:p>
    <w:p w14:paraId="72C03C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17.8 修正后的报价出现下列情形的，按无效响应处理：</w:t>
      </w:r>
    </w:p>
    <w:p w14:paraId="46EA62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供应商不确认的；</w:t>
      </w:r>
    </w:p>
    <w:p w14:paraId="14D5182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经供应商确认修正后的竞标报价 (包含首次报价、最后报价) 超过所竞标规定的采购预算金额或者最高限价的 (如本项目公布了最高限价) ；</w:t>
      </w:r>
    </w:p>
    <w:p w14:paraId="2E6EAA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 经供应商确认修正后的竞标报价 (包含首次报价、最后报价) 超过分项采购预算金额或者最高限价的 (如本项目公布了最高限价) 。</w:t>
      </w:r>
    </w:p>
    <w:p w14:paraId="226F37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17.9 经供应商确认修正后的最后报价作为评审及签订合同的依据。</w:t>
      </w:r>
    </w:p>
    <w:p w14:paraId="52E5EF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 xml:space="preserve">17.10 最后报价结束后，磋商小组不得再与供应商进行任何形式的商谈。 </w:t>
      </w:r>
    </w:p>
    <w:p w14:paraId="7DF7F2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18.比较与评价</w:t>
      </w:r>
    </w:p>
    <w:p w14:paraId="0C20C2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18.1 评审方法：综合评分法。</w:t>
      </w:r>
    </w:p>
    <w:p w14:paraId="12614F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18.2 经磋商确定最终采购需求和提交最后报价的供应商后， 由磋商小组采用综合评分法对提交最后报价的供应商的响应文件和最后报价进行综合评分。详见第四章“评审程序、评审方法和评审标准”。</w:t>
      </w:r>
    </w:p>
    <w:p w14:paraId="65E9A0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18.3 评审时，磋商小组各成员应当独立对每个有效的响应文件进行评价、打分，然后汇总每个供应商每项评分因素的得分。</w:t>
      </w:r>
    </w:p>
    <w:p w14:paraId="265529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磋商小组按照竞争性磋商文件中规定的评审标准计算各供应商的报价得分。项目评审过程中，不得去掉最后报价中的最高报价和最低报价。</w:t>
      </w:r>
    </w:p>
    <w:p w14:paraId="335FE1E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各供应商的得分为磋商小组所有成员的有效评分的算术平均数。</w:t>
      </w:r>
    </w:p>
    <w:p w14:paraId="4431D7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18.4 评审价为供应商的最后报价进行政策性扣除后的价格，评审价只是作为评审时使用。最终成交供应商的成交金额等于最后报价 (如有修正，以确认修正后的最后报价为准) 。</w:t>
      </w:r>
    </w:p>
    <w:p w14:paraId="5B5D78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6B53E1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6013ED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特别说明：政采云公司如对电子化磋商及评审程序有调整的，按调整后的程序操作。</w:t>
      </w:r>
    </w:p>
    <w:p w14:paraId="562F450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 采购过程中出现以下情形，导致电子交易平台无法正常运行，或者无法保证电子交 易的公平、公正和安全时，采购组织机构可中止电子交易活动：</w:t>
      </w:r>
    </w:p>
    <w:p w14:paraId="769F04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18.6.1 电子交易平台发生故障而无法登录访问的；</w:t>
      </w:r>
    </w:p>
    <w:p w14:paraId="6FAE69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18.6.2 电子交易平台应用或数据库出现错误，不能进行正常操作的；</w:t>
      </w:r>
    </w:p>
    <w:p w14:paraId="34FACD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18.6.3 电子交易平台发现严重安全漏洞，有潜在泄密危险的；</w:t>
      </w:r>
    </w:p>
    <w:p w14:paraId="501006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18.6.4 病毒发作导致不能进行正常操作的；</w:t>
      </w:r>
    </w:p>
    <w:p w14:paraId="1E0688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18.6.5 其他无法保证电子交易的公平、公正和安全的情况。</w:t>
      </w:r>
    </w:p>
    <w:p w14:paraId="2C9A6FC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181CB75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六、确定成交供应商办法及结果公告</w:t>
      </w:r>
    </w:p>
    <w:p w14:paraId="50214F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0BEE7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598AD9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49298A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E90C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七、履约保证金</w:t>
      </w:r>
    </w:p>
    <w:p w14:paraId="09086B2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20.履约保证金：</w:t>
      </w:r>
      <w:r>
        <w:rPr>
          <w:rFonts w:hint="eastAsia" w:ascii="宋体" w:hAnsi="宋体" w:cs="宋体"/>
          <w:b w:val="0"/>
          <w:bCs/>
          <w:color w:val="000000" w:themeColor="text1"/>
          <w:szCs w:val="21"/>
          <w:highlight w:val="none"/>
          <w:lang w:val="en-US" w:eastAsia="zh-CN"/>
          <w14:textFill>
            <w14:solidFill>
              <w14:schemeClr w14:val="tx1"/>
            </w14:solidFill>
          </w14:textFill>
        </w:rPr>
        <w:t>详见须知前附表</w:t>
      </w:r>
      <w:r>
        <w:rPr>
          <w:rFonts w:hint="eastAsia" w:ascii="宋体" w:hAnsi="宋体" w:cs="宋体"/>
          <w:b w:val="0"/>
          <w:bCs/>
          <w:color w:val="000000" w:themeColor="text1"/>
          <w:szCs w:val="21"/>
          <w:highlight w:val="none"/>
          <w14:textFill>
            <w14:solidFill>
              <w14:schemeClr w14:val="tx1"/>
            </w14:solidFill>
          </w14:textFill>
        </w:rPr>
        <w:t>。</w:t>
      </w:r>
    </w:p>
    <w:p w14:paraId="745264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八、签订合同</w:t>
      </w:r>
    </w:p>
    <w:p w14:paraId="2286FE4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28F404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3B83C2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九、政府采购合同公告</w:t>
      </w:r>
    </w:p>
    <w:p w14:paraId="7C5E87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D911A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十、适用法律</w:t>
      </w:r>
    </w:p>
    <w:p w14:paraId="4462ECF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distribute"/>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23.本项目适用于《中华人民共和国政府采购法》《中华人民共和国政府采购法实施条例》</w:t>
      </w:r>
    </w:p>
    <w:p w14:paraId="52AB43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《政府采购竞争性磋商采购方式管理暂行办法》《财政部关于政府采购竞争性磋商采购方式管理暂行办法有关问题的补充通知》及本项目本级和上级财政部门政府采购有关规定。</w:t>
      </w:r>
    </w:p>
    <w:p w14:paraId="27119B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十一、其他事项</w:t>
      </w:r>
    </w:p>
    <w:p w14:paraId="0AAA0E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24.1 招标代理服务费</w:t>
      </w:r>
    </w:p>
    <w:p w14:paraId="110FA84D">
      <w:pPr>
        <w:pStyle w:val="13"/>
        <w:keepNext w:val="0"/>
        <w:keepLines w:val="0"/>
        <w:pageBreakBefore w:val="0"/>
        <w:widowControl w:val="0"/>
        <w:kinsoku/>
        <w:wordWrap/>
        <w:overflowPunct/>
        <w:topLinePunct w:val="0"/>
        <w:autoSpaceDE/>
        <w:autoSpaceDN/>
        <w:bidi w:val="0"/>
        <w:adjustRightInd/>
        <w:snapToGrid w:val="0"/>
        <w:spacing w:line="380" w:lineRule="exact"/>
        <w:ind w:left="0"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本项目的招标代理服务费按国家计委计价格[2002]1980号和发改办[2003]857号文规定由招标代理机构向成交供应商收取。即按成交金额100万元以下为1.0%，100-500万元为0.7%，并且按差额定率累进法计算</w:t>
      </w:r>
      <w:r>
        <w:rPr>
          <w:rFonts w:hint="eastAsia" w:hAnsi="宋体" w:cs="宋体"/>
          <w:color w:val="000000" w:themeColor="text1"/>
          <w:sz w:val="21"/>
          <w:highlight w:val="none"/>
          <w:lang w:val="en-US" w:eastAsia="zh-CN"/>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由成交人领取成交通知书前，向代理机构一次性付清。</w:t>
      </w:r>
    </w:p>
    <w:p w14:paraId="6F8A94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代理服务费专用</w:t>
      </w:r>
      <w:r>
        <w:rPr>
          <w:rFonts w:hint="eastAsia" w:ascii="宋体" w:hAnsi="宋体" w:cs="宋体"/>
          <w:b w:val="0"/>
          <w:bCs/>
          <w:color w:val="000000" w:themeColor="text1"/>
          <w:szCs w:val="21"/>
          <w:highlight w:val="none"/>
          <w:lang w:eastAsia="zh-CN"/>
          <w14:textFill>
            <w14:solidFill>
              <w14:schemeClr w14:val="tx1"/>
            </w14:solidFill>
          </w14:textFill>
        </w:rPr>
        <w:t>账</w:t>
      </w:r>
      <w:r>
        <w:rPr>
          <w:rFonts w:hint="eastAsia" w:ascii="宋体" w:hAnsi="宋体" w:cs="宋体"/>
          <w:b w:val="0"/>
          <w:bCs/>
          <w:color w:val="000000" w:themeColor="text1"/>
          <w:szCs w:val="21"/>
          <w:highlight w:val="none"/>
          <w14:textFill>
            <w14:solidFill>
              <w14:schemeClr w14:val="tx1"/>
            </w14:solidFill>
          </w14:textFill>
        </w:rPr>
        <w:t>户：</w:t>
      </w:r>
    </w:p>
    <w:p w14:paraId="67454CF5">
      <w:pPr>
        <w:pStyle w:val="13"/>
        <w:keepNext w:val="0"/>
        <w:keepLines w:val="0"/>
        <w:pageBreakBefore w:val="0"/>
        <w:widowControl w:val="0"/>
        <w:kinsoku/>
        <w:wordWrap/>
        <w:overflowPunct/>
        <w:topLinePunct w:val="0"/>
        <w:autoSpaceDE/>
        <w:autoSpaceDN/>
        <w:bidi w:val="0"/>
        <w:adjustRightInd/>
        <w:snapToGrid w:val="0"/>
        <w:spacing w:line="380" w:lineRule="exact"/>
        <w:ind w:left="0" w:firstLine="420" w:firstLineChars="200"/>
        <w:textAlignment w:val="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开户名称：广西中佰项目管理有限公司</w:t>
      </w:r>
    </w:p>
    <w:p w14:paraId="09D1BD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账</w:t>
      </w:r>
      <w:r>
        <w:rPr>
          <w:rFonts w:hint="eastAsia" w:hAnsi="宋体" w:cs="宋体"/>
          <w:color w:val="000000" w:themeColor="text1"/>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lang w:val="en-US" w:eastAsia="zh-CN"/>
          <w14:textFill>
            <w14:solidFill>
              <w14:schemeClr w14:val="tx1"/>
            </w14:solidFill>
          </w14:textFill>
        </w:rPr>
        <w:t>号：</w:t>
      </w:r>
      <w:r>
        <w:rPr>
          <w:rFonts w:hint="eastAsia" w:ascii="宋体" w:hAnsi="宋体" w:cs="宋体"/>
          <w:color w:val="000000" w:themeColor="text1"/>
          <w:szCs w:val="24"/>
          <w:highlight w:val="none"/>
          <w:lang w:eastAsia="zh-CN"/>
          <w14:textFill>
            <w14:solidFill>
              <w14:schemeClr w14:val="tx1"/>
            </w14:solidFill>
          </w14:textFill>
        </w:rPr>
        <w:t>4505 0110 1205 0000 1410</w:t>
      </w:r>
    </w:p>
    <w:p w14:paraId="3A1176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开户行：</w:t>
      </w:r>
      <w:r>
        <w:rPr>
          <w:rFonts w:hint="eastAsia" w:hAnsi="宋体" w:cs="宋体"/>
          <w:color w:val="000000" w:themeColor="text1"/>
          <w:szCs w:val="24"/>
          <w:highlight w:val="none"/>
          <w:lang w:val="en-US" w:eastAsia="zh-CN"/>
          <w14:textFill>
            <w14:solidFill>
              <w14:schemeClr w14:val="tx1"/>
            </w14:solidFill>
          </w14:textFill>
        </w:rPr>
        <w:t>中国建设银行股份有限公司浦北支行</w:t>
      </w:r>
    </w:p>
    <w:p w14:paraId="25C689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代理服务费收费计算标准：</w:t>
      </w:r>
    </w:p>
    <w:tbl>
      <w:tblPr>
        <w:tblStyle w:val="6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BAA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7184CF39">
            <w:pPr>
              <w:keepNext w:val="0"/>
              <w:keepLines w:val="0"/>
              <w:pageBreakBefore w:val="0"/>
              <w:widowControl w:val="0"/>
              <w:kinsoku/>
              <w:wordWrap/>
              <w:overflowPunct/>
              <w:topLinePunct w:val="0"/>
              <w:autoSpaceDE/>
              <w:autoSpaceDN/>
              <w:bidi w:val="0"/>
              <w:adjustRightInd/>
              <w:snapToGrid/>
              <w:spacing w:line="380" w:lineRule="exact"/>
              <w:ind w:left="1702" w:firstLine="1040" w:firstLineChars="500"/>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sz w:val="21"/>
                <w:szCs w:val="21"/>
                <w:highlight w:val="none"/>
                <w14:textFill>
                  <w14:solidFill>
                    <w14:schemeClr w14:val="tx1"/>
                  </w14:solidFill>
                </w14:textFill>
              </w:rPr>
              <w:t>费率</w:t>
            </w:r>
          </w:p>
          <w:p w14:paraId="274E35E5">
            <w:pPr>
              <w:keepNext w:val="0"/>
              <w:keepLines w:val="0"/>
              <w:pageBreakBefore w:val="0"/>
              <w:widowControl w:val="0"/>
              <w:kinsoku/>
              <w:wordWrap/>
              <w:overflowPunct/>
              <w:topLinePunct w:val="0"/>
              <w:autoSpaceDE/>
              <w:autoSpaceDN/>
              <w:bidi w:val="0"/>
              <w:adjustRightInd/>
              <w:snapToGrid/>
              <w:spacing w:line="380" w:lineRule="exact"/>
              <w:ind w:left="118"/>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金</w:t>
            </w:r>
            <w:r>
              <w:rPr>
                <w:rFonts w:ascii="宋体" w:hAnsi="宋体" w:eastAsia="宋体" w:cs="宋体"/>
                <w:color w:val="000000" w:themeColor="text1"/>
                <w:spacing w:val="3"/>
                <w:sz w:val="21"/>
                <w:szCs w:val="21"/>
                <w:highlight w:val="none"/>
                <w14:textFill>
                  <w14:solidFill>
                    <w14:schemeClr w14:val="tx1"/>
                  </w14:solidFill>
                </w14:textFill>
              </w:rPr>
              <w:t>额</w:t>
            </w:r>
          </w:p>
        </w:tc>
        <w:tc>
          <w:tcPr>
            <w:tcW w:w="1579" w:type="dxa"/>
            <w:vAlign w:val="center"/>
          </w:tcPr>
          <w:p w14:paraId="42F144BB">
            <w:pPr>
              <w:keepNext w:val="0"/>
              <w:keepLines w:val="0"/>
              <w:pageBreakBefore w:val="0"/>
              <w:widowControl w:val="0"/>
              <w:kinsoku/>
              <w:wordWrap/>
              <w:overflowPunct/>
              <w:topLinePunct w:val="0"/>
              <w:autoSpaceDE/>
              <w:autoSpaceDN/>
              <w:bidi w:val="0"/>
              <w:adjustRightInd/>
              <w:snapToGrid/>
              <w:spacing w:line="380" w:lineRule="exact"/>
              <w:ind w:left="57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5"/>
                <w:sz w:val="21"/>
                <w:szCs w:val="21"/>
                <w:highlight w:val="none"/>
                <w14:textFill>
                  <w14:solidFill>
                    <w14:schemeClr w14:val="tx1"/>
                  </w14:solidFill>
                </w14:textFill>
              </w:rPr>
              <w:t>货物类</w:t>
            </w:r>
          </w:p>
        </w:tc>
        <w:tc>
          <w:tcPr>
            <w:tcW w:w="1579" w:type="dxa"/>
            <w:vAlign w:val="center"/>
          </w:tcPr>
          <w:p w14:paraId="7E95134D">
            <w:pPr>
              <w:keepNext w:val="0"/>
              <w:keepLines w:val="0"/>
              <w:pageBreakBefore w:val="0"/>
              <w:widowControl w:val="0"/>
              <w:kinsoku/>
              <w:wordWrap/>
              <w:overflowPunct/>
              <w:topLinePunct w:val="0"/>
              <w:autoSpaceDE/>
              <w:autoSpaceDN/>
              <w:bidi w:val="0"/>
              <w:adjustRightInd/>
              <w:snapToGrid/>
              <w:spacing w:line="380" w:lineRule="exact"/>
              <w:ind w:left="45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7"/>
                <w:sz w:val="21"/>
                <w:szCs w:val="21"/>
                <w:highlight w:val="none"/>
                <w14:textFill>
                  <w14:solidFill>
                    <w14:schemeClr w14:val="tx1"/>
                  </w14:solidFill>
                </w14:textFill>
              </w:rPr>
              <w:t>服务</w:t>
            </w:r>
            <w:r>
              <w:rPr>
                <w:rFonts w:ascii="宋体" w:hAnsi="宋体" w:eastAsia="宋体" w:cs="宋体"/>
                <w:color w:val="000000" w:themeColor="text1"/>
                <w:spacing w:val="6"/>
                <w:sz w:val="21"/>
                <w:szCs w:val="21"/>
                <w:highlight w:val="none"/>
                <w14:textFill>
                  <w14:solidFill>
                    <w14:schemeClr w14:val="tx1"/>
                  </w14:solidFill>
                </w14:textFill>
              </w:rPr>
              <w:t>类</w:t>
            </w:r>
          </w:p>
        </w:tc>
        <w:tc>
          <w:tcPr>
            <w:tcW w:w="1581" w:type="dxa"/>
            <w:vAlign w:val="center"/>
          </w:tcPr>
          <w:p w14:paraId="5F5F7B28">
            <w:pPr>
              <w:keepNext w:val="0"/>
              <w:keepLines w:val="0"/>
              <w:pageBreakBefore w:val="0"/>
              <w:widowControl w:val="0"/>
              <w:kinsoku/>
              <w:wordWrap/>
              <w:overflowPunct/>
              <w:topLinePunct w:val="0"/>
              <w:autoSpaceDE/>
              <w:autoSpaceDN/>
              <w:bidi w:val="0"/>
              <w:adjustRightInd/>
              <w:snapToGrid/>
              <w:spacing w:line="380" w:lineRule="exact"/>
              <w:ind w:left="46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工程类</w:t>
            </w:r>
          </w:p>
        </w:tc>
      </w:tr>
      <w:tr w14:paraId="5EB7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29456A8">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1</w:t>
            </w:r>
            <w:r>
              <w:rPr>
                <w:rFonts w:ascii="宋体" w:hAnsi="宋体" w:eastAsia="宋体" w:cs="宋体"/>
                <w:color w:val="000000" w:themeColor="text1"/>
                <w:spacing w:val="-3"/>
                <w:sz w:val="21"/>
                <w:szCs w:val="21"/>
                <w:highlight w:val="none"/>
                <w14:textFill>
                  <w14:solidFill>
                    <w14:schemeClr w14:val="tx1"/>
                  </w14:solidFill>
                </w14:textFill>
              </w:rPr>
              <w:t>0</w:t>
            </w:r>
            <w:r>
              <w:rPr>
                <w:rFonts w:ascii="宋体" w:hAnsi="宋体" w:eastAsia="宋体" w:cs="宋体"/>
                <w:color w:val="000000" w:themeColor="text1"/>
                <w:spacing w:val="-2"/>
                <w:sz w:val="21"/>
                <w:szCs w:val="21"/>
                <w:highlight w:val="none"/>
                <w14:textFill>
                  <w14:solidFill>
                    <w14:schemeClr w14:val="tx1"/>
                  </w14:solidFill>
                </w14:textFill>
              </w:rPr>
              <w:t>0 万元以下</w:t>
            </w:r>
          </w:p>
        </w:tc>
        <w:tc>
          <w:tcPr>
            <w:tcW w:w="1579" w:type="dxa"/>
            <w:vAlign w:val="center"/>
          </w:tcPr>
          <w:p w14:paraId="1F590012">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position w:val="1"/>
                <w:sz w:val="21"/>
                <w:szCs w:val="21"/>
                <w:highlight w:val="none"/>
                <w14:textFill>
                  <w14:solidFill>
                    <w14:schemeClr w14:val="tx1"/>
                  </w14:solidFill>
                </w14:textFill>
              </w:rPr>
              <w:t>1.5</w:t>
            </w:r>
            <w:r>
              <w:rPr>
                <w:rFonts w:ascii="宋体" w:hAnsi="宋体" w:eastAsia="宋体" w:cs="宋体"/>
                <w:color w:val="000000" w:themeColor="text1"/>
                <w:position w:val="1"/>
                <w:sz w:val="21"/>
                <w:szCs w:val="21"/>
                <w:highlight w:val="none"/>
                <w14:textFill>
                  <w14:solidFill>
                    <w14:schemeClr w14:val="tx1"/>
                  </w14:solidFill>
                </w14:textFill>
              </w:rPr>
              <w:t>%</w:t>
            </w:r>
          </w:p>
        </w:tc>
        <w:tc>
          <w:tcPr>
            <w:tcW w:w="1579" w:type="dxa"/>
            <w:vAlign w:val="center"/>
          </w:tcPr>
          <w:p w14:paraId="13666043">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position w:val="1"/>
                <w:sz w:val="21"/>
                <w:szCs w:val="21"/>
                <w:highlight w:val="none"/>
                <w14:textFill>
                  <w14:solidFill>
                    <w14:schemeClr w14:val="tx1"/>
                  </w14:solidFill>
                </w14:textFill>
              </w:rPr>
              <w:t>1.5</w:t>
            </w:r>
            <w:r>
              <w:rPr>
                <w:rFonts w:ascii="宋体" w:hAnsi="宋体" w:eastAsia="宋体" w:cs="宋体"/>
                <w:color w:val="000000" w:themeColor="text1"/>
                <w:position w:val="1"/>
                <w:sz w:val="21"/>
                <w:szCs w:val="21"/>
                <w:highlight w:val="none"/>
                <w14:textFill>
                  <w14:solidFill>
                    <w14:schemeClr w14:val="tx1"/>
                  </w14:solidFill>
                </w14:textFill>
              </w:rPr>
              <w:t>%</w:t>
            </w:r>
          </w:p>
        </w:tc>
        <w:tc>
          <w:tcPr>
            <w:tcW w:w="1581" w:type="dxa"/>
            <w:vAlign w:val="center"/>
          </w:tcPr>
          <w:p w14:paraId="61C3BBE6">
            <w:pPr>
              <w:keepNext w:val="0"/>
              <w:keepLines w:val="0"/>
              <w:pageBreakBefore w:val="0"/>
              <w:widowControl w:val="0"/>
              <w:kinsoku/>
              <w:wordWrap/>
              <w:overflowPunct/>
              <w:topLinePunct w:val="0"/>
              <w:autoSpaceDE/>
              <w:autoSpaceDN/>
              <w:bidi w:val="0"/>
              <w:adjustRightInd/>
              <w:spacing w:before="33" w:line="380" w:lineRule="exact"/>
              <w:ind w:left="342"/>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position w:val="1"/>
                <w:sz w:val="21"/>
                <w:szCs w:val="21"/>
                <w:highlight w:val="none"/>
                <w14:textFill>
                  <w14:solidFill>
                    <w14:schemeClr w14:val="tx1"/>
                  </w14:solidFill>
                </w14:textFill>
              </w:rPr>
              <w:t>1</w:t>
            </w:r>
            <w:r>
              <w:rPr>
                <w:rFonts w:ascii="宋体" w:hAnsi="宋体" w:eastAsia="宋体" w:cs="宋体"/>
                <w:color w:val="000000" w:themeColor="text1"/>
                <w:spacing w:val="-1"/>
                <w:position w:val="1"/>
                <w:sz w:val="21"/>
                <w:szCs w:val="21"/>
                <w:highlight w:val="none"/>
                <w14:textFill>
                  <w14:solidFill>
                    <w14:schemeClr w14:val="tx1"/>
                  </w14:solidFill>
                </w14:textFill>
              </w:rPr>
              <w:t>.0%</w:t>
            </w:r>
          </w:p>
        </w:tc>
      </w:tr>
      <w:tr w14:paraId="1AB2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93457F3">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2"/>
                <w:sz w:val="21"/>
                <w:szCs w:val="21"/>
                <w:highlight w:val="none"/>
                <w14:textFill>
                  <w14:solidFill>
                    <w14:schemeClr w14:val="tx1"/>
                  </w14:solidFill>
                </w14:textFill>
              </w:rPr>
              <w:t>1</w:t>
            </w:r>
            <w:r>
              <w:rPr>
                <w:rFonts w:ascii="宋体" w:hAnsi="宋体" w:eastAsia="宋体" w:cs="宋体"/>
                <w:color w:val="000000" w:themeColor="text1"/>
                <w:spacing w:val="8"/>
                <w:sz w:val="21"/>
                <w:szCs w:val="21"/>
                <w:highlight w:val="none"/>
                <w14:textFill>
                  <w14:solidFill>
                    <w14:schemeClr w14:val="tx1"/>
                  </w14:solidFill>
                </w14:textFill>
              </w:rPr>
              <w:t>00</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8"/>
                <w:sz w:val="21"/>
                <w:szCs w:val="21"/>
                <w:highlight w:val="none"/>
                <w14:textFill>
                  <w14:solidFill>
                    <w14:schemeClr w14:val="tx1"/>
                  </w14:solidFill>
                </w14:textFill>
              </w:rPr>
              <w:t>500 万元</w:t>
            </w:r>
          </w:p>
        </w:tc>
        <w:tc>
          <w:tcPr>
            <w:tcW w:w="1579" w:type="dxa"/>
            <w:vAlign w:val="center"/>
          </w:tcPr>
          <w:p w14:paraId="0D51D7A3">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
                <w:position w:val="1"/>
                <w:sz w:val="21"/>
                <w:szCs w:val="21"/>
                <w:highlight w:val="none"/>
                <w14:textFill>
                  <w14:solidFill>
                    <w14:schemeClr w14:val="tx1"/>
                  </w14:solidFill>
                </w14:textFill>
              </w:rPr>
              <w:t>1.1</w:t>
            </w:r>
            <w:r>
              <w:rPr>
                <w:rFonts w:ascii="宋体" w:hAnsi="宋体" w:eastAsia="宋体" w:cs="宋体"/>
                <w:color w:val="000000" w:themeColor="text1"/>
                <w:position w:val="1"/>
                <w:sz w:val="21"/>
                <w:szCs w:val="21"/>
                <w:highlight w:val="none"/>
                <w14:textFill>
                  <w14:solidFill>
                    <w14:schemeClr w14:val="tx1"/>
                  </w14:solidFill>
                </w14:textFill>
              </w:rPr>
              <w:t>%</w:t>
            </w:r>
          </w:p>
        </w:tc>
        <w:tc>
          <w:tcPr>
            <w:tcW w:w="1579" w:type="dxa"/>
            <w:vAlign w:val="center"/>
          </w:tcPr>
          <w:p w14:paraId="1E7E2E36">
            <w:pPr>
              <w:keepNext w:val="0"/>
              <w:keepLines w:val="0"/>
              <w:pageBreakBefore w:val="0"/>
              <w:widowControl w:val="0"/>
              <w:kinsoku/>
              <w:wordWrap/>
              <w:overflowPunct/>
              <w:topLinePunct w:val="0"/>
              <w:autoSpaceDE/>
              <w:autoSpaceDN/>
              <w:bidi w:val="0"/>
              <w:adjustRightInd/>
              <w:spacing w:before="33"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0.8</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81" w:type="dxa"/>
            <w:vAlign w:val="center"/>
          </w:tcPr>
          <w:p w14:paraId="3E2BBA7B">
            <w:pPr>
              <w:keepNext w:val="0"/>
              <w:keepLines w:val="0"/>
              <w:pageBreakBefore w:val="0"/>
              <w:widowControl w:val="0"/>
              <w:kinsoku/>
              <w:wordWrap/>
              <w:overflowPunct/>
              <w:topLinePunct w:val="0"/>
              <w:autoSpaceDE/>
              <w:autoSpaceDN/>
              <w:bidi w:val="0"/>
              <w:adjustRightInd/>
              <w:spacing w:before="33" w:line="380" w:lineRule="exact"/>
              <w:ind w:left="32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w:t>
            </w:r>
            <w:r>
              <w:rPr>
                <w:rFonts w:ascii="宋体" w:hAnsi="宋体" w:eastAsia="宋体" w:cs="宋体"/>
                <w:color w:val="000000" w:themeColor="text1"/>
                <w:spacing w:val="2"/>
                <w:position w:val="1"/>
                <w:sz w:val="21"/>
                <w:szCs w:val="21"/>
                <w:highlight w:val="none"/>
                <w14:textFill>
                  <w14:solidFill>
                    <w14:schemeClr w14:val="tx1"/>
                  </w14:solidFill>
                </w14:textFill>
              </w:rPr>
              <w:t>.7%</w:t>
            </w:r>
          </w:p>
        </w:tc>
      </w:tr>
      <w:tr w14:paraId="33BB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97E7015">
            <w:pPr>
              <w:keepNext w:val="0"/>
              <w:keepLines w:val="0"/>
              <w:pageBreakBefore w:val="0"/>
              <w:widowControl w:val="0"/>
              <w:kinsoku/>
              <w:wordWrap/>
              <w:overflowPunct/>
              <w:topLinePunct w:val="0"/>
              <w:autoSpaceDE/>
              <w:autoSpaceDN/>
              <w:bidi w:val="0"/>
              <w:adjustRightInd/>
              <w:spacing w:before="32" w:line="380" w:lineRule="exact"/>
              <w:ind w:left="120"/>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1"/>
                <w:sz w:val="21"/>
                <w:szCs w:val="21"/>
                <w:highlight w:val="none"/>
                <w14:textFill>
                  <w14:solidFill>
                    <w14:schemeClr w14:val="tx1"/>
                  </w14:solidFill>
                </w14:textFill>
              </w:rPr>
              <w:t>5</w:t>
            </w:r>
            <w:r>
              <w:rPr>
                <w:rFonts w:ascii="宋体" w:hAnsi="宋体" w:eastAsia="宋体" w:cs="宋体"/>
                <w:color w:val="000000" w:themeColor="text1"/>
                <w:spacing w:val="9"/>
                <w:sz w:val="21"/>
                <w:szCs w:val="21"/>
                <w:highlight w:val="none"/>
                <w14:textFill>
                  <w14:solidFill>
                    <w14:schemeClr w14:val="tx1"/>
                  </w14:solidFill>
                </w14:textFill>
              </w:rPr>
              <w:t>00</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9"/>
                <w:sz w:val="21"/>
                <w:szCs w:val="21"/>
                <w:highlight w:val="none"/>
                <w14:textFill>
                  <w14:solidFill>
                    <w14:schemeClr w14:val="tx1"/>
                  </w14:solidFill>
                </w14:textFill>
              </w:rPr>
              <w:t>1000 万元</w:t>
            </w:r>
          </w:p>
        </w:tc>
        <w:tc>
          <w:tcPr>
            <w:tcW w:w="1579" w:type="dxa"/>
            <w:vAlign w:val="center"/>
          </w:tcPr>
          <w:p w14:paraId="147B1FA1">
            <w:pPr>
              <w:keepNext w:val="0"/>
              <w:keepLines w:val="0"/>
              <w:pageBreakBefore w:val="0"/>
              <w:widowControl w:val="0"/>
              <w:kinsoku/>
              <w:wordWrap/>
              <w:overflowPunct/>
              <w:topLinePunct w:val="0"/>
              <w:autoSpaceDE/>
              <w:autoSpaceDN/>
              <w:bidi w:val="0"/>
              <w:adjustRightInd/>
              <w:spacing w:before="32" w:line="380" w:lineRule="exact"/>
              <w:ind w:left="325"/>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0.8</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79" w:type="dxa"/>
            <w:vAlign w:val="center"/>
          </w:tcPr>
          <w:p w14:paraId="41374524">
            <w:pPr>
              <w:keepNext w:val="0"/>
              <w:keepLines w:val="0"/>
              <w:pageBreakBefore w:val="0"/>
              <w:widowControl w:val="0"/>
              <w:kinsoku/>
              <w:wordWrap/>
              <w:overflowPunct/>
              <w:topLinePunct w:val="0"/>
              <w:autoSpaceDE/>
              <w:autoSpaceDN/>
              <w:bidi w:val="0"/>
              <w:adjustRightInd/>
              <w:spacing w:before="32"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0.45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81" w:type="dxa"/>
            <w:vAlign w:val="center"/>
          </w:tcPr>
          <w:p w14:paraId="4039C74F">
            <w:pPr>
              <w:keepNext w:val="0"/>
              <w:keepLines w:val="0"/>
              <w:pageBreakBefore w:val="0"/>
              <w:widowControl w:val="0"/>
              <w:kinsoku/>
              <w:wordWrap/>
              <w:overflowPunct/>
              <w:topLinePunct w:val="0"/>
              <w:autoSpaceDE/>
              <w:autoSpaceDN/>
              <w:bidi w:val="0"/>
              <w:adjustRightInd/>
              <w:spacing w:before="32" w:line="380" w:lineRule="exact"/>
              <w:ind w:left="32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0.55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r>
      <w:tr w14:paraId="5734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5FC8754">
            <w:pPr>
              <w:keepNext w:val="0"/>
              <w:keepLines w:val="0"/>
              <w:pageBreakBefore w:val="0"/>
              <w:widowControl w:val="0"/>
              <w:kinsoku/>
              <w:wordWrap/>
              <w:overflowPunct/>
              <w:topLinePunct w:val="0"/>
              <w:autoSpaceDE/>
              <w:autoSpaceDN/>
              <w:bidi w:val="0"/>
              <w:adjustRightInd/>
              <w:spacing w:before="32" w:line="380" w:lineRule="exact"/>
              <w:ind w:left="131"/>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8"/>
                <w:sz w:val="21"/>
                <w:szCs w:val="21"/>
                <w:highlight w:val="none"/>
                <w14:textFill>
                  <w14:solidFill>
                    <w14:schemeClr w14:val="tx1"/>
                  </w14:solidFill>
                </w14:textFill>
              </w:rPr>
              <w:t>1000</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8"/>
                <w:sz w:val="21"/>
                <w:szCs w:val="21"/>
                <w:highlight w:val="none"/>
                <w14:textFill>
                  <w14:solidFill>
                    <w14:schemeClr w14:val="tx1"/>
                  </w14:solidFill>
                </w14:textFill>
              </w:rPr>
              <w:t>5000万</w:t>
            </w:r>
            <w:r>
              <w:rPr>
                <w:rFonts w:ascii="宋体" w:hAnsi="宋体" w:eastAsia="宋体" w:cs="宋体"/>
                <w:color w:val="000000" w:themeColor="text1"/>
                <w:spacing w:val="7"/>
                <w:sz w:val="21"/>
                <w:szCs w:val="21"/>
                <w:highlight w:val="none"/>
                <w14:textFill>
                  <w14:solidFill>
                    <w14:schemeClr w14:val="tx1"/>
                  </w14:solidFill>
                </w14:textFill>
              </w:rPr>
              <w:t>元</w:t>
            </w:r>
          </w:p>
        </w:tc>
        <w:tc>
          <w:tcPr>
            <w:tcW w:w="1579" w:type="dxa"/>
            <w:vAlign w:val="center"/>
          </w:tcPr>
          <w:p w14:paraId="185475F7">
            <w:pPr>
              <w:keepNext w:val="0"/>
              <w:keepLines w:val="0"/>
              <w:pageBreakBefore w:val="0"/>
              <w:widowControl w:val="0"/>
              <w:kinsoku/>
              <w:wordWrap/>
              <w:overflowPunct/>
              <w:topLinePunct w:val="0"/>
              <w:autoSpaceDE/>
              <w:autoSpaceDN/>
              <w:bidi w:val="0"/>
              <w:adjustRightInd/>
              <w:spacing w:before="32" w:line="380" w:lineRule="exact"/>
              <w:ind w:left="325"/>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79" w:type="dxa"/>
            <w:vAlign w:val="center"/>
          </w:tcPr>
          <w:p w14:paraId="37275134">
            <w:pPr>
              <w:keepNext w:val="0"/>
              <w:keepLines w:val="0"/>
              <w:pageBreakBefore w:val="0"/>
              <w:widowControl w:val="0"/>
              <w:kinsoku/>
              <w:wordWrap/>
              <w:overflowPunct/>
              <w:topLinePunct w:val="0"/>
              <w:autoSpaceDE/>
              <w:autoSpaceDN/>
              <w:bidi w:val="0"/>
              <w:adjustRightInd/>
              <w:spacing w:before="32"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0.25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81" w:type="dxa"/>
            <w:vAlign w:val="center"/>
          </w:tcPr>
          <w:p w14:paraId="38B39663">
            <w:pPr>
              <w:keepNext w:val="0"/>
              <w:keepLines w:val="0"/>
              <w:pageBreakBefore w:val="0"/>
              <w:widowControl w:val="0"/>
              <w:kinsoku/>
              <w:wordWrap/>
              <w:overflowPunct/>
              <w:topLinePunct w:val="0"/>
              <w:autoSpaceDE/>
              <w:autoSpaceDN/>
              <w:bidi w:val="0"/>
              <w:adjustRightInd/>
              <w:spacing w:before="32" w:line="380" w:lineRule="exact"/>
              <w:ind w:left="32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0.35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r>
      <w:tr w14:paraId="721A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3306BC3">
            <w:pPr>
              <w:keepNext w:val="0"/>
              <w:keepLines w:val="0"/>
              <w:pageBreakBefore w:val="0"/>
              <w:widowControl w:val="0"/>
              <w:kinsoku/>
              <w:wordWrap/>
              <w:overflowPunct/>
              <w:topLinePunct w:val="0"/>
              <w:autoSpaceDE/>
              <w:autoSpaceDN/>
              <w:bidi w:val="0"/>
              <w:adjustRightInd/>
              <w:spacing w:before="34" w:line="380" w:lineRule="exact"/>
              <w:ind w:left="120"/>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0"/>
                <w:sz w:val="21"/>
                <w:szCs w:val="21"/>
                <w:highlight w:val="none"/>
                <w14:textFill>
                  <w14:solidFill>
                    <w14:schemeClr w14:val="tx1"/>
                  </w14:solidFill>
                </w14:textFill>
              </w:rPr>
              <w:t>5</w:t>
            </w:r>
            <w:r>
              <w:rPr>
                <w:rFonts w:ascii="宋体" w:hAnsi="宋体" w:eastAsia="宋体" w:cs="宋体"/>
                <w:color w:val="000000" w:themeColor="text1"/>
                <w:spacing w:val="5"/>
                <w:sz w:val="21"/>
                <w:szCs w:val="21"/>
                <w:highlight w:val="none"/>
                <w14:textFill>
                  <w14:solidFill>
                    <w14:schemeClr w14:val="tx1"/>
                  </w14:solidFill>
                </w14:textFill>
              </w:rPr>
              <w:t>000万元</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5"/>
                <w:sz w:val="21"/>
                <w:szCs w:val="21"/>
                <w:highlight w:val="none"/>
                <w14:textFill>
                  <w14:solidFill>
                    <w14:schemeClr w14:val="tx1"/>
                  </w14:solidFill>
                </w14:textFill>
              </w:rPr>
              <w:t>1亿元</w:t>
            </w:r>
          </w:p>
        </w:tc>
        <w:tc>
          <w:tcPr>
            <w:tcW w:w="1579" w:type="dxa"/>
            <w:vAlign w:val="center"/>
          </w:tcPr>
          <w:p w14:paraId="21127617">
            <w:pPr>
              <w:keepNext w:val="0"/>
              <w:keepLines w:val="0"/>
              <w:pageBreakBefore w:val="0"/>
              <w:widowControl w:val="0"/>
              <w:kinsoku/>
              <w:wordWrap/>
              <w:overflowPunct/>
              <w:topLinePunct w:val="0"/>
              <w:autoSpaceDE/>
              <w:autoSpaceDN/>
              <w:bidi w:val="0"/>
              <w:adjustRightInd/>
              <w:spacing w:before="34" w:line="380" w:lineRule="exact"/>
              <w:ind w:left="325"/>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0.25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79" w:type="dxa"/>
            <w:vAlign w:val="center"/>
          </w:tcPr>
          <w:p w14:paraId="299D6996">
            <w:pPr>
              <w:keepNext w:val="0"/>
              <w:keepLines w:val="0"/>
              <w:pageBreakBefore w:val="0"/>
              <w:widowControl w:val="0"/>
              <w:kinsoku/>
              <w:wordWrap/>
              <w:overflowPunct/>
              <w:topLinePunct w:val="0"/>
              <w:autoSpaceDE/>
              <w:autoSpaceDN/>
              <w:bidi w:val="0"/>
              <w:adjustRightInd/>
              <w:spacing w:before="34"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0.1</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81" w:type="dxa"/>
            <w:vAlign w:val="center"/>
          </w:tcPr>
          <w:p w14:paraId="1EAF3DA3">
            <w:pPr>
              <w:keepNext w:val="0"/>
              <w:keepLines w:val="0"/>
              <w:pageBreakBefore w:val="0"/>
              <w:widowControl w:val="0"/>
              <w:kinsoku/>
              <w:wordWrap/>
              <w:overflowPunct/>
              <w:topLinePunct w:val="0"/>
              <w:autoSpaceDE/>
              <w:autoSpaceDN/>
              <w:bidi w:val="0"/>
              <w:adjustRightInd/>
              <w:spacing w:before="34" w:line="380" w:lineRule="exact"/>
              <w:ind w:left="32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w:t>
            </w:r>
            <w:r>
              <w:rPr>
                <w:rFonts w:ascii="宋体" w:hAnsi="宋体" w:eastAsia="宋体" w:cs="宋体"/>
                <w:color w:val="000000" w:themeColor="text1"/>
                <w:spacing w:val="2"/>
                <w:position w:val="1"/>
                <w:sz w:val="21"/>
                <w:szCs w:val="21"/>
                <w:highlight w:val="none"/>
                <w14:textFill>
                  <w14:solidFill>
                    <w14:schemeClr w14:val="tx1"/>
                  </w14:solidFill>
                </w14:textFill>
              </w:rPr>
              <w:t>.2%</w:t>
            </w:r>
          </w:p>
        </w:tc>
      </w:tr>
      <w:tr w14:paraId="142F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7BC3CFD">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4"/>
                <w:sz w:val="21"/>
                <w:szCs w:val="21"/>
                <w:highlight w:val="none"/>
                <w14:textFill>
                  <w14:solidFill>
                    <w14:schemeClr w14:val="tx1"/>
                  </w14:solidFill>
                </w14:textFill>
              </w:rPr>
              <w:t>1</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10"/>
                <w:sz w:val="21"/>
                <w:szCs w:val="21"/>
                <w:highlight w:val="none"/>
                <w14:textFill>
                  <w14:solidFill>
                    <w14:schemeClr w14:val="tx1"/>
                  </w14:solidFill>
                </w14:textFill>
              </w:rPr>
              <w:t>5亿元</w:t>
            </w:r>
          </w:p>
        </w:tc>
        <w:tc>
          <w:tcPr>
            <w:tcW w:w="1579" w:type="dxa"/>
            <w:vAlign w:val="center"/>
          </w:tcPr>
          <w:p w14:paraId="5C59B51C">
            <w:pPr>
              <w:keepNext w:val="0"/>
              <w:keepLines w:val="0"/>
              <w:pageBreakBefore w:val="0"/>
              <w:widowControl w:val="0"/>
              <w:kinsoku/>
              <w:wordWrap/>
              <w:overflowPunct/>
              <w:topLinePunct w:val="0"/>
              <w:autoSpaceDE/>
              <w:autoSpaceDN/>
              <w:bidi w:val="0"/>
              <w:adjustRightInd/>
              <w:spacing w:before="33" w:line="380" w:lineRule="exact"/>
              <w:ind w:left="325"/>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0.05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79" w:type="dxa"/>
            <w:vAlign w:val="center"/>
          </w:tcPr>
          <w:p w14:paraId="6963C307">
            <w:pPr>
              <w:keepNext w:val="0"/>
              <w:keepLines w:val="0"/>
              <w:pageBreakBefore w:val="0"/>
              <w:widowControl w:val="0"/>
              <w:kinsoku/>
              <w:wordWrap/>
              <w:overflowPunct/>
              <w:topLinePunct w:val="0"/>
              <w:autoSpaceDE/>
              <w:autoSpaceDN/>
              <w:bidi w:val="0"/>
              <w:adjustRightInd/>
              <w:spacing w:before="33"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0.05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c>
          <w:tcPr>
            <w:tcW w:w="1581" w:type="dxa"/>
            <w:vAlign w:val="center"/>
          </w:tcPr>
          <w:p w14:paraId="3680AE7E">
            <w:pPr>
              <w:keepNext w:val="0"/>
              <w:keepLines w:val="0"/>
              <w:pageBreakBefore w:val="0"/>
              <w:widowControl w:val="0"/>
              <w:kinsoku/>
              <w:wordWrap/>
              <w:overflowPunct/>
              <w:topLinePunct w:val="0"/>
              <w:autoSpaceDE/>
              <w:autoSpaceDN/>
              <w:bidi w:val="0"/>
              <w:adjustRightInd/>
              <w:spacing w:before="33" w:line="380" w:lineRule="exact"/>
              <w:ind w:left="328"/>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1"/>
                <w:sz w:val="21"/>
                <w:szCs w:val="21"/>
                <w:highlight w:val="none"/>
                <w14:textFill>
                  <w14:solidFill>
                    <w14:schemeClr w14:val="tx1"/>
                  </w14:solidFill>
                </w14:textFill>
              </w:rPr>
              <w:t>0.05</w:t>
            </w:r>
            <w:r>
              <w:rPr>
                <w:rFonts w:ascii="宋体" w:hAnsi="宋体" w:eastAsia="宋体" w:cs="宋体"/>
                <w:color w:val="000000" w:themeColor="text1"/>
                <w:spacing w:val="2"/>
                <w:position w:val="1"/>
                <w:sz w:val="21"/>
                <w:szCs w:val="21"/>
                <w:highlight w:val="none"/>
                <w14:textFill>
                  <w14:solidFill>
                    <w14:schemeClr w14:val="tx1"/>
                  </w14:solidFill>
                </w14:textFill>
              </w:rPr>
              <w:t>%</w:t>
            </w:r>
          </w:p>
        </w:tc>
      </w:tr>
      <w:tr w14:paraId="3742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20E3388B">
            <w:pPr>
              <w:keepNext w:val="0"/>
              <w:keepLines w:val="0"/>
              <w:pageBreakBefore w:val="0"/>
              <w:widowControl w:val="0"/>
              <w:kinsoku/>
              <w:wordWrap/>
              <w:overflowPunct/>
              <w:topLinePunct w:val="0"/>
              <w:autoSpaceDE/>
              <w:autoSpaceDN/>
              <w:bidi w:val="0"/>
              <w:adjustRightInd/>
              <w:spacing w:before="36" w:line="380" w:lineRule="exact"/>
              <w:ind w:left="120"/>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5"/>
                <w:sz w:val="21"/>
                <w:szCs w:val="21"/>
                <w:highlight w:val="none"/>
                <w14:textFill>
                  <w14:solidFill>
                    <w14:schemeClr w14:val="tx1"/>
                  </w14:solidFill>
                </w14:textFill>
              </w:rPr>
              <w:t>5</w:t>
            </w:r>
            <w:r>
              <w:rPr>
                <w:rFonts w:hint="eastAsia" w:ascii="宋体" w:hAnsi="宋体" w:cs="宋体"/>
                <w:color w:val="000000" w:themeColor="text1"/>
                <w:spacing w:val="8"/>
                <w:sz w:val="21"/>
                <w:szCs w:val="21"/>
                <w:highlight w:val="none"/>
                <w:lang w:eastAsia="zh-CN"/>
                <w14:textFill>
                  <w14:solidFill>
                    <w14:schemeClr w14:val="tx1"/>
                  </w14:solidFill>
                </w14:textFill>
              </w:rPr>
              <w:t>～</w:t>
            </w:r>
            <w:r>
              <w:rPr>
                <w:rFonts w:ascii="宋体" w:hAnsi="宋体" w:eastAsia="宋体" w:cs="宋体"/>
                <w:color w:val="000000" w:themeColor="text1"/>
                <w:spacing w:val="11"/>
                <w:sz w:val="21"/>
                <w:szCs w:val="21"/>
                <w:highlight w:val="none"/>
                <w14:textFill>
                  <w14:solidFill>
                    <w14:schemeClr w14:val="tx1"/>
                  </w14:solidFill>
                </w14:textFill>
              </w:rPr>
              <w:t>10亿元</w:t>
            </w:r>
          </w:p>
        </w:tc>
        <w:tc>
          <w:tcPr>
            <w:tcW w:w="1579" w:type="dxa"/>
            <w:vAlign w:val="center"/>
          </w:tcPr>
          <w:p w14:paraId="11DB51AA">
            <w:pPr>
              <w:keepNext w:val="0"/>
              <w:keepLines w:val="0"/>
              <w:pageBreakBefore w:val="0"/>
              <w:widowControl w:val="0"/>
              <w:kinsoku/>
              <w:wordWrap/>
              <w:overflowPunct/>
              <w:topLinePunct w:val="0"/>
              <w:autoSpaceDE/>
              <w:autoSpaceDN/>
              <w:bidi w:val="0"/>
              <w:adjustRightInd/>
              <w:spacing w:before="36" w:line="380" w:lineRule="exact"/>
              <w:ind w:left="22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5"/>
                <w:position w:val="1"/>
                <w:sz w:val="21"/>
                <w:szCs w:val="21"/>
                <w:highlight w:val="none"/>
                <w14:textFill>
                  <w14:solidFill>
                    <w14:schemeClr w14:val="tx1"/>
                  </w14:solidFill>
                </w14:textFill>
              </w:rPr>
              <w:t>0</w:t>
            </w:r>
            <w:r>
              <w:rPr>
                <w:rFonts w:ascii="宋体" w:hAnsi="宋体" w:eastAsia="宋体" w:cs="宋体"/>
                <w:color w:val="000000" w:themeColor="text1"/>
                <w:spacing w:val="3"/>
                <w:position w:val="1"/>
                <w:sz w:val="21"/>
                <w:szCs w:val="21"/>
                <w:highlight w:val="none"/>
                <w14:textFill>
                  <w14:solidFill>
                    <w14:schemeClr w14:val="tx1"/>
                  </w14:solidFill>
                </w14:textFill>
              </w:rPr>
              <w:t>.035%</w:t>
            </w:r>
          </w:p>
        </w:tc>
        <w:tc>
          <w:tcPr>
            <w:tcW w:w="1579" w:type="dxa"/>
            <w:vAlign w:val="center"/>
          </w:tcPr>
          <w:p w14:paraId="52EF669F">
            <w:pPr>
              <w:keepNext w:val="0"/>
              <w:keepLines w:val="0"/>
              <w:pageBreakBefore w:val="0"/>
              <w:widowControl w:val="0"/>
              <w:kinsoku/>
              <w:wordWrap/>
              <w:overflowPunct/>
              <w:topLinePunct w:val="0"/>
              <w:autoSpaceDE/>
              <w:autoSpaceDN/>
              <w:bidi w:val="0"/>
              <w:adjustRightInd/>
              <w:spacing w:before="36" w:line="380" w:lineRule="exact"/>
              <w:ind w:left="326"/>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5"/>
                <w:position w:val="1"/>
                <w:sz w:val="21"/>
                <w:szCs w:val="21"/>
                <w:highlight w:val="none"/>
                <w14:textFill>
                  <w14:solidFill>
                    <w14:schemeClr w14:val="tx1"/>
                  </w14:solidFill>
                </w14:textFill>
              </w:rPr>
              <w:t>0</w:t>
            </w:r>
            <w:r>
              <w:rPr>
                <w:rFonts w:ascii="宋体" w:hAnsi="宋体" w:eastAsia="宋体" w:cs="宋体"/>
                <w:color w:val="000000" w:themeColor="text1"/>
                <w:spacing w:val="3"/>
                <w:position w:val="1"/>
                <w:sz w:val="21"/>
                <w:szCs w:val="21"/>
                <w:highlight w:val="none"/>
                <w14:textFill>
                  <w14:solidFill>
                    <w14:schemeClr w14:val="tx1"/>
                  </w14:solidFill>
                </w14:textFill>
              </w:rPr>
              <w:t>.035%</w:t>
            </w:r>
          </w:p>
        </w:tc>
        <w:tc>
          <w:tcPr>
            <w:tcW w:w="1581" w:type="dxa"/>
            <w:vAlign w:val="center"/>
          </w:tcPr>
          <w:p w14:paraId="311EA087">
            <w:pPr>
              <w:keepNext w:val="0"/>
              <w:keepLines w:val="0"/>
              <w:pageBreakBefore w:val="0"/>
              <w:widowControl w:val="0"/>
              <w:kinsoku/>
              <w:wordWrap/>
              <w:overflowPunct/>
              <w:topLinePunct w:val="0"/>
              <w:autoSpaceDE/>
              <w:autoSpaceDN/>
              <w:bidi w:val="0"/>
              <w:adjustRightInd/>
              <w:spacing w:before="36" w:line="380" w:lineRule="exact"/>
              <w:ind w:left="223"/>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5"/>
                <w:position w:val="1"/>
                <w:sz w:val="21"/>
                <w:szCs w:val="21"/>
                <w:highlight w:val="none"/>
                <w14:textFill>
                  <w14:solidFill>
                    <w14:schemeClr w14:val="tx1"/>
                  </w14:solidFill>
                </w14:textFill>
              </w:rPr>
              <w:t>0</w:t>
            </w:r>
            <w:r>
              <w:rPr>
                <w:rFonts w:ascii="宋体" w:hAnsi="宋体" w:eastAsia="宋体" w:cs="宋体"/>
                <w:color w:val="000000" w:themeColor="text1"/>
                <w:spacing w:val="3"/>
                <w:position w:val="1"/>
                <w:sz w:val="21"/>
                <w:szCs w:val="21"/>
                <w:highlight w:val="none"/>
                <w14:textFill>
                  <w14:solidFill>
                    <w14:schemeClr w14:val="tx1"/>
                  </w14:solidFill>
                </w14:textFill>
              </w:rPr>
              <w:t>.035%</w:t>
            </w:r>
          </w:p>
        </w:tc>
      </w:tr>
    </w:tbl>
    <w:p w14:paraId="475789E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注：招标代理服务收费按差额定率累进法计算。</w:t>
      </w:r>
    </w:p>
    <w:p w14:paraId="3C6ACD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24.2.解释权</w:t>
      </w:r>
    </w:p>
    <w:p w14:paraId="0C137A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解释权属本采购代理机构。</w:t>
      </w:r>
    </w:p>
    <w:p w14:paraId="165133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 询问、质疑和投诉</w:t>
      </w:r>
    </w:p>
    <w:p w14:paraId="6CD311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24.3.1 供应商对政府采购活动事项有疑问的，可以向采购人、采购代理机构提出询问，采购人或者采购代理机构应当在 3个工作日内对供应商依法提出的询问作出答复。</w:t>
      </w:r>
    </w:p>
    <w:p w14:paraId="74B6561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58D77C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对可以质疑的竞争性磋商文件提出质疑的，为收到竞争性磋商文件之日或竞争性磋商公告期限届满之日；</w:t>
      </w:r>
    </w:p>
    <w:p w14:paraId="03A229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对采购过程提出质疑的，为各采购程序环节结束之日；</w:t>
      </w:r>
    </w:p>
    <w:p w14:paraId="6940B4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 对成交结果提出质疑的，为成交结果公告期限届满之日。</w:t>
      </w:r>
    </w:p>
    <w:p w14:paraId="402E9C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供应商对采购人或采购代理机构的质疑答复不满意或者采购人或采购代理机构未在规定时间内作出答复的，可以在答复期满后十五个工作日内向同级采购监管部门投诉。</w:t>
      </w:r>
    </w:p>
    <w:p w14:paraId="1D3630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442056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ECD05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p>
    <w:p w14:paraId="5BA4AC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供应商的姓名或者名称、地址、邮编、联系人及联系电话；</w:t>
      </w:r>
    </w:p>
    <w:p w14:paraId="00F3AD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质疑项目的名称、编号；</w:t>
      </w:r>
    </w:p>
    <w:p w14:paraId="00E1ED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 具体、明确的质疑事项和与质疑事项相关的请求；</w:t>
      </w:r>
    </w:p>
    <w:p w14:paraId="3BE9DA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(4) 事实依据；</w:t>
      </w:r>
    </w:p>
    <w:p w14:paraId="575C68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(5) 必要的法律依据；</w:t>
      </w:r>
    </w:p>
    <w:p w14:paraId="428F95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(6) 提出质疑的日期。</w:t>
      </w:r>
    </w:p>
    <w:p w14:paraId="1AC1EF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4A6F66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24.3.5 采购人、采购代理机构认为供应商质疑不成立，或者成立但未对成交结果构成影响的，继续开展采购活动；认为供应商质疑成立且影响或者可能影响成交结果的，按照下列情况处理：</w:t>
      </w:r>
    </w:p>
    <w:p w14:paraId="3E13D3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 对竞争性磋商文件提出的质疑，依法通过澄清或者修改可以继续开展采购活动的，澄清或者修改竞争性磋商文件后继续开展采购活动；否则应当在修改竞争性磋商文件后重新开展采购活动。</w:t>
      </w:r>
    </w:p>
    <w:p w14:paraId="04D5F6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 对采购过程、成交结果提出的质疑，合格供应商符合法定数量时，可以从合格的成交候选人中另行确定成交供应商的，应当依法另行确定成交供应商；否则应当重新开展采购活动。</w:t>
      </w:r>
    </w:p>
    <w:p w14:paraId="2F7F26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质疑答复导致成交结果改变的，采购人或者采购代理机构应当将有关情况书面报告本级财政部门。</w:t>
      </w:r>
    </w:p>
    <w:p w14:paraId="33B1993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39678B8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所有与本磋商文件有关的函件请按下列通讯地址联系：</w:t>
      </w:r>
    </w:p>
    <w:p w14:paraId="45D62F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000000" w:themeColor="text1"/>
          <w:szCs w:val="21"/>
          <w:highlight w:val="none"/>
          <w:lang w:eastAsia="zh-CN"/>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通讯地址：</w:t>
      </w:r>
      <w:r>
        <w:rPr>
          <w:rFonts w:hint="eastAsia" w:ascii="宋体" w:hAnsi="宋体" w:cs="宋体"/>
          <w:b w:val="0"/>
          <w:bCs/>
          <w:color w:val="000000" w:themeColor="text1"/>
          <w:szCs w:val="21"/>
          <w:highlight w:val="none"/>
          <w:lang w:eastAsia="zh-CN"/>
          <w14:textFill>
            <w14:solidFill>
              <w14:schemeClr w14:val="tx1"/>
            </w14:solidFill>
          </w14:textFill>
        </w:rPr>
        <w:t>浦北县小江镇东滨路（东方丽园）9幢32号</w:t>
      </w:r>
    </w:p>
    <w:p w14:paraId="5252A6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 xml:space="preserve">电话： </w:t>
      </w:r>
      <w:r>
        <w:rPr>
          <w:rFonts w:hint="eastAsia" w:ascii="宋体" w:hAnsi="宋体" w:cs="宋体"/>
          <w:b w:val="0"/>
          <w:bCs/>
          <w:color w:val="000000" w:themeColor="text1"/>
          <w:szCs w:val="21"/>
          <w:highlight w:val="none"/>
          <w:lang w:eastAsia="zh-CN"/>
          <w14:textFill>
            <w14:solidFill>
              <w14:schemeClr w14:val="tx1"/>
            </w14:solidFill>
          </w14:textFill>
        </w:rPr>
        <w:t>0777-8331248</w:t>
      </w:r>
    </w:p>
    <w:p w14:paraId="76031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000000" w:themeColor="text1"/>
          <w:szCs w:val="21"/>
          <w:highlight w:val="none"/>
          <w14:textFill>
            <w14:solidFill>
              <w14:schemeClr w14:val="tx1"/>
            </w14:solidFill>
          </w14:textFill>
        </w:rPr>
      </w:pPr>
    </w:p>
    <w:p w14:paraId="15581C07">
      <w:pPr>
        <w:pStyle w:val="15"/>
        <w:rPr>
          <w:rFonts w:ascii="宋体" w:hAnsi="宋体" w:cs="宋体"/>
          <w:b w:val="0"/>
          <w:bCs/>
          <w:color w:val="000000" w:themeColor="text1"/>
          <w:szCs w:val="21"/>
          <w:highlight w:val="none"/>
          <w14:textFill>
            <w14:solidFill>
              <w14:schemeClr w14:val="tx1"/>
            </w14:solidFill>
          </w14:textFill>
        </w:rPr>
      </w:pPr>
    </w:p>
    <w:p w14:paraId="31E2D727">
      <w:pPr>
        <w:pStyle w:val="15"/>
        <w:rPr>
          <w:rFonts w:ascii="宋体" w:hAnsi="宋体" w:cs="宋体"/>
          <w:b w:val="0"/>
          <w:bCs/>
          <w:color w:val="000000" w:themeColor="text1"/>
          <w:szCs w:val="21"/>
          <w:highlight w:val="none"/>
          <w14:textFill>
            <w14:solidFill>
              <w14:schemeClr w14:val="tx1"/>
            </w14:solidFill>
          </w14:textFill>
        </w:rPr>
      </w:pPr>
    </w:p>
    <w:p w14:paraId="5A26EF51">
      <w:pPr>
        <w:pStyle w:val="15"/>
        <w:rPr>
          <w:rFonts w:ascii="宋体" w:hAnsi="宋体" w:cs="宋体"/>
          <w:b w:val="0"/>
          <w:bCs/>
          <w:color w:val="000000" w:themeColor="text1"/>
          <w:szCs w:val="21"/>
          <w:highlight w:val="none"/>
          <w14:textFill>
            <w14:solidFill>
              <w14:schemeClr w14:val="tx1"/>
            </w14:solidFill>
          </w14:textFill>
        </w:rPr>
      </w:pPr>
    </w:p>
    <w:p w14:paraId="3F8EC70F">
      <w:pPr>
        <w:pStyle w:val="15"/>
        <w:rPr>
          <w:rFonts w:ascii="宋体" w:hAnsi="宋体" w:cs="宋体"/>
          <w:b w:val="0"/>
          <w:bCs/>
          <w:color w:val="000000" w:themeColor="text1"/>
          <w:szCs w:val="21"/>
          <w:highlight w:val="none"/>
          <w14:textFill>
            <w14:solidFill>
              <w14:schemeClr w14:val="tx1"/>
            </w14:solidFill>
          </w14:textFill>
        </w:rPr>
      </w:pPr>
    </w:p>
    <w:p w14:paraId="6CBA3BCA">
      <w:pPr>
        <w:pStyle w:val="15"/>
        <w:rPr>
          <w:rFonts w:ascii="宋体" w:hAnsi="宋体" w:cs="宋体"/>
          <w:b w:val="0"/>
          <w:bCs/>
          <w:color w:val="000000" w:themeColor="text1"/>
          <w:szCs w:val="21"/>
          <w:highlight w:val="none"/>
          <w14:textFill>
            <w14:solidFill>
              <w14:schemeClr w14:val="tx1"/>
            </w14:solidFill>
          </w14:textFill>
        </w:rPr>
      </w:pPr>
    </w:p>
    <w:p w14:paraId="520B749E">
      <w:pPr>
        <w:pStyle w:val="15"/>
        <w:rPr>
          <w:rFonts w:ascii="宋体" w:hAnsi="宋体" w:cs="宋体"/>
          <w:b w:val="0"/>
          <w:bCs/>
          <w:color w:val="000000" w:themeColor="text1"/>
          <w:szCs w:val="21"/>
          <w:highlight w:val="none"/>
          <w14:textFill>
            <w14:solidFill>
              <w14:schemeClr w14:val="tx1"/>
            </w14:solidFill>
          </w14:textFill>
        </w:rPr>
      </w:pPr>
    </w:p>
    <w:p w14:paraId="76A36CC6">
      <w:pPr>
        <w:pStyle w:val="15"/>
        <w:rPr>
          <w:rFonts w:ascii="宋体" w:hAnsi="宋体" w:cs="宋体"/>
          <w:b w:val="0"/>
          <w:bCs/>
          <w:color w:val="000000" w:themeColor="text1"/>
          <w:szCs w:val="21"/>
          <w:highlight w:val="none"/>
          <w14:textFill>
            <w14:solidFill>
              <w14:schemeClr w14:val="tx1"/>
            </w14:solidFill>
          </w14:textFill>
        </w:rPr>
      </w:pPr>
    </w:p>
    <w:p w14:paraId="0F63F555">
      <w:pPr>
        <w:pStyle w:val="15"/>
        <w:rPr>
          <w:rFonts w:ascii="宋体" w:hAnsi="宋体" w:cs="宋体"/>
          <w:b w:val="0"/>
          <w:bCs/>
          <w:color w:val="000000" w:themeColor="text1"/>
          <w:szCs w:val="21"/>
          <w:highlight w:val="none"/>
          <w14:textFill>
            <w14:solidFill>
              <w14:schemeClr w14:val="tx1"/>
            </w14:solidFill>
          </w14:textFill>
        </w:rPr>
      </w:pPr>
    </w:p>
    <w:p w14:paraId="6DB30188">
      <w:pPr>
        <w:pStyle w:val="15"/>
        <w:rPr>
          <w:rFonts w:ascii="宋体" w:hAnsi="宋体" w:cs="宋体"/>
          <w:b w:val="0"/>
          <w:bCs/>
          <w:color w:val="000000" w:themeColor="text1"/>
          <w:szCs w:val="21"/>
          <w:highlight w:val="none"/>
          <w14:textFill>
            <w14:solidFill>
              <w14:schemeClr w14:val="tx1"/>
            </w14:solidFill>
          </w14:textFill>
        </w:rPr>
      </w:pPr>
    </w:p>
    <w:p w14:paraId="6489A4D6">
      <w:pPr>
        <w:jc w:val="both"/>
        <w:outlineLvl w:val="0"/>
        <w:rPr>
          <w:rFonts w:hint="eastAsia" w:ascii="宋体" w:hAnsi="宋体" w:cs="宋体"/>
          <w:b/>
          <w:bCs/>
          <w:color w:val="000000" w:themeColor="text1"/>
          <w:spacing w:val="-14"/>
          <w:kern w:val="0"/>
          <w:position w:val="-6"/>
          <w:sz w:val="36"/>
          <w:szCs w:val="36"/>
          <w:highlight w:val="none"/>
          <w14:textFill>
            <w14:solidFill>
              <w14:schemeClr w14:val="tx1"/>
            </w14:solidFill>
          </w14:textFill>
        </w:rPr>
      </w:pPr>
      <w:bookmarkStart w:id="66" w:name="_Toc26558"/>
    </w:p>
    <w:p w14:paraId="0DE1D32C">
      <w:pPr>
        <w:rPr>
          <w:rFonts w:hint="eastAsia" w:ascii="宋体" w:hAnsi="宋体" w:cs="宋体"/>
          <w:b/>
          <w:bCs/>
          <w:color w:val="000000" w:themeColor="text1"/>
          <w:spacing w:val="-14"/>
          <w:kern w:val="0"/>
          <w:position w:val="-6"/>
          <w:sz w:val="36"/>
          <w:szCs w:val="36"/>
          <w:highlight w:val="none"/>
          <w14:textFill>
            <w14:solidFill>
              <w14:schemeClr w14:val="tx1"/>
            </w14:solidFill>
          </w14:textFill>
        </w:rPr>
      </w:pPr>
      <w:r>
        <w:rPr>
          <w:rFonts w:hint="eastAsia" w:ascii="宋体" w:hAnsi="宋体" w:cs="宋体"/>
          <w:b/>
          <w:bCs/>
          <w:color w:val="000000" w:themeColor="text1"/>
          <w:spacing w:val="-14"/>
          <w:kern w:val="0"/>
          <w:position w:val="-6"/>
          <w:sz w:val="36"/>
          <w:szCs w:val="36"/>
          <w:highlight w:val="none"/>
          <w14:textFill>
            <w14:solidFill>
              <w14:schemeClr w14:val="tx1"/>
            </w14:solidFill>
          </w14:textFill>
        </w:rPr>
        <w:br w:type="page"/>
      </w:r>
    </w:p>
    <w:p w14:paraId="25BD8A3B">
      <w:pPr>
        <w:jc w:val="center"/>
        <w:outlineLvl w:val="0"/>
        <w:rPr>
          <w:rFonts w:hint="eastAsia" w:ascii="宋体" w:hAnsi="宋体" w:cs="宋体"/>
          <w:b/>
          <w:bCs/>
          <w:color w:val="000000" w:themeColor="text1"/>
          <w:spacing w:val="-14"/>
          <w:kern w:val="0"/>
          <w:position w:val="-6"/>
          <w:sz w:val="36"/>
          <w:szCs w:val="36"/>
          <w:highlight w:val="none"/>
          <w14:textFill>
            <w14:solidFill>
              <w14:schemeClr w14:val="tx1"/>
            </w14:solidFill>
          </w14:textFill>
        </w:rPr>
      </w:pPr>
      <w:r>
        <w:rPr>
          <w:rFonts w:hint="eastAsia" w:ascii="宋体" w:hAnsi="宋体" w:cs="宋体"/>
          <w:b/>
          <w:bCs/>
          <w:color w:val="000000" w:themeColor="text1"/>
          <w:spacing w:val="-14"/>
          <w:kern w:val="0"/>
          <w:position w:val="-6"/>
          <w:sz w:val="36"/>
          <w:szCs w:val="36"/>
          <w:highlight w:val="none"/>
          <w14:textFill>
            <w14:solidFill>
              <w14:schemeClr w14:val="tx1"/>
            </w14:solidFill>
          </w14:textFill>
        </w:rPr>
        <w:t>第三章  项目基本情况及要求</w:t>
      </w:r>
      <w:bookmarkEnd w:id="66"/>
    </w:p>
    <w:p w14:paraId="070CBE3E">
      <w:pPr>
        <w:pStyle w:val="47"/>
        <w:ind w:firstLine="915"/>
        <w:rPr>
          <w:color w:val="000000" w:themeColor="text1"/>
          <w:highlight w:val="none"/>
          <w14:textFill>
            <w14:solidFill>
              <w14:schemeClr w14:val="tx1"/>
            </w14:solidFill>
          </w14:textFill>
        </w:rPr>
      </w:pPr>
    </w:p>
    <w:p w14:paraId="272C44D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2F993AB6">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.本项目需求表中带有“▲”的技术参数或要求为实质性要求，必须满足，竞标响应不得低于该技术指标或要求。</w:t>
      </w:r>
    </w:p>
    <w:p w14:paraId="73743B0B">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服务需求、</w:t>
      </w:r>
      <w:r>
        <w:rPr>
          <w:rFonts w:hint="eastAsia" w:ascii="宋体" w:hAnsi="宋体" w:cs="宋体"/>
          <w:color w:val="000000" w:themeColor="text1"/>
          <w:szCs w:val="21"/>
          <w:highlight w:val="none"/>
          <w:lang w:val="en-US" w:eastAsia="zh-CN"/>
          <w14:textFill>
            <w14:solidFill>
              <w14:schemeClr w14:val="tx1"/>
            </w14:solidFill>
          </w14:textFill>
        </w:rPr>
        <w:t>商务条款</w:t>
      </w:r>
      <w:r>
        <w:rPr>
          <w:rFonts w:hint="eastAsia" w:ascii="宋体" w:hAnsi="宋体" w:cs="宋体"/>
          <w:color w:val="000000" w:themeColor="text1"/>
          <w:szCs w:val="21"/>
          <w:highlight w:val="none"/>
          <w:lang w:eastAsia="zh-CN"/>
          <w14:textFill>
            <w14:solidFill>
              <w14:schemeClr w14:val="tx1"/>
            </w14:solidFill>
          </w14:textFill>
        </w:rPr>
        <w:t>评审中允许负偏离的非实质性条款数为</w:t>
      </w:r>
      <w:r>
        <w:rPr>
          <w:rFonts w:hint="eastAsia" w:ascii="宋体" w:hAnsi="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项。</w:t>
      </w:r>
    </w:p>
    <w:p w14:paraId="6A987F59">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供应商必须自行为其竞标产品侵犯他人的知识产权或者专利成果的行为承担相应法律责任。</w:t>
      </w:r>
    </w:p>
    <w:p w14:paraId="7291EE87">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4.供应商所竞标货物或服务如有国家相关标准、行业标准、地方标准或者其他标准、规范要求的按相关规定执行，若执行标准有修改或更新按最新版本执行。</w:t>
      </w:r>
    </w:p>
    <w:p w14:paraId="5BD39C18">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采购标的对应的中小企业划分标准所属行业：根据《关于印发中小企业划型标准规定的通知》（工信部联企业〔2011〕300号），本次采购标的属于：建筑业</w:t>
      </w:r>
    </w:p>
    <w:tbl>
      <w:tblPr>
        <w:tblStyle w:val="3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399"/>
        <w:gridCol w:w="585"/>
        <w:gridCol w:w="851"/>
        <w:gridCol w:w="4194"/>
        <w:gridCol w:w="1387"/>
      </w:tblGrid>
      <w:tr w14:paraId="43E19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6CDF94C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984" w:type="dxa"/>
            <w:gridSpan w:val="2"/>
            <w:noWrap w:val="0"/>
            <w:vAlign w:val="center"/>
          </w:tcPr>
          <w:p w14:paraId="34E916B3">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851" w:type="dxa"/>
            <w:noWrap w:val="0"/>
            <w:vAlign w:val="center"/>
          </w:tcPr>
          <w:p w14:paraId="2430E6FB">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4194" w:type="dxa"/>
            <w:noWrap w:val="0"/>
            <w:vAlign w:val="center"/>
          </w:tcPr>
          <w:p w14:paraId="6D4E98E1">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具体</w:t>
            </w:r>
            <w:r>
              <w:rPr>
                <w:rFonts w:hint="eastAsia" w:ascii="宋体" w:hAnsi="宋体" w:cs="宋体"/>
                <w:color w:val="000000" w:themeColor="text1"/>
                <w:szCs w:val="21"/>
                <w:highlight w:val="none"/>
                <w14:textFill>
                  <w14:solidFill>
                    <w14:schemeClr w14:val="tx1"/>
                  </w14:solidFill>
                </w14:textFill>
              </w:rPr>
              <w:t>要求</w:t>
            </w:r>
          </w:p>
        </w:tc>
        <w:tc>
          <w:tcPr>
            <w:tcW w:w="1387" w:type="dxa"/>
            <w:noWrap w:val="0"/>
            <w:vAlign w:val="center"/>
          </w:tcPr>
          <w:p w14:paraId="798D3C7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最高限价（元）</w:t>
            </w:r>
          </w:p>
        </w:tc>
      </w:tr>
      <w:tr w14:paraId="667E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89" w:type="dxa"/>
            <w:noWrap w:val="0"/>
            <w:vAlign w:val="center"/>
          </w:tcPr>
          <w:p w14:paraId="0C52B7F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84" w:type="dxa"/>
            <w:gridSpan w:val="2"/>
            <w:noWrap w:val="0"/>
            <w:vAlign w:val="center"/>
          </w:tcPr>
          <w:p w14:paraId="2390079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eastAsia="zh-CN"/>
                <w14:textFill>
                  <w14:solidFill>
                    <w14:schemeClr w14:val="tx1"/>
                  </w14:solidFill>
                </w14:textFill>
              </w:rPr>
              <w:t>浦北县六硍镇南进城路口扩宽建设挡土墙工程项目(二期）</w:t>
            </w:r>
          </w:p>
        </w:tc>
        <w:tc>
          <w:tcPr>
            <w:tcW w:w="851" w:type="dxa"/>
            <w:noWrap w:val="0"/>
            <w:vAlign w:val="center"/>
          </w:tcPr>
          <w:p w14:paraId="04E1150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4194" w:type="dxa"/>
            <w:noWrap w:val="0"/>
            <w:vAlign w:val="center"/>
          </w:tcPr>
          <w:p w14:paraId="62577440">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、工程概况：</w:t>
            </w:r>
            <w:r>
              <w:rPr>
                <w:rFonts w:hint="eastAsia" w:ascii="宋体" w:hAnsi="宋体" w:cs="宋体"/>
                <w:color w:val="000000" w:themeColor="text1"/>
                <w:szCs w:val="21"/>
                <w:highlight w:val="none"/>
                <w:lang w:eastAsia="zh-CN"/>
                <w14:textFill>
                  <w14:solidFill>
                    <w14:schemeClr w14:val="tx1"/>
                  </w14:solidFill>
                </w14:textFill>
              </w:rPr>
              <w:t>本项目位于广西钦州市浦北县六硍镇，项目主要建设挡土墙等内容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具体详见工程量清单及图纸。</w:t>
            </w:r>
          </w:p>
          <w:p w14:paraId="147EE097">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、工程质量要求：达到国家施工验收规范合格标准要求。</w:t>
            </w:r>
          </w:p>
          <w:p w14:paraId="54D471F9">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、具体需求</w:t>
            </w:r>
            <w:r>
              <w:rPr>
                <w:rFonts w:hint="eastAsia" w:ascii="宋体" w:hAnsi="宋体" w:cs="宋体"/>
                <w:color w:val="000000" w:themeColor="text1"/>
                <w:szCs w:val="21"/>
                <w:highlight w:val="none"/>
                <w14:textFill>
                  <w14:solidFill>
                    <w14:schemeClr w14:val="tx1"/>
                  </w14:solidFill>
                </w14:textFill>
              </w:rPr>
              <w:t>内容</w:t>
            </w:r>
            <w:r>
              <w:rPr>
                <w:rFonts w:hint="eastAsia" w:ascii="宋体" w:hAnsi="宋体" w:cs="宋体"/>
                <w:color w:val="000000" w:themeColor="text1"/>
                <w:szCs w:val="21"/>
                <w:highlight w:val="none"/>
                <w:lang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编制说明详见工程量清单（另册</w:t>
            </w:r>
            <w:r>
              <w:rPr>
                <w:rFonts w:hint="eastAsia" w:ascii="宋体" w:hAnsi="宋体" w:cs="宋体"/>
                <w:color w:val="000000" w:themeColor="text1"/>
                <w:szCs w:val="21"/>
                <w:highlight w:val="none"/>
                <w:lang w:val="en-US" w:eastAsia="zh-CN"/>
                <w14:textFill>
                  <w14:solidFill>
                    <w14:schemeClr w14:val="tx1"/>
                  </w14:solidFill>
                </w14:textFill>
              </w:rPr>
              <w:t>下载</w:t>
            </w:r>
            <w:r>
              <w:rPr>
                <w:rFonts w:hint="eastAsia" w:ascii="宋体" w:hAnsi="宋体" w:cs="宋体"/>
                <w:color w:val="000000" w:themeColor="text1"/>
                <w:szCs w:val="21"/>
                <w:highlight w:val="none"/>
                <w14:textFill>
                  <w14:solidFill>
                    <w14:schemeClr w14:val="tx1"/>
                  </w14:solidFill>
                </w14:textFill>
              </w:rPr>
              <w:t>）</w:t>
            </w:r>
          </w:p>
        </w:tc>
        <w:tc>
          <w:tcPr>
            <w:tcW w:w="1387" w:type="dxa"/>
            <w:noWrap w:val="0"/>
            <w:vAlign w:val="center"/>
          </w:tcPr>
          <w:p w14:paraId="554F1585">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872536.05</w:t>
            </w:r>
          </w:p>
        </w:tc>
      </w:tr>
      <w:tr w14:paraId="30493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57015C1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w:t>
            </w:r>
          </w:p>
        </w:tc>
      </w:tr>
      <w:tr w14:paraId="20B80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510106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计划</w:t>
            </w:r>
            <w:r>
              <w:rPr>
                <w:rFonts w:hint="eastAsia" w:ascii="宋体" w:hAnsi="宋体" w:cs="宋体"/>
                <w:color w:val="000000" w:themeColor="text1"/>
                <w:szCs w:val="21"/>
                <w:highlight w:val="none"/>
                <w:lang w:eastAsia="zh-CN"/>
                <w14:textFill>
                  <w14:solidFill>
                    <w14:schemeClr w14:val="tx1"/>
                  </w14:solidFill>
                </w14:textFill>
              </w:rPr>
              <w:t>施工</w:t>
            </w:r>
            <w:r>
              <w:rPr>
                <w:rFonts w:hint="eastAsia" w:ascii="宋体" w:hAnsi="宋体" w:cs="宋体"/>
                <w:color w:val="000000" w:themeColor="text1"/>
                <w:szCs w:val="21"/>
                <w:highlight w:val="none"/>
                <w14:textFill>
                  <w14:solidFill>
                    <w14:schemeClr w14:val="tx1"/>
                  </w14:solidFill>
                </w14:textFill>
              </w:rPr>
              <w:t>工期</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44D26A7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b/>
                <w:color w:val="000000" w:themeColor="text1"/>
                <w:szCs w:val="21"/>
                <w:highlight w:val="none"/>
                <w:lang w:val="en-US"/>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6个月</w:t>
            </w:r>
          </w:p>
        </w:tc>
      </w:tr>
      <w:tr w14:paraId="579A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0733CF7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13D770F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kern w:val="0"/>
                <w:sz w:val="21"/>
                <w:szCs w:val="21"/>
                <w:highlight w:val="none"/>
                <w:lang w:eastAsia="zh-CN"/>
                <w14:textFill>
                  <w14:solidFill>
                    <w14:schemeClr w14:val="tx1"/>
                  </w14:solidFill>
                </w14:textFill>
              </w:rPr>
              <w:t>浦北县</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六硍</w:t>
            </w:r>
            <w:r>
              <w:rPr>
                <w:rFonts w:hint="eastAsia" w:ascii="宋体" w:hAnsi="宋体" w:cs="宋体"/>
                <w:b w:val="0"/>
                <w:bCs w:val="0"/>
                <w:color w:val="000000" w:themeColor="text1"/>
                <w:kern w:val="0"/>
                <w:sz w:val="21"/>
                <w:szCs w:val="21"/>
                <w:highlight w:val="none"/>
                <w:lang w:eastAsia="zh-CN"/>
                <w14:textFill>
                  <w14:solidFill>
                    <w14:schemeClr w14:val="tx1"/>
                  </w14:solidFill>
                </w14:textFill>
              </w:rPr>
              <w:t>镇</w:t>
            </w:r>
          </w:p>
        </w:tc>
      </w:tr>
      <w:tr w14:paraId="61E03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2704B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合同签订时间</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5331103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自成交通知书发出之日起 </w:t>
            </w:r>
            <w:r>
              <w:rPr>
                <w:rFonts w:hint="eastAsia" w:ascii="宋体" w:hAnsi="宋体"/>
                <w:color w:val="000000" w:themeColor="text1"/>
                <w:szCs w:val="21"/>
                <w:highlight w:val="none"/>
                <w:u w:val="single"/>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日内。（最迟不能超过25日）</w:t>
            </w:r>
          </w:p>
        </w:tc>
      </w:tr>
      <w:tr w14:paraId="28464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32CADB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付款条件（进度和方式）</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07243AB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①签订合同后，采购人支付合同金额的30%预付款，预付款应当用于材料、工程设备、施工设备的采购及修建临时工程、组织施工队伍进场等。</w:t>
            </w:r>
          </w:p>
          <w:p w14:paraId="51A031C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②工程完工验收达到质量要求可支付至合同价90%,结算经浦北县有资审计机构审定后，工程款支付至结算总价的97%，质保期后支付结算总价的100%</w:t>
            </w:r>
          </w:p>
        </w:tc>
      </w:tr>
      <w:tr w14:paraId="2543E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1CD01B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验收标准</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67DDBB8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达到国家施工验收规范合格标准</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w:t>
            </w:r>
          </w:p>
        </w:tc>
      </w:tr>
    </w:tbl>
    <w:p w14:paraId="50F3E1A8">
      <w:pPr>
        <w:pStyle w:val="13"/>
        <w:numPr>
          <w:ilvl w:val="0"/>
          <w:numId w:val="0"/>
        </w:numPr>
        <w:spacing w:line="360" w:lineRule="auto"/>
        <w:ind w:leftChars="0"/>
        <w:jc w:val="center"/>
        <w:outlineLvl w:val="9"/>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pPr>
      <w:bookmarkStart w:id="67" w:name="_Toc20069"/>
    </w:p>
    <w:p w14:paraId="0598D3C5">
      <w:pPr>
        <w:pStyle w:val="13"/>
        <w:numPr>
          <w:ilvl w:val="0"/>
          <w:numId w:val="0"/>
        </w:numPr>
        <w:spacing w:line="360" w:lineRule="auto"/>
        <w:ind w:leftChars="0"/>
        <w:jc w:val="center"/>
        <w:outlineLvl w:val="9"/>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pPr>
    </w:p>
    <w:p w14:paraId="26269199">
      <w:pPr>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pPr>
      <w:r>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br w:type="page"/>
      </w:r>
    </w:p>
    <w:p w14:paraId="11599678">
      <w:pPr>
        <w:pStyle w:val="13"/>
        <w:numPr>
          <w:ilvl w:val="0"/>
          <w:numId w:val="0"/>
        </w:numPr>
        <w:spacing w:line="360" w:lineRule="auto"/>
        <w:ind w:leftChars="0"/>
        <w:jc w:val="center"/>
        <w:outlineLvl w:val="0"/>
        <w:rPr>
          <w:rFonts w:hint="eastAsia" w:ascii="黑体" w:hAnsi="宋体" w:eastAsia="黑体" w:cs="Times New Roman"/>
          <w:b/>
          <w:bCs/>
          <w:color w:val="000000" w:themeColor="text1"/>
          <w:kern w:val="0"/>
          <w:sz w:val="36"/>
          <w:szCs w:val="36"/>
          <w:highlight w:val="none"/>
          <w14:textFill>
            <w14:solidFill>
              <w14:schemeClr w14:val="tx1"/>
            </w14:solidFill>
          </w14:textFill>
        </w:rPr>
      </w:pPr>
      <w:r>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t>第四章</w:t>
      </w:r>
      <w:r>
        <w:rPr>
          <w:rFonts w:hint="eastAsia" w:ascii="黑体" w:hAnsi="宋体" w:eastAsia="黑体" w:cs="Times New Roman"/>
          <w:b/>
          <w:bCs/>
          <w:color w:val="000000" w:themeColor="text1"/>
          <w:kern w:val="0"/>
          <w:sz w:val="36"/>
          <w:szCs w:val="36"/>
          <w:highlight w:val="none"/>
          <w14:textFill>
            <w14:solidFill>
              <w14:schemeClr w14:val="tx1"/>
            </w14:solidFill>
          </w14:textFill>
        </w:rPr>
        <w:t xml:space="preserve"> 评审标准</w:t>
      </w:r>
      <w:bookmarkEnd w:id="67"/>
    </w:p>
    <w:p w14:paraId="06BF0FFC">
      <w:pPr>
        <w:pStyle w:val="5"/>
        <w:keepNext w:val="0"/>
        <w:keepLines w:val="0"/>
        <w:pageBreakBefore w:val="0"/>
        <w:numPr>
          <w:ilvl w:val="0"/>
          <w:numId w:val="0"/>
        </w:numPr>
        <w:kinsoku/>
        <w:wordWrap/>
        <w:overflowPunct/>
        <w:topLinePunct w:val="0"/>
        <w:autoSpaceDE/>
        <w:autoSpaceDN/>
        <w:bidi w:val="0"/>
        <w:snapToGrid/>
        <w:spacing w:line="380" w:lineRule="exact"/>
        <w:ind w:leftChars="0"/>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一、评审程序和评审方法</w:t>
      </w:r>
    </w:p>
    <w:p w14:paraId="3E54314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1.资格审查</w:t>
      </w:r>
    </w:p>
    <w:p w14:paraId="0AEFDD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 响应文件开启后，磋商小组依法对供应商的资格证明文件进行审查。</w:t>
      </w:r>
    </w:p>
    <w:p w14:paraId="051FCF6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注：采购人或者采购代理机构在资格审查结束前，对供应商进行信用查询。</w:t>
      </w:r>
    </w:p>
    <w:p w14:paraId="65F7E4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( 1 ) 查询渠道：“信用中国 ” 网站 (www.creditchina.gov.cn) 、 中国政府采购网 (www.ccgp.gov.cn)。</w:t>
      </w:r>
    </w:p>
    <w:p w14:paraId="7FDA81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信用查询截止时点：资格审查结束前。</w:t>
      </w:r>
    </w:p>
    <w:p w14:paraId="194AD41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查询记录和证据留存方式：在查询网站中直接打印查询记录，打印材料作为评审资料保存。</w:t>
      </w:r>
    </w:p>
    <w:p w14:paraId="525A20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113BD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 资格审查标准为本磋商文件中载明对供应商资格要求的条件。资格审查采用合格制，凡符合磋商文件规定的供应商资格要求的响应文件均通过资格审查。</w:t>
      </w:r>
    </w:p>
    <w:p w14:paraId="029881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 供应商有下列情形之一的，资格审查不通过，其响应文件按无效响应处理：</w:t>
      </w:r>
    </w:p>
    <w:p w14:paraId="592527F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不具备磋商文件中规定的资格要求的；</w:t>
      </w:r>
    </w:p>
    <w:p w14:paraId="4919B9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响应文件未提供任一项“供应商须知前附表”资格证明文件规定的“必须提供”的文件资料的；</w:t>
      </w:r>
    </w:p>
    <w:p w14:paraId="4630D1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响应文件提供的资格证明文件出现任一项不符合“供应商须知前附表”资格证明文件规定的“必须提供”的文件资料要求或者无效的。</w:t>
      </w:r>
    </w:p>
    <w:p w14:paraId="0229E33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 通过资格审查的合格供应商不足 3 家的，不得进入符合性审查环节，采购人或者采购代理机构应当重新开展采购活动。</w:t>
      </w:r>
    </w:p>
    <w:p w14:paraId="490D89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2.符合性审查</w:t>
      </w:r>
    </w:p>
    <w:p w14:paraId="6E446C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 由磋商小组对通过资格审查的合格供应商的响应文件的竞标报价、商务、技术等实质性要求进行符合性审查，以确定其是否满足磋商文件的实质性要求。</w:t>
      </w:r>
    </w:p>
    <w:p w14:paraId="66E2E0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5CE5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 磋商小组要求供应商澄清、说明或者更正响应文件应当要求供应商在合理时间内通过</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 的方式形式作出。供应商的澄清、说明或者更正必须 通过</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 盖 CA 签章。 由委托代理人签字的，若委托代理人不是响应文件中授权的委托代理人时，必须同时出示有效的法定代表人授权委托书原件。供应商为自然人的，必须由本人签字并附身份证明。</w:t>
      </w:r>
    </w:p>
    <w:p w14:paraId="0E0B01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 首次响应文件报价出现前后不一致的，按照下列规定修正：</w:t>
      </w:r>
    </w:p>
    <w:p w14:paraId="2440F77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响应文件中报价表内容与响应文件中相应内容不一致的，以报价表为准；</w:t>
      </w:r>
    </w:p>
    <w:p w14:paraId="13188F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大写金额和小写金额不一致的，以大写金额为准；</w:t>
      </w:r>
    </w:p>
    <w:p w14:paraId="062761C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单价金额小数点或者百分比有明显错位的，以报价表的总价为准，并修改单价；</w:t>
      </w:r>
    </w:p>
    <w:p w14:paraId="6879EC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总价金额与按单价汇总金额不一致的，以单价金额计算结果为准。</w:t>
      </w:r>
    </w:p>
    <w:p w14:paraId="04B3A2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同时出现两种以上不一致的，按照以上 (1) - (4) 规定的顺序逐条进行修正。修正后的报价经供应商确认后产生约束力，供应商不确认的，其响应文件按无效响应处理。</w:t>
      </w:r>
    </w:p>
    <w:p w14:paraId="0A4612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 商务技术报价评审</w:t>
      </w:r>
    </w:p>
    <w:p w14:paraId="032C33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在评审时，如发现下列情形之一的，将被视为响应文件无效处理：</w:t>
      </w:r>
    </w:p>
    <w:p w14:paraId="50554E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商务技术评审</w:t>
      </w:r>
    </w:p>
    <w:p w14:paraId="78B0B37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响应文件未按磋商文件要求签署、盖章；</w:t>
      </w:r>
    </w:p>
    <w:p w14:paraId="05D6B7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委托代理人未能出具有效身份证明或者出具的身份证明与授权委托书中的信息不符；</w:t>
      </w:r>
    </w:p>
    <w:p w14:paraId="26F47CE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630230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商务条款中标“▲”的条款发生负偏离的或者允许负偏离的条款数超过“供应商须知前附表”规定项数的或者标明实质性的要求发生负偏离；</w:t>
      </w:r>
    </w:p>
    <w:p w14:paraId="12B226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未对竞标有效期作出响应或者响应文件承诺的竞标有效期不满足磋商文件要求；</w:t>
      </w:r>
    </w:p>
    <w:p w14:paraId="360503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 响应文件的实质性内容未使用中文表述、使用计量单位不符合磋商文件要求；</w:t>
      </w:r>
    </w:p>
    <w:p w14:paraId="065F46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 响应文件中的文件资料因填写不齐全或者内容虚假或者出现其他情形而导致被磋商小组认定无效；</w:t>
      </w:r>
    </w:p>
    <w:p w14:paraId="4F113A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 响应文件含有采购人不能接受的附加条件；</w:t>
      </w:r>
    </w:p>
    <w:p w14:paraId="217B90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 属于“供应商须知正文”第 7.7 条情形；</w:t>
      </w:r>
    </w:p>
    <w:p w14:paraId="2D413A3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 技术需求允许负偏离的条款数超过“供应商须知前附表”规定项数；</w:t>
      </w:r>
    </w:p>
    <w:p w14:paraId="79DC7A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 虚假竞标，或者出现其他情形而导致被磋商小组认定无效；</w:t>
      </w:r>
    </w:p>
    <w:p w14:paraId="44C16BC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 竞标技术方案不明确，磋商文件未允许但响应文件中存在一个或者一个以上备选 (替代) 竞标方案；</w:t>
      </w:r>
    </w:p>
    <w:p w14:paraId="4FA682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13)响应文件标注的项目名称或者项目编号与竞争性磋商文件标注的项目名称或者项目编号不一致的；</w:t>
      </w:r>
    </w:p>
    <w:p w14:paraId="735132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 未响应磋商文件实质性要求；</w:t>
      </w:r>
    </w:p>
    <w:p w14:paraId="25506F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 法律、法规和磋商文件规定的其他无效情形。</w:t>
      </w:r>
    </w:p>
    <w:p w14:paraId="2F58AF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报价评审</w:t>
      </w:r>
    </w:p>
    <w:p w14:paraId="37882B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响应文件未提供“供应商须知前附表” 报价商务技术文件中规定的；</w:t>
      </w:r>
    </w:p>
    <w:p w14:paraId="6A2111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未采用人民币报价或者未按照磋商文件标明的币种报价；</w:t>
      </w:r>
    </w:p>
    <w:p w14:paraId="1530130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7E4CB2E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磋商报价 (包含首次报价、最后报价) 超过的采购预算金额或者最高限价的 (如本项目公布了最高限价) ；磋商报价 (包含首次报价、最后报价) 超过磋商文件分项采购预算金额或者最高限价的 (如本项目公布了最高限价) ；</w:t>
      </w:r>
    </w:p>
    <w:p w14:paraId="06BB1E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 修正后的报价，供应商不确认的；或者经供应商确认修正后的磋商报价(包含首次报价、最后报价)超过所磋商分标规定的采购预算金额或者最高限价(如本项目公布了最高限价)；或者经供应商确认修正后磋商报价 (包含首次报价、最后报价) 超过磋商文件分项采购预算金额或者最高限价的 (如本项目公布了最高限价) 。</w:t>
      </w:r>
    </w:p>
    <w:p w14:paraId="1646B6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 响应文件响应的标的数量及单位与竞争性磋商采购文件要求实质性不一致的。</w:t>
      </w:r>
    </w:p>
    <w:p w14:paraId="70DC7E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5A3895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 通过符合性审查的合格供应商不足3家的，不得进入磋商环节，采购人或者采购代理机构应当重新开展采购活动。</w:t>
      </w:r>
    </w:p>
    <w:p w14:paraId="1F9C5B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3.磋商程序</w:t>
      </w:r>
    </w:p>
    <w:p w14:paraId="2BEB53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 磋商小组按照“供应商须知前附表”确定的顺序，集中与单一供应商分别进行磋商，并给予所有参加磋商的供应商平等的磋商机会。符合磋商资格的供应商必须实时关注</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 开标信息，在接到磋商通知后规定时间内参加磋商，未在规定时间内参加磋商的视同放弃参加磋商权利，其响应文件按无效响应处理。</w:t>
      </w:r>
    </w:p>
    <w:p w14:paraId="221B1A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726D8A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 对磋商文件作出的实质性变动是磋商文件的有效组成部分，由磋商小组及时以书面形式同时通知所有参加磋商的供应商。</w:t>
      </w:r>
    </w:p>
    <w:p w14:paraId="46E2FB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 供应商必须按照磋商文件的变动情况和磋商小组的要求重新提交响应文件，并由其法定代表人或者授权代表签字或者加盖 CA 签章在</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2335141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 磋商中，磋商的任何一方不得透露与磋商有关的其他供应商的技术资料、价格和其他信息。</w:t>
      </w:r>
    </w:p>
    <w:p w14:paraId="2F80EC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 采购代理机构对磋商过程和重要磋商内容进行记录，磋商双方在记录上签字确认。</w:t>
      </w:r>
    </w:p>
    <w:p w14:paraId="530F13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 磋商过程中重新提交的响应文件，供应商可以在开启前补充、修改。</w:t>
      </w:r>
    </w:p>
    <w:p w14:paraId="33400B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 对磋商过程提交的响应文件进行有效性、完整性和响应程度审查，通过审查的合格供应商不足 3 家的，采购人或者采购代理机构应当重新开展采购活动。</w:t>
      </w:r>
    </w:p>
    <w:p w14:paraId="02E009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 本项目所有响应文件的首次报价及所有磋商报价均不公布。最后磋商结束后，磋商小组不得再与供应商进行任何形式的商谈。</w:t>
      </w:r>
    </w:p>
    <w:p w14:paraId="5A46B3A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最后报价</w:t>
      </w:r>
    </w:p>
    <w:p w14:paraId="2EADB5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 磋商文件能够详细列明采购标的的技术、服务要求的，磋商结束后，由磋商小组要求所有继续参加磋商的供应商在规定时间内在</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 提交最后报价，提交最后报价的供应商不得少于 3 家，除本章第 4.3 条外，否则必须重新采购。</w:t>
      </w:r>
    </w:p>
    <w:p w14:paraId="0267FCC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 提交最后报价。</w:t>
      </w:r>
    </w:p>
    <w:p w14:paraId="632791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①最后报价与首次报价相比无调整的：供应商提交的最后报价只须注明与首次报价相同。</w:t>
      </w:r>
    </w:p>
    <w:p w14:paraId="6DFA0A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000000" w:themeColor="text1"/>
          <w:highlight w:val="none"/>
          <w:lang w:eastAsia="zh-CN"/>
          <w14:textFill>
            <w14:solidFill>
              <w14:schemeClr w14:val="tx1"/>
            </w14:solidFill>
          </w14:textFill>
        </w:rPr>
        <w:t>广西政府采购云平台</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https://www.gcy.zfcg.gxzf.gov.cn</w:t>
      </w:r>
      <w:r>
        <w:rPr>
          <w:rFonts w:hint="eastAsia"/>
          <w:color w:val="000000" w:themeColor="text1"/>
          <w:highlight w:val="none"/>
          <w14:textFill>
            <w14:solidFill>
              <w14:schemeClr w14:val="tx1"/>
            </w14:solidFill>
          </w14:textFill>
        </w:rPr>
        <w:t>/) 提交，逾期则最后报价无效，以首次报价为准。</w:t>
      </w:r>
    </w:p>
    <w:p w14:paraId="28DA5F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6557D0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 已经提交响应文件的供应商，在提交最后报价之前，可以根据磋商情况退出磋商，退出磋商的供应商的响应文件按无效响应处理。采购人、采购代理机构将退还退出磋商的供应商的保证金。</w:t>
      </w:r>
    </w:p>
    <w:p w14:paraId="084447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 供应商未在规定时间内提交最后报价的，视同退出磋商。</w:t>
      </w:r>
    </w:p>
    <w:p w14:paraId="4854726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 磋商小组收齐某一分标最后报价后统一开启，磋商小组对最后报价进行有效性、完整性和响应程度的审查。</w:t>
      </w:r>
    </w:p>
    <w:p w14:paraId="499B72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 响应文件最后报价出现前后不一致的，按照本正文第 25.2.4 条的规定修正。</w:t>
      </w:r>
    </w:p>
    <w:p w14:paraId="365435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 修正后的报价出现下列情形的，按无效响应处理：</w:t>
      </w:r>
    </w:p>
    <w:p w14:paraId="4F03D2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供应商不确认的；</w:t>
      </w:r>
    </w:p>
    <w:p w14:paraId="089F08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经供应商确认修正后的竞标报价 (包含首次报价、最后报价) 超过所竞标规定的采购预算金额或者最高限价的 (如本项目公布了最高限价) ；</w:t>
      </w:r>
    </w:p>
    <w:p w14:paraId="73FF6E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经供应商确认修正后的竞标报价 (包含首次报价、最后报价) 超过分项采购预算金额或者最高限价的 (如本项目公布了最高限价) 。</w:t>
      </w:r>
    </w:p>
    <w:p w14:paraId="7E74E8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 经供应商确认修正后的最后报价作为评审及签订合同的依据。</w:t>
      </w:r>
    </w:p>
    <w:p w14:paraId="2FC5FA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4.10 最后报价结束后，磋商小组不得再与供应商进行任何形式的商谈。</w:t>
      </w:r>
    </w:p>
    <w:p w14:paraId="5E8CD02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5.比较与评价</w:t>
      </w:r>
    </w:p>
    <w:p w14:paraId="3ECA639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 评审方法：综合评分法。</w:t>
      </w:r>
    </w:p>
    <w:p w14:paraId="05415AE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 经磋商确定最终采购需求和提交最后报价的供应商后，由磋商小组采用综合评分法对提交最后报价的供应商的响应文件和最后报价进行综合评分。</w:t>
      </w:r>
    </w:p>
    <w:p w14:paraId="184762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 评审时，磋商小组各成员应当独立对每个有效响应的文件进行评价、打分，然后汇总每个供应商每项评分因素的得分。</w:t>
      </w:r>
    </w:p>
    <w:p w14:paraId="39BC9F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磋商小组按照磋商文件中规定的评审标准计算各供应商的报价得分。项目评审过程中，不得去掉最后报价中的最高报价和最低报价。</w:t>
      </w:r>
    </w:p>
    <w:p w14:paraId="0853BBC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各供应商的得分为磋商小组所有成员的有效评分的算术平均数。</w:t>
      </w:r>
    </w:p>
    <w:p w14:paraId="2B6B2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 评审价为供应商的最后报价进行政策性扣除后的价格，评审价只是作为评审时使用。最终成交供应商的成交金额等于最后报价 (如有修正，以确认修正后的最后报价为准) 。</w:t>
      </w:r>
    </w:p>
    <w:p w14:paraId="03AE12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0A948A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573C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二、评定标准</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综合评分法</w:t>
      </w:r>
      <w:r>
        <w:rPr>
          <w:rFonts w:hint="eastAsia"/>
          <w:b/>
          <w:bCs/>
          <w:color w:val="000000" w:themeColor="text1"/>
          <w:highlight w:val="none"/>
          <w:lang w:eastAsia="zh-CN"/>
          <w14:textFill>
            <w14:solidFill>
              <w14:schemeClr w14:val="tx1"/>
            </w14:solidFill>
          </w14:textFill>
        </w:rPr>
        <w:t>）</w:t>
      </w:r>
    </w:p>
    <w:p w14:paraId="5628BC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对进入详评的，磋商小组将以竞争性磋商文件 、响应文件为评定依据，采用百分制综合评分法；计分办法</w:t>
      </w:r>
      <w:r>
        <w:rPr>
          <w:rFonts w:hint="eastAsia"/>
          <w:color w:val="000000" w:themeColor="text1"/>
          <w:highlight w:val="none"/>
          <w:lang w:eastAsia="zh-CN"/>
          <w14:textFill>
            <w14:solidFill>
              <w14:schemeClr w14:val="tx1"/>
            </w14:solidFill>
          </w14:textFill>
        </w:rPr>
        <w:t>（按四舍五入取至百分位）</w:t>
      </w:r>
      <w:r>
        <w:rPr>
          <w:rFonts w:hint="eastAsia"/>
          <w:color w:val="000000" w:themeColor="text1"/>
          <w:highlight w:val="none"/>
          <w14:textFill>
            <w14:solidFill>
              <w14:schemeClr w14:val="tx1"/>
            </w14:solidFill>
          </w14:textFill>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29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7DAE4B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2073" w:type="dxa"/>
            <w:gridSpan w:val="2"/>
            <w:vAlign w:val="center"/>
          </w:tcPr>
          <w:p w14:paraId="63850D0E">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5935" w:type="dxa"/>
            <w:vAlign w:val="center"/>
          </w:tcPr>
          <w:p w14:paraId="0252C45B">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Tahoma"/>
                <w:b/>
                <w:bCs/>
                <w:color w:val="000000" w:themeColor="text1"/>
                <w:kern w:val="0"/>
                <w:szCs w:val="21"/>
                <w:highlight w:val="none"/>
                <w14:textFill>
                  <w14:solidFill>
                    <w14:schemeClr w14:val="tx1"/>
                  </w14:solidFill>
                </w14:textFill>
              </w:rPr>
              <w:t>评审因素具体内容</w:t>
            </w:r>
          </w:p>
        </w:tc>
        <w:tc>
          <w:tcPr>
            <w:tcW w:w="807" w:type="dxa"/>
            <w:vAlign w:val="center"/>
          </w:tcPr>
          <w:p w14:paraId="3C438A9C">
            <w:pPr>
              <w:snapToGrid w:val="0"/>
              <w:spacing w:line="360" w:lineRule="auto"/>
              <w:jc w:val="center"/>
              <w:rPr>
                <w:rFonts w:hint="eastAsia" w:ascii="宋体" w:hAnsi="宋体" w:cs="Tahoma"/>
                <w:b/>
                <w:bCs/>
                <w:color w:val="000000" w:themeColor="text1"/>
                <w:kern w:val="0"/>
                <w:szCs w:val="21"/>
                <w:highlight w:val="none"/>
                <w14:textFill>
                  <w14:solidFill>
                    <w14:schemeClr w14:val="tx1"/>
                  </w14:solidFill>
                </w14:textFill>
              </w:rPr>
            </w:pPr>
            <w:r>
              <w:rPr>
                <w:rFonts w:hint="eastAsia" w:ascii="宋体" w:hAnsi="宋体" w:cs="Tahoma"/>
                <w:b/>
                <w:bCs/>
                <w:color w:val="000000" w:themeColor="text1"/>
                <w:kern w:val="0"/>
                <w:szCs w:val="21"/>
                <w:highlight w:val="none"/>
                <w14:textFill>
                  <w14:solidFill>
                    <w14:schemeClr w14:val="tx1"/>
                  </w14:solidFill>
                </w14:textFill>
              </w:rPr>
              <w:t>备注</w:t>
            </w:r>
          </w:p>
        </w:tc>
      </w:tr>
      <w:tr w14:paraId="26E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BA0F855">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958" w:type="dxa"/>
            <w:vAlign w:val="center"/>
          </w:tcPr>
          <w:p w14:paraId="6963C0C6">
            <w:pPr>
              <w:snapToGrid w:val="0"/>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w:t>
            </w:r>
          </w:p>
        </w:tc>
        <w:tc>
          <w:tcPr>
            <w:tcW w:w="1115" w:type="dxa"/>
            <w:vAlign w:val="center"/>
          </w:tcPr>
          <w:p w14:paraId="32E75B5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价格分（满分</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5935" w:type="dxa"/>
            <w:vAlign w:val="center"/>
          </w:tcPr>
          <w:p w14:paraId="4C83C9CF">
            <w:pPr>
              <w:spacing w:line="500" w:lineRule="exact"/>
              <w:ind w:firstLine="632" w:firstLineChars="3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本项目为专门面向中小企业采购的项目，按照《政府采购促进中小企业发展管理办法》（财库〔2020〕46号）的规定，不再对供应商最后报价进行政策性扣除。</w:t>
            </w:r>
          </w:p>
          <w:p w14:paraId="67D877A9">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1）评审价为供应商的最后报价，评审价只是作为评审时使用。最终成交供应商的成交金额等于最后报价（如有修正，以确认修正后的最后报价为准）。</w:t>
            </w:r>
          </w:p>
          <w:p w14:paraId="139CD714">
            <w:pPr>
              <w:spacing w:line="5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2）评审价＝最后报价。</w:t>
            </w:r>
          </w:p>
          <w:p w14:paraId="6381F6C1">
            <w:pPr>
              <w:pStyle w:val="13"/>
              <w:spacing w:line="500" w:lineRule="exact"/>
              <w:ind w:firstLine="420" w:firstLineChars="200"/>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s="宋体"/>
                <w:color w:val="000000" w:themeColor="text1"/>
                <w:kern w:val="2"/>
                <w:sz w:val="21"/>
                <w:highlight w:val="none"/>
                <w:lang w:val="en-US" w:eastAsia="zh-CN"/>
                <w14:textFill>
                  <w14:solidFill>
                    <w14:schemeClr w14:val="tx1"/>
                  </w14:solidFill>
                </w14:textFill>
              </w:rPr>
              <w:t>3）以进入比较与评价环节的最低的评审价为基准价，基准价得分为20分。</w:t>
            </w:r>
          </w:p>
          <w:p w14:paraId="5D72C2FB">
            <w:pPr>
              <w:pStyle w:val="13"/>
              <w:spacing w:line="500" w:lineRule="exact"/>
              <w:ind w:firstLine="420" w:firstLineChars="200"/>
              <w:rPr>
                <w:rFonts w:hint="eastAsia" w:hAnsi="宋体" w:cs="宋体"/>
                <w:color w:val="000000" w:themeColor="text1"/>
                <w:kern w:val="2"/>
                <w:sz w:val="21"/>
                <w:highlight w:val="none"/>
                <w:lang w:val="en-US" w:eastAsia="zh-CN"/>
                <w14:textFill>
                  <w14:solidFill>
                    <w14:schemeClr w14:val="tx1"/>
                  </w14:solidFill>
                </w14:textFill>
              </w:rPr>
            </w:pPr>
            <w:r>
              <w:rPr>
                <w:rFonts w:hint="eastAsia" w:hAnsi="宋体" w:cs="宋体"/>
                <w:color w:val="000000" w:themeColor="text1"/>
                <w:kern w:val="2"/>
                <w:sz w:val="21"/>
                <w:highlight w:val="none"/>
                <w:lang w:val="en-US" w:eastAsia="zh-CN"/>
                <w14:textFill>
                  <w14:solidFill>
                    <w14:schemeClr w14:val="tx1"/>
                  </w14:solidFill>
                </w14:textFill>
              </w:rPr>
              <w:t>4）价格分计算公式：</w:t>
            </w:r>
          </w:p>
          <w:p w14:paraId="2CE2E9F8">
            <w:pPr>
              <w:spacing w:line="440" w:lineRule="exact"/>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报价得分=（基准价/</w:t>
            </w:r>
            <w:r>
              <w:rPr>
                <w:rFonts w:hint="eastAsia" w:ascii="宋体" w:hAnsi="宋体" w:cs="宋体"/>
                <w:color w:val="000000" w:themeColor="text1"/>
                <w:highlight w:val="none"/>
                <w14:textFill>
                  <w14:solidFill>
                    <w14:schemeClr w14:val="tx1"/>
                  </w14:solidFill>
                </w14:textFill>
              </w:rPr>
              <w:t>评审价</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u w:val="none"/>
                <w:lang w:val="en-US" w:eastAsia="zh-CN"/>
                <w14:textFill>
                  <w14:solidFill>
                    <w14:schemeClr w14:val="tx1"/>
                  </w14:solidFill>
                </w14:textFill>
              </w:rPr>
              <w:t>2</w:t>
            </w:r>
            <w:r>
              <w:rPr>
                <w:rFonts w:hint="eastAsia" w:ascii="宋体" w:hAnsi="宋体" w:cs="宋体"/>
                <w:bCs/>
                <w:color w:val="000000" w:themeColor="text1"/>
                <w:highlight w:val="none"/>
                <w:u w:val="none"/>
                <w14:textFill>
                  <w14:solidFill>
                    <w14:schemeClr w14:val="tx1"/>
                  </w14:solidFill>
                </w14:textFill>
              </w:rPr>
              <w:t xml:space="preserve">0 </w:t>
            </w:r>
            <w:r>
              <w:rPr>
                <w:rFonts w:hint="eastAsia" w:ascii="宋体" w:hAnsi="宋体" w:cs="宋体"/>
                <w:bCs/>
                <w:color w:val="000000" w:themeColor="text1"/>
                <w:highlight w:val="none"/>
                <w14:textFill>
                  <w14:solidFill>
                    <w14:schemeClr w14:val="tx1"/>
                  </w14:solidFill>
                </w14:textFill>
              </w:rPr>
              <w:t>分</w:t>
            </w:r>
          </w:p>
          <w:p w14:paraId="6ED629D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磋商小组认为，某供应商的有效磋商报价或者某些分项报价明显不合理或者低于成本，有可能影响服务质量和不能诚信履约的，应要求其在规定的期限内提供书面文件予以解释说明，并提交相关证明材料，否则，磋商小组不推荐该供应商为成交候选人。</w:t>
            </w:r>
          </w:p>
        </w:tc>
        <w:tc>
          <w:tcPr>
            <w:tcW w:w="807" w:type="dxa"/>
            <w:vAlign w:val="center"/>
          </w:tcPr>
          <w:p w14:paraId="444BB1A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客观分</w:t>
            </w:r>
          </w:p>
        </w:tc>
      </w:tr>
      <w:tr w14:paraId="048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68BBD5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958" w:type="dxa"/>
            <w:vAlign w:val="center"/>
          </w:tcPr>
          <w:p w14:paraId="79EB791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w:t>
            </w:r>
          </w:p>
        </w:tc>
        <w:tc>
          <w:tcPr>
            <w:tcW w:w="7050" w:type="dxa"/>
            <w:gridSpan w:val="2"/>
            <w:vAlign w:val="center"/>
          </w:tcPr>
          <w:p w14:paraId="5992247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满分7</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807" w:type="dxa"/>
            <w:vAlign w:val="center"/>
          </w:tcPr>
          <w:p w14:paraId="568D4497">
            <w:pPr>
              <w:spacing w:line="360" w:lineRule="auto"/>
              <w:jc w:val="center"/>
              <w:rPr>
                <w:rFonts w:hint="eastAsia" w:ascii="宋体" w:hAnsi="宋体" w:cs="宋体"/>
                <w:b/>
                <w:bCs/>
                <w:color w:val="000000" w:themeColor="text1"/>
                <w:szCs w:val="21"/>
                <w:highlight w:val="none"/>
                <w14:textFill>
                  <w14:solidFill>
                    <w14:schemeClr w14:val="tx1"/>
                  </w14:solidFill>
                </w14:textFill>
              </w:rPr>
            </w:pPr>
          </w:p>
        </w:tc>
      </w:tr>
      <w:tr w14:paraId="24C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384AC89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958" w:type="dxa"/>
            <w:vMerge w:val="restart"/>
            <w:vAlign w:val="center"/>
          </w:tcPr>
          <w:p w14:paraId="27FD44A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施工组织设计</w:t>
            </w:r>
          </w:p>
        </w:tc>
        <w:tc>
          <w:tcPr>
            <w:tcW w:w="1115" w:type="dxa"/>
            <w:vAlign w:val="center"/>
          </w:tcPr>
          <w:p w14:paraId="3A40B78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（1）施工组织核心方案</w:t>
            </w:r>
          </w:p>
        </w:tc>
        <w:tc>
          <w:tcPr>
            <w:tcW w:w="5935" w:type="dxa"/>
            <w:vAlign w:val="center"/>
          </w:tcPr>
          <w:p w14:paraId="5CD40619">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一档（3 分）：未结合项目地质条件及挡土墙工程特性设计施工方案，主要施工方法不符合《建筑地基基础工程施工质量验收标准》（GB 50202-2018），未识别施工重点难点，施工总平面布置无功能分区，存在重大安全隐患，无法指导施工</w:t>
            </w:r>
            <w:r>
              <w:rPr>
                <w:rFonts w:hint="eastAsia" w:ascii="宋体" w:hAnsi="宋体" w:cs="宋体"/>
                <w:color w:val="000000" w:themeColor="text1"/>
                <w:szCs w:val="21"/>
                <w:highlight w:val="none"/>
                <w:lang w:eastAsia="zh-CN"/>
                <w14:textFill>
                  <w14:solidFill>
                    <w14:schemeClr w14:val="tx1"/>
                  </w14:solidFill>
                </w14:textFill>
              </w:rPr>
              <w:t>；</w:t>
            </w:r>
          </w:p>
          <w:p w14:paraId="1CC67ECA">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 分）：施工方案基本适配项目特性，主要施工方法符合现行行业基础规范，初步识别核心重点难点（如边坡支护、混凝土浇筑），施工总平面布置功能分区清晰，无重大安全隐患，可满足基础施工需求</w:t>
            </w:r>
            <w:r>
              <w:rPr>
                <w:rFonts w:hint="eastAsia" w:ascii="宋体" w:hAnsi="宋体" w:cs="宋体"/>
                <w:color w:val="000000" w:themeColor="text1"/>
                <w:szCs w:val="21"/>
                <w:highlight w:val="none"/>
                <w:lang w:eastAsia="zh-CN"/>
                <w14:textFill>
                  <w14:solidFill>
                    <w14:schemeClr w14:val="tx1"/>
                  </w14:solidFill>
                </w14:textFill>
              </w:rPr>
              <w:t>；</w:t>
            </w:r>
          </w:p>
          <w:p w14:paraId="1BED37C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三档（14 分）：施工方案结合项目地质、周边环境等实际情况，主要施工方法严格遵循《混凝土结构工程施工质量验收规范》（GB 50204-2015）等现行国标，全面识别重点难点并制定针对性措施，施工总平面布置优化合理，交通路线、临时设施布局适配施工流程，可有效指导现场精细化施工</w:t>
            </w:r>
            <w:r>
              <w:rPr>
                <w:rFonts w:hint="eastAsia" w:ascii="宋体" w:hAnsi="宋体" w:cs="宋体"/>
                <w:color w:val="000000" w:themeColor="text1"/>
                <w:szCs w:val="21"/>
                <w:highlight w:val="none"/>
                <w:lang w:eastAsia="zh-CN"/>
                <w14:textFill>
                  <w14:solidFill>
                    <w14:schemeClr w14:val="tx1"/>
                  </w14:solidFill>
                </w14:textFill>
              </w:rPr>
              <w:t>；</w:t>
            </w:r>
          </w:p>
          <w:p w14:paraId="5D2301F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四档（20 分）：施工方案融合行业先进工艺，主要施工方法量化技术参数（如锚杆间距、喷浆厚度），重点难点分析深入且有数据支撑，应对措施技术先进可操作，施工总平面布置采用动态优化设计，兼顾施工效率、安全环保及周边影响，完全符合项目个性化需求。</w:t>
            </w:r>
          </w:p>
        </w:tc>
        <w:tc>
          <w:tcPr>
            <w:tcW w:w="807" w:type="dxa"/>
            <w:vAlign w:val="center"/>
          </w:tcPr>
          <w:p w14:paraId="230F80D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67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35F550F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58" w:type="dxa"/>
            <w:vMerge w:val="continue"/>
            <w:vAlign w:val="center"/>
          </w:tcPr>
          <w:p w14:paraId="1F2F4EA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115" w:type="dxa"/>
            <w:vAlign w:val="center"/>
          </w:tcPr>
          <w:p w14:paraId="74E8FE02">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（2）资源配置与保障计划（满分 20 分）</w:t>
            </w:r>
          </w:p>
        </w:tc>
        <w:tc>
          <w:tcPr>
            <w:tcW w:w="5935" w:type="dxa"/>
          </w:tcPr>
          <w:p w14:paraId="75B10840">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一档（3 分）：无明确的物资采购、劳动力配置计划，物资型号、规格与设计文件不匹配，劳动力未明确工种及技能要求，进场时间无规划，无法保障施工进度</w:t>
            </w:r>
            <w:r>
              <w:rPr>
                <w:rFonts w:hint="eastAsia" w:ascii="宋体" w:hAnsi="宋体" w:cs="宋体"/>
                <w:color w:val="000000" w:themeColor="text1"/>
                <w:szCs w:val="21"/>
                <w:highlight w:val="none"/>
                <w:lang w:eastAsia="zh-CN"/>
                <w14:textFill>
                  <w14:solidFill>
                    <w14:schemeClr w14:val="tx1"/>
                  </w14:solidFill>
                </w14:textFill>
              </w:rPr>
              <w:t>；</w:t>
            </w:r>
          </w:p>
          <w:p w14:paraId="4A13EA60">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二档（8 分）：有基础的物资、劳动力配置计划，物资型号规格符合设计文件，劳动力明确核心工种及人数，进场时间与施工进度基本匹配，可避免重大工期延误</w:t>
            </w:r>
            <w:r>
              <w:rPr>
                <w:rFonts w:hint="eastAsia" w:ascii="宋体" w:hAnsi="宋体" w:cs="宋体"/>
                <w:color w:val="000000" w:themeColor="text1"/>
                <w:szCs w:val="21"/>
                <w:highlight w:val="none"/>
                <w:lang w:eastAsia="zh-CN"/>
                <w14:textFill>
                  <w14:solidFill>
                    <w14:schemeClr w14:val="tx1"/>
                  </w14:solidFill>
                </w14:textFill>
              </w:rPr>
              <w:t>；</w:t>
            </w:r>
          </w:p>
          <w:p w14:paraId="079CC62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三档（14 分）：物资计划涵盖采购、检验、存储全流程，明确质量标准（符合国标 / 行标）及合格证明要求，进场时间细化到周；劳动力配置分工序明确，各工种人数根据工程量动态调整，标注特种作业人员持证上岗要求，与施工进度精准衔接</w:t>
            </w:r>
            <w:r>
              <w:rPr>
                <w:rFonts w:hint="eastAsia" w:ascii="宋体" w:hAnsi="宋体" w:cs="宋体"/>
                <w:color w:val="000000" w:themeColor="text1"/>
                <w:szCs w:val="21"/>
                <w:highlight w:val="none"/>
                <w:lang w:eastAsia="zh-CN"/>
                <w14:textFill>
                  <w14:solidFill>
                    <w14:schemeClr w14:val="tx1"/>
                  </w14:solidFill>
                </w14:textFill>
              </w:rPr>
              <w:t>；</w:t>
            </w:r>
          </w:p>
          <w:p w14:paraId="2E75D3E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四档（20 分）：物资计划建立质量追溯体系，预留合理备用量，进场验收流程标准化；劳动力配置含技能等级搭配、轮班计划及应急补员预案，明确技能考核及培训计划，资源调配可根据施工动态实时优化，完全保障施工连续性及专业性。</w:t>
            </w:r>
          </w:p>
        </w:tc>
        <w:tc>
          <w:tcPr>
            <w:tcW w:w="807" w:type="dxa"/>
            <w:vAlign w:val="center"/>
          </w:tcPr>
          <w:p w14:paraId="794F067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637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2A48E8C5">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58" w:type="dxa"/>
            <w:vMerge w:val="continue"/>
            <w:vAlign w:val="center"/>
          </w:tcPr>
          <w:p w14:paraId="4A16A36F">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115" w:type="dxa"/>
            <w:vAlign w:val="center"/>
          </w:tcPr>
          <w:p w14:paraId="6188B94E">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（3）质量、安全与文明施工保障措施（满分 </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5935" w:type="dxa"/>
          </w:tcPr>
          <w:p w14:paraId="35B15479">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 分）：无健全的质量、安全管理制度，未配置专职质量员、安全员，主要工序无质量检验流程，安全技术交底无记录，文明施工不符合《建筑施工现场环境与卫生标准》（JGJ 146-2013），无扬尘、噪音控制措施</w:t>
            </w:r>
            <w:r>
              <w:rPr>
                <w:rFonts w:hint="eastAsia" w:ascii="宋体" w:hAnsi="宋体" w:cs="宋体"/>
                <w:color w:val="000000" w:themeColor="text1"/>
                <w:szCs w:val="21"/>
                <w:highlight w:val="none"/>
                <w:lang w:eastAsia="zh-CN"/>
                <w14:textFill>
                  <w14:solidFill>
                    <w14:schemeClr w14:val="tx1"/>
                  </w14:solidFill>
                </w14:textFill>
              </w:rPr>
              <w:t>；</w:t>
            </w:r>
          </w:p>
          <w:p w14:paraId="3CFB9CC4">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分）：有基础的质量、安全管理制度，配置专职质量员、安全员，主要工序有质量检验流程，安全技术交底有记录，文明施工基本符合行业标准，有简单的扬尘、噪音控制方案</w:t>
            </w:r>
            <w:r>
              <w:rPr>
                <w:rFonts w:hint="eastAsia" w:ascii="宋体" w:hAnsi="宋体" w:cs="宋体"/>
                <w:color w:val="000000" w:themeColor="text1"/>
                <w:szCs w:val="21"/>
                <w:highlight w:val="none"/>
                <w:lang w:eastAsia="zh-CN"/>
                <w14:textFill>
                  <w14:solidFill>
                    <w14:schemeClr w14:val="tx1"/>
                  </w14:solidFill>
                </w14:textFill>
              </w:rPr>
              <w:t>；</w:t>
            </w:r>
          </w:p>
          <w:p w14:paraId="0834BB90">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分）：质量管理制度覆盖原材料检验、工序交接、成品验收全流程，实行 “三检制” 且记录可追溯；安全管理制度健全，安全员持证上岗，各工序安全技术交底针对性强，应急救援方案明确器材配置及操作流程；文明施工严格遵循行业标准，扬尘、噪音控制措施具体，承诺创建市级文明工地</w:t>
            </w:r>
            <w:r>
              <w:rPr>
                <w:rFonts w:hint="eastAsia" w:ascii="宋体" w:hAnsi="宋体" w:cs="宋体"/>
                <w:color w:val="000000" w:themeColor="text1"/>
                <w:szCs w:val="21"/>
                <w:highlight w:val="none"/>
                <w:lang w:eastAsia="zh-CN"/>
                <w14:textFill>
                  <w14:solidFill>
                    <w14:schemeClr w14:val="tx1"/>
                  </w14:solidFill>
                </w14:textFill>
              </w:rPr>
              <w:t>；</w:t>
            </w:r>
          </w:p>
          <w:p w14:paraId="2DCA193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 xml:space="preserve"> 分）：质量体系符合 ISO9001 标准，主要工序质量检验标准量化（如混凝土强度≥C30、墙体垂直度偏差≤5mm）；安全管理融合双重预防机制，特种作业人员 100% 持证上岗，应急救援方案经专家论证并附演练计划；文明施工达到绿色施工标准，扬尘、污水排放等指标量化可控，承诺创建自治区级及以上文明工地，措施周全可落地。</w:t>
            </w:r>
          </w:p>
        </w:tc>
        <w:tc>
          <w:tcPr>
            <w:tcW w:w="807" w:type="dxa"/>
            <w:vAlign w:val="center"/>
          </w:tcPr>
          <w:p w14:paraId="3D36340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23F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A7D4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58" w:type="dxa"/>
            <w:vMerge w:val="continue"/>
            <w:vAlign w:val="center"/>
          </w:tcPr>
          <w:p w14:paraId="60F43F2A">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115" w:type="dxa"/>
            <w:vAlign w:val="center"/>
          </w:tcPr>
          <w:p w14:paraId="15282792">
            <w:pPr>
              <w:widowControl/>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（4）工期管控与应急处置方案（满分 </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5935" w:type="dxa"/>
          </w:tcPr>
          <w:p w14:paraId="2CE511D6">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 xml:space="preserve"> 分）：无明确施工进度计划，未标注关键线路及节点工期，无工期保障措施，未制定应急处置方案，无法满足</w:t>
            </w:r>
            <w:r>
              <w:rPr>
                <w:rFonts w:hint="eastAsia" w:ascii="宋体" w:hAnsi="宋体" w:cs="宋体"/>
                <w:color w:val="000000" w:themeColor="text1"/>
                <w:szCs w:val="21"/>
                <w:highlight w:val="none"/>
                <w:lang w:val="en-US" w:eastAsia="zh-CN"/>
                <w14:textFill>
                  <w14:solidFill>
                    <w14:schemeClr w14:val="tx1"/>
                  </w14:solidFill>
                </w14:textFill>
              </w:rPr>
              <w:t>6个月</w:t>
            </w:r>
            <w:r>
              <w:rPr>
                <w:rFonts w:hint="eastAsia" w:ascii="宋体" w:hAnsi="宋体" w:cs="宋体"/>
                <w:color w:val="000000" w:themeColor="text1"/>
                <w:szCs w:val="21"/>
                <w:highlight w:val="none"/>
                <w14:textFill>
                  <w14:solidFill>
                    <w14:schemeClr w14:val="tx1"/>
                  </w14:solidFill>
                </w14:textFill>
              </w:rPr>
              <w:t>合同工期要求</w:t>
            </w:r>
            <w:r>
              <w:rPr>
                <w:rFonts w:hint="eastAsia" w:ascii="宋体" w:hAnsi="宋体" w:cs="宋体"/>
                <w:color w:val="000000" w:themeColor="text1"/>
                <w:szCs w:val="21"/>
                <w:highlight w:val="none"/>
                <w:lang w:eastAsia="zh-CN"/>
                <w14:textFill>
                  <w14:solidFill>
                    <w14:schemeClr w14:val="tx1"/>
                  </w14:solidFill>
                </w14:textFill>
              </w:rPr>
              <w:t>；</w:t>
            </w:r>
          </w:p>
          <w:p w14:paraId="1545C53B">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 xml:space="preserve"> 分）：有施工总进度表，明确关键线路及主要节点工期，工期保障措施基本可行，有简单的应急处置方案，可在</w:t>
            </w:r>
            <w:r>
              <w:rPr>
                <w:rFonts w:hint="eastAsia" w:ascii="宋体" w:hAnsi="宋体" w:cs="宋体"/>
                <w:color w:val="000000" w:themeColor="text1"/>
                <w:szCs w:val="21"/>
                <w:highlight w:val="none"/>
                <w:lang w:val="en-US" w:eastAsia="zh-CN"/>
                <w14:textFill>
                  <w14:solidFill>
                    <w14:schemeClr w14:val="tx1"/>
                  </w14:solidFill>
                </w14:textFill>
              </w:rPr>
              <w:t>6个月</w:t>
            </w:r>
            <w:r>
              <w:rPr>
                <w:rFonts w:hint="eastAsia" w:ascii="宋体" w:hAnsi="宋体" w:cs="宋体"/>
                <w:color w:val="000000" w:themeColor="text1"/>
                <w:szCs w:val="21"/>
                <w:highlight w:val="none"/>
                <w14:textFill>
                  <w14:solidFill>
                    <w14:schemeClr w14:val="tx1"/>
                  </w14:solidFill>
                </w14:textFill>
              </w:rPr>
              <w:t>内完成施工</w:t>
            </w:r>
            <w:r>
              <w:rPr>
                <w:rFonts w:hint="eastAsia" w:ascii="宋体" w:hAnsi="宋体" w:cs="宋体"/>
                <w:color w:val="000000" w:themeColor="text1"/>
                <w:szCs w:val="21"/>
                <w:highlight w:val="none"/>
                <w:lang w:eastAsia="zh-CN"/>
                <w14:textFill>
                  <w14:solidFill>
                    <w14:schemeClr w14:val="tx1"/>
                  </w14:solidFill>
                </w14:textFill>
              </w:rPr>
              <w:t>；</w:t>
            </w:r>
          </w:p>
          <w:p w14:paraId="44B029F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 分）：施工进度表及网络图完善，关键线路、节点工期量化到日，工期保障措施针对性强（如雨季施工、交叉作业协调方案），应急处置方案覆盖材料供应中断、恶劣天气等常见风险，有明确的应对流程及责任分工</w:t>
            </w:r>
            <w:r>
              <w:rPr>
                <w:rFonts w:hint="eastAsia" w:ascii="宋体" w:hAnsi="宋体" w:cs="宋体"/>
                <w:color w:val="000000" w:themeColor="text1"/>
                <w:szCs w:val="21"/>
                <w:highlight w:val="none"/>
                <w:lang w:eastAsia="zh-CN"/>
                <w14:textFill>
                  <w14:solidFill>
                    <w14:schemeClr w14:val="tx1"/>
                  </w14:solidFill>
                </w14:textFill>
              </w:rPr>
              <w:t>；</w:t>
            </w:r>
          </w:p>
          <w:p w14:paraId="54A1F6D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 xml:space="preserve"> 分）：施工进度采用动态管理模式，建立进度偏差预警机制（如偏差超 3 天启动调整），工期保障措施含资源调配、技术优化、赶工方案等多维度支撑；应急处置方案识别潜在风险点，制定分级响应机制，有具体的资源储备及外部协同方案，可确保工期提前或按时竣工，且不影响工程质量。</w:t>
            </w:r>
          </w:p>
        </w:tc>
        <w:tc>
          <w:tcPr>
            <w:tcW w:w="807" w:type="dxa"/>
            <w:vAlign w:val="center"/>
          </w:tcPr>
          <w:p w14:paraId="5258638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主观分</w:t>
            </w:r>
          </w:p>
        </w:tc>
      </w:tr>
      <w:tr w14:paraId="216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9" w:type="dxa"/>
            <w:vAlign w:val="center"/>
          </w:tcPr>
          <w:p w14:paraId="3BCFF135">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958" w:type="dxa"/>
            <w:vAlign w:val="center"/>
          </w:tcPr>
          <w:p w14:paraId="7FAD6360">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商务</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满分</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1115" w:type="dxa"/>
            <w:vAlign w:val="center"/>
          </w:tcPr>
          <w:p w14:paraId="40BC2B3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业绩分(满分</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5935" w:type="dxa"/>
            <w:vAlign w:val="center"/>
          </w:tcPr>
          <w:p w14:paraId="0376EB1D">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年以来完成过类似项目业绩的，每个业绩得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分。【附成交(或中标)通知书或合同协议书复印件并加盖供应商电子公章】</w:t>
            </w:r>
          </w:p>
        </w:tc>
        <w:tc>
          <w:tcPr>
            <w:tcW w:w="807" w:type="dxa"/>
            <w:vAlign w:val="center"/>
          </w:tcPr>
          <w:p w14:paraId="311C99F8">
            <w:pPr>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客观分</w:t>
            </w:r>
          </w:p>
        </w:tc>
      </w:tr>
      <w:tr w14:paraId="141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4EA8425">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供应商汇总得分</w:t>
            </w:r>
          </w:p>
        </w:tc>
        <w:tc>
          <w:tcPr>
            <w:tcW w:w="7050" w:type="dxa"/>
            <w:gridSpan w:val="2"/>
            <w:vAlign w:val="center"/>
          </w:tcPr>
          <w:p w14:paraId="13DC7010">
            <w:pPr>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=报价分得分+技术分得分</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商务</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得分</w:t>
            </w:r>
          </w:p>
        </w:tc>
        <w:tc>
          <w:tcPr>
            <w:tcW w:w="807" w:type="dxa"/>
            <w:vAlign w:val="center"/>
          </w:tcPr>
          <w:p w14:paraId="0AC3C984">
            <w:pPr>
              <w:spacing w:line="360" w:lineRule="auto"/>
              <w:jc w:val="left"/>
              <w:rPr>
                <w:rFonts w:hint="eastAsia" w:ascii="宋体" w:hAnsi="宋体" w:cs="宋体"/>
                <w:color w:val="000000" w:themeColor="text1"/>
                <w:szCs w:val="21"/>
                <w:highlight w:val="none"/>
                <w14:textFill>
                  <w14:solidFill>
                    <w14:schemeClr w14:val="tx1"/>
                  </w14:solidFill>
                </w14:textFill>
              </w:rPr>
            </w:pPr>
          </w:p>
        </w:tc>
      </w:tr>
    </w:tbl>
    <w:p w14:paraId="7C12BA0F">
      <w:pPr>
        <w:rPr>
          <w:rFonts w:hint="eastAsia" w:ascii="Times New Roman" w:hAnsi="Times New Roman" w:eastAsia="宋体" w:cs="Times New Roman"/>
          <w:b/>
          <w:bCs/>
          <w:color w:val="000000" w:themeColor="text1"/>
          <w:highlight w:val="none"/>
          <w:lang w:eastAsia="zh-CN"/>
          <w14:textFill>
            <w14:solidFill>
              <w14:schemeClr w14:val="tx1"/>
            </w14:solidFill>
          </w14:textFill>
        </w:rPr>
      </w:pPr>
    </w:p>
    <w:p w14:paraId="6EED8A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cs="Times New Roman"/>
          <w:b/>
          <w:bCs/>
          <w:color w:val="000000" w:themeColor="text1"/>
          <w:highlight w:val="none"/>
          <w:lang w:eastAsia="zh-CN"/>
          <w14:textFill>
            <w14:solidFill>
              <w14:schemeClr w14:val="tx1"/>
            </w14:solidFill>
          </w14:textFill>
        </w:rPr>
      </w:pPr>
      <w:r>
        <w:rPr>
          <w:rFonts w:hint="eastAsia" w:ascii="Times New Roman" w:hAnsi="Times New Roman" w:eastAsia="宋体" w:cs="Times New Roman"/>
          <w:b/>
          <w:bCs/>
          <w:color w:val="000000" w:themeColor="text1"/>
          <w:highlight w:val="none"/>
          <w:lang w:eastAsia="zh-CN"/>
          <w14:textFill>
            <w14:solidFill>
              <w14:schemeClr w14:val="tx1"/>
            </w14:solidFill>
          </w14:textFill>
        </w:rPr>
        <w:t>三、成交候选供应商推荐原则</w:t>
      </w:r>
    </w:p>
    <w:p w14:paraId="324088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713BC8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 成交供应商放弃成交、因不可抗力提出不能履行合同，采购人可以确定排名第二的成交候选人为成交供应商，也可以重新开展采购活动，以此类推。拒绝签订政府采购合同的成交供应商不得参加对该项目重新开展的采购活动。</w:t>
      </w:r>
    </w:p>
    <w:p w14:paraId="3B400C40">
      <w:pPr>
        <w:pStyle w:val="49"/>
        <w:rPr>
          <w:rFonts w:hint="eastAsia" w:ascii="黑体" w:hAnsi="宋体" w:eastAsia="黑体" w:cs="Times New Roman"/>
          <w:b/>
          <w:bCs/>
          <w:color w:val="000000" w:themeColor="text1"/>
          <w:kern w:val="0"/>
          <w:sz w:val="36"/>
          <w:szCs w:val="36"/>
          <w:highlight w:val="none"/>
          <w14:textFill>
            <w14:solidFill>
              <w14:schemeClr w14:val="tx1"/>
            </w14:solidFill>
          </w14:textFill>
        </w:rPr>
      </w:pPr>
    </w:p>
    <w:p w14:paraId="5742D37C">
      <w:pPr>
        <w:pStyle w:val="49"/>
        <w:rPr>
          <w:rFonts w:hint="eastAsia" w:ascii="黑体" w:hAnsi="宋体" w:eastAsia="黑体" w:cs="Times New Roman"/>
          <w:b/>
          <w:bCs/>
          <w:color w:val="000000" w:themeColor="text1"/>
          <w:kern w:val="0"/>
          <w:sz w:val="36"/>
          <w:szCs w:val="36"/>
          <w:highlight w:val="none"/>
          <w14:textFill>
            <w14:solidFill>
              <w14:schemeClr w14:val="tx1"/>
            </w14:solidFill>
          </w14:textFill>
        </w:rPr>
      </w:pPr>
    </w:p>
    <w:p w14:paraId="32197958">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000000" w:themeColor="text1"/>
          <w:kern w:val="0"/>
          <w:sz w:val="36"/>
          <w:szCs w:val="36"/>
          <w:highlight w:val="none"/>
          <w14:textFill>
            <w14:solidFill>
              <w14:schemeClr w14:val="tx1"/>
            </w14:solidFill>
          </w14:textFill>
        </w:rPr>
      </w:pPr>
      <w:bookmarkStart w:id="68" w:name="_Toc15543"/>
      <w:r>
        <w:rPr>
          <w:rFonts w:hint="eastAsia" w:ascii="黑体" w:hAnsi="宋体" w:eastAsia="黑体" w:cs="Times New Roman"/>
          <w:b/>
          <w:bCs/>
          <w:color w:val="000000" w:themeColor="text1"/>
          <w:kern w:val="0"/>
          <w:sz w:val="36"/>
          <w:szCs w:val="36"/>
          <w:highlight w:val="none"/>
          <w14:textFill>
            <w14:solidFill>
              <w14:schemeClr w14:val="tx1"/>
            </w14:solidFill>
          </w14:textFill>
        </w:rPr>
        <w:t>第</w:t>
      </w:r>
      <w:r>
        <w:rPr>
          <w:rFonts w:hint="eastAsia" w:ascii="黑体" w:hAnsi="宋体" w:eastAsia="黑体" w:cs="Times New Roman"/>
          <w:b/>
          <w:bCs/>
          <w:color w:val="000000" w:themeColor="text1"/>
          <w:kern w:val="0"/>
          <w:sz w:val="36"/>
          <w:szCs w:val="36"/>
          <w:highlight w:val="none"/>
          <w:lang w:val="en-US" w:eastAsia="zh-CN"/>
          <w14:textFill>
            <w14:solidFill>
              <w14:schemeClr w14:val="tx1"/>
            </w14:solidFill>
          </w14:textFill>
        </w:rPr>
        <w:t>五</w:t>
      </w:r>
      <w:r>
        <w:rPr>
          <w:rFonts w:hint="eastAsia" w:ascii="黑体" w:hAnsi="宋体" w:eastAsia="黑体" w:cs="Times New Roman"/>
          <w:b/>
          <w:bCs/>
          <w:color w:val="000000" w:themeColor="text1"/>
          <w:kern w:val="0"/>
          <w:sz w:val="36"/>
          <w:szCs w:val="36"/>
          <w:highlight w:val="none"/>
          <w14:textFill>
            <w14:solidFill>
              <w14:schemeClr w14:val="tx1"/>
            </w14:solidFill>
          </w14:textFill>
        </w:rPr>
        <w:t>章  响应文件（格式）</w:t>
      </w:r>
      <w:bookmarkEnd w:id="68"/>
    </w:p>
    <w:p w14:paraId="787623F5">
      <w:pPr>
        <w:autoSpaceDE w:val="0"/>
        <w:autoSpaceDN w:val="0"/>
        <w:adjustRightInd w:val="0"/>
        <w:spacing w:line="360" w:lineRule="auto"/>
        <w:rPr>
          <w:rFonts w:ascii="宋体" w:cs="宋体"/>
          <w:color w:val="000000" w:themeColor="text1"/>
          <w:szCs w:val="21"/>
          <w:highlight w:val="none"/>
          <w:lang w:val="zh-CN"/>
          <w14:textFill>
            <w14:solidFill>
              <w14:schemeClr w14:val="tx1"/>
            </w14:solidFill>
          </w14:textFill>
        </w:rPr>
      </w:pPr>
    </w:p>
    <w:p w14:paraId="6CE60EAD">
      <w:pPr>
        <w:rPr>
          <w:rFonts w:hint="eastAsia"/>
          <w:b/>
          <w:color w:val="000000" w:themeColor="text1"/>
          <w:sz w:val="32"/>
          <w:szCs w:val="32"/>
          <w:highlight w:val="none"/>
          <w14:textFill>
            <w14:solidFill>
              <w14:schemeClr w14:val="tx1"/>
            </w14:solidFill>
          </w14:textFill>
        </w:rPr>
      </w:pPr>
      <w:bookmarkStart w:id="69" w:name="_Toc31723070"/>
      <w:bookmarkStart w:id="70" w:name="_Toc44229899"/>
      <w:bookmarkStart w:id="71" w:name="_Toc35611438"/>
      <w:bookmarkStart w:id="72" w:name="_Toc71366186"/>
      <w:bookmarkStart w:id="73" w:name="_Toc35611516"/>
      <w:bookmarkStart w:id="74" w:name="_Toc31728084"/>
      <w:r>
        <w:rPr>
          <w:rFonts w:hint="eastAsia"/>
          <w:b/>
          <w:color w:val="000000" w:themeColor="text1"/>
          <w:sz w:val="32"/>
          <w:szCs w:val="32"/>
          <w:highlight w:val="none"/>
          <w14:textFill>
            <w14:solidFill>
              <w14:schemeClr w14:val="tx1"/>
            </w14:solidFill>
          </w14:textFill>
        </w:rPr>
        <w:t>一、资格证明文件格式</w:t>
      </w:r>
      <w:bookmarkEnd w:id="69"/>
      <w:bookmarkEnd w:id="70"/>
      <w:bookmarkEnd w:id="71"/>
      <w:bookmarkEnd w:id="72"/>
      <w:bookmarkEnd w:id="73"/>
      <w:bookmarkEnd w:id="74"/>
    </w:p>
    <w:p w14:paraId="4E0225E1">
      <w:pPr>
        <w:snapToGrid w:val="0"/>
        <w:spacing w:before="156"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10E4ABA6">
      <w:pPr>
        <w:snapToGrid w:val="0"/>
        <w:spacing w:before="156" w:beforeLines="50" w:after="50"/>
        <w:jc w:val="center"/>
        <w:rPr>
          <w:rFonts w:ascii="宋体" w:hAnsi="宋体"/>
          <w:color w:val="000000" w:themeColor="text1"/>
          <w:sz w:val="44"/>
          <w:szCs w:val="44"/>
          <w:highlight w:val="none"/>
          <w14:textFill>
            <w14:solidFill>
              <w14:schemeClr w14:val="tx1"/>
            </w14:solidFill>
          </w14:textFill>
        </w:rPr>
      </w:pPr>
    </w:p>
    <w:p w14:paraId="51800551">
      <w:pPr>
        <w:snapToGrid w:val="0"/>
        <w:spacing w:before="156"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315420B3">
      <w:pPr>
        <w:snapToGrid w:val="0"/>
        <w:spacing w:before="156" w:beforeLines="50" w:after="50"/>
        <w:rPr>
          <w:rFonts w:hint="eastAsia" w:ascii="宋体" w:hAnsi="宋体"/>
          <w:color w:val="000000" w:themeColor="text1"/>
          <w:sz w:val="24"/>
          <w:szCs w:val="20"/>
          <w:highlight w:val="none"/>
          <w14:textFill>
            <w14:solidFill>
              <w14:schemeClr w14:val="tx1"/>
            </w14:solidFill>
          </w14:textFill>
        </w:rPr>
      </w:pPr>
    </w:p>
    <w:p w14:paraId="566B2021">
      <w:pPr>
        <w:snapToGrid w:val="0"/>
        <w:spacing w:before="156"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50316F33">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731ADF4F">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1FA1C6B0">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44352374">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79023964">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0D68536B">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DA9E328">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7E359F64">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13F8B1CE">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C15E578">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C04E040">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p>
    <w:p w14:paraId="2DB0E214">
      <w:pPr>
        <w:pStyle w:val="8"/>
        <w:snapToGrid w:val="0"/>
        <w:spacing w:before="50" w:after="5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lang w:eastAsia="zh-CN"/>
          <w14:textFill>
            <w14:solidFill>
              <w14:schemeClr w14:val="tx1"/>
            </w14:solidFill>
          </w14:textFill>
        </w:rPr>
        <w:t>供应商地址：</w:t>
      </w:r>
    </w:p>
    <w:p w14:paraId="091EF2B1">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4F083B5A">
      <w:pPr>
        <w:pStyle w:val="8"/>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35E7EDE">
      <w:pPr>
        <w:pStyle w:val="8"/>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4F1F82FB">
      <w:pPr>
        <w:snapToGrid w:val="0"/>
        <w:spacing w:before="156"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55B7E9F3">
      <w:pPr>
        <w:snapToGrid w:val="0"/>
        <w:spacing w:before="156" w:beforeLines="50" w:after="50" w:line="360" w:lineRule="auto"/>
        <w:ind w:left="142"/>
        <w:jc w:val="left"/>
        <w:rPr>
          <w:rFonts w:hint="eastAsia"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3D456CE7">
      <w:pPr>
        <w:snapToGrid w:val="0"/>
        <w:spacing w:before="156"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6E7208B">
      <w:pPr>
        <w:snapToGrid w:val="0"/>
        <w:spacing w:before="156"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1E26CD01">
      <w:pPr>
        <w:spacing w:line="300" w:lineRule="auto"/>
        <w:rPr>
          <w:rFonts w:hint="eastAsia" w:ascii="宋体" w:hAnsi="宋体"/>
          <w:color w:val="000000" w:themeColor="text1"/>
          <w:szCs w:val="21"/>
          <w:highlight w:val="none"/>
          <w14:textFill>
            <w14:solidFill>
              <w14:schemeClr w14:val="tx1"/>
            </w14:solidFill>
          </w14:textFill>
        </w:rPr>
      </w:pPr>
    </w:p>
    <w:p w14:paraId="38EA61C3">
      <w:pPr>
        <w:spacing w:line="300" w:lineRule="auto"/>
        <w:rPr>
          <w:rFonts w:hint="eastAsia" w:ascii="宋体" w:hAnsi="宋体"/>
          <w:color w:val="000000" w:themeColor="text1"/>
          <w:szCs w:val="21"/>
          <w:highlight w:val="none"/>
          <w14:textFill>
            <w14:solidFill>
              <w14:schemeClr w14:val="tx1"/>
            </w14:solidFill>
          </w14:textFill>
        </w:rPr>
      </w:pPr>
    </w:p>
    <w:p w14:paraId="7BD38063">
      <w:pPr>
        <w:spacing w:line="300" w:lineRule="auto"/>
        <w:rPr>
          <w:rFonts w:hint="eastAsia" w:ascii="宋体" w:hAnsi="宋体"/>
          <w:color w:val="000000" w:themeColor="text1"/>
          <w:szCs w:val="21"/>
          <w:highlight w:val="none"/>
          <w14:textFill>
            <w14:solidFill>
              <w14:schemeClr w14:val="tx1"/>
            </w14:solidFill>
          </w14:textFill>
        </w:rPr>
      </w:pPr>
    </w:p>
    <w:p w14:paraId="3B31F33A">
      <w:pPr>
        <w:spacing w:line="300" w:lineRule="auto"/>
        <w:rPr>
          <w:rFonts w:hint="eastAsia" w:ascii="宋体" w:hAnsi="宋体"/>
          <w:color w:val="000000" w:themeColor="text1"/>
          <w:szCs w:val="21"/>
          <w:highlight w:val="none"/>
          <w14:textFill>
            <w14:solidFill>
              <w14:schemeClr w14:val="tx1"/>
            </w14:solidFill>
          </w14:textFill>
        </w:rPr>
      </w:pPr>
    </w:p>
    <w:p w14:paraId="65608C1F">
      <w:pPr>
        <w:spacing w:line="300" w:lineRule="auto"/>
        <w:rPr>
          <w:rFonts w:hint="eastAsia" w:ascii="宋体" w:hAnsi="宋体"/>
          <w:color w:val="000000" w:themeColor="text1"/>
          <w:szCs w:val="21"/>
          <w:highlight w:val="none"/>
          <w14:textFill>
            <w14:solidFill>
              <w14:schemeClr w14:val="tx1"/>
            </w14:solidFill>
          </w14:textFill>
        </w:rPr>
      </w:pPr>
    </w:p>
    <w:p w14:paraId="193ED454">
      <w:pPr>
        <w:spacing w:line="300" w:lineRule="auto"/>
        <w:rPr>
          <w:rFonts w:hint="eastAsia" w:ascii="宋体" w:hAnsi="宋体"/>
          <w:color w:val="000000" w:themeColor="text1"/>
          <w:szCs w:val="21"/>
          <w:highlight w:val="none"/>
          <w14:textFill>
            <w14:solidFill>
              <w14:schemeClr w14:val="tx1"/>
            </w14:solidFill>
          </w14:textFill>
        </w:rPr>
      </w:pPr>
    </w:p>
    <w:p w14:paraId="4178891B">
      <w:pPr>
        <w:spacing w:line="300" w:lineRule="auto"/>
        <w:rPr>
          <w:rFonts w:hint="eastAsia" w:ascii="宋体" w:hAnsi="宋体"/>
          <w:color w:val="000000" w:themeColor="text1"/>
          <w:szCs w:val="21"/>
          <w:highlight w:val="none"/>
          <w14:textFill>
            <w14:solidFill>
              <w14:schemeClr w14:val="tx1"/>
            </w14:solidFill>
          </w14:textFill>
        </w:rPr>
      </w:pPr>
    </w:p>
    <w:p w14:paraId="297FE74E">
      <w:pPr>
        <w:spacing w:line="300" w:lineRule="auto"/>
        <w:rPr>
          <w:rFonts w:hint="eastAsia" w:ascii="宋体" w:hAnsi="宋体"/>
          <w:color w:val="000000" w:themeColor="text1"/>
          <w:szCs w:val="21"/>
          <w:highlight w:val="none"/>
          <w14:textFill>
            <w14:solidFill>
              <w14:schemeClr w14:val="tx1"/>
            </w14:solidFill>
          </w14:textFill>
        </w:rPr>
      </w:pPr>
    </w:p>
    <w:p w14:paraId="0017EB77">
      <w:pPr>
        <w:spacing w:line="300" w:lineRule="auto"/>
        <w:rPr>
          <w:rFonts w:hint="eastAsia" w:ascii="宋体" w:hAnsi="宋体"/>
          <w:color w:val="000000" w:themeColor="text1"/>
          <w:szCs w:val="21"/>
          <w:highlight w:val="none"/>
          <w14:textFill>
            <w14:solidFill>
              <w14:schemeClr w14:val="tx1"/>
            </w14:solidFill>
          </w14:textFill>
        </w:rPr>
      </w:pPr>
    </w:p>
    <w:p w14:paraId="15442153">
      <w:pPr>
        <w:spacing w:line="300" w:lineRule="auto"/>
        <w:rPr>
          <w:rFonts w:hint="eastAsia" w:ascii="宋体" w:hAnsi="宋体"/>
          <w:color w:val="000000" w:themeColor="text1"/>
          <w:szCs w:val="21"/>
          <w:highlight w:val="none"/>
          <w14:textFill>
            <w14:solidFill>
              <w14:schemeClr w14:val="tx1"/>
            </w14:solidFill>
          </w14:textFill>
        </w:rPr>
      </w:pPr>
    </w:p>
    <w:p w14:paraId="3859AD7E">
      <w:pPr>
        <w:spacing w:line="300" w:lineRule="auto"/>
        <w:rPr>
          <w:rFonts w:hint="eastAsia" w:ascii="宋体" w:hAnsi="宋体"/>
          <w:color w:val="000000" w:themeColor="text1"/>
          <w:szCs w:val="21"/>
          <w:highlight w:val="none"/>
          <w14:textFill>
            <w14:solidFill>
              <w14:schemeClr w14:val="tx1"/>
            </w14:solidFill>
          </w14:textFill>
        </w:rPr>
      </w:pPr>
    </w:p>
    <w:p w14:paraId="53E761E7">
      <w:pPr>
        <w:spacing w:line="300" w:lineRule="auto"/>
        <w:rPr>
          <w:rFonts w:hint="eastAsia" w:ascii="宋体" w:hAnsi="宋体"/>
          <w:color w:val="000000" w:themeColor="text1"/>
          <w:szCs w:val="21"/>
          <w:highlight w:val="none"/>
          <w14:textFill>
            <w14:solidFill>
              <w14:schemeClr w14:val="tx1"/>
            </w14:solidFill>
          </w14:textFill>
        </w:rPr>
      </w:pPr>
    </w:p>
    <w:p w14:paraId="07920D36">
      <w:pPr>
        <w:spacing w:line="300" w:lineRule="auto"/>
        <w:rPr>
          <w:rFonts w:hint="eastAsia" w:ascii="宋体" w:hAnsi="宋体"/>
          <w:color w:val="000000" w:themeColor="text1"/>
          <w:szCs w:val="21"/>
          <w:highlight w:val="none"/>
          <w14:textFill>
            <w14:solidFill>
              <w14:schemeClr w14:val="tx1"/>
            </w14:solidFill>
          </w14:textFill>
        </w:rPr>
      </w:pPr>
    </w:p>
    <w:p w14:paraId="0D029424">
      <w:pPr>
        <w:spacing w:line="300" w:lineRule="auto"/>
        <w:rPr>
          <w:rFonts w:hint="eastAsia" w:ascii="宋体" w:hAnsi="宋体"/>
          <w:color w:val="000000" w:themeColor="text1"/>
          <w:szCs w:val="21"/>
          <w:highlight w:val="none"/>
          <w14:textFill>
            <w14:solidFill>
              <w14:schemeClr w14:val="tx1"/>
            </w14:solidFill>
          </w14:textFill>
        </w:rPr>
      </w:pPr>
    </w:p>
    <w:p w14:paraId="19356AA0">
      <w:pPr>
        <w:spacing w:line="300" w:lineRule="auto"/>
        <w:rPr>
          <w:rFonts w:hint="eastAsia" w:ascii="宋体" w:hAnsi="宋体"/>
          <w:color w:val="000000" w:themeColor="text1"/>
          <w:szCs w:val="21"/>
          <w:highlight w:val="none"/>
          <w14:textFill>
            <w14:solidFill>
              <w14:schemeClr w14:val="tx1"/>
            </w14:solidFill>
          </w14:textFill>
        </w:rPr>
      </w:pPr>
    </w:p>
    <w:p w14:paraId="7F05ADEB">
      <w:pPr>
        <w:spacing w:line="360" w:lineRule="auto"/>
        <w:jc w:val="center"/>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r>
        <w:rPr>
          <w:rFonts w:hint="eastAsia" w:ascii="宋体" w:hAnsi="宋体"/>
          <w:b/>
          <w:color w:val="000000" w:themeColor="text1"/>
          <w:sz w:val="32"/>
          <w:szCs w:val="32"/>
          <w:highlight w:val="none"/>
          <w:lang w:eastAsia="zh-CN"/>
          <w14:textFill>
            <w14:solidFill>
              <w14:schemeClr w14:val="tx1"/>
            </w14:solidFill>
          </w14:textFill>
        </w:rPr>
        <w:t>（格式）</w:t>
      </w:r>
    </w:p>
    <w:p w14:paraId="38292D02">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759DCE14">
      <w:pPr>
        <w:keepNext w:val="0"/>
        <w:keepLines w:val="0"/>
        <w:pageBreakBefore w:val="0"/>
        <w:widowControl w:val="0"/>
        <w:kinsoku/>
        <w:wordWrap/>
        <w:overflowPunct/>
        <w:topLinePunct w:val="0"/>
        <w:autoSpaceDE/>
        <w:autoSpaceDN/>
        <w:bidi w:val="0"/>
        <w:adjustRightInd/>
        <w:snapToGrid/>
        <w:spacing w:line="380" w:lineRule="exact"/>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（采购人名称）</w:t>
      </w:r>
      <w:r>
        <w:rPr>
          <w:rFonts w:hint="eastAsia" w:ascii="宋体" w:hAnsi="宋体" w:cs="宋体"/>
          <w:color w:val="000000" w:themeColor="text1"/>
          <w:sz w:val="21"/>
          <w:szCs w:val="21"/>
          <w:highlight w:val="none"/>
          <w14:textFill>
            <w14:solidFill>
              <w14:schemeClr w14:val="tx1"/>
            </w14:solidFill>
          </w14:textFill>
        </w:rPr>
        <w:t>：</w:t>
      </w:r>
    </w:p>
    <w:p w14:paraId="533A613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w:t>
      </w:r>
      <w:r>
        <w:rPr>
          <w:rFonts w:hint="eastAsia" w:ascii="宋体" w:hAnsi="宋体" w:cs="宋体"/>
          <w:color w:val="000000" w:themeColor="text1"/>
          <w:sz w:val="21"/>
          <w:szCs w:val="21"/>
          <w:highlight w:val="none"/>
          <w:u w:val="single"/>
          <w14:textFill>
            <w14:solidFill>
              <w14:schemeClr w14:val="tx1"/>
            </w14:solidFill>
          </w14:textFill>
        </w:rPr>
        <w:t>（供应商名称）</w:t>
      </w:r>
      <w:r>
        <w:rPr>
          <w:rFonts w:hint="eastAsia" w:ascii="宋体" w:hAnsi="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234B443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我方愿意参加贵方组织的</w:t>
      </w:r>
      <w:r>
        <w:rPr>
          <w:rFonts w:hint="eastAsia" w:ascii="宋体" w:hAnsi="宋体" w:cs="宋体"/>
          <w:color w:val="000000" w:themeColor="text1"/>
          <w:sz w:val="21"/>
          <w:szCs w:val="21"/>
          <w:highlight w:val="none"/>
          <w:u w:val="single"/>
          <w14:textFill>
            <w14:solidFill>
              <w14:schemeClr w14:val="tx1"/>
            </w14:solidFill>
          </w14:textFill>
        </w:rPr>
        <w:t>（项目名称）（项目编号）</w:t>
      </w:r>
      <w:r>
        <w:rPr>
          <w:rFonts w:hint="eastAsia" w:ascii="宋体" w:hAnsi="宋体" w:cs="宋体"/>
          <w:color w:val="000000" w:themeColor="text1"/>
          <w:sz w:val="21"/>
          <w:szCs w:val="21"/>
          <w:highlight w:val="none"/>
          <w14:textFill>
            <w14:solidFill>
              <w14:schemeClr w14:val="tx1"/>
            </w14:solidFill>
          </w14:textFill>
        </w:rPr>
        <w:t>项目的竞标，为便于贵方公正、择优地确定成交供应商及其服务，我方就本次竞标有关事项郑重声明如下：</w:t>
      </w:r>
    </w:p>
    <w:p w14:paraId="31655AC4">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1.我方向贵方提交的所有响应文件、资料都是准确的和真实的。</w:t>
      </w:r>
    </w:p>
    <w:p w14:paraId="67BC1D6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1"/>
          <w:szCs w:val="21"/>
          <w:highlight w:val="none"/>
          <w14:textFill>
            <w14:solidFill>
              <w14:schemeClr w14:val="tx1"/>
            </w14:solidFill>
          </w14:textFill>
        </w:rPr>
        <w:t>。</w:t>
      </w:r>
    </w:p>
    <w:p w14:paraId="4CBC6A99">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3.在此，我方宣布同意如下：</w:t>
      </w:r>
    </w:p>
    <w:p w14:paraId="6E0820C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（1）将按磋商文件的约定履行合同责任和义务；</w:t>
      </w:r>
    </w:p>
    <w:p w14:paraId="7845336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（2）已详细审查全部磋商文件，包括澄清或者更正公告（如有）；</w:t>
      </w:r>
    </w:p>
    <w:p w14:paraId="23FE4065">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（3）同意提供按照贵方可能要求的与磋商有关的一切数据或者资料；</w:t>
      </w:r>
    </w:p>
    <w:p w14:paraId="4885AD43">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（4）响应磋商文件规定的竞标有效期。</w:t>
      </w:r>
    </w:p>
    <w:p w14:paraId="70D14984">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4.我方承诺符合《中华人民共和国政府采购法》第二十二条规定：</w:t>
      </w:r>
    </w:p>
    <w:p w14:paraId="56783CB1">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w:t>
      </w:r>
    </w:p>
    <w:p w14:paraId="298BE12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（2）具有良好的商业信誉和健全的财务会计制度；</w:t>
      </w:r>
    </w:p>
    <w:p w14:paraId="4790BB9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（3）具有履行合同所必需的设备和专业技术能力；</w:t>
      </w:r>
    </w:p>
    <w:p w14:paraId="5AAA5BA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（4）有依法缴纳税收和社会保障资金的良好记录；</w:t>
      </w:r>
    </w:p>
    <w:p w14:paraId="5AB0369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p w14:paraId="2CEE79A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（6）法律、行政法规规定的其他条件。</w:t>
      </w:r>
    </w:p>
    <w:p w14:paraId="56E98921">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A0B602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708238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w:t>
      </w:r>
      <w:r>
        <w:rPr>
          <w:rFonts w:hint="eastAsia" w:ascii="宋体" w:hAnsi="宋体" w:cs="宋体"/>
          <w:color w:val="000000" w:themeColor="text1"/>
          <w:kern w:val="0"/>
          <w:sz w:val="21"/>
          <w:szCs w:val="21"/>
          <w:highlight w:val="none"/>
          <w14:textFill>
            <w14:solidFill>
              <w14:schemeClr w14:val="tx1"/>
            </w14:solidFill>
          </w14:textFill>
        </w:rPr>
        <w:t>内容中</w:t>
      </w:r>
      <w:r>
        <w:rPr>
          <w:rFonts w:hint="eastAsia" w:ascii="宋体" w:hAnsi="宋体" w:cs="宋体"/>
          <w:color w:val="000000" w:themeColor="text1"/>
          <w:sz w:val="21"/>
          <w:szCs w:val="21"/>
          <w:highlight w:val="none"/>
          <w14:textFill>
            <w14:solidFill>
              <w14:schemeClr w14:val="tx1"/>
            </w14:solidFill>
          </w14:textFill>
        </w:rPr>
        <w:t>未</w:t>
      </w:r>
      <w:r>
        <w:rPr>
          <w:rFonts w:hint="eastAsia" w:ascii="宋体" w:hAnsi="宋体" w:cs="宋体"/>
          <w:color w:val="000000" w:themeColor="text1"/>
          <w:kern w:val="0"/>
          <w:sz w:val="21"/>
          <w:szCs w:val="21"/>
          <w:highlight w:val="none"/>
          <w14:textFill>
            <w14:solidFill>
              <w14:schemeClr w14:val="tx1"/>
            </w14:solidFill>
          </w14:textFill>
        </w:rPr>
        <w:t>涉及商业秘密；</w:t>
      </w:r>
    </w:p>
    <w:p w14:paraId="12BD66A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w:t>
      </w:r>
      <w:r>
        <w:rPr>
          <w:rFonts w:hint="eastAsia" w:ascii="宋体" w:hAnsi="宋体" w:cs="宋体"/>
          <w:color w:val="000000" w:themeColor="text1"/>
          <w:kern w:val="0"/>
          <w:sz w:val="21"/>
          <w:szCs w:val="21"/>
          <w:highlight w:val="none"/>
          <w14:textFill>
            <w14:solidFill>
              <w14:schemeClr w14:val="tx1"/>
            </w14:solidFill>
          </w14:textFill>
        </w:rPr>
        <w:t>涉及商业秘密的内容有：</w:t>
      </w:r>
      <w:r>
        <w:rPr>
          <w:rFonts w:hint="eastAsia" w:ascii="宋体" w:hAnsi="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p>
    <w:p w14:paraId="7BE9EB50">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7.与本磋商有关的一切正式往来信函请寄：</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邮政编号：</w:t>
      </w:r>
      <w:r>
        <w:rPr>
          <w:rFonts w:hint="eastAsia" w:hAnsi="宋体" w:cs="宋体"/>
          <w:color w:val="000000" w:themeColor="text1"/>
          <w:sz w:val="21"/>
          <w:szCs w:val="21"/>
          <w:highlight w:val="none"/>
          <w:u w:val="single"/>
          <w14:textFill>
            <w14:solidFill>
              <w14:schemeClr w14:val="tx1"/>
            </w14:solidFill>
          </w14:textFill>
        </w:rPr>
        <w:t xml:space="preserve">        </w:t>
      </w:r>
    </w:p>
    <w:p w14:paraId="245E2873">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电话/传真：</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电子邮箱：</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p>
    <w:p w14:paraId="53F6AAA9">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开户银行：</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帐号：</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762C6EE">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8.以上事项如有虚假或者隐瞒，我方愿意承担一切后果，并不再寻求任何旨在减轻或者免除法律责任的辩解。</w:t>
      </w:r>
    </w:p>
    <w:p w14:paraId="24BEAE66">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248756B9">
      <w:pPr>
        <w:keepNext w:val="0"/>
        <w:keepLines w:val="0"/>
        <w:pageBreakBefore w:val="0"/>
        <w:widowControl w:val="0"/>
        <w:kinsoku/>
        <w:wordWrap/>
        <w:overflowPunct/>
        <w:topLinePunct w:val="0"/>
        <w:autoSpaceDE/>
        <w:autoSpaceDN/>
        <w:bidi w:val="0"/>
        <w:adjustRightInd/>
        <w:snapToGrid/>
        <w:spacing w:line="380" w:lineRule="exact"/>
        <w:ind w:firstLine="422" w:firstLineChars="200"/>
        <w:contextualSpacing/>
        <w:jc w:val="left"/>
        <w:textAlignment w:val="auto"/>
        <w:rPr>
          <w:rFonts w:hint="eastAsia" w:ascii="宋体" w:hAnsi="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注：</w:t>
      </w:r>
      <w:r>
        <w:rPr>
          <w:rFonts w:hint="eastAsia" w:ascii="宋体" w:hAnsi="宋体"/>
          <w:b/>
          <w:color w:val="000000" w:themeColor="text1"/>
          <w:sz w:val="21"/>
          <w:szCs w:val="21"/>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5D1D0B81">
      <w:pPr>
        <w:keepNext w:val="0"/>
        <w:keepLines w:val="0"/>
        <w:pageBreakBefore w:val="0"/>
        <w:widowControl w:val="0"/>
        <w:kinsoku/>
        <w:wordWrap/>
        <w:overflowPunct/>
        <w:topLinePunct w:val="0"/>
        <w:autoSpaceDE/>
        <w:autoSpaceDN/>
        <w:bidi w:val="0"/>
        <w:adjustRightInd/>
        <w:snapToGrid/>
        <w:spacing w:line="380" w:lineRule="exact"/>
        <w:contextualSpacing/>
        <w:jc w:val="left"/>
        <w:textAlignment w:val="auto"/>
        <w:rPr>
          <w:rFonts w:hint="eastAsia" w:ascii="宋体" w:hAnsi="宋体" w:cs="宋体"/>
          <w:color w:val="000000" w:themeColor="text1"/>
          <w:sz w:val="21"/>
          <w:szCs w:val="21"/>
          <w:highlight w:val="none"/>
          <w14:textFill>
            <w14:solidFill>
              <w14:schemeClr w14:val="tx1"/>
            </w14:solidFill>
          </w14:textFill>
        </w:rPr>
      </w:pPr>
    </w:p>
    <w:p w14:paraId="16A9D6B2">
      <w:pPr>
        <w:keepNext w:val="0"/>
        <w:keepLines w:val="0"/>
        <w:pageBreakBefore w:val="0"/>
        <w:widowControl w:val="0"/>
        <w:kinsoku/>
        <w:wordWrap/>
        <w:overflowPunct/>
        <w:topLinePunct w:val="0"/>
        <w:autoSpaceDE/>
        <w:autoSpaceDN/>
        <w:bidi w:val="0"/>
        <w:adjustRightInd/>
        <w:snapToGrid/>
        <w:spacing w:line="380" w:lineRule="exact"/>
        <w:ind w:firstLine="1575" w:firstLineChars="750"/>
        <w:contextualSpacing/>
        <w:textAlignment w:val="auto"/>
        <w:rPr>
          <w:rFonts w:hint="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法定代表人（签字或者盖章</w:t>
      </w:r>
      <w:r>
        <w:rPr>
          <w:rFonts w:hint="eastAsia" w:ascii="宋体" w:hAnsi="宋体"/>
          <w:color w:val="000000" w:themeColor="text1"/>
          <w:sz w:val="21"/>
          <w:szCs w:val="21"/>
          <w:highlight w:val="none"/>
          <w14:textFill>
            <w14:solidFill>
              <w14:schemeClr w14:val="tx1"/>
            </w14:solidFill>
          </w14:textFill>
        </w:rPr>
        <w:t>或者电子签名</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14:paraId="44E9B214">
      <w:pPr>
        <w:keepNext w:val="0"/>
        <w:keepLines w:val="0"/>
        <w:pageBreakBefore w:val="0"/>
        <w:widowControl w:val="0"/>
        <w:kinsoku/>
        <w:wordWrap/>
        <w:overflowPunct/>
        <w:topLinePunct w:val="0"/>
        <w:autoSpaceDE/>
        <w:autoSpaceDN/>
        <w:bidi w:val="0"/>
        <w:adjustRightInd/>
        <w:snapToGrid/>
        <w:spacing w:line="380" w:lineRule="exact"/>
        <w:ind w:firstLine="3780" w:firstLineChars="1800"/>
        <w:contextualSpacing/>
        <w:textAlignment w:val="auto"/>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供应商（电子签章）</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76238F22">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0" w:leftChars="0" w:firstLine="420" w:firstLineChars="200"/>
        <w:textAlignment w:val="auto"/>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年    月    日</w:t>
      </w:r>
    </w:p>
    <w:p w14:paraId="4A345441">
      <w:pPr>
        <w:spacing w:line="320" w:lineRule="exact"/>
        <w:jc w:val="left"/>
        <w:rPr>
          <w:rFonts w:hint="eastAsia" w:ascii="宋体" w:hAnsi="宋体"/>
          <w:color w:val="000000" w:themeColor="text1"/>
          <w:szCs w:val="21"/>
          <w:highlight w:val="none"/>
          <w14:textFill>
            <w14:solidFill>
              <w14:schemeClr w14:val="tx1"/>
            </w14:solidFill>
          </w14:textFill>
        </w:rPr>
      </w:pPr>
    </w:p>
    <w:p w14:paraId="226EF533">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64388BBC">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7E9B964C">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282397F0">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6956E1BE">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0252D0BD">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6C638F2F">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0C514B43">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22C5F2F3">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2A2CB6C1">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3068B785">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1EFBF4A3">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1C766C55">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100A8F1E">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57785356">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1D94F28A">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3FD9CAB4">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50A10BC5">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46CCCA6D">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6A01B590">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44BC5831">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5F3A2EA5">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0FCE2FB2">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3D1C3C01">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46611C03">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75316DEF">
      <w:pPr>
        <w:spacing w:line="320" w:lineRule="exact"/>
        <w:jc w:val="center"/>
        <w:rPr>
          <w:rFonts w:hint="eastAsia" w:ascii="宋体" w:hAnsi="宋体"/>
          <w:b/>
          <w:color w:val="000000" w:themeColor="text1"/>
          <w:sz w:val="32"/>
          <w:szCs w:val="32"/>
          <w:highlight w:val="none"/>
          <w14:textFill>
            <w14:solidFill>
              <w14:schemeClr w14:val="tx1"/>
            </w14:solidFill>
          </w14:textFill>
        </w:rPr>
      </w:pPr>
    </w:p>
    <w:p w14:paraId="4DEA57B7">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14:paraId="636FE027">
      <w:pPr>
        <w:spacing w:line="320" w:lineRule="exact"/>
        <w:jc w:val="center"/>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r>
        <w:rPr>
          <w:rFonts w:hint="eastAsia" w:ascii="宋体" w:hAnsi="宋体"/>
          <w:b/>
          <w:color w:val="000000" w:themeColor="text1"/>
          <w:sz w:val="32"/>
          <w:szCs w:val="32"/>
          <w:highlight w:val="none"/>
          <w:lang w:eastAsia="zh-CN"/>
          <w14:textFill>
            <w14:solidFill>
              <w14:schemeClr w14:val="tx1"/>
            </w14:solidFill>
          </w14:textFill>
        </w:rPr>
        <w:t>（格式）</w:t>
      </w:r>
    </w:p>
    <w:p w14:paraId="09D2E3E4">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p>
    <w:p w14:paraId="24F07C07">
      <w:pPr>
        <w:spacing w:line="360" w:lineRule="auto"/>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r>
        <w:rPr>
          <w:rFonts w:hint="eastAsia" w:ascii="宋体" w:hAnsi="宋体"/>
          <w:b/>
          <w:color w:val="000000" w:themeColor="text1"/>
          <w:sz w:val="32"/>
          <w:szCs w:val="32"/>
          <w:highlight w:val="none"/>
          <w:lang w:eastAsia="zh-CN"/>
          <w14:textFill>
            <w14:solidFill>
              <w14:schemeClr w14:val="tx1"/>
            </w14:solidFill>
          </w14:textFill>
        </w:rPr>
        <w:t>（格式）</w:t>
      </w:r>
    </w:p>
    <w:p w14:paraId="35AA06EA">
      <w:pPr>
        <w:spacing w:line="360" w:lineRule="auto"/>
        <w:contextualSpacing/>
        <w:jc w:val="center"/>
        <w:rPr>
          <w:rFonts w:hint="eastAsia" w:ascii="宋体" w:hAnsi="宋体"/>
          <w:b/>
          <w:color w:val="000000" w:themeColor="text1"/>
          <w:sz w:val="24"/>
          <w:highlight w:val="none"/>
          <w14:textFill>
            <w14:solidFill>
              <w14:schemeClr w14:val="tx1"/>
            </w14:solidFill>
          </w14:textFill>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DB97C66">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F83B5A">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D19450">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A32768">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BC8B0">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1ED44">
            <w:pPr>
              <w:widowControl/>
              <w:spacing w:line="360" w:lineRule="auto"/>
              <w:contextualSpacing/>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0F57E76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AC008">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B497EF">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4BA017">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6B4F4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E782D">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6A831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1263EF">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D08CC">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E1396">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3F332">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1F502E">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7DBB03C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0705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BFEC65">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33FD93">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86CB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E1E54B">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r w14:paraId="2169E71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54BAF">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3F8D3F">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896D4">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37AA1">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55BE8A">
            <w:pPr>
              <w:widowControl/>
              <w:spacing w:line="360" w:lineRule="auto"/>
              <w:contextualSpacing/>
              <w:jc w:val="center"/>
              <w:rPr>
                <w:rFonts w:hint="eastAsia" w:ascii="宋体" w:hAnsi="宋体" w:cs="宋体"/>
                <w:color w:val="000000" w:themeColor="text1"/>
                <w:kern w:val="0"/>
                <w:sz w:val="24"/>
                <w:highlight w:val="none"/>
                <w14:textFill>
                  <w14:solidFill>
                    <w14:schemeClr w14:val="tx1"/>
                  </w14:solidFill>
                </w14:textFill>
              </w:rPr>
            </w:pPr>
          </w:p>
        </w:tc>
      </w:tr>
    </w:tbl>
    <w:p w14:paraId="40C2AECE">
      <w:pPr>
        <w:spacing w:line="36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2DBA98BE">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52430D">
      <w:pPr>
        <w:spacing w:line="360" w:lineRule="auto"/>
        <w:ind w:firstLine="480" w:firstLineChars="200"/>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50FCFCE">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6AACBB8B">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3C0AE528">
      <w:pPr>
        <w:spacing w:line="360" w:lineRule="auto"/>
        <w:ind w:firstLine="560" w:firstLineChars="200"/>
        <w:contextualSpacing/>
        <w:jc w:val="left"/>
        <w:rPr>
          <w:rFonts w:hint="eastAsia" w:ascii="宋体" w:hAnsi="宋体" w:cs="宋体"/>
          <w:color w:val="000000" w:themeColor="text1"/>
          <w:sz w:val="28"/>
          <w:szCs w:val="28"/>
          <w:highlight w:val="none"/>
          <w14:textFill>
            <w14:solidFill>
              <w14:schemeClr w14:val="tx1"/>
            </w14:solidFill>
          </w14:textFill>
        </w:rPr>
      </w:pPr>
    </w:p>
    <w:p w14:paraId="2D746EF1">
      <w:pPr>
        <w:spacing w:line="360" w:lineRule="auto"/>
        <w:ind w:right="480"/>
        <w:contextualSpacing/>
        <w:jc w:val="center"/>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法定代表人或者委托代理人</w:t>
      </w:r>
      <w:r>
        <w:rPr>
          <w:rFonts w:hint="eastAsia" w:ascii="宋体" w:hAnsi="宋体"/>
          <w:color w:val="000000" w:themeColor="text1"/>
          <w:sz w:val="24"/>
          <w:szCs w:val="24"/>
          <w:highlight w:val="none"/>
          <w14:textFill>
            <w14:solidFill>
              <w14:schemeClr w14:val="tx1"/>
            </w14:solidFill>
          </w14:textFill>
        </w:rPr>
        <w:t>（签字或者电子签名）</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p>
    <w:p w14:paraId="32FB5F13">
      <w:pPr>
        <w:spacing w:line="360" w:lineRule="auto"/>
        <w:ind w:right="480" w:firstLine="3000" w:firstLineChars="1250"/>
        <w:contextualSpacing/>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（电子签章）</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AFC08C8">
      <w:pPr>
        <w:spacing w:line="360" w:lineRule="auto"/>
        <w:ind w:firstLine="480" w:firstLineChars="200"/>
        <w:contextualSpacing/>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    月    日</w:t>
      </w:r>
    </w:p>
    <w:p w14:paraId="7C496F39">
      <w:pPr>
        <w:snapToGrid w:val="0"/>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2AECF7A1">
      <w:pPr>
        <w:spacing w:line="320" w:lineRule="exact"/>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r>
        <w:rPr>
          <w:rFonts w:hint="eastAsia" w:ascii="宋体" w:hAnsi="宋体"/>
          <w:b/>
          <w:color w:val="000000" w:themeColor="text1"/>
          <w:sz w:val="32"/>
          <w:szCs w:val="32"/>
          <w:highlight w:val="none"/>
          <w:lang w:eastAsia="zh-CN"/>
          <w14:textFill>
            <w14:solidFill>
              <w14:schemeClr w14:val="tx1"/>
            </w14:solidFill>
          </w14:textFill>
        </w:rPr>
        <w:t>（格式）</w:t>
      </w:r>
    </w:p>
    <w:p w14:paraId="408AEBF5">
      <w:pPr>
        <w:snapToGrid w:val="0"/>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D64DB2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1642B">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81FAA2">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45450">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02B1A5">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相互关系</w:t>
            </w:r>
          </w:p>
        </w:tc>
      </w:tr>
      <w:tr w14:paraId="6849E49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E7D84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F514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257D2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BA9406">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F67203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907A1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2CBD2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6026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F9091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B1136B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1851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3B6B6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90FA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DEBDC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7E27DC0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5C4EA">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5492A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D49C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D5716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5C196525">
      <w:pPr>
        <w:spacing w:line="360" w:lineRule="auto"/>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7ED04F65">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B434506">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338A3086">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343FF428">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2AA32F75">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7035F9D8">
      <w:pPr>
        <w:spacing w:line="360" w:lineRule="auto"/>
        <w:contextualSpacing/>
        <w:jc w:val="left"/>
        <w:rPr>
          <w:rFonts w:hint="eastAsia"/>
          <w:color w:val="000000" w:themeColor="text1"/>
          <w:sz w:val="28"/>
          <w:szCs w:val="28"/>
          <w:highlight w:val="none"/>
          <w14:textFill>
            <w14:solidFill>
              <w14:schemeClr w14:val="tx1"/>
            </w14:solidFill>
          </w14:textFill>
        </w:rPr>
      </w:pPr>
    </w:p>
    <w:p w14:paraId="4A45D79D">
      <w:pPr>
        <w:spacing w:line="360" w:lineRule="auto"/>
        <w:contextualSpacing/>
        <w:jc w:val="left"/>
        <w:rPr>
          <w:rFonts w:hint="eastAsia" w:ascii="宋体" w:hAnsi="宋体"/>
          <w:color w:val="000000" w:themeColor="text1"/>
          <w:sz w:val="28"/>
          <w:szCs w:val="28"/>
          <w:highlight w:val="none"/>
          <w14:textFill>
            <w14:solidFill>
              <w14:schemeClr w14:val="tx1"/>
            </w14:solidFill>
          </w14:textFill>
        </w:rPr>
      </w:pPr>
    </w:p>
    <w:p w14:paraId="2D02A4EC">
      <w:pPr>
        <w:spacing w:line="360" w:lineRule="auto"/>
        <w:ind w:right="480"/>
        <w:contextualSpacing/>
        <w:jc w:val="center"/>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05EF4AED">
      <w:pPr>
        <w:spacing w:line="360" w:lineRule="auto"/>
        <w:ind w:right="480" w:firstLine="3360" w:firstLineChars="1400"/>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供应商（电子签章）：</w:t>
      </w:r>
      <w:r>
        <w:rPr>
          <w:rFonts w:hint="eastAsia" w:ascii="宋体" w:hAnsi="宋体"/>
          <w:color w:val="000000" w:themeColor="text1"/>
          <w:sz w:val="24"/>
          <w:szCs w:val="24"/>
          <w:highlight w:val="none"/>
          <w:u w:val="single"/>
          <w14:textFill>
            <w14:solidFill>
              <w14:schemeClr w14:val="tx1"/>
            </w14:solidFill>
          </w14:textFill>
        </w:rPr>
        <w:t xml:space="preserve">                </w:t>
      </w:r>
    </w:p>
    <w:p w14:paraId="5FC75C01">
      <w:pPr>
        <w:spacing w:line="360" w:lineRule="auto"/>
        <w:ind w:firstLine="480" w:firstLineChars="200"/>
        <w:contextualSpacing/>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6EA4C5C8">
      <w:pPr>
        <w:pStyle w:val="12"/>
        <w:tabs>
          <w:tab w:val="left" w:pos="939"/>
        </w:tabs>
        <w:spacing w:line="360" w:lineRule="auto"/>
        <w:ind w:left="0" w:leftChars="0" w:firstLine="560" w:firstLineChars="200"/>
        <w:rPr>
          <w:rFonts w:ascii="宋体" w:hAnsi="宋体"/>
          <w:color w:val="000000" w:themeColor="text1"/>
          <w:sz w:val="28"/>
          <w:szCs w:val="28"/>
          <w:highlight w:val="none"/>
          <w14:textFill>
            <w14:solidFill>
              <w14:schemeClr w14:val="tx1"/>
            </w14:solidFill>
          </w14:textFill>
        </w:rPr>
      </w:pPr>
    </w:p>
    <w:p w14:paraId="39C614D7">
      <w:pPr>
        <w:pStyle w:val="12"/>
        <w:tabs>
          <w:tab w:val="left" w:pos="939"/>
        </w:tabs>
        <w:spacing w:line="360" w:lineRule="auto"/>
        <w:rPr>
          <w:rFonts w:ascii="宋体" w:hAnsi="宋体"/>
          <w:color w:val="000000" w:themeColor="text1"/>
          <w:sz w:val="28"/>
          <w:szCs w:val="28"/>
          <w:highlight w:val="none"/>
          <w14:textFill>
            <w14:solidFill>
              <w14:schemeClr w14:val="tx1"/>
            </w14:solidFill>
          </w14:textFill>
        </w:rPr>
      </w:pPr>
    </w:p>
    <w:p w14:paraId="7661775A">
      <w:pPr>
        <w:pStyle w:val="12"/>
        <w:tabs>
          <w:tab w:val="left" w:pos="939"/>
        </w:tabs>
        <w:spacing w:line="360" w:lineRule="auto"/>
        <w:rPr>
          <w:rFonts w:ascii="宋体" w:hAnsi="宋体"/>
          <w:color w:val="000000" w:themeColor="text1"/>
          <w:sz w:val="28"/>
          <w:szCs w:val="28"/>
          <w:highlight w:val="none"/>
          <w14:textFill>
            <w14:solidFill>
              <w14:schemeClr w14:val="tx1"/>
            </w14:solidFill>
          </w14:textFill>
        </w:rPr>
      </w:pPr>
    </w:p>
    <w:p w14:paraId="5126D7B8">
      <w:pPr>
        <w:pStyle w:val="12"/>
        <w:tabs>
          <w:tab w:val="left" w:pos="939"/>
        </w:tabs>
        <w:spacing w:line="360" w:lineRule="auto"/>
        <w:rPr>
          <w:rFonts w:ascii="宋体" w:hAnsi="宋体"/>
          <w:color w:val="000000" w:themeColor="text1"/>
          <w:sz w:val="28"/>
          <w:szCs w:val="28"/>
          <w:highlight w:val="none"/>
          <w14:textFill>
            <w14:solidFill>
              <w14:schemeClr w14:val="tx1"/>
            </w14:solidFill>
          </w14:textFill>
        </w:rPr>
      </w:pPr>
    </w:p>
    <w:p w14:paraId="783A1C08">
      <w:pPr>
        <w:pStyle w:val="12"/>
        <w:tabs>
          <w:tab w:val="left" w:pos="939"/>
        </w:tabs>
        <w:spacing w:line="360" w:lineRule="auto"/>
        <w:rPr>
          <w:rFonts w:ascii="宋体" w:hAnsi="宋体"/>
          <w:color w:val="000000" w:themeColor="text1"/>
          <w:sz w:val="28"/>
          <w:szCs w:val="28"/>
          <w:highlight w:val="none"/>
          <w14:textFill>
            <w14:solidFill>
              <w14:schemeClr w14:val="tx1"/>
            </w14:solidFill>
          </w14:textFill>
        </w:rPr>
      </w:pPr>
    </w:p>
    <w:p w14:paraId="5FFBFE2A">
      <w:pPr>
        <w:pStyle w:val="12"/>
        <w:tabs>
          <w:tab w:val="left" w:pos="939"/>
        </w:tabs>
        <w:spacing w:line="360" w:lineRule="auto"/>
        <w:rPr>
          <w:rFonts w:ascii="宋体" w:hAnsi="宋体"/>
          <w:color w:val="000000" w:themeColor="text1"/>
          <w:sz w:val="28"/>
          <w:szCs w:val="28"/>
          <w:highlight w:val="none"/>
          <w14:textFill>
            <w14:solidFill>
              <w14:schemeClr w14:val="tx1"/>
            </w14:solidFill>
          </w14:textFill>
        </w:rPr>
      </w:pPr>
    </w:p>
    <w:p w14:paraId="5D031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000000" w:themeColor="text1"/>
          <w:sz w:val="32"/>
          <w:szCs w:val="32"/>
          <w:highlight w:val="none"/>
          <w14:textFill>
            <w14:solidFill>
              <w14:schemeClr w14:val="tx1"/>
            </w14:solidFill>
          </w14:textFill>
        </w:rPr>
      </w:pPr>
      <w:bookmarkStart w:id="75" w:name="_Toc71365926"/>
      <w:r>
        <w:rPr>
          <w:rFonts w:hint="eastAsia" w:ascii="宋体" w:hAnsi="宋体" w:eastAsia="宋体" w:cs="Times New Roman"/>
          <w:b/>
          <w:color w:val="000000" w:themeColor="text1"/>
          <w:sz w:val="32"/>
          <w:szCs w:val="32"/>
          <w:highlight w:val="none"/>
          <w14:textFill>
            <w14:solidFill>
              <w14:schemeClr w14:val="tx1"/>
            </w14:solidFill>
          </w14:textFill>
        </w:rPr>
        <w:t>中小企业声明函（工程）</w:t>
      </w:r>
      <w:bookmarkEnd w:id="75"/>
    </w:p>
    <w:p w14:paraId="78E4C034">
      <w:pPr>
        <w:pStyle w:val="10"/>
        <w:spacing w:line="500" w:lineRule="exact"/>
        <w:ind w:right="142" w:firstLine="705" w:firstLineChars="294"/>
        <w:rPr>
          <w:rFonts w:ascii="宋体" w:hAnsi="宋体"/>
          <w:color w:val="000000" w:themeColor="text1"/>
          <w:sz w:val="24"/>
          <w:highlight w:val="none"/>
          <w14:textFill>
            <w14:solidFill>
              <w14:schemeClr w14:val="tx1"/>
            </w14:solidFill>
          </w14:textFill>
        </w:rPr>
      </w:pPr>
    </w:p>
    <w:p w14:paraId="3C76C54B">
      <w:pPr>
        <w:pStyle w:val="10"/>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6C909F24">
      <w:pPr>
        <w:tabs>
          <w:tab w:val="left" w:pos="1384"/>
          <w:tab w:val="left" w:pos="4562"/>
          <w:tab w:val="left" w:pos="6803"/>
        </w:tabs>
        <w:spacing w:before="13" w:line="500" w:lineRule="exact"/>
        <w:ind w:right="142"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5D52F224">
      <w:pPr>
        <w:tabs>
          <w:tab w:val="left" w:pos="1065"/>
          <w:tab w:val="left" w:pos="4262"/>
          <w:tab w:val="left" w:pos="6477"/>
        </w:tabs>
        <w:spacing w:before="20" w:line="500" w:lineRule="exact"/>
        <w:ind w:right="84"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424289D6">
      <w:pPr>
        <w:pStyle w:val="10"/>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36C9125A">
      <w:pPr>
        <w:pStyle w:val="10"/>
        <w:spacing w:before="34" w:line="500" w:lineRule="exact"/>
        <w:ind w:right="142"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407C4E6">
      <w:pPr>
        <w:pStyle w:val="10"/>
        <w:spacing w:before="25" w:line="500" w:lineRule="exact"/>
        <w:ind w:right="142"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568BC4B3">
      <w:pPr>
        <w:pStyle w:val="10"/>
        <w:spacing w:before="56" w:line="500" w:lineRule="exact"/>
        <w:ind w:right="1808" w:firstLine="705" w:firstLineChars="294"/>
        <w:rPr>
          <w:rFonts w:hint="eastAsia" w:ascii="宋体" w:hAnsi="宋体"/>
          <w:color w:val="000000" w:themeColor="text1"/>
          <w:sz w:val="24"/>
          <w:highlight w:val="none"/>
          <w14:textFill>
            <w14:solidFill>
              <w14:schemeClr w14:val="tx1"/>
            </w14:solidFill>
          </w14:textFill>
        </w:rPr>
      </w:pPr>
    </w:p>
    <w:p w14:paraId="1BF5DAE3">
      <w:pPr>
        <w:pStyle w:val="10"/>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72886245">
      <w:pPr>
        <w:pStyle w:val="10"/>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2A124FEC">
      <w:pPr>
        <w:pStyle w:val="10"/>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p>
    <w:p w14:paraId="2D3F34FA">
      <w:pPr>
        <w:spacing w:line="520" w:lineRule="exact"/>
        <w:ind w:firstLine="480" w:firstLineChars="200"/>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0E113A">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0"/>
          <w:szCs w:val="40"/>
          <w:highlight w:val="none"/>
          <w14:textFill>
            <w14:solidFill>
              <w14:schemeClr w14:val="tx1"/>
            </w14:solidFill>
          </w14:textFill>
        </w:rPr>
        <w:t>残疾人福利性单位声明函</w:t>
      </w:r>
    </w:p>
    <w:p w14:paraId="7A2FEC73">
      <w:pPr>
        <w:spacing w:line="360"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D0A68C4">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2C89F7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7E514A4E">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2D4E6294">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407469E">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3C1B3904">
      <w:pPr>
        <w:spacing w:line="360" w:lineRule="auto"/>
        <w:ind w:firstLine="4560" w:firstLineChars="19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5B9EB328">
      <w:pPr>
        <w:spacing w:line="360" w:lineRule="auto"/>
        <w:ind w:firstLine="5040" w:firstLineChars="2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7771A5B2">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87CABB1">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B36A467">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0157CDB4">
      <w:pPr>
        <w:pStyle w:val="12"/>
        <w:tabs>
          <w:tab w:val="left" w:pos="939"/>
        </w:tabs>
        <w:spacing w:line="360" w:lineRule="auto"/>
        <w:ind w:left="0" w:leftChars="0" w:firstLine="720" w:firstLineChars="300"/>
        <w:rPr>
          <w:rFonts w:hint="eastAsia"/>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000000" w:themeColor="text1"/>
          <w:sz w:val="28"/>
          <w:szCs w:val="28"/>
          <w:highlight w:val="none"/>
          <w14:textFill>
            <w14:solidFill>
              <w14:schemeClr w14:val="tx1"/>
            </w14:solidFill>
          </w14:textFill>
        </w:rPr>
        <w:br w:type="page"/>
      </w:r>
    </w:p>
    <w:p w14:paraId="175C19C5">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4180936D">
      <w:pPr>
        <w:snapToGrid w:val="0"/>
        <w:spacing w:before="156" w:beforeLines="50" w:after="50" w:line="360" w:lineRule="auto"/>
        <w:jc w:val="left"/>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241F8163">
      <w:pPr>
        <w:snapToGrid w:val="0"/>
        <w:spacing w:before="156"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8850068">
      <w:pPr>
        <w:snapToGrid w:val="0"/>
        <w:spacing w:before="156"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14934DCB">
      <w:pPr>
        <w:snapToGrid w:val="0"/>
        <w:spacing w:before="156" w:beforeLines="50" w:after="50"/>
        <w:rPr>
          <w:rFonts w:hint="eastAsia" w:ascii="宋体" w:hAnsi="宋体"/>
          <w:color w:val="000000" w:themeColor="text1"/>
          <w:sz w:val="24"/>
          <w:szCs w:val="20"/>
          <w:highlight w:val="none"/>
          <w14:textFill>
            <w14:solidFill>
              <w14:schemeClr w14:val="tx1"/>
            </w14:solidFill>
          </w14:textFill>
        </w:rPr>
      </w:pPr>
    </w:p>
    <w:p w14:paraId="297D1180">
      <w:pPr>
        <w:snapToGrid w:val="0"/>
        <w:spacing w:before="156" w:beforeLines="50" w:after="50"/>
        <w:rPr>
          <w:rFonts w:hint="eastAsia" w:ascii="宋体" w:hAnsi="宋体"/>
          <w:color w:val="000000" w:themeColor="text1"/>
          <w:sz w:val="24"/>
          <w:szCs w:val="20"/>
          <w:highlight w:val="none"/>
          <w14:textFill>
            <w14:solidFill>
              <w14:schemeClr w14:val="tx1"/>
            </w14:solidFill>
          </w14:textFill>
        </w:rPr>
      </w:pPr>
    </w:p>
    <w:p w14:paraId="4B7439D1">
      <w:pPr>
        <w:snapToGrid w:val="0"/>
        <w:spacing w:before="156"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41B82BA3">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21DAE9ED">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76940773">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7C9367F4">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69AFC305">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3F6D4F4A">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E46AE52">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CBDEF07">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8F535DD">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5775B82">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3377E6AC">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p>
    <w:p w14:paraId="47FBAF23">
      <w:pPr>
        <w:pStyle w:val="8"/>
        <w:snapToGrid w:val="0"/>
        <w:spacing w:before="50" w:after="5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lang w:eastAsia="zh-CN"/>
          <w14:textFill>
            <w14:solidFill>
              <w14:schemeClr w14:val="tx1"/>
            </w14:solidFill>
          </w14:textFill>
        </w:rPr>
        <w:t>供应商地址：</w:t>
      </w:r>
    </w:p>
    <w:p w14:paraId="1A633E23">
      <w:pPr>
        <w:pStyle w:val="8"/>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7120E077">
      <w:pPr>
        <w:pStyle w:val="8"/>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8724D35">
      <w:pPr>
        <w:pStyle w:val="8"/>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5EDAECBB">
      <w:pPr>
        <w:pStyle w:val="8"/>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3B17F154">
      <w:pPr>
        <w:snapToGrid w:val="0"/>
        <w:spacing w:before="156"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3CADE67F">
      <w:pPr>
        <w:snapToGrid w:val="0"/>
        <w:spacing w:before="156" w:beforeLines="50" w:after="50" w:line="360" w:lineRule="auto"/>
        <w:ind w:left="142"/>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2F002076">
      <w:pPr>
        <w:autoSpaceDE w:val="0"/>
        <w:autoSpaceDN w:val="0"/>
        <w:adjustRightInd w:val="0"/>
        <w:spacing w:line="360" w:lineRule="auto"/>
        <w:ind w:firstLine="640" w:firstLineChars="200"/>
        <w:rPr>
          <w:rFonts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r>
        <w:rPr>
          <w:rFonts w:ascii="宋体" w:hAnsi="宋体"/>
          <w:b/>
          <w:bCs/>
          <w:color w:val="000000" w:themeColor="text1"/>
          <w:sz w:val="32"/>
          <w:szCs w:val="32"/>
          <w:highlight w:val="none"/>
          <w14:textFill>
            <w14:solidFill>
              <w14:schemeClr w14:val="tx1"/>
            </w14:solidFill>
          </w14:textFill>
        </w:rPr>
        <w:br w:type="page"/>
      </w:r>
    </w:p>
    <w:p w14:paraId="2344CC33">
      <w:pPr>
        <w:pStyle w:val="49"/>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000000" w:themeColor="text1"/>
          <w:sz w:val="32"/>
          <w:szCs w:val="32"/>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2"/>
          <w:szCs w:val="32"/>
          <w:highlight w:val="none"/>
          <w14:textFill>
            <w14:solidFill>
              <w14:schemeClr w14:val="tx1"/>
            </w14:solidFill>
          </w14:textFill>
        </w:rPr>
        <w:t>磋商函</w:t>
      </w:r>
      <w:r>
        <w:rPr>
          <w:rFonts w:hint="eastAsia" w:asciiTheme="majorEastAsia" w:hAnsiTheme="majorEastAsia" w:eastAsiaTheme="majorEastAsia" w:cstheme="majorEastAsia"/>
          <w:b/>
          <w:bCs/>
          <w:color w:val="000000" w:themeColor="text1"/>
          <w:sz w:val="32"/>
          <w:szCs w:val="32"/>
          <w:highlight w:val="none"/>
          <w:lang w:eastAsia="zh-CN"/>
          <w14:textFill>
            <w14:solidFill>
              <w14:schemeClr w14:val="tx1"/>
            </w14:solidFill>
          </w14:textFill>
        </w:rPr>
        <w:t>（格式）</w:t>
      </w:r>
    </w:p>
    <w:p w14:paraId="2A7224F7">
      <w:pPr>
        <w:pStyle w:val="49"/>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p>
    <w:p w14:paraId="60C4C6E4">
      <w:pPr>
        <w:spacing w:line="360" w:lineRule="auto"/>
        <w:contextualSpacing/>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致：</w:t>
      </w:r>
      <w:r>
        <w:rPr>
          <w:rFonts w:hint="eastAsia" w:ascii="宋体" w:hAnsi="宋体" w:cs="宋体"/>
          <w:color w:val="000000" w:themeColor="text1"/>
          <w:sz w:val="22"/>
          <w:szCs w:val="22"/>
          <w:highlight w:val="none"/>
          <w:u w:val="single"/>
          <w14:textFill>
            <w14:solidFill>
              <w14:schemeClr w14:val="tx1"/>
            </w14:solidFill>
          </w14:textFill>
        </w:rPr>
        <w:t>（采购人名称）</w:t>
      </w:r>
    </w:p>
    <w:p w14:paraId="708DB2F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1、根据你方项目编号为</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(项目编号)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的</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(项目名称)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工程竞争性磋商文件，遵照《中华人民共和国</w:t>
      </w:r>
      <w:r>
        <w:rPr>
          <w:rFonts w:hint="eastAsia" w:asciiTheme="majorEastAsia" w:hAnsiTheme="majorEastAsia" w:eastAsiaTheme="majorEastAsia" w:cstheme="majorEastAsia"/>
          <w:b w:val="0"/>
          <w:bCs w:val="0"/>
          <w:color w:val="000000" w:themeColor="text1"/>
          <w:sz w:val="21"/>
          <w:szCs w:val="24"/>
          <w:highlight w:val="none"/>
          <w:lang w:eastAsia="zh-CN"/>
          <w14:textFill>
            <w14:solidFill>
              <w14:schemeClr w14:val="tx1"/>
            </w14:solidFill>
          </w14:textFill>
        </w:rPr>
        <w:t>政府</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采购法》、《中华人民共和国</w:t>
      </w:r>
      <w:r>
        <w:rPr>
          <w:rFonts w:hint="eastAsia" w:asciiTheme="majorEastAsia" w:hAnsiTheme="majorEastAsia" w:eastAsiaTheme="majorEastAsia" w:cstheme="majorEastAsia"/>
          <w:b w:val="0"/>
          <w:bCs w:val="0"/>
          <w:color w:val="000000" w:themeColor="text1"/>
          <w:sz w:val="21"/>
          <w:szCs w:val="24"/>
          <w:highlight w:val="none"/>
          <w:lang w:eastAsia="zh-CN"/>
          <w14:textFill>
            <w14:solidFill>
              <w14:schemeClr w14:val="tx1"/>
            </w14:solidFill>
          </w14:textFill>
        </w:rPr>
        <w:t>政府</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采购法实施条例》、《</w:t>
      </w:r>
      <w:r>
        <w:rPr>
          <w:rFonts w:hint="eastAsia" w:asciiTheme="majorEastAsia" w:hAnsiTheme="majorEastAsia" w:eastAsiaTheme="majorEastAsia" w:cstheme="majorEastAsia"/>
          <w:b w:val="0"/>
          <w:bCs w:val="0"/>
          <w:color w:val="000000" w:themeColor="text1"/>
          <w:sz w:val="21"/>
          <w:szCs w:val="24"/>
          <w:highlight w:val="none"/>
          <w:lang w:eastAsia="zh-CN"/>
          <w14:textFill>
            <w14:solidFill>
              <w14:schemeClr w14:val="tx1"/>
            </w14:solidFill>
          </w14:textFill>
        </w:rPr>
        <w:t>政府</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采购竞争性磋商采购方式管理暂行办法》等有关规定，经踏勘项目现场和研究上述竞争性磋商文件的磋商须知、合同 条款、图纸、工程建设标准和工程量清单及其他有关文件后，我方愿以人民币(大 写)</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w:t>
      </w:r>
      <w:r>
        <w:rPr>
          <w:rFonts w:hint="default" w:ascii="Arial" w:hAnsi="Arial" w:cs="Arial" w:eastAsiaTheme="majorEastAsia"/>
          <w:b w:val="0"/>
          <w:bCs w:val="0"/>
          <w:color w:val="000000" w:themeColor="text1"/>
          <w:sz w:val="21"/>
          <w:szCs w:val="24"/>
          <w:highlight w:val="none"/>
          <w:u w:val="single"/>
          <w14:textFill>
            <w14:solidFill>
              <w14:schemeClr w14:val="tx1"/>
            </w14:solidFill>
          </w14:textFill>
        </w:rPr>
        <w:t>¥</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元)</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的磋商报价并按上述图纸、合同条款、工程建设标准和工程量清单 (如有时) 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等级。</w:t>
      </w:r>
    </w:p>
    <w:p w14:paraId="7E4EFE07">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2、我方已详细审核全部竞争性磋商文件，包括修改文件 (如有时) 及有关附件。</w:t>
      </w:r>
    </w:p>
    <w:p w14:paraId="21CAFE48">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3、我方承认磋商函附录是我方磋商函的组成部分。</w:t>
      </w:r>
    </w:p>
    <w:p w14:paraId="258CE906">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4、我方承诺已经具备《</w:t>
      </w:r>
      <w:r>
        <w:rPr>
          <w:rFonts w:hint="eastAsia" w:asciiTheme="majorEastAsia" w:hAnsiTheme="majorEastAsia" w:eastAsiaTheme="majorEastAsia" w:cstheme="majorEastAsia"/>
          <w:b w:val="0"/>
          <w:bCs w:val="0"/>
          <w:color w:val="000000" w:themeColor="text1"/>
          <w:sz w:val="21"/>
          <w:szCs w:val="24"/>
          <w:highlight w:val="none"/>
          <w:lang w:eastAsia="zh-CN"/>
          <w14:textFill>
            <w14:solidFill>
              <w14:schemeClr w14:val="tx1"/>
            </w14:solidFill>
          </w14:textFill>
        </w:rPr>
        <w:t>中华人民共和国政府采购法</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》中规定的参加招标投标采购活动的供应商应当具备的条件：</w:t>
      </w:r>
    </w:p>
    <w:p w14:paraId="559F51EA">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(1) 具有独立承担民事责任的能力；</w:t>
      </w:r>
    </w:p>
    <w:p w14:paraId="4A1D1251">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(2) 具有良好的商业信誉和健全的财务会计制度；</w:t>
      </w:r>
    </w:p>
    <w:p w14:paraId="465BD18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(3) 具有履行合同所必需的设备和专业技术能力；</w:t>
      </w:r>
    </w:p>
    <w:p w14:paraId="0CCB1FDE">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(4) 有依法缴纳税收和社会保障资金的良好记录；</w:t>
      </w:r>
    </w:p>
    <w:p w14:paraId="4EA1CAC0">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(5) 参加招标投标采购活动前三年内，在经营活动中没有重大违法记录；</w:t>
      </w:r>
    </w:p>
    <w:p w14:paraId="079EEA78">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(6) 法律、行政法规规定的其他条件。</w:t>
      </w:r>
    </w:p>
    <w:p w14:paraId="1D1E8E7A">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5、一旦我方成交，我方保证按合同书中规定的工期</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u w:val="none"/>
          <w14:textFill>
            <w14:solidFill>
              <w14:schemeClr w14:val="tx1"/>
            </w14:solidFill>
          </w14:textFill>
        </w:rPr>
        <w:t>日</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历天内完成并移交全部工程。</w:t>
      </w:r>
    </w:p>
    <w:p w14:paraId="58DFB6A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、我方同意所提交的响应文件在竞争性磋商文件的“磋商须知”中第 11 条规定的响应文件有效期内有效，在此期间内如果成交，我方将受此约束。</w:t>
      </w:r>
    </w:p>
    <w:p w14:paraId="4C3329D2">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8、除非另外达成协议并生效，你方的成交通知书和本响应文件将成为约束双方的合同文件的组成部分。</w:t>
      </w:r>
    </w:p>
    <w:p w14:paraId="1C8B7595">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p>
    <w:p w14:paraId="7973A05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供 应 商（电子签章）：</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u w:val="single"/>
          <w14:textFill>
            <w14:solidFill>
              <w14:schemeClr w14:val="tx1"/>
            </w14:solidFill>
          </w14:textFill>
        </w:rPr>
        <w:t xml:space="preserve">       </w:t>
      </w:r>
    </w:p>
    <w:p w14:paraId="39F132E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14:textFill>
            <w14:solidFill>
              <w14:schemeClr w14:val="tx1"/>
            </w14:solidFill>
          </w14:textFill>
        </w:rPr>
        <w:t>（签字或者电子签名）</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    </w:t>
      </w:r>
    </w:p>
    <w:p w14:paraId="50A6D8F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单位地址：     </w:t>
      </w:r>
    </w:p>
    <w:p w14:paraId="30E2C28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邮政编码：   </w:t>
      </w: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  电话：   </w:t>
      </w: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   传真：</w:t>
      </w:r>
    </w:p>
    <w:p w14:paraId="57B68B7D">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开户银行名称：</w:t>
      </w:r>
    </w:p>
    <w:p w14:paraId="3101132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开户银行账号：</w:t>
      </w:r>
    </w:p>
    <w:p w14:paraId="6BB6730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开户银行地址：</w:t>
      </w:r>
    </w:p>
    <w:p w14:paraId="2A336250">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日期：   </w:t>
      </w: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  年 </w:t>
      </w: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月 </w:t>
      </w:r>
      <w:r>
        <w:rPr>
          <w:rFonts w:hint="eastAsia" w:asciiTheme="majorEastAsia" w:hAnsiTheme="majorEastAsia" w:eastAsiaTheme="majorEastAsia" w:cstheme="majorEastAsia"/>
          <w:b w:val="0"/>
          <w:bCs w:val="0"/>
          <w:color w:val="000000" w:themeColor="text1"/>
          <w:sz w:val="21"/>
          <w:szCs w:val="24"/>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t xml:space="preserve"> 日</w:t>
      </w:r>
    </w:p>
    <w:p w14:paraId="5624043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000000" w:themeColor="text1"/>
          <w:sz w:val="21"/>
          <w:szCs w:val="24"/>
          <w:highlight w:val="none"/>
          <w14:textFill>
            <w14:solidFill>
              <w14:schemeClr w14:val="tx1"/>
            </w14:solidFill>
          </w14:textFill>
        </w:rPr>
      </w:pPr>
    </w:p>
    <w:p w14:paraId="5C3A211C">
      <w:pPr>
        <w:pStyle w:val="4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highlight w:val="none"/>
          <w14:textFill>
            <w14:solidFill>
              <w14:schemeClr w14:val="tx1"/>
            </w14:solidFill>
          </w14:textFill>
        </w:rPr>
        <w:t>磋商函附录</w:t>
      </w:r>
      <w:r>
        <w:rPr>
          <w:rFonts w:hint="eastAsia" w:asciiTheme="majorEastAsia" w:hAnsiTheme="majorEastAsia" w:eastAsiaTheme="majorEastAsia" w:cstheme="majorEastAsia"/>
          <w:b/>
          <w:bCs/>
          <w:color w:val="000000" w:themeColor="text1"/>
          <w:sz w:val="28"/>
          <w:szCs w:val="28"/>
          <w:highlight w:val="none"/>
          <w:lang w:eastAsia="zh-CN"/>
          <w14:textFill>
            <w14:solidFill>
              <w14:schemeClr w14:val="tx1"/>
            </w14:solidFill>
          </w14:textFill>
        </w:rPr>
        <w:t>（格式）</w:t>
      </w:r>
    </w:p>
    <w:p w14:paraId="3C1151FA">
      <w:pPr>
        <w:pStyle w:val="4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000000" w:themeColor="text1"/>
          <w:sz w:val="28"/>
          <w:szCs w:val="28"/>
          <w:highlight w:val="none"/>
          <w:lang w:eastAsia="zh-CN"/>
          <w14:textFill>
            <w14:solidFill>
              <w14:schemeClr w14:val="tx1"/>
            </w14:solidFill>
          </w14:textFill>
        </w:rPr>
      </w:pPr>
    </w:p>
    <w:tbl>
      <w:tblPr>
        <w:tblStyle w:val="6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5C2D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007EECF1">
            <w:pPr>
              <w:spacing w:before="181" w:line="230" w:lineRule="auto"/>
              <w:ind w:left="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3424" w:type="dxa"/>
            <w:vAlign w:val="top"/>
          </w:tcPr>
          <w:p w14:paraId="1863E3E6">
            <w:pPr>
              <w:spacing w:before="181" w:line="228" w:lineRule="auto"/>
              <w:ind w:left="1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条款内</w:t>
            </w:r>
            <w:r>
              <w:rPr>
                <w:rFonts w:hint="eastAsia" w:ascii="宋体" w:hAnsi="宋体" w:eastAsia="宋体" w:cs="宋体"/>
                <w:color w:val="000000" w:themeColor="text1"/>
                <w:spacing w:val="6"/>
                <w:sz w:val="21"/>
                <w:szCs w:val="21"/>
                <w:highlight w:val="none"/>
                <w14:textFill>
                  <w14:solidFill>
                    <w14:schemeClr w14:val="tx1"/>
                  </w14:solidFill>
                </w14:textFill>
              </w:rPr>
              <w:t>容</w:t>
            </w:r>
          </w:p>
        </w:tc>
        <w:tc>
          <w:tcPr>
            <w:tcW w:w="2818" w:type="dxa"/>
            <w:vAlign w:val="top"/>
          </w:tcPr>
          <w:p w14:paraId="4DFBAB9E">
            <w:pPr>
              <w:spacing w:before="181" w:line="228" w:lineRule="auto"/>
              <w:ind w:left="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约定内容</w:t>
            </w:r>
          </w:p>
        </w:tc>
        <w:tc>
          <w:tcPr>
            <w:tcW w:w="1696" w:type="dxa"/>
            <w:vAlign w:val="top"/>
          </w:tcPr>
          <w:p w14:paraId="51439B7B">
            <w:pPr>
              <w:spacing w:before="181" w:line="230" w:lineRule="auto"/>
              <w:ind w:left="64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w:t>
            </w:r>
            <w:r>
              <w:rPr>
                <w:rFonts w:hint="eastAsia" w:ascii="宋体" w:hAnsi="宋体" w:eastAsia="宋体" w:cs="宋体"/>
                <w:color w:val="000000" w:themeColor="text1"/>
                <w:spacing w:val="3"/>
                <w:sz w:val="21"/>
                <w:szCs w:val="21"/>
                <w:highlight w:val="none"/>
                <w14:textFill>
                  <w14:solidFill>
                    <w14:schemeClr w14:val="tx1"/>
                  </w14:solidFill>
                </w14:textFill>
              </w:rPr>
              <w:t>注</w:t>
            </w:r>
          </w:p>
        </w:tc>
      </w:tr>
      <w:tr w14:paraId="0745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5CF1482">
            <w:pPr>
              <w:spacing w:before="211" w:line="193" w:lineRule="auto"/>
              <w:ind w:left="4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424" w:type="dxa"/>
            <w:vAlign w:val="top"/>
          </w:tcPr>
          <w:p w14:paraId="6725656E">
            <w:pPr>
              <w:spacing w:before="180" w:line="229" w:lineRule="auto"/>
              <w:ind w:left="13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项</w:t>
            </w:r>
            <w:r>
              <w:rPr>
                <w:rFonts w:hint="eastAsia" w:ascii="宋体" w:hAnsi="宋体" w:eastAsia="宋体" w:cs="宋体"/>
                <w:color w:val="000000" w:themeColor="text1"/>
                <w:spacing w:val="6"/>
                <w:sz w:val="21"/>
                <w:szCs w:val="21"/>
                <w:highlight w:val="none"/>
                <w14:textFill>
                  <w14:solidFill>
                    <w14:schemeClr w14:val="tx1"/>
                  </w14:solidFill>
                </w14:textFill>
              </w:rPr>
              <w:t>目经理</w:t>
            </w:r>
          </w:p>
        </w:tc>
        <w:tc>
          <w:tcPr>
            <w:tcW w:w="2818" w:type="dxa"/>
            <w:vAlign w:val="top"/>
          </w:tcPr>
          <w:p w14:paraId="0483C0DE">
            <w:pPr>
              <w:spacing w:before="180" w:line="228" w:lineRule="auto"/>
              <w:ind w:left="0" w:leftChars="0"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姓名：</w:t>
            </w:r>
          </w:p>
        </w:tc>
        <w:tc>
          <w:tcPr>
            <w:tcW w:w="1696" w:type="dxa"/>
            <w:vAlign w:val="top"/>
          </w:tcPr>
          <w:p w14:paraId="45682D10">
            <w:pPr>
              <w:rPr>
                <w:rFonts w:hint="eastAsia" w:ascii="宋体" w:hAnsi="宋体" w:eastAsia="宋体" w:cs="宋体"/>
                <w:color w:val="000000" w:themeColor="text1"/>
                <w:sz w:val="21"/>
                <w:szCs w:val="21"/>
                <w:highlight w:val="none"/>
                <w14:textFill>
                  <w14:solidFill>
                    <w14:schemeClr w14:val="tx1"/>
                  </w14:solidFill>
                </w14:textFill>
              </w:rPr>
            </w:pPr>
          </w:p>
        </w:tc>
      </w:tr>
      <w:tr w14:paraId="6F4F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75FE796">
            <w:pPr>
              <w:spacing w:before="211" w:line="192" w:lineRule="auto"/>
              <w:ind w:left="45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424" w:type="dxa"/>
            <w:vAlign w:val="top"/>
          </w:tcPr>
          <w:p w14:paraId="4CC51DC6">
            <w:pPr>
              <w:spacing w:before="179" w:line="228" w:lineRule="auto"/>
              <w:ind w:left="99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响</w:t>
            </w:r>
            <w:r>
              <w:rPr>
                <w:rFonts w:hint="eastAsia" w:ascii="宋体" w:hAnsi="宋体" w:eastAsia="宋体" w:cs="宋体"/>
                <w:color w:val="000000" w:themeColor="text1"/>
                <w:spacing w:val="7"/>
                <w:sz w:val="21"/>
                <w:szCs w:val="21"/>
                <w:highlight w:val="none"/>
                <w14:textFill>
                  <w14:solidFill>
                    <w14:schemeClr w14:val="tx1"/>
                  </w14:solidFill>
                </w14:textFill>
              </w:rPr>
              <w:t>应文件有效期</w:t>
            </w:r>
          </w:p>
        </w:tc>
        <w:tc>
          <w:tcPr>
            <w:tcW w:w="2818" w:type="dxa"/>
            <w:vAlign w:val="top"/>
          </w:tcPr>
          <w:p w14:paraId="74E0965A">
            <w:pPr>
              <w:rPr>
                <w:rFonts w:hint="eastAsia" w:ascii="宋体" w:hAnsi="宋体" w:eastAsia="宋体" w:cs="宋体"/>
                <w:color w:val="000000" w:themeColor="text1"/>
                <w:sz w:val="21"/>
                <w:szCs w:val="21"/>
                <w:highlight w:val="none"/>
                <w14:textFill>
                  <w14:solidFill>
                    <w14:schemeClr w14:val="tx1"/>
                  </w14:solidFill>
                </w14:textFill>
              </w:rPr>
            </w:pPr>
          </w:p>
        </w:tc>
        <w:tc>
          <w:tcPr>
            <w:tcW w:w="1696" w:type="dxa"/>
            <w:vAlign w:val="top"/>
          </w:tcPr>
          <w:p w14:paraId="481A79AE">
            <w:pPr>
              <w:rPr>
                <w:rFonts w:hint="eastAsia" w:ascii="宋体" w:hAnsi="宋体" w:eastAsia="宋体" w:cs="宋体"/>
                <w:color w:val="000000" w:themeColor="text1"/>
                <w:sz w:val="21"/>
                <w:szCs w:val="21"/>
                <w:highlight w:val="none"/>
                <w14:textFill>
                  <w14:solidFill>
                    <w14:schemeClr w14:val="tx1"/>
                  </w14:solidFill>
                </w14:textFill>
              </w:rPr>
            </w:pPr>
          </w:p>
        </w:tc>
      </w:tr>
      <w:tr w14:paraId="32CC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852196F">
            <w:pPr>
              <w:spacing w:before="212" w:line="190" w:lineRule="auto"/>
              <w:ind w:left="4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424" w:type="dxa"/>
            <w:vAlign w:val="top"/>
          </w:tcPr>
          <w:p w14:paraId="76A62F58">
            <w:pPr>
              <w:spacing w:before="179" w:line="229" w:lineRule="auto"/>
              <w:ind w:left="151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工</w:t>
            </w:r>
            <w:r>
              <w:rPr>
                <w:rFonts w:hint="eastAsia" w:ascii="宋体" w:hAnsi="宋体" w:eastAsia="宋体" w:cs="宋体"/>
                <w:color w:val="000000" w:themeColor="text1"/>
                <w:spacing w:val="3"/>
                <w:sz w:val="21"/>
                <w:szCs w:val="21"/>
                <w:highlight w:val="none"/>
                <w14:textFill>
                  <w14:solidFill>
                    <w14:schemeClr w14:val="tx1"/>
                  </w14:solidFill>
                </w14:textFill>
              </w:rPr>
              <w:t>期</w:t>
            </w:r>
          </w:p>
        </w:tc>
        <w:tc>
          <w:tcPr>
            <w:tcW w:w="2818" w:type="dxa"/>
            <w:vAlign w:val="top"/>
          </w:tcPr>
          <w:p w14:paraId="63C12B9A">
            <w:pPr>
              <w:tabs>
                <w:tab w:val="left" w:pos="1506"/>
              </w:tabs>
              <w:spacing w:before="179" w:line="229" w:lineRule="auto"/>
              <w:ind w:left="832"/>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color="auto"/>
                <w14:textFill>
                  <w14:solidFill>
                    <w14:schemeClr w14:val="tx1"/>
                  </w14:solidFill>
                </w14:textFill>
              </w:rPr>
              <w:tab/>
            </w:r>
            <w:r>
              <w:rPr>
                <w:rFonts w:hint="eastAsia" w:ascii="宋体" w:hAnsi="宋体" w:cs="宋体"/>
                <w:color w:val="000000" w:themeColor="text1"/>
                <w:spacing w:val="-5"/>
                <w:sz w:val="21"/>
                <w:szCs w:val="21"/>
                <w:highlight w:val="none"/>
                <w:lang w:val="en-US" w:eastAsia="zh-CN"/>
                <w14:textFill>
                  <w14:solidFill>
                    <w14:schemeClr w14:val="tx1"/>
                  </w14:solidFill>
                </w14:textFill>
              </w:rPr>
              <w:t>月</w:t>
            </w:r>
          </w:p>
        </w:tc>
        <w:tc>
          <w:tcPr>
            <w:tcW w:w="1696" w:type="dxa"/>
            <w:vAlign w:val="top"/>
          </w:tcPr>
          <w:p w14:paraId="6C3FA04B">
            <w:pPr>
              <w:rPr>
                <w:rFonts w:hint="eastAsia" w:ascii="宋体" w:hAnsi="宋体" w:eastAsia="宋体" w:cs="宋体"/>
                <w:color w:val="000000" w:themeColor="text1"/>
                <w:sz w:val="21"/>
                <w:szCs w:val="21"/>
                <w:highlight w:val="none"/>
                <w14:textFill>
                  <w14:solidFill>
                    <w14:schemeClr w14:val="tx1"/>
                  </w14:solidFill>
                </w14:textFill>
              </w:rPr>
            </w:pPr>
          </w:p>
        </w:tc>
      </w:tr>
      <w:tr w14:paraId="5DB3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8A60C8F">
            <w:pPr>
              <w:spacing w:before="215" w:line="192" w:lineRule="auto"/>
              <w:ind w:left="45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3424" w:type="dxa"/>
            <w:vAlign w:val="top"/>
          </w:tcPr>
          <w:p w14:paraId="2FD40DC6">
            <w:pPr>
              <w:spacing w:before="182" w:line="229" w:lineRule="auto"/>
              <w:ind w:left="119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质量保证金</w:t>
            </w:r>
          </w:p>
        </w:tc>
        <w:tc>
          <w:tcPr>
            <w:tcW w:w="2818" w:type="dxa"/>
            <w:vAlign w:val="top"/>
          </w:tcPr>
          <w:p w14:paraId="1A7C8217">
            <w:pPr>
              <w:spacing w:before="182" w:line="227" w:lineRule="auto"/>
              <w:ind w:left="69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结</w:t>
            </w:r>
            <w:r>
              <w:rPr>
                <w:rFonts w:hint="eastAsia" w:ascii="宋体" w:hAnsi="宋体" w:eastAsia="宋体" w:cs="宋体"/>
                <w:color w:val="000000" w:themeColor="text1"/>
                <w:spacing w:val="5"/>
                <w:sz w:val="21"/>
                <w:szCs w:val="21"/>
                <w:highlight w:val="none"/>
                <w14:textFill>
                  <w14:solidFill>
                    <w14:schemeClr w14:val="tx1"/>
                  </w14:solidFill>
                </w14:textFill>
              </w:rPr>
              <w:t>算价的</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cs="宋体"/>
                <w:color w:val="000000" w:themeColor="text1"/>
                <w:spacing w:val="5"/>
                <w:sz w:val="21"/>
                <w:szCs w:val="2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w:t>
            </w:r>
          </w:p>
        </w:tc>
        <w:tc>
          <w:tcPr>
            <w:tcW w:w="1696" w:type="dxa"/>
            <w:vAlign w:val="top"/>
          </w:tcPr>
          <w:p w14:paraId="3C7E8C9F">
            <w:pPr>
              <w:rPr>
                <w:rFonts w:hint="eastAsia" w:ascii="宋体" w:hAnsi="宋体" w:eastAsia="宋体" w:cs="宋体"/>
                <w:color w:val="000000" w:themeColor="text1"/>
                <w:sz w:val="21"/>
                <w:szCs w:val="21"/>
                <w:highlight w:val="none"/>
                <w14:textFill>
                  <w14:solidFill>
                    <w14:schemeClr w14:val="tx1"/>
                  </w14:solidFill>
                </w14:textFill>
              </w:rPr>
            </w:pPr>
          </w:p>
        </w:tc>
      </w:tr>
      <w:tr w14:paraId="09F7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014DD5F2">
            <w:pPr>
              <w:spacing w:before="215" w:line="189" w:lineRule="auto"/>
              <w:ind w:left="45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3424" w:type="dxa"/>
            <w:vAlign w:val="top"/>
          </w:tcPr>
          <w:p w14:paraId="662F6DA1">
            <w:pPr>
              <w:spacing w:before="181" w:line="229" w:lineRule="auto"/>
              <w:ind w:left="129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质量标准</w:t>
            </w:r>
          </w:p>
        </w:tc>
        <w:tc>
          <w:tcPr>
            <w:tcW w:w="2818" w:type="dxa"/>
            <w:vAlign w:val="top"/>
          </w:tcPr>
          <w:p w14:paraId="7B8E6116">
            <w:pPr>
              <w:rPr>
                <w:rFonts w:hint="eastAsia" w:ascii="宋体" w:hAnsi="宋体" w:eastAsia="宋体" w:cs="宋体"/>
                <w:color w:val="000000" w:themeColor="text1"/>
                <w:sz w:val="21"/>
                <w:szCs w:val="21"/>
                <w:highlight w:val="none"/>
                <w14:textFill>
                  <w14:solidFill>
                    <w14:schemeClr w14:val="tx1"/>
                  </w14:solidFill>
                </w14:textFill>
              </w:rPr>
            </w:pPr>
          </w:p>
        </w:tc>
        <w:tc>
          <w:tcPr>
            <w:tcW w:w="1696" w:type="dxa"/>
            <w:vAlign w:val="top"/>
          </w:tcPr>
          <w:p w14:paraId="23ADDE5C">
            <w:pPr>
              <w:rPr>
                <w:rFonts w:hint="eastAsia" w:ascii="宋体" w:hAnsi="宋体" w:eastAsia="宋体" w:cs="宋体"/>
                <w:color w:val="000000" w:themeColor="text1"/>
                <w:sz w:val="21"/>
                <w:szCs w:val="21"/>
                <w:highlight w:val="none"/>
                <w14:textFill>
                  <w14:solidFill>
                    <w14:schemeClr w14:val="tx1"/>
                  </w14:solidFill>
                </w14:textFill>
              </w:rPr>
            </w:pPr>
          </w:p>
        </w:tc>
      </w:tr>
      <w:tr w14:paraId="6234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535AB62">
            <w:pPr>
              <w:spacing w:before="215" w:line="189" w:lineRule="auto"/>
              <w:ind w:left="456"/>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3424" w:type="dxa"/>
            <w:vAlign w:val="top"/>
          </w:tcPr>
          <w:p w14:paraId="0E3BB455">
            <w:pPr>
              <w:spacing w:before="181" w:line="229" w:lineRule="auto"/>
              <w:ind w:left="1297"/>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付款条件</w:t>
            </w:r>
          </w:p>
        </w:tc>
        <w:tc>
          <w:tcPr>
            <w:tcW w:w="2818" w:type="dxa"/>
            <w:vAlign w:val="top"/>
          </w:tcPr>
          <w:p w14:paraId="08D8E57D">
            <w:pPr>
              <w:rPr>
                <w:rFonts w:hint="eastAsia" w:ascii="宋体" w:hAnsi="宋体" w:eastAsia="宋体" w:cs="宋体"/>
                <w:color w:val="000000" w:themeColor="text1"/>
                <w:sz w:val="21"/>
                <w:szCs w:val="21"/>
                <w:highlight w:val="none"/>
                <w14:textFill>
                  <w14:solidFill>
                    <w14:schemeClr w14:val="tx1"/>
                  </w14:solidFill>
                </w14:textFill>
              </w:rPr>
            </w:pPr>
          </w:p>
        </w:tc>
        <w:tc>
          <w:tcPr>
            <w:tcW w:w="1696" w:type="dxa"/>
            <w:vAlign w:val="top"/>
          </w:tcPr>
          <w:p w14:paraId="5A033DC8">
            <w:pPr>
              <w:rPr>
                <w:rFonts w:hint="eastAsia" w:ascii="宋体" w:hAnsi="宋体" w:eastAsia="宋体" w:cs="宋体"/>
                <w:color w:val="000000" w:themeColor="text1"/>
                <w:sz w:val="21"/>
                <w:szCs w:val="21"/>
                <w:highlight w:val="none"/>
                <w14:textFill>
                  <w14:solidFill>
                    <w14:schemeClr w14:val="tx1"/>
                  </w14:solidFill>
                </w14:textFill>
              </w:rPr>
            </w:pPr>
          </w:p>
        </w:tc>
      </w:tr>
      <w:tr w14:paraId="41490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6F6ACBDB">
            <w:pPr>
              <w:spacing w:before="181" w:line="325" w:lineRule="exact"/>
              <w:ind w:left="30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position w:val="3"/>
                <w:sz w:val="21"/>
                <w:szCs w:val="21"/>
                <w:highlight w:val="none"/>
                <w14:textFill>
                  <w14:solidFill>
                    <w14:schemeClr w14:val="tx1"/>
                  </w14:solidFill>
                </w14:textFill>
              </w:rPr>
              <w:t>……</w:t>
            </w:r>
          </w:p>
        </w:tc>
        <w:tc>
          <w:tcPr>
            <w:tcW w:w="3424" w:type="dxa"/>
            <w:vAlign w:val="top"/>
          </w:tcPr>
          <w:p w14:paraId="2280CE13">
            <w:pPr>
              <w:spacing w:before="181" w:line="325" w:lineRule="exact"/>
              <w:ind w:left="152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position w:val="3"/>
                <w:sz w:val="21"/>
                <w:szCs w:val="21"/>
                <w:highlight w:val="none"/>
                <w14:textFill>
                  <w14:solidFill>
                    <w14:schemeClr w14:val="tx1"/>
                  </w14:solidFill>
                </w14:textFill>
              </w:rPr>
              <w:t>……</w:t>
            </w:r>
          </w:p>
        </w:tc>
        <w:tc>
          <w:tcPr>
            <w:tcW w:w="2818" w:type="dxa"/>
            <w:vAlign w:val="top"/>
          </w:tcPr>
          <w:p w14:paraId="58955EB0">
            <w:pPr>
              <w:rPr>
                <w:rFonts w:hint="eastAsia" w:ascii="宋体" w:hAnsi="宋体" w:eastAsia="宋体" w:cs="宋体"/>
                <w:color w:val="000000" w:themeColor="text1"/>
                <w:sz w:val="21"/>
                <w:szCs w:val="21"/>
                <w:highlight w:val="none"/>
                <w14:textFill>
                  <w14:solidFill>
                    <w14:schemeClr w14:val="tx1"/>
                  </w14:solidFill>
                </w14:textFill>
              </w:rPr>
            </w:pPr>
          </w:p>
        </w:tc>
        <w:tc>
          <w:tcPr>
            <w:tcW w:w="1696" w:type="dxa"/>
            <w:vAlign w:val="top"/>
          </w:tcPr>
          <w:p w14:paraId="52864822">
            <w:pPr>
              <w:rPr>
                <w:rFonts w:hint="eastAsia" w:ascii="宋体" w:hAnsi="宋体" w:eastAsia="宋体" w:cs="宋体"/>
                <w:color w:val="000000" w:themeColor="text1"/>
                <w:sz w:val="21"/>
                <w:szCs w:val="21"/>
                <w:highlight w:val="none"/>
                <w14:textFill>
                  <w14:solidFill>
                    <w14:schemeClr w14:val="tx1"/>
                  </w14:solidFill>
                </w14:textFill>
              </w:rPr>
            </w:pPr>
          </w:p>
        </w:tc>
      </w:tr>
      <w:tr w14:paraId="1883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701EE0C7">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备</w:t>
            </w:r>
            <w:r>
              <w:rPr>
                <w:rFonts w:hint="eastAsia" w:ascii="宋体" w:hAnsi="宋体" w:eastAsia="宋体" w:cs="宋体"/>
                <w:color w:val="000000" w:themeColor="text1"/>
                <w:spacing w:val="7"/>
                <w:sz w:val="21"/>
                <w:szCs w:val="21"/>
                <w:highlight w:val="none"/>
                <w14:textFill>
                  <w14:solidFill>
                    <w14:schemeClr w14:val="tx1"/>
                  </w14:solidFill>
                </w14:textFill>
              </w:rPr>
              <w:t>注：供应商在响应竞争性磋商文件中规定的实质性要求和条件的基础上，可做出其他有利于采</w:t>
            </w:r>
            <w:r>
              <w:rPr>
                <w:rFonts w:hint="eastAsia" w:ascii="宋体" w:hAnsi="宋体" w:eastAsia="宋体" w:cs="宋体"/>
                <w:color w:val="000000" w:themeColor="text1"/>
                <w:spacing w:val="13"/>
                <w:sz w:val="21"/>
                <w:szCs w:val="21"/>
                <w:highlight w:val="none"/>
                <w14:textFill>
                  <w14:solidFill>
                    <w14:schemeClr w14:val="tx1"/>
                  </w14:solidFill>
                </w14:textFill>
              </w:rPr>
              <w:t>购</w:t>
            </w:r>
            <w:r>
              <w:rPr>
                <w:rFonts w:hint="eastAsia" w:ascii="宋体" w:hAnsi="宋体" w:eastAsia="宋体" w:cs="宋体"/>
                <w:color w:val="000000" w:themeColor="text1"/>
                <w:spacing w:val="9"/>
                <w:sz w:val="21"/>
                <w:szCs w:val="21"/>
                <w:highlight w:val="none"/>
                <w14:textFill>
                  <w14:solidFill>
                    <w14:schemeClr w14:val="tx1"/>
                  </w14:solidFill>
                </w14:textFill>
              </w:rPr>
              <w:t>单位的承诺。此类承诺可在本表中予以补充填写。</w:t>
            </w:r>
          </w:p>
        </w:tc>
      </w:tr>
    </w:tbl>
    <w:p w14:paraId="14AB8EE7">
      <w:pPr>
        <w:pStyle w:val="49"/>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pPr>
    </w:p>
    <w:p w14:paraId="6D49E11E">
      <w:pPr>
        <w:spacing w:line="360" w:lineRule="auto"/>
        <w:ind w:right="480"/>
        <w:contextualSpacing/>
        <w:jc w:val="center"/>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6E6860E1">
      <w:pPr>
        <w:spacing w:line="360" w:lineRule="auto"/>
        <w:ind w:right="480" w:firstLine="3360" w:firstLineChars="1400"/>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供应商（电子签章）：</w:t>
      </w:r>
      <w:r>
        <w:rPr>
          <w:rFonts w:hint="eastAsia" w:ascii="宋体" w:hAnsi="宋体"/>
          <w:color w:val="000000" w:themeColor="text1"/>
          <w:sz w:val="24"/>
          <w:szCs w:val="24"/>
          <w:highlight w:val="none"/>
          <w:u w:val="single"/>
          <w14:textFill>
            <w14:solidFill>
              <w14:schemeClr w14:val="tx1"/>
            </w14:solidFill>
          </w14:textFill>
        </w:rPr>
        <w:t xml:space="preserve">                </w:t>
      </w:r>
    </w:p>
    <w:p w14:paraId="74FEDB4C">
      <w:pPr>
        <w:spacing w:line="360" w:lineRule="auto"/>
        <w:ind w:firstLine="480" w:firstLineChars="200"/>
        <w:contextualSpacing/>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08D07B25">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3F4AF95A">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02CE0B5A">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051EC5A1">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10A2250B">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1195AD76">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5BCBB245">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346069A6">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5A24C17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49ACAC7D">
      <w:pPr>
        <w:spacing w:line="360"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竞标报价表</w:t>
      </w:r>
      <w:r>
        <w:rPr>
          <w:rFonts w:hint="eastAsia" w:asciiTheme="majorEastAsia" w:hAnsiTheme="majorEastAsia" w:eastAsiaTheme="majorEastAsia" w:cstheme="majorEastAsia"/>
          <w:b/>
          <w:bCs/>
          <w:color w:val="000000" w:themeColor="text1"/>
          <w:sz w:val="28"/>
          <w:szCs w:val="28"/>
          <w:highlight w:val="none"/>
          <w:lang w:eastAsia="zh-CN"/>
          <w14:textFill>
            <w14:solidFill>
              <w14:schemeClr w14:val="tx1"/>
            </w14:solidFill>
          </w14:textFill>
        </w:rPr>
        <w:t>（格式）</w:t>
      </w:r>
    </w:p>
    <w:p w14:paraId="6F481893">
      <w:pPr>
        <w:spacing w:line="440" w:lineRule="exact"/>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3961E59D">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lang w:val="en-US" w:eastAsia="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418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3EFB75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5ECE0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标的</w:t>
            </w:r>
            <w:r>
              <w:rPr>
                <w:rFonts w:ascii="宋体" w:hAnsi="宋体" w:cs="仿宋_GB2312"/>
                <w:color w:val="000000" w:themeColor="text1"/>
                <w:sz w:val="24"/>
                <w:highlight w:val="none"/>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5779502">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F53B952">
            <w:pPr>
              <w:spacing w:line="360" w:lineRule="auto"/>
              <w:contextualSpacing/>
              <w:jc w:val="center"/>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4AEDD1F">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58F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70B689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428B567">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D764EB">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C5925B4">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6D84EAB">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286F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16B6A88">
            <w:pPr>
              <w:spacing w:line="360" w:lineRule="auto"/>
              <w:contextualSpacing/>
              <w:jc w:val="center"/>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eastAsia="zh-CN"/>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E4BC18E">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6476201">
            <w:pPr>
              <w:spacing w:line="360"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4D37F703">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22B9860">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6CAD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3D6AFF77">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合计金额（人民币）</w:t>
            </w:r>
            <w:r>
              <w:rPr>
                <w:rFonts w:hint="eastAsia" w:ascii="宋体" w:hAnsi="宋体" w:cs="仿宋_GB2312"/>
                <w:color w:val="000000" w:themeColor="text1"/>
                <w:sz w:val="24"/>
                <w:highlight w:val="none"/>
                <w:u w:val="single"/>
                <w14:textFill>
                  <w14:solidFill>
                    <w14:schemeClr w14:val="tx1"/>
                  </w14:solidFill>
                </w14:textFill>
              </w:rPr>
              <w:t xml:space="preserve">大写：                      </w:t>
            </w: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tc>
      </w:tr>
    </w:tbl>
    <w:p w14:paraId="7D1DD607">
      <w:pPr>
        <w:spacing w:line="360"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46DE88B3">
      <w:pPr>
        <w:spacing w:line="360" w:lineRule="auto"/>
        <w:ind w:firstLine="480" w:firstLineChars="20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5601023B">
      <w:pPr>
        <w:spacing w:line="360" w:lineRule="auto"/>
        <w:ind w:firstLine="480" w:firstLineChars="200"/>
        <w:contextualSpacing/>
        <w:jc w:val="left"/>
        <w:rPr>
          <w:rFonts w:hint="eastAsia"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5E2FC249">
      <w:pPr>
        <w:spacing w:line="360" w:lineRule="auto"/>
        <w:ind w:firstLine="482" w:firstLineChars="200"/>
        <w:contextualSpacing/>
        <w:jc w:val="left"/>
        <w:rPr>
          <w:rFonts w:hint="default" w:ascii="宋体" w:hAnsi="宋体" w:cs="仿宋_GB2312"/>
          <w:b/>
          <w:bCs/>
          <w:color w:val="000000" w:themeColor="text1"/>
          <w:sz w:val="24"/>
          <w:highlight w:val="none"/>
          <w:lang w:val="en-US" w:eastAsia="zh-CN"/>
          <w14:textFill>
            <w14:solidFill>
              <w14:schemeClr w14:val="tx1"/>
            </w14:solidFill>
          </w14:textFill>
        </w:rPr>
      </w:pPr>
      <w:r>
        <w:rPr>
          <w:rFonts w:hint="eastAsia" w:ascii="宋体" w:hAnsi="宋体" w:cs="仿宋_GB2312"/>
          <w:b/>
          <w:bCs/>
          <w:color w:val="000000" w:themeColor="text1"/>
          <w:sz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在</w:t>
      </w:r>
      <w:r>
        <w:rPr>
          <w:rFonts w:hint="eastAsia" w:ascii="宋体" w:hAnsi="宋体" w:cs="宋体"/>
          <w:b/>
          <w:bCs/>
          <w:color w:val="000000" w:themeColor="text1"/>
          <w:sz w:val="24"/>
          <w:szCs w:val="24"/>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评审过程中，</w:t>
      </w:r>
      <w:r>
        <w:rPr>
          <w:rFonts w:hint="eastAsia" w:ascii="宋体" w:hAnsi="宋体" w:cs="宋体"/>
          <w:b/>
          <w:bCs/>
          <w:color w:val="000000" w:themeColor="text1"/>
          <w:sz w:val="24"/>
          <w:szCs w:val="24"/>
          <w:highlight w:val="none"/>
          <w:lang w:val="en-US" w:eastAsia="zh-CN"/>
          <w14:textFill>
            <w14:solidFill>
              <w14:schemeClr w14:val="tx1"/>
            </w14:solidFill>
          </w14:textFill>
        </w:rPr>
        <w:t>供应商提交的</w:t>
      </w:r>
      <w:r>
        <w:rPr>
          <w:rFonts w:hint="eastAsia" w:ascii="宋体" w:hAnsi="宋体" w:cs="仿宋_GB2312"/>
          <w:b/>
          <w:bCs/>
          <w:color w:val="000000" w:themeColor="text1"/>
          <w:sz w:val="24"/>
          <w:highlight w:val="none"/>
          <w14:textFill>
            <w14:solidFill>
              <w14:schemeClr w14:val="tx1"/>
            </w14:solidFill>
          </w14:textFill>
        </w:rPr>
        <w:t>最后报价与首次报价相比有调整的</w:t>
      </w:r>
      <w:r>
        <w:rPr>
          <w:rFonts w:hint="eastAsia" w:ascii="宋体" w:hAnsi="宋体" w:cs="仿宋_GB2312"/>
          <w:b/>
          <w:bCs/>
          <w:color w:val="000000" w:themeColor="text1"/>
          <w:sz w:val="24"/>
          <w:highlight w:val="none"/>
          <w:lang w:eastAsia="zh-CN"/>
          <w14:textFill>
            <w14:solidFill>
              <w14:schemeClr w14:val="tx1"/>
            </w14:solidFill>
          </w14:textFill>
        </w:rPr>
        <w:t>，必须同时上传相对应的“已标价的工程量清单”作为附件，</w:t>
      </w:r>
      <w:r>
        <w:rPr>
          <w:rFonts w:hint="eastAsia" w:ascii="宋体" w:hAnsi="宋体" w:cs="仿宋_GB2312"/>
          <w:b/>
          <w:bCs/>
          <w:color w:val="000000" w:themeColor="text1"/>
          <w:sz w:val="24"/>
          <w:highlight w:val="none"/>
          <w14:textFill>
            <w14:solidFill>
              <w14:schemeClr w14:val="tx1"/>
            </w14:solidFill>
          </w14:textFill>
        </w:rPr>
        <w:t>否则其响应文件按无效处理。</w:t>
      </w:r>
    </w:p>
    <w:p w14:paraId="4FD84B92">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18FBE44C">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6FFD7484">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30D6C4A3">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26F47135">
      <w:pPr>
        <w:spacing w:line="360" w:lineRule="auto"/>
        <w:ind w:right="-817" w:rightChars="-389"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1708AD0">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2D666BF3">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6D649CC8">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225D2B1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5A0FD41F">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1C59C207">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000000" w:themeColor="text1"/>
          <w:sz w:val="32"/>
          <w:szCs w:val="40"/>
          <w:highlight w:val="none"/>
          <w14:textFill>
            <w14:solidFill>
              <w14:schemeClr w14:val="tx1"/>
            </w14:solidFill>
          </w14:textFill>
        </w:rPr>
      </w:pPr>
    </w:p>
    <w:p w14:paraId="5D7451C9">
      <w:pPr>
        <w:pStyle w:val="4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14:textFill>
            <w14:solidFill>
              <w14:schemeClr w14:val="tx1"/>
            </w14:solidFill>
          </w14:textFill>
        </w:rPr>
        <w:t>已标价工程量清单</w:t>
      </w:r>
    </w:p>
    <w:p w14:paraId="2C9D48A5">
      <w:pPr>
        <w:pStyle w:val="4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000000" w:themeColor="text1"/>
          <w:sz w:val="21"/>
          <w:szCs w:val="24"/>
          <w:highlight w:val="none"/>
          <w14:textFill>
            <w14:solidFill>
              <w14:schemeClr w14:val="tx1"/>
            </w14:solidFill>
          </w14:textFill>
        </w:rPr>
      </w:pPr>
    </w:p>
    <w:p w14:paraId="1FEAF3F9">
      <w:pPr>
        <w:pStyle w:val="4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000000" w:themeColor="text1"/>
          <w:sz w:val="21"/>
          <w:szCs w:val="24"/>
          <w:highlight w:val="none"/>
          <w14:textFill>
            <w14:solidFill>
              <w14:schemeClr w14:val="tx1"/>
            </w14:solidFill>
          </w14:textFill>
        </w:rPr>
      </w:pPr>
      <w:r>
        <w:rPr>
          <w:rFonts w:hint="eastAsia" w:ascii="宋体" w:hAnsi="宋体" w:eastAsia="宋体" w:cs="宋体"/>
          <w:b w:val="0"/>
          <w:bCs w:val="0"/>
          <w:color w:val="000000" w:themeColor="text1"/>
          <w:sz w:val="21"/>
          <w:szCs w:val="24"/>
          <w:highlight w:val="none"/>
          <w14:textFill>
            <w14:solidFill>
              <w14:schemeClr w14:val="tx1"/>
            </w14:solidFill>
          </w14:textFill>
        </w:rPr>
        <w:t>1、说明：已标价工程量清单按规范中的“工程量清单”中的相关清单表格式填写。构成合同文件的已标价工程量清单包括规范中的“工程量清单”有关工程量清单、磋商报价以及其他说明的内容。</w:t>
      </w:r>
    </w:p>
    <w:p w14:paraId="59A3F3A9">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7322F0D7">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0DBBFC2A">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21EFAA91">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56F1E4E0">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40AC6DCE">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6AFB3624">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304CBD45">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426B77B5">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71591381">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2426138C">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5C81E14D">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4A602FD5">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3AFC8FF9">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332C71D5">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5B492F01">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253ACE31">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35372C73">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6B7D405A">
      <w:pPr>
        <w:autoSpaceDE w:val="0"/>
        <w:autoSpaceDN w:val="0"/>
        <w:adjustRightInd w:val="0"/>
        <w:spacing w:line="360" w:lineRule="auto"/>
        <w:rPr>
          <w:rFonts w:ascii="宋体" w:hAnsi="宋体"/>
          <w:b/>
          <w:bCs/>
          <w:color w:val="000000" w:themeColor="text1"/>
          <w:sz w:val="32"/>
          <w:szCs w:val="32"/>
          <w:highlight w:val="none"/>
          <w:lang w:val="zh-CN"/>
          <w14:textFill>
            <w14:solidFill>
              <w14:schemeClr w14:val="tx1"/>
            </w14:solidFill>
          </w14:textFill>
        </w:rPr>
      </w:pPr>
    </w:p>
    <w:p w14:paraId="060C1B70">
      <w:pPr>
        <w:spacing w:line="360" w:lineRule="auto"/>
        <w:contextualSpacing/>
        <w:jc w:val="both"/>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商务技术文件格式</w:t>
      </w:r>
    </w:p>
    <w:p w14:paraId="75C1654E">
      <w:pPr>
        <w:snapToGrid w:val="0"/>
        <w:spacing w:before="156"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59A50D0B">
      <w:pPr>
        <w:snapToGrid w:val="0"/>
        <w:spacing w:before="156"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5AD9D0E">
      <w:pPr>
        <w:snapToGrid w:val="0"/>
        <w:spacing w:before="156" w:beforeLines="50" w:after="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24DAFA3C">
      <w:pPr>
        <w:snapToGrid w:val="0"/>
        <w:spacing w:before="156" w:beforeLines="50" w:after="50"/>
        <w:rPr>
          <w:rFonts w:hint="eastAsia" w:ascii="宋体" w:hAnsi="宋体"/>
          <w:color w:val="000000" w:themeColor="text1"/>
          <w:sz w:val="24"/>
          <w:szCs w:val="20"/>
          <w:highlight w:val="none"/>
          <w14:textFill>
            <w14:solidFill>
              <w14:schemeClr w14:val="tx1"/>
            </w14:solidFill>
          </w14:textFill>
        </w:rPr>
      </w:pPr>
    </w:p>
    <w:p w14:paraId="4E2B7F39">
      <w:pPr>
        <w:snapToGrid w:val="0"/>
        <w:spacing w:before="156" w:beforeLines="50" w:after="50"/>
        <w:rPr>
          <w:rFonts w:hint="eastAsia" w:ascii="宋体" w:hAnsi="宋体"/>
          <w:color w:val="000000" w:themeColor="text1"/>
          <w:sz w:val="24"/>
          <w:szCs w:val="20"/>
          <w:highlight w:val="none"/>
          <w14:textFill>
            <w14:solidFill>
              <w14:schemeClr w14:val="tx1"/>
            </w14:solidFill>
          </w14:textFill>
        </w:rPr>
      </w:pPr>
    </w:p>
    <w:p w14:paraId="521D4166">
      <w:pPr>
        <w:snapToGrid w:val="0"/>
        <w:spacing w:before="156"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66BFB9A2">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25D4314B">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30DDA294">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6DE80041">
      <w:pPr>
        <w:snapToGrid w:val="0"/>
        <w:spacing w:before="156" w:beforeLines="50" w:after="50"/>
        <w:rPr>
          <w:rFonts w:hint="eastAsia" w:ascii="宋体" w:hAnsi="宋体"/>
          <w:bCs/>
          <w:color w:val="000000" w:themeColor="text1"/>
          <w:sz w:val="24"/>
          <w:szCs w:val="20"/>
          <w:highlight w:val="none"/>
          <w14:textFill>
            <w14:solidFill>
              <w14:schemeClr w14:val="tx1"/>
            </w14:solidFill>
          </w14:textFill>
        </w:rPr>
      </w:pPr>
    </w:p>
    <w:p w14:paraId="1D55A6D7">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FC8BE16">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4D2FA06B">
      <w:pPr>
        <w:snapToGrid w:val="0"/>
        <w:spacing w:before="156" w:beforeLines="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DA0EC06">
      <w:pPr>
        <w:snapToGrid w:val="0"/>
        <w:spacing w:before="156" w:beforeLines="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2C436545">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7EA296D">
      <w:pPr>
        <w:pStyle w:val="8"/>
        <w:snapToGrid w:val="0"/>
        <w:spacing w:before="50" w:after="50"/>
        <w:rPr>
          <w:rFonts w:hint="eastAsia" w:ascii="宋体" w:hAnsi="宋体" w:cs="仿宋_GB2312"/>
          <w:bCs/>
          <w:color w:val="000000" w:themeColor="text1"/>
          <w:sz w:val="32"/>
          <w:szCs w:val="32"/>
          <w:highlight w:val="none"/>
          <w14:textFill>
            <w14:solidFill>
              <w14:schemeClr w14:val="tx1"/>
            </w14:solidFill>
          </w14:textFill>
        </w:rPr>
      </w:pPr>
    </w:p>
    <w:p w14:paraId="6D615C3F">
      <w:pPr>
        <w:pStyle w:val="8"/>
        <w:snapToGrid w:val="0"/>
        <w:spacing w:before="50" w:after="50"/>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仿宋_GB2312"/>
          <w:bCs/>
          <w:color w:val="000000" w:themeColor="text1"/>
          <w:sz w:val="32"/>
          <w:szCs w:val="32"/>
          <w:highlight w:val="none"/>
          <w:lang w:eastAsia="zh-CN"/>
          <w14:textFill>
            <w14:solidFill>
              <w14:schemeClr w14:val="tx1"/>
            </w14:solidFill>
          </w14:textFill>
        </w:rPr>
        <w:t>供应商地址：</w:t>
      </w:r>
    </w:p>
    <w:p w14:paraId="60EFCD63">
      <w:pPr>
        <w:pStyle w:val="8"/>
        <w:snapToGrid w:val="0"/>
        <w:spacing w:before="50" w:after="50"/>
        <w:ind w:firstLine="640" w:firstLineChars="200"/>
        <w:rPr>
          <w:rFonts w:hint="eastAsia" w:ascii="宋体" w:hAnsi="宋体" w:cs="仿宋_GB2312"/>
          <w:bCs/>
          <w:color w:val="000000" w:themeColor="text1"/>
          <w:sz w:val="32"/>
          <w:szCs w:val="32"/>
          <w:highlight w:val="none"/>
          <w14:textFill>
            <w14:solidFill>
              <w14:schemeClr w14:val="tx1"/>
            </w14:solidFill>
          </w14:textFill>
        </w:rPr>
      </w:pPr>
    </w:p>
    <w:p w14:paraId="578E16F4">
      <w:pPr>
        <w:pStyle w:val="8"/>
        <w:snapToGrid w:val="0"/>
        <w:spacing w:before="50" w:after="50"/>
        <w:ind w:firstLine="720" w:firstLineChars="225"/>
        <w:rPr>
          <w:rFonts w:hint="eastAsia" w:ascii="宋体" w:hAnsi="宋体" w:cs="仿宋_GB2312"/>
          <w:bCs/>
          <w:color w:val="000000" w:themeColor="text1"/>
          <w:sz w:val="32"/>
          <w:szCs w:val="32"/>
          <w:highlight w:val="none"/>
          <w14:textFill>
            <w14:solidFill>
              <w14:schemeClr w14:val="tx1"/>
            </w14:solidFill>
          </w14:textFill>
        </w:rPr>
      </w:pPr>
    </w:p>
    <w:p w14:paraId="19DEF006">
      <w:pPr>
        <w:pStyle w:val="8"/>
        <w:snapToGrid w:val="0"/>
        <w:spacing w:before="50" w:after="50"/>
        <w:ind w:firstLine="0"/>
        <w:rPr>
          <w:rFonts w:hint="eastAsia" w:ascii="宋体" w:hAnsi="宋体" w:cs="仿宋_GB2312"/>
          <w:bCs/>
          <w:color w:val="000000" w:themeColor="text1"/>
          <w:sz w:val="32"/>
          <w:szCs w:val="32"/>
          <w:highlight w:val="none"/>
          <w14:textFill>
            <w14:solidFill>
              <w14:schemeClr w14:val="tx1"/>
            </w14:solidFill>
          </w14:textFill>
        </w:rPr>
      </w:pPr>
    </w:p>
    <w:p w14:paraId="47E88284">
      <w:pPr>
        <w:pStyle w:val="8"/>
        <w:snapToGrid w:val="0"/>
        <w:spacing w:before="50" w:after="50"/>
        <w:ind w:firstLine="1280" w:firstLineChars="400"/>
        <w:rPr>
          <w:rFonts w:hint="eastAsia" w:ascii="宋体" w:hAnsi="宋体" w:cs="仿宋_GB2312"/>
          <w:bCs/>
          <w:color w:val="000000" w:themeColor="text1"/>
          <w:sz w:val="32"/>
          <w:szCs w:val="32"/>
          <w:highlight w:val="none"/>
          <w14:textFill>
            <w14:solidFill>
              <w14:schemeClr w14:val="tx1"/>
            </w14:solidFill>
          </w14:textFill>
        </w:rPr>
      </w:pPr>
    </w:p>
    <w:p w14:paraId="4743E8FC">
      <w:pPr>
        <w:snapToGrid w:val="0"/>
        <w:spacing w:before="156" w:beforeLines="50" w:after="50"/>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59D99EC5">
      <w:pPr>
        <w:snapToGrid w:val="0"/>
        <w:spacing w:before="156" w:beforeLines="50" w:after="50" w:line="360" w:lineRule="auto"/>
        <w:ind w:right="480" w:firstLine="240" w:firstLineChars="100"/>
        <w:jc w:val="left"/>
        <w:rPr>
          <w:rFonts w:hint="eastAsia"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25A08DC7">
      <w:pPr>
        <w:snapToGrid w:val="0"/>
        <w:spacing w:before="156"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8E2DA7C">
      <w:pPr>
        <w:spacing w:line="40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9BFBC3C">
      <w:pPr>
        <w:spacing w:line="520" w:lineRule="exact"/>
        <w:jc w:val="center"/>
        <w:rPr>
          <w:rFonts w:hint="eastAsia" w:ascii="仿宋_GB2312" w:hAnsi="仿宋_GB2312" w:eastAsia="方正小标宋简体" w:cs="仿宋_GB2312"/>
          <w:color w:val="000000" w:themeColor="text1"/>
          <w:sz w:val="24"/>
          <w:szCs w:val="2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36"/>
          <w:szCs w:val="36"/>
          <w:highlight w:val="none"/>
          <w14:textFill>
            <w14:solidFill>
              <w14:schemeClr w14:val="tx1"/>
            </w14:solidFill>
          </w14:textFill>
        </w:rPr>
        <w:t>无串通竞标行为的承诺函</w:t>
      </w:r>
      <w:r>
        <w:rPr>
          <w:rFonts w:hint="eastAsia" w:ascii="方正小标宋简体" w:hAnsi="方正小标宋简体" w:eastAsia="方正小标宋简体" w:cs="方正小标宋简体"/>
          <w:color w:val="000000" w:themeColor="text1"/>
          <w:sz w:val="36"/>
          <w:szCs w:val="36"/>
          <w:highlight w:val="none"/>
          <w:lang w:eastAsia="zh-CN"/>
          <w14:textFill>
            <w14:solidFill>
              <w14:schemeClr w14:val="tx1"/>
            </w14:solidFill>
          </w14:textFill>
        </w:rPr>
        <w:t>（格式）</w:t>
      </w:r>
    </w:p>
    <w:p w14:paraId="496C54B6">
      <w:pPr>
        <w:spacing w:line="360" w:lineRule="auto"/>
        <w:ind w:firstLine="640" w:firstLineChars="20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F20C557">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031480C2">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3CB7A89C">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407A4D1D">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154DAC60">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32F5B18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1AB3B133">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0BC407E6">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28C6D46A">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4521F83F">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123EAEBF">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4DCF8D5B">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5BCD96E9">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03C66D25">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5D63D6C2">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0EEFD084">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p>
    <w:p w14:paraId="5BBA0DCF">
      <w:pPr>
        <w:spacing w:line="360" w:lineRule="auto"/>
        <w:ind w:firstLine="482" w:firstLineChars="200"/>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025D34BA">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5398AA2D">
      <w:pPr>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47AD2E4E">
      <w:pPr>
        <w:spacing w:line="360" w:lineRule="auto"/>
        <w:ind w:firstLine="3600" w:firstLineChars="15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64C59DA5">
      <w:pPr>
        <w:spacing w:line="360" w:lineRule="auto"/>
        <w:ind w:firstLine="480" w:firstLineChars="20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3D763111">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693E62AF">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3BB4EFA">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6B4A77CC">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705D5388">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55096971">
      <w:pPr>
        <w:spacing w:line="360" w:lineRule="auto"/>
        <w:ind w:left="540"/>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5BB5D221">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2BF8A7DE">
      <w:pPr>
        <w:spacing w:line="360" w:lineRule="auto"/>
        <w:ind w:firstLine="480" w:firstLineChars="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725B7392">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1BAD3F57">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562FBDD3">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46387F0F">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4E697CCD">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1668997E">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2B699856">
      <w:pPr>
        <w:spacing w:line="360" w:lineRule="auto"/>
        <w:ind w:left="540"/>
        <w:contextualSpacing/>
        <w:rPr>
          <w:rFonts w:hint="eastAsia" w:ascii="宋体" w:hAnsi="宋体" w:cs="仿宋_GB2312"/>
          <w:color w:val="000000" w:themeColor="text1"/>
          <w:sz w:val="24"/>
          <w:highlight w:val="none"/>
          <w14:textFill>
            <w14:solidFill>
              <w14:schemeClr w14:val="tx1"/>
            </w14:solidFill>
          </w14:textFill>
        </w:rPr>
      </w:pPr>
    </w:p>
    <w:p w14:paraId="69D1F363">
      <w:pPr>
        <w:spacing w:line="360" w:lineRule="auto"/>
        <w:ind w:left="540" w:firstLine="3000" w:firstLineChars="125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412FB639">
      <w:pPr>
        <w:spacing w:line="360" w:lineRule="auto"/>
        <w:ind w:firstLine="4080" w:firstLineChars="17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051A65AB">
      <w:pPr>
        <w:spacing w:line="360" w:lineRule="auto"/>
        <w:contextualSpacing/>
        <w:jc w:val="center"/>
        <w:rPr>
          <w:rFonts w:hint="eastAsia" w:ascii="宋体" w:hAnsi="宋体" w:cs="仿宋_GB2312"/>
          <w:b/>
          <w:color w:val="000000" w:themeColor="text1"/>
          <w:sz w:val="24"/>
          <w:highlight w:val="none"/>
          <w14:textFill>
            <w14:solidFill>
              <w14:schemeClr w14:val="tx1"/>
            </w14:solidFill>
          </w14:textFill>
        </w:rPr>
      </w:pPr>
    </w:p>
    <w:p w14:paraId="67272C6C">
      <w:pPr>
        <w:adjustRightInd w:val="0"/>
        <w:snapToGrid w:val="0"/>
        <w:spacing w:line="300" w:lineRule="auto"/>
        <w:jc w:val="left"/>
        <w:rPr>
          <w:rFonts w:hint="eastAsia" w:ascii="宋体" w:hAnsi="宋体"/>
          <w:b/>
          <w:color w:val="000000" w:themeColor="text1"/>
          <w:szCs w:val="21"/>
          <w:highlight w:val="none"/>
          <w14:textFill>
            <w14:solidFill>
              <w14:schemeClr w14:val="tx1"/>
            </w14:solidFill>
          </w14:textFill>
        </w:rPr>
      </w:pPr>
    </w:p>
    <w:p w14:paraId="32A27D04">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bookmarkStart w:id="76"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422DF586">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69533D2D">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EFB7280">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30BD5C94">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47642590">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6306E2B1">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A536CE9">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759A0ADD">
      <w:pPr>
        <w:spacing w:line="360" w:lineRule="auto"/>
        <w:ind w:firstLine="480" w:firstLineChars="200"/>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4AF69B26">
      <w:pPr>
        <w:spacing w:line="360" w:lineRule="auto"/>
        <w:rPr>
          <w:rFonts w:hint="eastAsia" w:ascii="宋体" w:hAnsi="宋体" w:cs="仿宋_GB2312"/>
          <w:color w:val="000000" w:themeColor="text1"/>
          <w:sz w:val="24"/>
          <w:highlight w:val="none"/>
          <w14:textFill>
            <w14:solidFill>
              <w14:schemeClr w14:val="tx1"/>
            </w14:solidFill>
          </w14:textFill>
        </w:rPr>
      </w:pPr>
    </w:p>
    <w:p w14:paraId="044D3E9E">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016792AF">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51472580">
      <w:pPr>
        <w:spacing w:line="360"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36BCF370">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010BF242">
      <w:pPr>
        <w:spacing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38B7CA20">
      <w:pPr>
        <w:spacing w:line="360" w:lineRule="auto"/>
        <w:rPr>
          <w:rFonts w:hint="eastAsia" w:ascii="宋体" w:hAnsi="宋体" w:cs="仿宋_GB2312"/>
          <w:color w:val="000000" w:themeColor="text1"/>
          <w:sz w:val="24"/>
          <w:highlight w:val="none"/>
          <w14:textFill>
            <w14:solidFill>
              <w14:schemeClr w14:val="tx1"/>
            </w14:solidFill>
          </w14:textFill>
        </w:rPr>
      </w:pPr>
    </w:p>
    <w:p w14:paraId="241644A0">
      <w:pPr>
        <w:spacing w:line="360" w:lineRule="auto"/>
        <w:rPr>
          <w:rFonts w:hint="eastAsia" w:ascii="宋体" w:hAnsi="宋体" w:cs="仿宋_GB2312"/>
          <w:color w:val="000000" w:themeColor="text1"/>
          <w:sz w:val="24"/>
          <w:highlight w:val="none"/>
          <w14:textFill>
            <w14:solidFill>
              <w14:schemeClr w14:val="tx1"/>
            </w14:solidFill>
          </w14:textFill>
        </w:rPr>
      </w:pPr>
    </w:p>
    <w:p w14:paraId="2CA2C24C">
      <w:pPr>
        <w:spacing w:line="360" w:lineRule="auto"/>
        <w:rPr>
          <w:rFonts w:hint="eastAsia" w:ascii="宋体" w:hAnsi="宋体" w:cs="仿宋_GB2312"/>
          <w:color w:val="000000" w:themeColor="text1"/>
          <w:sz w:val="24"/>
          <w:highlight w:val="none"/>
          <w14:textFill>
            <w14:solidFill>
              <w14:schemeClr w14:val="tx1"/>
            </w14:solidFill>
          </w14:textFill>
        </w:rPr>
      </w:pPr>
    </w:p>
    <w:p w14:paraId="5B3478E9">
      <w:pPr>
        <w:spacing w:line="360" w:lineRule="auto"/>
        <w:rPr>
          <w:rFonts w:hint="eastAsia" w:ascii="宋体" w:hAnsi="宋体" w:cs="仿宋_GB2312"/>
          <w:color w:val="000000" w:themeColor="text1"/>
          <w:sz w:val="24"/>
          <w:highlight w:val="none"/>
          <w14:textFill>
            <w14:solidFill>
              <w14:schemeClr w14:val="tx1"/>
            </w14:solidFill>
          </w14:textFill>
        </w:rPr>
      </w:pPr>
    </w:p>
    <w:p w14:paraId="2749D852">
      <w:pPr>
        <w:spacing w:line="360" w:lineRule="auto"/>
        <w:rPr>
          <w:rFonts w:hint="eastAsia" w:ascii="宋体" w:hAnsi="宋体" w:cs="仿宋_GB2312"/>
          <w:color w:val="000000" w:themeColor="text1"/>
          <w:sz w:val="24"/>
          <w:highlight w:val="none"/>
          <w14:textFill>
            <w14:solidFill>
              <w14:schemeClr w14:val="tx1"/>
            </w14:solidFill>
          </w14:textFill>
        </w:rPr>
      </w:pPr>
    </w:p>
    <w:p w14:paraId="5375A198">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34AB4234">
      <w:pPr>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45079AB4">
      <w:pPr>
        <w:spacing w:line="50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bookmarkEnd w:id="76"/>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施工组织设计</w:t>
      </w:r>
    </w:p>
    <w:p w14:paraId="1D61933D">
      <w:pPr>
        <w:spacing w:line="500" w:lineRule="exact"/>
        <w:jc w:val="center"/>
        <w:rPr>
          <w:rFonts w:hint="eastAsia" w:ascii="方正小标宋简体" w:hAnsi="方正小标宋简体" w:eastAsia="方正小标宋简体" w:cs="方正小标宋简体"/>
          <w:bCs/>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28"/>
          <w:szCs w:val="28"/>
          <w:highlight w:val="none"/>
          <w14:textFill>
            <w14:solidFill>
              <w14:schemeClr w14:val="tx1"/>
            </w14:solidFill>
          </w14:textFill>
        </w:rPr>
        <w:t>（格式自拟）</w:t>
      </w:r>
    </w:p>
    <w:p w14:paraId="2D09E766">
      <w:pPr>
        <w:adjustRightInd w:val="0"/>
        <w:snapToGrid w:val="0"/>
        <w:spacing w:line="300" w:lineRule="auto"/>
        <w:jc w:val="center"/>
        <w:rPr>
          <w:rFonts w:hint="eastAsia" w:ascii="方正小标宋简体" w:hAnsi="方正小标宋简体" w:eastAsia="方正小标宋简体" w:cs="方正小标宋简体"/>
          <w:bCs/>
          <w:color w:val="000000" w:themeColor="text1"/>
          <w:sz w:val="36"/>
          <w:szCs w:val="36"/>
          <w:highlight w:val="none"/>
          <w:lang w:eastAsia="zh-CN"/>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36"/>
          <w:szCs w:val="36"/>
          <w:highlight w:val="none"/>
          <w14:textFill>
            <w14:solidFill>
              <w14:schemeClr w14:val="tx1"/>
            </w14:solidFill>
          </w14:textFill>
        </w:rPr>
        <w:t>项目管理机构配备情况表</w:t>
      </w:r>
      <w:r>
        <w:rPr>
          <w:rFonts w:hint="eastAsia" w:ascii="方正小标宋简体" w:hAnsi="方正小标宋简体" w:eastAsia="方正小标宋简体" w:cs="方正小标宋简体"/>
          <w:bCs/>
          <w:color w:val="000000" w:themeColor="text1"/>
          <w:sz w:val="36"/>
          <w:szCs w:val="36"/>
          <w:highlight w:val="none"/>
          <w:lang w:eastAsia="zh-CN"/>
          <w14:textFill>
            <w14:solidFill>
              <w14:schemeClr w14:val="tx1"/>
            </w14:solidFill>
          </w14:textFill>
        </w:rPr>
        <w:t>（格式）</w:t>
      </w:r>
    </w:p>
    <w:p w14:paraId="70C53821">
      <w:pPr>
        <w:adjustRightInd w:val="0"/>
        <w:snapToGrid w:val="0"/>
        <w:spacing w:line="300" w:lineRule="auto"/>
        <w:jc w:val="center"/>
        <w:rPr>
          <w:rFonts w:hint="eastAsia" w:ascii="方正小标宋简体" w:hAnsi="方正小标宋简体" w:eastAsia="方正小标宋简体" w:cs="方正小标宋简体"/>
          <w:bCs/>
          <w:color w:val="000000" w:themeColor="text1"/>
          <w:sz w:val="36"/>
          <w:szCs w:val="36"/>
          <w:highlight w:val="none"/>
          <w:lang w:val="en-US" w:eastAsia="zh-CN"/>
          <w14:textFill>
            <w14:solidFill>
              <w14:schemeClr w14:val="tx1"/>
            </w14:solidFill>
          </w14:textFill>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5A0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3F8B9829">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岗位</w:t>
            </w:r>
          </w:p>
        </w:tc>
        <w:tc>
          <w:tcPr>
            <w:tcW w:w="670" w:type="dxa"/>
            <w:vMerge w:val="restart"/>
            <w:noWrap w:val="0"/>
            <w:vAlign w:val="center"/>
          </w:tcPr>
          <w:p w14:paraId="1D20097F">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829" w:type="dxa"/>
            <w:vMerge w:val="restart"/>
            <w:noWrap w:val="0"/>
            <w:vAlign w:val="center"/>
          </w:tcPr>
          <w:p w14:paraId="38343AA6">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身份证号</w:t>
            </w:r>
          </w:p>
        </w:tc>
        <w:tc>
          <w:tcPr>
            <w:tcW w:w="816" w:type="dxa"/>
            <w:vMerge w:val="restart"/>
            <w:noWrap w:val="0"/>
            <w:vAlign w:val="center"/>
          </w:tcPr>
          <w:p w14:paraId="39C8A67E">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职称</w:t>
            </w:r>
          </w:p>
        </w:tc>
        <w:tc>
          <w:tcPr>
            <w:tcW w:w="4188" w:type="dxa"/>
            <w:gridSpan w:val="4"/>
            <w:noWrap w:val="0"/>
            <w:vAlign w:val="center"/>
          </w:tcPr>
          <w:p w14:paraId="33DBC4EE">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执业或职业资格</w:t>
            </w:r>
          </w:p>
        </w:tc>
        <w:tc>
          <w:tcPr>
            <w:tcW w:w="2443" w:type="dxa"/>
            <w:gridSpan w:val="2"/>
            <w:noWrap w:val="0"/>
            <w:vAlign w:val="center"/>
          </w:tcPr>
          <w:p w14:paraId="3E5BA19E">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承担完工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在建工程情况</w:t>
            </w:r>
          </w:p>
        </w:tc>
      </w:tr>
      <w:tr w14:paraId="6AAB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47003DC7">
            <w:pPr>
              <w:ind w:left="223" w:hanging="222" w:hangingChars="106"/>
              <w:jc w:val="center"/>
              <w:rPr>
                <w:color w:val="000000" w:themeColor="text1"/>
                <w:highlight w:val="none"/>
                <w14:textFill>
                  <w14:solidFill>
                    <w14:schemeClr w14:val="tx1"/>
                  </w14:solidFill>
                </w14:textFill>
              </w:rPr>
            </w:pPr>
          </w:p>
        </w:tc>
        <w:tc>
          <w:tcPr>
            <w:tcW w:w="670" w:type="dxa"/>
            <w:vMerge w:val="continue"/>
            <w:noWrap w:val="0"/>
            <w:vAlign w:val="center"/>
          </w:tcPr>
          <w:p w14:paraId="648C5DA6">
            <w:pPr>
              <w:ind w:left="223" w:hanging="222" w:hangingChars="106"/>
              <w:jc w:val="center"/>
              <w:rPr>
                <w:color w:val="000000" w:themeColor="text1"/>
                <w:highlight w:val="none"/>
                <w14:textFill>
                  <w14:solidFill>
                    <w14:schemeClr w14:val="tx1"/>
                  </w14:solidFill>
                </w14:textFill>
              </w:rPr>
            </w:pPr>
          </w:p>
        </w:tc>
        <w:tc>
          <w:tcPr>
            <w:tcW w:w="829" w:type="dxa"/>
            <w:vMerge w:val="continue"/>
            <w:noWrap w:val="0"/>
            <w:vAlign w:val="center"/>
          </w:tcPr>
          <w:p w14:paraId="75099E17">
            <w:pPr>
              <w:ind w:left="223" w:hanging="222" w:hangingChars="106"/>
              <w:jc w:val="center"/>
              <w:rPr>
                <w:color w:val="000000" w:themeColor="text1"/>
                <w:highlight w:val="none"/>
                <w14:textFill>
                  <w14:solidFill>
                    <w14:schemeClr w14:val="tx1"/>
                  </w14:solidFill>
                </w14:textFill>
              </w:rPr>
            </w:pPr>
          </w:p>
        </w:tc>
        <w:tc>
          <w:tcPr>
            <w:tcW w:w="816" w:type="dxa"/>
            <w:vMerge w:val="continue"/>
            <w:noWrap w:val="0"/>
            <w:vAlign w:val="center"/>
          </w:tcPr>
          <w:p w14:paraId="6EC11BB6">
            <w:pPr>
              <w:ind w:left="223" w:hanging="222" w:hangingChars="106"/>
              <w:jc w:val="center"/>
              <w:rPr>
                <w:color w:val="000000" w:themeColor="text1"/>
                <w:highlight w:val="none"/>
                <w14:textFill>
                  <w14:solidFill>
                    <w14:schemeClr w14:val="tx1"/>
                  </w14:solidFill>
                </w14:textFill>
              </w:rPr>
            </w:pPr>
          </w:p>
        </w:tc>
        <w:tc>
          <w:tcPr>
            <w:tcW w:w="1148" w:type="dxa"/>
            <w:noWrap w:val="0"/>
            <w:vAlign w:val="center"/>
          </w:tcPr>
          <w:p w14:paraId="5C6FDF21">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证书名称</w:t>
            </w:r>
          </w:p>
        </w:tc>
        <w:tc>
          <w:tcPr>
            <w:tcW w:w="1148" w:type="dxa"/>
            <w:noWrap w:val="0"/>
            <w:vAlign w:val="center"/>
          </w:tcPr>
          <w:p w14:paraId="7A0F4D4F">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148" w:type="dxa"/>
            <w:noWrap w:val="0"/>
            <w:vAlign w:val="center"/>
          </w:tcPr>
          <w:p w14:paraId="1C0A1D05">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证号</w:t>
            </w:r>
          </w:p>
        </w:tc>
        <w:tc>
          <w:tcPr>
            <w:tcW w:w="744" w:type="dxa"/>
            <w:noWrap w:val="0"/>
            <w:vAlign w:val="center"/>
          </w:tcPr>
          <w:p w14:paraId="0FD38B99">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专业</w:t>
            </w:r>
          </w:p>
        </w:tc>
        <w:tc>
          <w:tcPr>
            <w:tcW w:w="1167" w:type="dxa"/>
            <w:noWrap w:val="0"/>
            <w:vAlign w:val="center"/>
          </w:tcPr>
          <w:p w14:paraId="2C639C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完工/在建</w:t>
            </w:r>
          </w:p>
        </w:tc>
        <w:tc>
          <w:tcPr>
            <w:tcW w:w="1276" w:type="dxa"/>
            <w:noWrap w:val="0"/>
            <w:vAlign w:val="center"/>
          </w:tcPr>
          <w:p w14:paraId="0679042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主要项目</w:t>
            </w:r>
          </w:p>
          <w:p w14:paraId="78E3DFC7">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r>
      <w:tr w14:paraId="1D4D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9489CCB">
            <w:pPr>
              <w:pStyle w:val="79"/>
              <w:spacing w:line="240" w:lineRule="auto"/>
              <w:ind w:firstLine="0"/>
              <w:rPr>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1.</w:t>
            </w:r>
            <w:r>
              <w:rPr>
                <w:color w:val="000000" w:themeColor="text1"/>
                <w:sz w:val="21"/>
                <w:szCs w:val="21"/>
                <w:highlight w:val="none"/>
                <w:lang w:eastAsia="zh-CN"/>
                <w14:textFill>
                  <w14:solidFill>
                    <w14:schemeClr w14:val="tx1"/>
                  </w14:solidFill>
                </w14:textFill>
              </w:rPr>
              <w:t>项目经理</w:t>
            </w:r>
          </w:p>
        </w:tc>
        <w:tc>
          <w:tcPr>
            <w:tcW w:w="670" w:type="dxa"/>
            <w:noWrap w:val="0"/>
            <w:vAlign w:val="center"/>
          </w:tcPr>
          <w:p w14:paraId="49B7CDD5">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797A3A1B">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22BA47D1">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0C4DEB1">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15133376">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47275F39">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1E79DB72">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1B7FE14F">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2C890E38">
            <w:pPr>
              <w:ind w:left="223" w:hanging="222" w:hangingChars="106"/>
              <w:jc w:val="center"/>
              <w:rPr>
                <w:color w:val="000000" w:themeColor="text1"/>
                <w:szCs w:val="21"/>
                <w:highlight w:val="none"/>
                <w14:textFill>
                  <w14:solidFill>
                    <w14:schemeClr w14:val="tx1"/>
                  </w14:solidFill>
                </w14:textFill>
              </w:rPr>
            </w:pPr>
          </w:p>
        </w:tc>
      </w:tr>
      <w:tr w14:paraId="067E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99A72B4">
            <w:pPr>
              <w:pStyle w:val="79"/>
              <w:spacing w:line="240" w:lineRule="auto"/>
              <w:ind w:firstLine="0"/>
              <w:rPr>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zh-CN" w:bidi="en-US"/>
                <w14:textFill>
                  <w14:solidFill>
                    <w14:schemeClr w14:val="tx1"/>
                  </w14:solidFill>
                </w14:textFill>
              </w:rPr>
              <w:t>2.</w:t>
            </w:r>
            <w:r>
              <w:rPr>
                <w:color w:val="000000" w:themeColor="text1"/>
                <w:sz w:val="21"/>
                <w:szCs w:val="21"/>
                <w:highlight w:val="none"/>
                <w:lang w:eastAsia="zh-CN"/>
                <w14:textFill>
                  <w14:solidFill>
                    <w14:schemeClr w14:val="tx1"/>
                  </w14:solidFill>
                </w14:textFill>
              </w:rPr>
              <w:t>技术负责人</w:t>
            </w:r>
            <w:r>
              <w:rPr>
                <w:rFonts w:hint="eastAsia"/>
                <w:color w:val="000000" w:themeColor="text1"/>
                <w:sz w:val="21"/>
                <w:szCs w:val="21"/>
                <w:highlight w:val="none"/>
                <w:lang w:eastAsia="zh-CN"/>
                <w14:textFill>
                  <w14:solidFill>
                    <w14:schemeClr w14:val="tx1"/>
                  </w14:solidFill>
                </w14:textFill>
              </w:rPr>
              <w:t>（项目总工）</w:t>
            </w:r>
          </w:p>
        </w:tc>
        <w:tc>
          <w:tcPr>
            <w:tcW w:w="670" w:type="dxa"/>
            <w:noWrap w:val="0"/>
            <w:vAlign w:val="center"/>
          </w:tcPr>
          <w:p w14:paraId="2C644B15">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76350545">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12E7B0AA">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3EE00242">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939B911">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6EFF9023">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415677B3">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7E891CFC">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7C8E58F7">
            <w:pPr>
              <w:ind w:left="223" w:hanging="222" w:hangingChars="106"/>
              <w:jc w:val="center"/>
              <w:rPr>
                <w:color w:val="000000" w:themeColor="text1"/>
                <w:szCs w:val="21"/>
                <w:highlight w:val="none"/>
                <w14:textFill>
                  <w14:solidFill>
                    <w14:schemeClr w14:val="tx1"/>
                  </w14:solidFill>
                </w14:textFill>
              </w:rPr>
            </w:pPr>
          </w:p>
        </w:tc>
      </w:tr>
      <w:tr w14:paraId="4BAD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B18398B">
            <w:pPr>
              <w:pStyle w:val="79"/>
              <w:spacing w:line="240" w:lineRule="auto"/>
              <w:ind w:firstLine="0"/>
              <w:rPr>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3.</w:t>
            </w:r>
            <w:r>
              <w:rPr>
                <w:rFonts w:hint="eastAsia"/>
                <w:color w:val="000000" w:themeColor="text1"/>
                <w:sz w:val="21"/>
                <w:szCs w:val="21"/>
                <w:highlight w:val="none"/>
                <w:lang w:eastAsia="zh-CN"/>
                <w14:textFill>
                  <w14:solidFill>
                    <w14:schemeClr w14:val="tx1"/>
                  </w14:solidFill>
                </w14:textFill>
              </w:rPr>
              <w:t xml:space="preserve"> 施工员</w:t>
            </w:r>
          </w:p>
        </w:tc>
        <w:tc>
          <w:tcPr>
            <w:tcW w:w="670" w:type="dxa"/>
            <w:noWrap w:val="0"/>
            <w:vAlign w:val="center"/>
          </w:tcPr>
          <w:p w14:paraId="3E3C96A1">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64E8CE78">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59C509F2">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22363FF2">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063B89CA">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8D87EF0">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782C0F52">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25BBADF0">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5084AB62">
            <w:pPr>
              <w:ind w:left="223" w:hanging="222" w:hangingChars="106"/>
              <w:jc w:val="center"/>
              <w:rPr>
                <w:color w:val="000000" w:themeColor="text1"/>
                <w:szCs w:val="21"/>
                <w:highlight w:val="none"/>
                <w14:textFill>
                  <w14:solidFill>
                    <w14:schemeClr w14:val="tx1"/>
                  </w14:solidFill>
                </w14:textFill>
              </w:rPr>
            </w:pPr>
          </w:p>
        </w:tc>
      </w:tr>
      <w:tr w14:paraId="42E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949686E">
            <w:pPr>
              <w:pStyle w:val="79"/>
              <w:spacing w:line="240" w:lineRule="auto"/>
              <w:ind w:firstLine="0"/>
              <w:rPr>
                <w:color w:val="000000" w:themeColor="text1"/>
                <w:sz w:val="21"/>
                <w:szCs w:val="21"/>
                <w:highlight w:val="none"/>
                <w:lang w:eastAsia="zh-CN"/>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4.</w:t>
            </w:r>
            <w:r>
              <w:rPr>
                <w:color w:val="000000" w:themeColor="text1"/>
                <w:sz w:val="21"/>
                <w:szCs w:val="21"/>
                <w:highlight w:val="none"/>
                <w:lang w:eastAsia="zh-CN"/>
                <w14:textFill>
                  <w14:solidFill>
                    <w14:schemeClr w14:val="tx1"/>
                  </w14:solidFill>
                </w14:textFill>
              </w:rPr>
              <w:t>安全员</w:t>
            </w:r>
          </w:p>
        </w:tc>
        <w:tc>
          <w:tcPr>
            <w:tcW w:w="670" w:type="dxa"/>
            <w:noWrap w:val="0"/>
            <w:vAlign w:val="center"/>
          </w:tcPr>
          <w:p w14:paraId="28A9194D">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7A4AA837">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4E2DC612">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2CC5CBF">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408F10CF">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0BFA6464">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0AA50652">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2580F71C">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1B18D8E0">
            <w:pPr>
              <w:ind w:left="223" w:hanging="222" w:hangingChars="106"/>
              <w:jc w:val="center"/>
              <w:rPr>
                <w:color w:val="000000" w:themeColor="text1"/>
                <w:szCs w:val="21"/>
                <w:highlight w:val="none"/>
                <w14:textFill>
                  <w14:solidFill>
                    <w14:schemeClr w14:val="tx1"/>
                  </w14:solidFill>
                </w14:textFill>
              </w:rPr>
            </w:pPr>
          </w:p>
        </w:tc>
      </w:tr>
      <w:tr w14:paraId="666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0893397">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 xml:space="preserve"> 质量员</w:t>
            </w:r>
          </w:p>
        </w:tc>
        <w:tc>
          <w:tcPr>
            <w:tcW w:w="670" w:type="dxa"/>
            <w:noWrap w:val="0"/>
            <w:vAlign w:val="center"/>
          </w:tcPr>
          <w:p w14:paraId="7CDF2A90">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7C975170">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1CA0189E">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6B3BD353">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76AF1A8E">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26686E7D">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0BE80D03">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0BBFF81C">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6F02DB6D">
            <w:pPr>
              <w:ind w:left="223" w:hanging="222" w:hangingChars="106"/>
              <w:jc w:val="center"/>
              <w:rPr>
                <w:color w:val="000000" w:themeColor="text1"/>
                <w:szCs w:val="21"/>
                <w:highlight w:val="none"/>
                <w14:textFill>
                  <w14:solidFill>
                    <w14:schemeClr w14:val="tx1"/>
                  </w14:solidFill>
                </w14:textFill>
              </w:rPr>
            </w:pPr>
          </w:p>
        </w:tc>
      </w:tr>
      <w:tr w14:paraId="5B0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8D8F059">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6.材料员</w:t>
            </w:r>
          </w:p>
        </w:tc>
        <w:tc>
          <w:tcPr>
            <w:tcW w:w="670" w:type="dxa"/>
            <w:noWrap w:val="0"/>
            <w:vAlign w:val="center"/>
          </w:tcPr>
          <w:p w14:paraId="5E0D75E5">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167CFDEF">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516D1B13">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629E0145">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1AFB7869">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6511CB8F">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16D9E437">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1DBEEBC0">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7EB23E1B">
            <w:pPr>
              <w:ind w:left="223" w:hanging="222" w:hangingChars="106"/>
              <w:jc w:val="center"/>
              <w:rPr>
                <w:color w:val="000000" w:themeColor="text1"/>
                <w:szCs w:val="21"/>
                <w:highlight w:val="none"/>
                <w14:textFill>
                  <w14:solidFill>
                    <w14:schemeClr w14:val="tx1"/>
                  </w14:solidFill>
                </w14:textFill>
              </w:rPr>
            </w:pPr>
          </w:p>
        </w:tc>
      </w:tr>
      <w:tr w14:paraId="77E6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00E5AA2">
            <w:pPr>
              <w:ind w:left="223" w:hanging="222" w:hangingChars="106"/>
              <w:jc w:val="center"/>
              <w:rPr>
                <w:color w:val="000000" w:themeColor="text1"/>
                <w:szCs w:val="21"/>
                <w:highlight w:val="none"/>
                <w14:textFill>
                  <w14:solidFill>
                    <w14:schemeClr w14:val="tx1"/>
                  </w14:solidFill>
                </w14:textFill>
              </w:rPr>
            </w:pPr>
          </w:p>
        </w:tc>
        <w:tc>
          <w:tcPr>
            <w:tcW w:w="670" w:type="dxa"/>
            <w:noWrap w:val="0"/>
            <w:vAlign w:val="center"/>
          </w:tcPr>
          <w:p w14:paraId="4E7548E6">
            <w:pPr>
              <w:ind w:left="223" w:hanging="222" w:hangingChars="106"/>
              <w:jc w:val="center"/>
              <w:rPr>
                <w:color w:val="000000" w:themeColor="text1"/>
                <w:szCs w:val="21"/>
                <w:highlight w:val="none"/>
                <w14:textFill>
                  <w14:solidFill>
                    <w14:schemeClr w14:val="tx1"/>
                  </w14:solidFill>
                </w14:textFill>
              </w:rPr>
            </w:pPr>
          </w:p>
        </w:tc>
        <w:tc>
          <w:tcPr>
            <w:tcW w:w="829" w:type="dxa"/>
            <w:noWrap w:val="0"/>
            <w:vAlign w:val="center"/>
          </w:tcPr>
          <w:p w14:paraId="4D651C6A">
            <w:pPr>
              <w:ind w:left="223" w:hanging="222" w:hangingChars="106"/>
              <w:jc w:val="center"/>
              <w:rPr>
                <w:color w:val="000000" w:themeColor="text1"/>
                <w:szCs w:val="21"/>
                <w:highlight w:val="none"/>
                <w14:textFill>
                  <w14:solidFill>
                    <w14:schemeClr w14:val="tx1"/>
                  </w14:solidFill>
                </w14:textFill>
              </w:rPr>
            </w:pPr>
          </w:p>
        </w:tc>
        <w:tc>
          <w:tcPr>
            <w:tcW w:w="816" w:type="dxa"/>
            <w:noWrap w:val="0"/>
            <w:vAlign w:val="center"/>
          </w:tcPr>
          <w:p w14:paraId="58F0C82E">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710B6BE1">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59B1170">
            <w:pPr>
              <w:ind w:left="223" w:hanging="222" w:hangingChars="106"/>
              <w:jc w:val="center"/>
              <w:rPr>
                <w:color w:val="000000" w:themeColor="text1"/>
                <w:szCs w:val="21"/>
                <w:highlight w:val="none"/>
                <w14:textFill>
                  <w14:solidFill>
                    <w14:schemeClr w14:val="tx1"/>
                  </w14:solidFill>
                </w14:textFill>
              </w:rPr>
            </w:pPr>
          </w:p>
        </w:tc>
        <w:tc>
          <w:tcPr>
            <w:tcW w:w="1148" w:type="dxa"/>
            <w:noWrap w:val="0"/>
            <w:vAlign w:val="center"/>
          </w:tcPr>
          <w:p w14:paraId="5E3A410F">
            <w:pPr>
              <w:ind w:left="223" w:hanging="222" w:hangingChars="106"/>
              <w:jc w:val="center"/>
              <w:rPr>
                <w:color w:val="000000" w:themeColor="text1"/>
                <w:szCs w:val="21"/>
                <w:highlight w:val="none"/>
                <w14:textFill>
                  <w14:solidFill>
                    <w14:schemeClr w14:val="tx1"/>
                  </w14:solidFill>
                </w14:textFill>
              </w:rPr>
            </w:pPr>
          </w:p>
        </w:tc>
        <w:tc>
          <w:tcPr>
            <w:tcW w:w="744" w:type="dxa"/>
            <w:noWrap w:val="0"/>
            <w:vAlign w:val="center"/>
          </w:tcPr>
          <w:p w14:paraId="5BDB0714">
            <w:pPr>
              <w:ind w:left="223" w:hanging="222" w:hangingChars="106"/>
              <w:jc w:val="center"/>
              <w:rPr>
                <w:color w:val="000000" w:themeColor="text1"/>
                <w:szCs w:val="21"/>
                <w:highlight w:val="none"/>
                <w14:textFill>
                  <w14:solidFill>
                    <w14:schemeClr w14:val="tx1"/>
                  </w14:solidFill>
                </w14:textFill>
              </w:rPr>
            </w:pPr>
          </w:p>
        </w:tc>
        <w:tc>
          <w:tcPr>
            <w:tcW w:w="1167" w:type="dxa"/>
            <w:noWrap w:val="0"/>
            <w:vAlign w:val="center"/>
          </w:tcPr>
          <w:p w14:paraId="4272DE83">
            <w:pPr>
              <w:ind w:left="223" w:hanging="222" w:hangingChars="106"/>
              <w:jc w:val="center"/>
              <w:rPr>
                <w:color w:val="000000" w:themeColor="text1"/>
                <w:szCs w:val="21"/>
                <w:highlight w:val="none"/>
                <w14:textFill>
                  <w14:solidFill>
                    <w14:schemeClr w14:val="tx1"/>
                  </w14:solidFill>
                </w14:textFill>
              </w:rPr>
            </w:pPr>
          </w:p>
        </w:tc>
        <w:tc>
          <w:tcPr>
            <w:tcW w:w="1276" w:type="dxa"/>
            <w:noWrap w:val="0"/>
            <w:vAlign w:val="center"/>
          </w:tcPr>
          <w:p w14:paraId="5AD6AB56">
            <w:pPr>
              <w:ind w:left="223" w:hanging="222" w:hangingChars="106"/>
              <w:jc w:val="center"/>
              <w:rPr>
                <w:color w:val="000000" w:themeColor="text1"/>
                <w:szCs w:val="21"/>
                <w:highlight w:val="none"/>
                <w14:textFill>
                  <w14:solidFill>
                    <w14:schemeClr w14:val="tx1"/>
                  </w14:solidFill>
                </w14:textFill>
              </w:rPr>
            </w:pPr>
          </w:p>
        </w:tc>
      </w:tr>
      <w:tr w14:paraId="046E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7E826808">
            <w:pPr>
              <w:ind w:firstLine="42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4A9B74D6">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备注：</w:t>
      </w:r>
    </w:p>
    <w:p w14:paraId="076BA643">
      <w:pPr>
        <w:spacing w:line="360" w:lineRule="auto"/>
        <w:ind w:firstLine="480" w:firstLineChars="20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本表所列岗位的所有管理人员的情况均应如实填写。可按以上格式扩展为多页填写。</w:t>
      </w:r>
    </w:p>
    <w:p w14:paraId="378633DE">
      <w:pPr>
        <w:spacing w:line="360" w:lineRule="auto"/>
        <w:ind w:firstLine="480" w:firstLineChars="20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供应商应当在本表后附所有管理人员的身份证、职称证、执业或职业资格证书、</w:t>
      </w:r>
      <w:r>
        <w:rPr>
          <w:rFonts w:hint="eastAsia" w:ascii="宋体" w:hAnsi="宋体"/>
          <w:color w:val="000000" w:themeColor="text1"/>
          <w:sz w:val="24"/>
          <w:szCs w:val="20"/>
          <w:highlight w:val="none"/>
          <w:lang w:val="en-US" w:eastAsia="zh-CN"/>
          <w14:textFill>
            <w14:solidFill>
              <w14:schemeClr w14:val="tx1"/>
            </w14:solidFill>
          </w14:textFill>
        </w:rPr>
        <w:t>2023年09月以来任意</w:t>
      </w:r>
      <w:r>
        <w:rPr>
          <w:rFonts w:hint="eastAsia" w:ascii="宋体" w:hAnsi="宋体"/>
          <w:color w:val="000000" w:themeColor="text1"/>
          <w:sz w:val="24"/>
          <w:szCs w:val="20"/>
          <w:highlight w:val="none"/>
          <w14:textFill>
            <w14:solidFill>
              <w14:schemeClr w14:val="tx1"/>
            </w14:solidFill>
          </w14:textFill>
        </w:rPr>
        <w:t>1个月在</w:t>
      </w:r>
      <w:r>
        <w:rPr>
          <w:rFonts w:hint="eastAsia" w:ascii="宋体" w:hAnsi="宋体"/>
          <w:color w:val="000000" w:themeColor="text1"/>
          <w:sz w:val="24"/>
          <w:szCs w:val="20"/>
          <w:highlight w:val="none"/>
          <w:lang w:eastAsia="zh-CN"/>
          <w14:textFill>
            <w14:solidFill>
              <w14:schemeClr w14:val="tx1"/>
            </w14:solidFill>
          </w14:textFill>
        </w:rPr>
        <w:t>供应商</w:t>
      </w:r>
      <w:r>
        <w:rPr>
          <w:rFonts w:hint="eastAsia" w:ascii="宋体" w:hAnsi="宋体"/>
          <w:color w:val="000000" w:themeColor="text1"/>
          <w:sz w:val="24"/>
          <w:szCs w:val="20"/>
          <w:highlight w:val="none"/>
          <w14:textFill>
            <w14:solidFill>
              <w14:schemeClr w14:val="tx1"/>
            </w14:solidFill>
          </w14:textFill>
        </w:rPr>
        <w:t>单位依法缴纳社会保险的证明材料的复印件并加盖供应商电子签章。</w:t>
      </w:r>
    </w:p>
    <w:p w14:paraId="2A11CB01">
      <w:pPr>
        <w:spacing w:line="360" w:lineRule="auto"/>
        <w:ind w:firstLine="480" w:firstLineChars="200"/>
        <w:contextualSpacing/>
        <w:jc w:val="left"/>
        <w:rPr>
          <w:rFonts w:hint="eastAsia" w:ascii="宋体" w:hAnsi="宋体"/>
          <w:color w:val="000000" w:themeColor="text1"/>
          <w:sz w:val="24"/>
          <w:szCs w:val="20"/>
          <w:highlight w:val="none"/>
          <w14:textFill>
            <w14:solidFill>
              <w14:schemeClr w14:val="tx1"/>
            </w14:solidFill>
          </w14:textFill>
        </w:rPr>
      </w:pPr>
    </w:p>
    <w:p w14:paraId="1720C9BA">
      <w:pPr>
        <w:spacing w:line="360" w:lineRule="auto"/>
        <w:ind w:right="480"/>
        <w:contextualSpacing/>
        <w:jc w:val="center"/>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p>
    <w:p w14:paraId="270FDAC0">
      <w:pPr>
        <w:spacing w:line="360" w:lineRule="auto"/>
        <w:ind w:right="480" w:firstLine="3360" w:firstLineChars="1400"/>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供应商（电子签章）：</w:t>
      </w:r>
      <w:r>
        <w:rPr>
          <w:rFonts w:hint="eastAsia" w:ascii="宋体" w:hAnsi="宋体"/>
          <w:color w:val="000000" w:themeColor="text1"/>
          <w:sz w:val="24"/>
          <w:szCs w:val="24"/>
          <w:highlight w:val="none"/>
          <w:u w:val="single"/>
          <w14:textFill>
            <w14:solidFill>
              <w14:schemeClr w14:val="tx1"/>
            </w14:solidFill>
          </w14:textFill>
        </w:rPr>
        <w:t xml:space="preserve">                </w:t>
      </w:r>
    </w:p>
    <w:p w14:paraId="689165AD">
      <w:pPr>
        <w:spacing w:line="360" w:lineRule="auto"/>
        <w:ind w:firstLine="480" w:firstLineChars="200"/>
        <w:contextualSpacing/>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7973BEE3">
      <w:pPr>
        <w:spacing w:before="100" w:line="225" w:lineRule="auto"/>
        <w:ind w:left="16"/>
        <w:outlineLvl w:val="9"/>
        <w:rPr>
          <w:rFonts w:ascii="Cambria" w:hAnsi="Cambria" w:eastAsia="Cambria" w:cs="Cambria"/>
          <w:color w:val="000000" w:themeColor="text1"/>
          <w:spacing w:val="-1"/>
          <w:sz w:val="31"/>
          <w:szCs w:val="31"/>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p>
    <w:p w14:paraId="498F6A2C">
      <w:pPr>
        <w:spacing w:line="528" w:lineRule="exact"/>
        <w:ind w:left="1871" w:leftChars="891" w:firstLine="1200" w:firstLineChars="300"/>
        <w:rPr>
          <w:rFonts w:ascii="宋体" w:hAnsi="宋体" w:eastAsia="宋体" w:cs="Arial Unicode MS"/>
          <w:color w:val="000000" w:themeColor="text1"/>
          <w:sz w:val="40"/>
          <w:szCs w:val="40"/>
          <w:highlight w:val="none"/>
          <w14:textFill>
            <w14:solidFill>
              <w14:schemeClr w14:val="tx1"/>
            </w14:solidFill>
          </w14:textFill>
        </w:rPr>
      </w:pPr>
      <w:r>
        <w:rPr>
          <w:rFonts w:hint="eastAsia" w:ascii="宋体" w:hAnsi="宋体" w:eastAsia="宋体" w:cs="微软雅黑"/>
          <w:color w:val="000000" w:themeColor="text1"/>
          <w:sz w:val="40"/>
          <w:szCs w:val="40"/>
          <w:highlight w:val="none"/>
          <w14:textFill>
            <w14:solidFill>
              <w14:schemeClr w14:val="tx1"/>
            </w14:solidFill>
          </w14:textFill>
        </w:rPr>
        <w:t>中小微企业划型标准</w:t>
      </w:r>
    </w:p>
    <w:tbl>
      <w:tblPr>
        <w:tblStyle w:val="30"/>
        <w:tblW w:w="0" w:type="auto"/>
        <w:jc w:val="center"/>
        <w:tblLayout w:type="fixed"/>
        <w:tblCellMar>
          <w:top w:w="0" w:type="dxa"/>
          <w:left w:w="108" w:type="dxa"/>
          <w:bottom w:w="0" w:type="dxa"/>
          <w:right w:w="108" w:type="dxa"/>
        </w:tblCellMar>
      </w:tblPr>
      <w:tblGrid>
        <w:gridCol w:w="1831"/>
        <w:gridCol w:w="1489"/>
        <w:gridCol w:w="983"/>
        <w:gridCol w:w="1743"/>
        <w:gridCol w:w="1549"/>
        <w:gridCol w:w="996"/>
      </w:tblGrid>
      <w:tr w14:paraId="13A34812">
        <w:tblPrEx>
          <w:tblCellMar>
            <w:top w:w="0" w:type="dxa"/>
            <w:left w:w="108" w:type="dxa"/>
            <w:bottom w:w="0" w:type="dxa"/>
            <w:right w:w="108" w:type="dxa"/>
          </w:tblCellMar>
        </w:tblPrEx>
        <w:trPr>
          <w:trHeight w:val="287"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599497AC">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行业名称</w:t>
            </w:r>
          </w:p>
        </w:tc>
        <w:tc>
          <w:tcPr>
            <w:tcW w:w="1489" w:type="dxa"/>
            <w:tcBorders>
              <w:top w:val="single" w:color="auto" w:sz="4" w:space="0"/>
              <w:left w:val="nil"/>
              <w:bottom w:val="single" w:color="auto" w:sz="4" w:space="0"/>
              <w:right w:val="single" w:color="auto" w:sz="4" w:space="0"/>
            </w:tcBorders>
            <w:noWrap w:val="0"/>
            <w:vAlign w:val="center"/>
          </w:tcPr>
          <w:p w14:paraId="7B379BFA">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指标名称</w:t>
            </w:r>
          </w:p>
        </w:tc>
        <w:tc>
          <w:tcPr>
            <w:tcW w:w="983" w:type="dxa"/>
            <w:tcBorders>
              <w:top w:val="single" w:color="auto" w:sz="4" w:space="0"/>
              <w:left w:val="nil"/>
              <w:bottom w:val="single" w:color="auto" w:sz="4" w:space="0"/>
              <w:right w:val="single" w:color="auto" w:sz="4" w:space="0"/>
            </w:tcBorders>
            <w:noWrap w:val="0"/>
            <w:vAlign w:val="center"/>
          </w:tcPr>
          <w:p w14:paraId="0081E1F3">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计量单位</w:t>
            </w:r>
          </w:p>
        </w:tc>
        <w:tc>
          <w:tcPr>
            <w:tcW w:w="1743" w:type="dxa"/>
            <w:tcBorders>
              <w:top w:val="single" w:color="auto" w:sz="4" w:space="0"/>
              <w:left w:val="nil"/>
              <w:bottom w:val="single" w:color="auto" w:sz="4" w:space="0"/>
              <w:right w:val="single" w:color="auto" w:sz="4" w:space="0"/>
            </w:tcBorders>
            <w:noWrap w:val="0"/>
            <w:vAlign w:val="center"/>
          </w:tcPr>
          <w:p w14:paraId="1CF20F3D">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中型</w:t>
            </w:r>
          </w:p>
        </w:tc>
        <w:tc>
          <w:tcPr>
            <w:tcW w:w="1549" w:type="dxa"/>
            <w:tcBorders>
              <w:top w:val="single" w:color="auto" w:sz="4" w:space="0"/>
              <w:left w:val="nil"/>
              <w:bottom w:val="single" w:color="auto" w:sz="4" w:space="0"/>
              <w:right w:val="single" w:color="auto" w:sz="4" w:space="0"/>
            </w:tcBorders>
            <w:noWrap w:val="0"/>
            <w:vAlign w:val="center"/>
          </w:tcPr>
          <w:p w14:paraId="705B09F4">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小型</w:t>
            </w:r>
          </w:p>
        </w:tc>
        <w:tc>
          <w:tcPr>
            <w:tcW w:w="996" w:type="dxa"/>
            <w:tcBorders>
              <w:top w:val="single" w:color="auto" w:sz="4" w:space="0"/>
              <w:left w:val="nil"/>
              <w:bottom w:val="single" w:color="auto" w:sz="4" w:space="0"/>
              <w:right w:val="single" w:color="auto" w:sz="4" w:space="0"/>
            </w:tcBorders>
            <w:noWrap w:val="0"/>
            <w:vAlign w:val="center"/>
          </w:tcPr>
          <w:p w14:paraId="4FFC3B93">
            <w:pPr>
              <w:widowControl/>
              <w:jc w:val="left"/>
              <w:rPr>
                <w:rFonts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微型</w:t>
            </w:r>
          </w:p>
        </w:tc>
      </w:tr>
      <w:tr w14:paraId="4C9B801C">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71780D9C">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农、林、牧、渔</w:t>
            </w:r>
          </w:p>
        </w:tc>
        <w:tc>
          <w:tcPr>
            <w:tcW w:w="1489" w:type="dxa"/>
            <w:tcBorders>
              <w:top w:val="nil"/>
              <w:left w:val="nil"/>
              <w:bottom w:val="single" w:color="auto" w:sz="4" w:space="0"/>
              <w:right w:val="single" w:color="auto" w:sz="4" w:space="0"/>
            </w:tcBorders>
            <w:noWrap w:val="0"/>
            <w:vAlign w:val="center"/>
          </w:tcPr>
          <w:p w14:paraId="7552B61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4F4D3B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5D55A5B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549" w:type="dxa"/>
            <w:tcBorders>
              <w:top w:val="nil"/>
              <w:left w:val="nil"/>
              <w:bottom w:val="single" w:color="auto" w:sz="4" w:space="0"/>
              <w:right w:val="single" w:color="auto" w:sz="4" w:space="0"/>
            </w:tcBorders>
            <w:noWrap w:val="0"/>
            <w:vAlign w:val="center"/>
          </w:tcPr>
          <w:p w14:paraId="3480947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50≤Y＜500</w:t>
            </w:r>
          </w:p>
        </w:tc>
        <w:tc>
          <w:tcPr>
            <w:tcW w:w="996" w:type="dxa"/>
            <w:tcBorders>
              <w:top w:val="nil"/>
              <w:left w:val="nil"/>
              <w:bottom w:val="single" w:color="auto" w:sz="4" w:space="0"/>
              <w:right w:val="single" w:color="auto" w:sz="4" w:space="0"/>
            </w:tcBorders>
            <w:noWrap w:val="0"/>
            <w:vAlign w:val="center"/>
          </w:tcPr>
          <w:p w14:paraId="1B59891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1273BFC1">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06B817FD">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工业</w:t>
            </w:r>
          </w:p>
        </w:tc>
        <w:tc>
          <w:tcPr>
            <w:tcW w:w="1489" w:type="dxa"/>
            <w:tcBorders>
              <w:top w:val="nil"/>
              <w:left w:val="nil"/>
              <w:bottom w:val="single" w:color="auto" w:sz="4" w:space="0"/>
              <w:right w:val="single" w:color="auto" w:sz="4" w:space="0"/>
            </w:tcBorders>
            <w:noWrap w:val="0"/>
            <w:vAlign w:val="center"/>
          </w:tcPr>
          <w:p w14:paraId="355DA6A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389A686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400603E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023FA40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2146934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3BA499E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57C9CACD">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CD4356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0685446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1D78A11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1549" w:type="dxa"/>
            <w:tcBorders>
              <w:top w:val="nil"/>
              <w:left w:val="nil"/>
              <w:bottom w:val="single" w:color="auto" w:sz="4" w:space="0"/>
              <w:right w:val="single" w:color="auto" w:sz="4" w:space="0"/>
            </w:tcBorders>
            <w:noWrap w:val="0"/>
            <w:vAlign w:val="center"/>
          </w:tcPr>
          <w:p w14:paraId="52FF541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300≤Y＜2000</w:t>
            </w:r>
          </w:p>
        </w:tc>
        <w:tc>
          <w:tcPr>
            <w:tcW w:w="996" w:type="dxa"/>
            <w:tcBorders>
              <w:top w:val="nil"/>
              <w:left w:val="nil"/>
              <w:bottom w:val="single" w:color="auto" w:sz="4" w:space="0"/>
              <w:right w:val="single" w:color="auto" w:sz="4" w:space="0"/>
            </w:tcBorders>
            <w:noWrap w:val="0"/>
            <w:vAlign w:val="center"/>
          </w:tcPr>
          <w:p w14:paraId="4FB0E72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4D7D9F4D">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49A1BC9A">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建筑业</w:t>
            </w:r>
          </w:p>
        </w:tc>
        <w:tc>
          <w:tcPr>
            <w:tcW w:w="1489" w:type="dxa"/>
            <w:tcBorders>
              <w:top w:val="nil"/>
              <w:left w:val="nil"/>
              <w:bottom w:val="single" w:color="auto" w:sz="4" w:space="0"/>
              <w:right w:val="single" w:color="auto" w:sz="4" w:space="0"/>
            </w:tcBorders>
            <w:noWrap w:val="0"/>
            <w:vAlign w:val="center"/>
          </w:tcPr>
          <w:p w14:paraId="41267D5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6634181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93CBD7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1549" w:type="dxa"/>
            <w:tcBorders>
              <w:top w:val="nil"/>
              <w:left w:val="nil"/>
              <w:bottom w:val="single" w:color="auto" w:sz="4" w:space="0"/>
              <w:right w:val="single" w:color="auto" w:sz="4" w:space="0"/>
            </w:tcBorders>
            <w:noWrap w:val="0"/>
            <w:vAlign w:val="center"/>
          </w:tcPr>
          <w:p w14:paraId="1993D91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300≤Y＜6000</w:t>
            </w:r>
          </w:p>
        </w:tc>
        <w:tc>
          <w:tcPr>
            <w:tcW w:w="996" w:type="dxa"/>
            <w:tcBorders>
              <w:top w:val="nil"/>
              <w:left w:val="nil"/>
              <w:bottom w:val="single" w:color="auto" w:sz="4" w:space="0"/>
              <w:right w:val="single" w:color="auto" w:sz="4" w:space="0"/>
            </w:tcBorders>
            <w:noWrap w:val="0"/>
            <w:vAlign w:val="center"/>
          </w:tcPr>
          <w:p w14:paraId="50F4331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68728C3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AD1E18D">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46CBD85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74C802A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409DEFB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1549" w:type="dxa"/>
            <w:tcBorders>
              <w:top w:val="nil"/>
              <w:left w:val="nil"/>
              <w:bottom w:val="single" w:color="auto" w:sz="4" w:space="0"/>
              <w:right w:val="single" w:color="auto" w:sz="4" w:space="0"/>
            </w:tcBorders>
            <w:noWrap w:val="0"/>
            <w:vAlign w:val="center"/>
          </w:tcPr>
          <w:p w14:paraId="2B69774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300≤Z＜5000</w:t>
            </w:r>
          </w:p>
        </w:tc>
        <w:tc>
          <w:tcPr>
            <w:tcW w:w="996" w:type="dxa"/>
            <w:tcBorders>
              <w:top w:val="nil"/>
              <w:left w:val="nil"/>
              <w:bottom w:val="single" w:color="auto" w:sz="4" w:space="0"/>
              <w:right w:val="single" w:color="auto" w:sz="4" w:space="0"/>
            </w:tcBorders>
            <w:noWrap w:val="0"/>
            <w:vAlign w:val="center"/>
          </w:tcPr>
          <w:p w14:paraId="077870A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56A9E360">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8633640">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批发业</w:t>
            </w:r>
          </w:p>
        </w:tc>
        <w:tc>
          <w:tcPr>
            <w:tcW w:w="1489" w:type="dxa"/>
            <w:tcBorders>
              <w:top w:val="nil"/>
              <w:left w:val="nil"/>
              <w:bottom w:val="single" w:color="auto" w:sz="4" w:space="0"/>
              <w:right w:val="single" w:color="auto" w:sz="4" w:space="0"/>
            </w:tcBorders>
            <w:noWrap w:val="0"/>
            <w:vAlign w:val="center"/>
          </w:tcPr>
          <w:p w14:paraId="5C869EA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0A1AE87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7A4E8F2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1549" w:type="dxa"/>
            <w:tcBorders>
              <w:top w:val="nil"/>
              <w:left w:val="nil"/>
              <w:bottom w:val="single" w:color="auto" w:sz="4" w:space="0"/>
              <w:right w:val="single" w:color="auto" w:sz="4" w:space="0"/>
            </w:tcBorders>
            <w:noWrap w:val="0"/>
            <w:vAlign w:val="center"/>
          </w:tcPr>
          <w:p w14:paraId="0F9F9E8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5≤X＜20</w:t>
            </w:r>
          </w:p>
        </w:tc>
        <w:tc>
          <w:tcPr>
            <w:tcW w:w="996" w:type="dxa"/>
            <w:tcBorders>
              <w:top w:val="nil"/>
              <w:left w:val="nil"/>
              <w:bottom w:val="single" w:color="auto" w:sz="4" w:space="0"/>
              <w:right w:val="single" w:color="auto" w:sz="4" w:space="0"/>
            </w:tcBorders>
            <w:noWrap w:val="0"/>
            <w:vAlign w:val="center"/>
          </w:tcPr>
          <w:p w14:paraId="3405E46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5FBCAD9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491E0CF1">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76F34C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5BE7444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507728F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1549" w:type="dxa"/>
            <w:tcBorders>
              <w:top w:val="nil"/>
              <w:left w:val="nil"/>
              <w:bottom w:val="single" w:color="auto" w:sz="4" w:space="0"/>
              <w:right w:val="single" w:color="auto" w:sz="4" w:space="0"/>
            </w:tcBorders>
            <w:noWrap w:val="0"/>
            <w:vAlign w:val="center"/>
          </w:tcPr>
          <w:p w14:paraId="2F11D8E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996" w:type="dxa"/>
            <w:tcBorders>
              <w:top w:val="nil"/>
              <w:left w:val="nil"/>
              <w:bottom w:val="single" w:color="auto" w:sz="4" w:space="0"/>
              <w:right w:val="single" w:color="auto" w:sz="4" w:space="0"/>
            </w:tcBorders>
            <w:noWrap w:val="0"/>
            <w:vAlign w:val="center"/>
          </w:tcPr>
          <w:p w14:paraId="40538A9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7D388D88">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8013B76">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零售业</w:t>
            </w:r>
          </w:p>
        </w:tc>
        <w:tc>
          <w:tcPr>
            <w:tcW w:w="1489" w:type="dxa"/>
            <w:tcBorders>
              <w:top w:val="nil"/>
              <w:left w:val="nil"/>
              <w:bottom w:val="single" w:color="auto" w:sz="4" w:space="0"/>
              <w:right w:val="single" w:color="auto" w:sz="4" w:space="0"/>
            </w:tcBorders>
            <w:noWrap w:val="0"/>
            <w:vAlign w:val="center"/>
          </w:tcPr>
          <w:p w14:paraId="4A4AE04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46757D2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6C94132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1549" w:type="dxa"/>
            <w:tcBorders>
              <w:top w:val="nil"/>
              <w:left w:val="nil"/>
              <w:bottom w:val="single" w:color="auto" w:sz="4" w:space="0"/>
              <w:right w:val="single" w:color="auto" w:sz="4" w:space="0"/>
            </w:tcBorders>
            <w:noWrap w:val="0"/>
            <w:vAlign w:val="center"/>
          </w:tcPr>
          <w:p w14:paraId="380A3FE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10≤X＜50</w:t>
            </w:r>
          </w:p>
        </w:tc>
        <w:tc>
          <w:tcPr>
            <w:tcW w:w="996" w:type="dxa"/>
            <w:tcBorders>
              <w:top w:val="nil"/>
              <w:left w:val="nil"/>
              <w:bottom w:val="single" w:color="auto" w:sz="4" w:space="0"/>
              <w:right w:val="single" w:color="auto" w:sz="4" w:space="0"/>
            </w:tcBorders>
            <w:noWrap w:val="0"/>
            <w:vAlign w:val="center"/>
          </w:tcPr>
          <w:p w14:paraId="4927313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331F1C6">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9A5DA15">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361CAA3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2B376D8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1CD7F15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500≤Y＜20000</w:t>
            </w:r>
          </w:p>
        </w:tc>
        <w:tc>
          <w:tcPr>
            <w:tcW w:w="1549" w:type="dxa"/>
            <w:tcBorders>
              <w:top w:val="nil"/>
              <w:left w:val="nil"/>
              <w:bottom w:val="single" w:color="auto" w:sz="4" w:space="0"/>
              <w:right w:val="single" w:color="auto" w:sz="4" w:space="0"/>
            </w:tcBorders>
            <w:noWrap w:val="0"/>
            <w:vAlign w:val="center"/>
          </w:tcPr>
          <w:p w14:paraId="472456C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100≤Y＜500</w:t>
            </w:r>
          </w:p>
        </w:tc>
        <w:tc>
          <w:tcPr>
            <w:tcW w:w="996" w:type="dxa"/>
            <w:tcBorders>
              <w:top w:val="nil"/>
              <w:left w:val="nil"/>
              <w:bottom w:val="single" w:color="auto" w:sz="4" w:space="0"/>
              <w:right w:val="single" w:color="auto" w:sz="4" w:space="0"/>
            </w:tcBorders>
            <w:noWrap w:val="0"/>
            <w:vAlign w:val="center"/>
          </w:tcPr>
          <w:p w14:paraId="38013DF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4D5CDD2">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39681D5">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交通运输业</w:t>
            </w:r>
          </w:p>
        </w:tc>
        <w:tc>
          <w:tcPr>
            <w:tcW w:w="1489" w:type="dxa"/>
            <w:tcBorders>
              <w:top w:val="nil"/>
              <w:left w:val="nil"/>
              <w:bottom w:val="single" w:color="auto" w:sz="4" w:space="0"/>
              <w:right w:val="single" w:color="auto" w:sz="4" w:space="0"/>
            </w:tcBorders>
            <w:noWrap w:val="0"/>
            <w:vAlign w:val="center"/>
          </w:tcPr>
          <w:p w14:paraId="0F08E8E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42313AF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3FF225C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78AA67F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4F64749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4FC9BAE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F086131">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565C215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5701828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028F574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1549" w:type="dxa"/>
            <w:tcBorders>
              <w:top w:val="nil"/>
              <w:left w:val="nil"/>
              <w:bottom w:val="single" w:color="auto" w:sz="4" w:space="0"/>
              <w:right w:val="single" w:color="auto" w:sz="4" w:space="0"/>
            </w:tcBorders>
            <w:noWrap w:val="0"/>
            <w:vAlign w:val="center"/>
          </w:tcPr>
          <w:p w14:paraId="584B819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200≤Y＜3000</w:t>
            </w:r>
          </w:p>
        </w:tc>
        <w:tc>
          <w:tcPr>
            <w:tcW w:w="996" w:type="dxa"/>
            <w:tcBorders>
              <w:top w:val="nil"/>
              <w:left w:val="nil"/>
              <w:bottom w:val="single" w:color="auto" w:sz="4" w:space="0"/>
              <w:right w:val="single" w:color="auto" w:sz="4" w:space="0"/>
            </w:tcBorders>
            <w:noWrap w:val="0"/>
            <w:vAlign w:val="center"/>
          </w:tcPr>
          <w:p w14:paraId="4CC6D80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4432D468">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35465B6">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仓储业</w:t>
            </w:r>
          </w:p>
        </w:tc>
        <w:tc>
          <w:tcPr>
            <w:tcW w:w="1489" w:type="dxa"/>
            <w:tcBorders>
              <w:top w:val="nil"/>
              <w:left w:val="nil"/>
              <w:bottom w:val="single" w:color="auto" w:sz="4" w:space="0"/>
              <w:right w:val="single" w:color="auto" w:sz="4" w:space="0"/>
            </w:tcBorders>
            <w:noWrap w:val="0"/>
            <w:vAlign w:val="center"/>
          </w:tcPr>
          <w:p w14:paraId="167AACE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68DB2AA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41A83A1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1549" w:type="dxa"/>
            <w:tcBorders>
              <w:top w:val="nil"/>
              <w:left w:val="nil"/>
              <w:bottom w:val="single" w:color="auto" w:sz="4" w:space="0"/>
              <w:right w:val="single" w:color="auto" w:sz="4" w:space="0"/>
            </w:tcBorders>
            <w:noWrap w:val="0"/>
            <w:vAlign w:val="center"/>
          </w:tcPr>
          <w:p w14:paraId="787BB6E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20≤X＜100</w:t>
            </w:r>
          </w:p>
        </w:tc>
        <w:tc>
          <w:tcPr>
            <w:tcW w:w="996" w:type="dxa"/>
            <w:tcBorders>
              <w:top w:val="nil"/>
              <w:left w:val="nil"/>
              <w:bottom w:val="single" w:color="auto" w:sz="4" w:space="0"/>
              <w:right w:val="single" w:color="auto" w:sz="4" w:space="0"/>
            </w:tcBorders>
            <w:noWrap w:val="0"/>
            <w:vAlign w:val="center"/>
          </w:tcPr>
          <w:p w14:paraId="3EC9918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5B9A06C1">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2D1202D">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31B044B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1619923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F7A5EA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1549" w:type="dxa"/>
            <w:tcBorders>
              <w:top w:val="nil"/>
              <w:left w:val="nil"/>
              <w:bottom w:val="single" w:color="auto" w:sz="4" w:space="0"/>
              <w:right w:val="single" w:color="auto" w:sz="4" w:space="0"/>
            </w:tcBorders>
            <w:noWrap w:val="0"/>
            <w:vAlign w:val="center"/>
          </w:tcPr>
          <w:p w14:paraId="7955F2E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6" w:type="dxa"/>
            <w:tcBorders>
              <w:top w:val="nil"/>
              <w:left w:val="nil"/>
              <w:bottom w:val="single" w:color="auto" w:sz="4" w:space="0"/>
              <w:right w:val="single" w:color="auto" w:sz="4" w:space="0"/>
            </w:tcBorders>
            <w:noWrap w:val="0"/>
            <w:vAlign w:val="center"/>
          </w:tcPr>
          <w:p w14:paraId="7DB3F28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E16F9C2">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59148356">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邮政业</w:t>
            </w:r>
          </w:p>
        </w:tc>
        <w:tc>
          <w:tcPr>
            <w:tcW w:w="1489" w:type="dxa"/>
            <w:tcBorders>
              <w:top w:val="nil"/>
              <w:left w:val="nil"/>
              <w:bottom w:val="single" w:color="auto" w:sz="4" w:space="0"/>
              <w:right w:val="single" w:color="auto" w:sz="4" w:space="0"/>
            </w:tcBorders>
            <w:noWrap w:val="0"/>
            <w:vAlign w:val="center"/>
          </w:tcPr>
          <w:p w14:paraId="7A41C39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35875E5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58EDF78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5EAC214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4917D3A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3165BE4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FBE8DC4">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3D72432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687E557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C4F171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1549" w:type="dxa"/>
            <w:tcBorders>
              <w:top w:val="nil"/>
              <w:left w:val="nil"/>
              <w:bottom w:val="single" w:color="auto" w:sz="4" w:space="0"/>
              <w:right w:val="single" w:color="auto" w:sz="4" w:space="0"/>
            </w:tcBorders>
            <w:noWrap w:val="0"/>
            <w:vAlign w:val="center"/>
          </w:tcPr>
          <w:p w14:paraId="0A2A3C5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17C77DB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0F1946C">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6141D354">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住宿业</w:t>
            </w:r>
          </w:p>
        </w:tc>
        <w:tc>
          <w:tcPr>
            <w:tcW w:w="1489" w:type="dxa"/>
            <w:tcBorders>
              <w:top w:val="nil"/>
              <w:left w:val="nil"/>
              <w:bottom w:val="single" w:color="auto" w:sz="4" w:space="0"/>
              <w:right w:val="single" w:color="auto" w:sz="4" w:space="0"/>
            </w:tcBorders>
            <w:noWrap w:val="0"/>
            <w:vAlign w:val="center"/>
          </w:tcPr>
          <w:p w14:paraId="5A06539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24FE8D4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5743585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05C6FAC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5D8F5E6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420C749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18D53763">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5FC446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1D1BF0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5DD3B5B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549" w:type="dxa"/>
            <w:tcBorders>
              <w:top w:val="nil"/>
              <w:left w:val="nil"/>
              <w:bottom w:val="single" w:color="auto" w:sz="4" w:space="0"/>
              <w:right w:val="single" w:color="auto" w:sz="4" w:space="0"/>
            </w:tcBorders>
            <w:noWrap w:val="0"/>
            <w:vAlign w:val="center"/>
          </w:tcPr>
          <w:p w14:paraId="21321CC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635650A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A7BDE64">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666C3D60">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餐饮业</w:t>
            </w:r>
          </w:p>
        </w:tc>
        <w:tc>
          <w:tcPr>
            <w:tcW w:w="1489" w:type="dxa"/>
            <w:tcBorders>
              <w:top w:val="nil"/>
              <w:left w:val="nil"/>
              <w:bottom w:val="single" w:color="auto" w:sz="4" w:space="0"/>
              <w:right w:val="single" w:color="auto" w:sz="4" w:space="0"/>
            </w:tcBorders>
            <w:noWrap w:val="0"/>
            <w:vAlign w:val="center"/>
          </w:tcPr>
          <w:p w14:paraId="526BC23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0E3AED5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4D6092D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6B4880B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45E3AE0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2F8FB9C3">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73DE005">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4AB97CA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4DED76B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B2015F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1549" w:type="dxa"/>
            <w:tcBorders>
              <w:top w:val="nil"/>
              <w:left w:val="nil"/>
              <w:bottom w:val="single" w:color="auto" w:sz="4" w:space="0"/>
              <w:right w:val="single" w:color="auto" w:sz="4" w:space="0"/>
            </w:tcBorders>
            <w:noWrap w:val="0"/>
            <w:vAlign w:val="center"/>
          </w:tcPr>
          <w:p w14:paraId="2F8B5C5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52BBD8A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E8D1C3E">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1CD04FB">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信息传输业</w:t>
            </w:r>
          </w:p>
        </w:tc>
        <w:tc>
          <w:tcPr>
            <w:tcW w:w="1489" w:type="dxa"/>
            <w:tcBorders>
              <w:top w:val="nil"/>
              <w:left w:val="nil"/>
              <w:bottom w:val="single" w:color="auto" w:sz="4" w:space="0"/>
              <w:right w:val="single" w:color="auto" w:sz="4" w:space="0"/>
            </w:tcBorders>
            <w:noWrap w:val="0"/>
            <w:vAlign w:val="center"/>
          </w:tcPr>
          <w:p w14:paraId="7CE1262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40E01C4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3A4724B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1549" w:type="dxa"/>
            <w:tcBorders>
              <w:top w:val="nil"/>
              <w:left w:val="nil"/>
              <w:bottom w:val="single" w:color="auto" w:sz="4" w:space="0"/>
              <w:right w:val="single" w:color="auto" w:sz="4" w:space="0"/>
            </w:tcBorders>
            <w:noWrap w:val="0"/>
            <w:vAlign w:val="center"/>
          </w:tcPr>
          <w:p w14:paraId="1A3E386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290EBB9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50BDA55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80FCFA4">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0971320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6453681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341CBA7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1000≤Y＜100000</w:t>
            </w:r>
          </w:p>
        </w:tc>
        <w:tc>
          <w:tcPr>
            <w:tcW w:w="1549" w:type="dxa"/>
            <w:tcBorders>
              <w:top w:val="nil"/>
              <w:left w:val="nil"/>
              <w:bottom w:val="single" w:color="auto" w:sz="4" w:space="0"/>
              <w:right w:val="single" w:color="auto" w:sz="4" w:space="0"/>
            </w:tcBorders>
            <w:noWrap w:val="0"/>
            <w:vAlign w:val="center"/>
          </w:tcPr>
          <w:p w14:paraId="0266ED3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100≤Y＜1000</w:t>
            </w:r>
          </w:p>
        </w:tc>
        <w:tc>
          <w:tcPr>
            <w:tcW w:w="996" w:type="dxa"/>
            <w:tcBorders>
              <w:top w:val="nil"/>
              <w:left w:val="nil"/>
              <w:bottom w:val="single" w:color="auto" w:sz="4" w:space="0"/>
              <w:right w:val="single" w:color="auto" w:sz="4" w:space="0"/>
            </w:tcBorders>
            <w:noWrap w:val="0"/>
            <w:vAlign w:val="center"/>
          </w:tcPr>
          <w:p w14:paraId="55A0FEE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1D4D8611">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2A9EF981">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软件和信息技术服务业</w:t>
            </w:r>
          </w:p>
        </w:tc>
        <w:tc>
          <w:tcPr>
            <w:tcW w:w="1489" w:type="dxa"/>
            <w:tcBorders>
              <w:top w:val="nil"/>
              <w:left w:val="nil"/>
              <w:bottom w:val="single" w:color="auto" w:sz="4" w:space="0"/>
              <w:right w:val="single" w:color="auto" w:sz="4" w:space="0"/>
            </w:tcBorders>
            <w:noWrap w:val="0"/>
            <w:vAlign w:val="center"/>
          </w:tcPr>
          <w:p w14:paraId="350EF75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14A5490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10808500">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4BF8882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1EEF4C5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295A511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E5C46EA">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7ECE5E9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4B63A4B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401E530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1549" w:type="dxa"/>
            <w:tcBorders>
              <w:top w:val="nil"/>
              <w:left w:val="nil"/>
              <w:bottom w:val="single" w:color="auto" w:sz="4" w:space="0"/>
              <w:right w:val="single" w:color="auto" w:sz="4" w:space="0"/>
            </w:tcBorders>
            <w:noWrap w:val="0"/>
            <w:vAlign w:val="center"/>
          </w:tcPr>
          <w:p w14:paraId="091B273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50≤Y＜1000</w:t>
            </w:r>
          </w:p>
        </w:tc>
        <w:tc>
          <w:tcPr>
            <w:tcW w:w="996" w:type="dxa"/>
            <w:tcBorders>
              <w:top w:val="nil"/>
              <w:left w:val="nil"/>
              <w:bottom w:val="single" w:color="auto" w:sz="4" w:space="0"/>
              <w:right w:val="single" w:color="auto" w:sz="4" w:space="0"/>
            </w:tcBorders>
            <w:noWrap w:val="0"/>
            <w:vAlign w:val="center"/>
          </w:tcPr>
          <w:p w14:paraId="2E2120E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628913EB">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D4FF3C4">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房地产开发经营</w:t>
            </w:r>
          </w:p>
        </w:tc>
        <w:tc>
          <w:tcPr>
            <w:tcW w:w="1489" w:type="dxa"/>
            <w:tcBorders>
              <w:top w:val="nil"/>
              <w:left w:val="nil"/>
              <w:bottom w:val="single" w:color="auto" w:sz="4" w:space="0"/>
              <w:right w:val="single" w:color="auto" w:sz="4" w:space="0"/>
            </w:tcBorders>
            <w:noWrap w:val="0"/>
            <w:vAlign w:val="center"/>
          </w:tcPr>
          <w:p w14:paraId="2FB2745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C15D167">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FCBDC2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1000≤Y＜200000</w:t>
            </w:r>
          </w:p>
        </w:tc>
        <w:tc>
          <w:tcPr>
            <w:tcW w:w="1549" w:type="dxa"/>
            <w:tcBorders>
              <w:top w:val="nil"/>
              <w:left w:val="nil"/>
              <w:bottom w:val="single" w:color="auto" w:sz="4" w:space="0"/>
              <w:right w:val="single" w:color="auto" w:sz="4" w:space="0"/>
            </w:tcBorders>
            <w:noWrap w:val="0"/>
            <w:vAlign w:val="center"/>
          </w:tcPr>
          <w:p w14:paraId="08993D0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100≤X＜1000</w:t>
            </w:r>
          </w:p>
        </w:tc>
        <w:tc>
          <w:tcPr>
            <w:tcW w:w="996" w:type="dxa"/>
            <w:tcBorders>
              <w:top w:val="nil"/>
              <w:left w:val="nil"/>
              <w:bottom w:val="single" w:color="auto" w:sz="4" w:space="0"/>
              <w:right w:val="single" w:color="auto" w:sz="4" w:space="0"/>
            </w:tcBorders>
            <w:noWrap w:val="0"/>
            <w:vAlign w:val="center"/>
          </w:tcPr>
          <w:p w14:paraId="6A51E42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0C41343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5844205">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72AECDE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4A68B7F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1E9CA4D1">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1549" w:type="dxa"/>
            <w:tcBorders>
              <w:top w:val="nil"/>
              <w:left w:val="nil"/>
              <w:bottom w:val="single" w:color="auto" w:sz="4" w:space="0"/>
              <w:right w:val="single" w:color="auto" w:sz="4" w:space="0"/>
            </w:tcBorders>
            <w:noWrap w:val="0"/>
            <w:vAlign w:val="center"/>
          </w:tcPr>
          <w:p w14:paraId="0532F46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2000≤Y＜5000</w:t>
            </w:r>
          </w:p>
        </w:tc>
        <w:tc>
          <w:tcPr>
            <w:tcW w:w="996" w:type="dxa"/>
            <w:tcBorders>
              <w:top w:val="nil"/>
              <w:left w:val="nil"/>
              <w:bottom w:val="single" w:color="auto" w:sz="4" w:space="0"/>
              <w:right w:val="single" w:color="auto" w:sz="4" w:space="0"/>
            </w:tcBorders>
            <w:noWrap w:val="0"/>
            <w:vAlign w:val="center"/>
          </w:tcPr>
          <w:p w14:paraId="47F0ABA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w:t>
            </w:r>
          </w:p>
        </w:tc>
      </w:tr>
      <w:tr w14:paraId="6A39E920">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266E200">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物业管理</w:t>
            </w:r>
          </w:p>
        </w:tc>
        <w:tc>
          <w:tcPr>
            <w:tcW w:w="1489" w:type="dxa"/>
            <w:tcBorders>
              <w:top w:val="nil"/>
              <w:left w:val="nil"/>
              <w:bottom w:val="single" w:color="auto" w:sz="4" w:space="0"/>
              <w:right w:val="single" w:color="auto" w:sz="4" w:space="0"/>
            </w:tcBorders>
            <w:noWrap w:val="0"/>
            <w:vAlign w:val="center"/>
          </w:tcPr>
          <w:p w14:paraId="2C02717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6E30A345">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2C5B999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780C5EE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996" w:type="dxa"/>
            <w:tcBorders>
              <w:top w:val="nil"/>
              <w:left w:val="nil"/>
              <w:bottom w:val="single" w:color="auto" w:sz="4" w:space="0"/>
              <w:right w:val="single" w:color="auto" w:sz="4" w:space="0"/>
            </w:tcBorders>
            <w:noWrap w:val="0"/>
            <w:vAlign w:val="center"/>
          </w:tcPr>
          <w:p w14:paraId="1A379EF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4668E4D2">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646C5CA">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6233E4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235DB20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51DAAA6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1549" w:type="dxa"/>
            <w:tcBorders>
              <w:top w:val="nil"/>
              <w:left w:val="nil"/>
              <w:bottom w:val="single" w:color="auto" w:sz="4" w:space="0"/>
              <w:right w:val="single" w:color="auto" w:sz="4" w:space="0"/>
            </w:tcBorders>
            <w:noWrap w:val="0"/>
            <w:vAlign w:val="center"/>
          </w:tcPr>
          <w:p w14:paraId="4075AE0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500≤Y＜1000</w:t>
            </w:r>
          </w:p>
        </w:tc>
        <w:tc>
          <w:tcPr>
            <w:tcW w:w="996" w:type="dxa"/>
            <w:tcBorders>
              <w:top w:val="nil"/>
              <w:left w:val="nil"/>
              <w:bottom w:val="single" w:color="auto" w:sz="4" w:space="0"/>
              <w:right w:val="single" w:color="auto" w:sz="4" w:space="0"/>
            </w:tcBorders>
            <w:noWrap w:val="0"/>
            <w:vAlign w:val="center"/>
          </w:tcPr>
          <w:p w14:paraId="6ED5E6D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0F967E89">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AB1FFBC">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租赁和商务服务业</w:t>
            </w:r>
          </w:p>
        </w:tc>
        <w:tc>
          <w:tcPr>
            <w:tcW w:w="1489" w:type="dxa"/>
            <w:tcBorders>
              <w:top w:val="nil"/>
              <w:left w:val="nil"/>
              <w:bottom w:val="single" w:color="auto" w:sz="4" w:space="0"/>
              <w:right w:val="single" w:color="auto" w:sz="4" w:space="0"/>
            </w:tcBorders>
            <w:noWrap w:val="0"/>
            <w:vAlign w:val="center"/>
          </w:tcPr>
          <w:p w14:paraId="6408B143">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182722FC">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6732A52B">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0931441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4B03B364">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7B0A3DC">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49EC8A75">
            <w:pPr>
              <w:widowControl/>
              <w:jc w:val="left"/>
              <w:rPr>
                <w:rFonts w:ascii="宋体" w:hAnsi="宋体" w:eastAsia="宋体" w:cs="宋体"/>
                <w:b/>
                <w:bCs/>
                <w:color w:val="000000" w:themeColor="text1"/>
                <w:kern w:val="0"/>
                <w:sz w:val="18"/>
                <w:szCs w:val="18"/>
                <w:highlight w:val="none"/>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78300A6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36C249CD">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1F337DBA">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8000≤Z＜120000</w:t>
            </w:r>
          </w:p>
        </w:tc>
        <w:tc>
          <w:tcPr>
            <w:tcW w:w="1549" w:type="dxa"/>
            <w:tcBorders>
              <w:top w:val="nil"/>
              <w:left w:val="nil"/>
              <w:bottom w:val="single" w:color="auto" w:sz="4" w:space="0"/>
              <w:right w:val="single" w:color="auto" w:sz="4" w:space="0"/>
            </w:tcBorders>
            <w:noWrap w:val="0"/>
            <w:vAlign w:val="center"/>
          </w:tcPr>
          <w:p w14:paraId="78F51CC6">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100≤Z＜8000</w:t>
            </w:r>
          </w:p>
        </w:tc>
        <w:tc>
          <w:tcPr>
            <w:tcW w:w="996" w:type="dxa"/>
            <w:tcBorders>
              <w:top w:val="nil"/>
              <w:left w:val="nil"/>
              <w:bottom w:val="single" w:color="auto" w:sz="4" w:space="0"/>
              <w:right w:val="single" w:color="auto" w:sz="4" w:space="0"/>
            </w:tcBorders>
            <w:noWrap w:val="0"/>
            <w:vAlign w:val="center"/>
          </w:tcPr>
          <w:p w14:paraId="69EC185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A6AA202">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5F73E16A">
            <w:pPr>
              <w:widowControl/>
              <w:jc w:val="center"/>
              <w:rPr>
                <w:rFonts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其他未列明行业</w:t>
            </w:r>
          </w:p>
        </w:tc>
        <w:tc>
          <w:tcPr>
            <w:tcW w:w="1489" w:type="dxa"/>
            <w:tcBorders>
              <w:top w:val="nil"/>
              <w:left w:val="nil"/>
              <w:bottom w:val="single" w:color="auto" w:sz="4" w:space="0"/>
              <w:right w:val="single" w:color="auto" w:sz="4" w:space="0"/>
            </w:tcBorders>
            <w:noWrap w:val="0"/>
            <w:vAlign w:val="center"/>
          </w:tcPr>
          <w:p w14:paraId="2426177F">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03B89C4E">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03AA5BD2">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29760B78">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1FEE6999">
            <w:pPr>
              <w:widowControl/>
              <w:jc w:val="left"/>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5B9CDDD2">
      <w:pPr>
        <w:pStyle w:val="49"/>
        <w:keepNext w:val="0"/>
        <w:keepLines w:val="0"/>
        <w:pageBreakBefore w:val="0"/>
        <w:widowControl w:val="0"/>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000000" w:themeColor="text1"/>
          <w:sz w:val="21"/>
          <w:szCs w:val="24"/>
          <w:highlight w:val="none"/>
          <w:lang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6E0034B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000000" w:themeColor="text1"/>
          <w:sz w:val="24"/>
          <w:szCs w:val="32"/>
          <w:highlight w:val="none"/>
          <w14:textFill>
            <w14:solidFill>
              <w14:schemeClr w14:val="tx1"/>
            </w14:solidFill>
          </w14:textFill>
        </w:rPr>
      </w:pPr>
    </w:p>
    <w:p w14:paraId="0C358340">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000000" w:themeColor="text1"/>
          <w:sz w:val="24"/>
          <w:szCs w:val="32"/>
          <w:highlight w:val="none"/>
          <w14:textFill>
            <w14:solidFill>
              <w14:schemeClr w14:val="tx1"/>
            </w14:solidFill>
          </w14:textFill>
        </w:rPr>
      </w:pPr>
    </w:p>
    <w:p w14:paraId="2A6AB131">
      <w:pPr>
        <w:pStyle w:val="4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000000" w:themeColor="text1"/>
          <w:sz w:val="21"/>
          <w:szCs w:val="24"/>
          <w:highlight w:val="none"/>
          <w14:textFill>
            <w14:solidFill>
              <w14:schemeClr w14:val="tx1"/>
            </w14:solidFill>
          </w14:textFill>
        </w:rPr>
      </w:pPr>
    </w:p>
    <w:p w14:paraId="63FA6FEC">
      <w:pPr>
        <w:pStyle w:val="4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000000" w:themeColor="text1"/>
          <w:sz w:val="21"/>
          <w:szCs w:val="24"/>
          <w:highlight w:val="none"/>
          <w14:textFill>
            <w14:solidFill>
              <w14:schemeClr w14:val="tx1"/>
            </w14:solidFill>
          </w14:textFill>
        </w:rPr>
      </w:pPr>
    </w:p>
    <w:p w14:paraId="18251C49">
      <w:pPr>
        <w:pStyle w:val="2"/>
        <w:numPr>
          <w:ilvl w:val="0"/>
          <w:numId w:val="3"/>
        </w:numPr>
        <w:spacing w:line="560" w:lineRule="exact"/>
        <w:jc w:val="center"/>
        <w:rPr>
          <w:rFonts w:hint="eastAsia" w:ascii="宋体" w:hAnsi="宋体" w:cs="宋体"/>
          <w:color w:val="000000" w:themeColor="text1"/>
          <w:spacing w:val="-14"/>
          <w:kern w:val="0"/>
          <w:position w:val="-6"/>
          <w:sz w:val="36"/>
          <w:szCs w:val="36"/>
          <w:highlight w:val="none"/>
          <w14:textFill>
            <w14:solidFill>
              <w14:schemeClr w14:val="tx1"/>
            </w14:solidFill>
          </w14:textFill>
        </w:rPr>
      </w:pPr>
      <w:r>
        <w:rPr>
          <w:rFonts w:hint="eastAsia" w:ascii="宋体" w:hAnsi="宋体" w:cs="宋体"/>
          <w:color w:val="000000" w:themeColor="text1"/>
          <w:spacing w:val="-14"/>
          <w:kern w:val="0"/>
          <w:position w:val="-6"/>
          <w:sz w:val="36"/>
          <w:szCs w:val="36"/>
          <w:highlight w:val="none"/>
          <w14:textFill>
            <w14:solidFill>
              <w14:schemeClr w14:val="tx1"/>
            </w14:solidFill>
          </w14:textFill>
        </w:rPr>
        <w:t xml:space="preserve">   </w:t>
      </w:r>
      <w:bookmarkStart w:id="77" w:name="_Toc3612"/>
      <w:r>
        <w:rPr>
          <w:rFonts w:hint="eastAsia" w:ascii="宋体" w:hAnsi="宋体" w:cs="宋体"/>
          <w:color w:val="000000" w:themeColor="text1"/>
          <w:spacing w:val="-14"/>
          <w:kern w:val="0"/>
          <w:position w:val="-6"/>
          <w:sz w:val="36"/>
          <w:szCs w:val="36"/>
          <w:highlight w:val="none"/>
          <w14:textFill>
            <w14:solidFill>
              <w14:schemeClr w14:val="tx1"/>
            </w14:solidFill>
          </w14:textFill>
        </w:rPr>
        <w:t>合同主要条款 (参考格式)</w:t>
      </w:r>
      <w:bookmarkEnd w:id="77"/>
    </w:p>
    <w:p w14:paraId="7698BCFE">
      <w:pPr>
        <w:pStyle w:val="2"/>
        <w:numPr>
          <w:ilvl w:val="0"/>
          <w:numId w:val="0"/>
        </w:numPr>
        <w:spacing w:line="560" w:lineRule="exact"/>
        <w:jc w:val="center"/>
        <w:rPr>
          <w:rFonts w:hint="eastAsia" w:ascii="宋体" w:hAnsi="宋体" w:cs="宋体"/>
          <w:color w:val="000000" w:themeColor="text1"/>
          <w:spacing w:val="-14"/>
          <w:kern w:val="0"/>
          <w:position w:val="-6"/>
          <w:sz w:val="32"/>
          <w:szCs w:val="32"/>
          <w:highlight w:val="none"/>
          <w14:textFill>
            <w14:solidFill>
              <w14:schemeClr w14:val="tx1"/>
            </w14:solidFill>
          </w14:textFill>
        </w:rPr>
      </w:pPr>
      <w:bookmarkStart w:id="78" w:name="_Toc31567"/>
      <w:r>
        <w:rPr>
          <w:rFonts w:hint="eastAsia" w:ascii="宋体" w:hAnsi="宋体" w:cs="宋体"/>
          <w:color w:val="000000" w:themeColor="text1"/>
          <w:spacing w:val="-14"/>
          <w:kern w:val="0"/>
          <w:position w:val="-6"/>
          <w:sz w:val="32"/>
          <w:szCs w:val="32"/>
          <w:highlight w:val="none"/>
          <w14:textFill>
            <w14:solidFill>
              <w14:schemeClr w14:val="tx1"/>
            </w14:solidFill>
          </w14:textFill>
        </w:rPr>
        <w:t>(仅供参考，由双方按实际情况调整)</w:t>
      </w:r>
      <w:bookmarkEnd w:id="78"/>
    </w:p>
    <w:p w14:paraId="370BA882">
      <w:pPr>
        <w:shd w:val="clear"/>
        <w:jc w:val="center"/>
        <w:rPr>
          <w:rFonts w:hint="eastAsia" w:ascii="宋体" w:hAnsi="宋体" w:eastAsia="宋体" w:cs="宋体"/>
          <w:b/>
          <w:bCs/>
          <w:color w:val="000000" w:themeColor="text1"/>
          <w:spacing w:val="20"/>
          <w:sz w:val="72"/>
          <w:szCs w:val="144"/>
          <w:highlight w:val="none"/>
          <w14:textFill>
            <w14:solidFill>
              <w14:schemeClr w14:val="tx1"/>
            </w14:solidFill>
          </w14:textFill>
        </w:rPr>
      </w:pPr>
    </w:p>
    <w:p w14:paraId="084BA224">
      <w:pPr>
        <w:shd w:val="clear"/>
        <w:jc w:val="center"/>
        <w:rPr>
          <w:rFonts w:ascii="宋体" w:hAnsi="宋体" w:eastAsia="宋体" w:cs="宋体"/>
          <w:b/>
          <w:bCs/>
          <w:color w:val="000000" w:themeColor="text1"/>
          <w:spacing w:val="20"/>
          <w:sz w:val="96"/>
          <w:szCs w:val="160"/>
          <w:highlight w:val="none"/>
          <w14:textFill>
            <w14:solidFill>
              <w14:schemeClr w14:val="tx1"/>
            </w14:solidFill>
          </w14:textFill>
        </w:rPr>
      </w:pPr>
      <w:r>
        <w:rPr>
          <w:rFonts w:hint="eastAsia" w:ascii="宋体" w:hAnsi="宋体" w:eastAsia="宋体" w:cs="宋体"/>
          <w:b/>
          <w:bCs/>
          <w:color w:val="000000" w:themeColor="text1"/>
          <w:spacing w:val="20"/>
          <w:sz w:val="72"/>
          <w:szCs w:val="144"/>
          <w:highlight w:val="none"/>
          <w14:textFill>
            <w14:solidFill>
              <w14:schemeClr w14:val="tx1"/>
            </w14:solidFill>
          </w14:textFill>
        </w:rPr>
        <w:t>施 工 承 包 合 同 书</w:t>
      </w:r>
    </w:p>
    <w:p w14:paraId="26137266">
      <w:pPr>
        <w:shd w:val="clear"/>
        <w:jc w:val="center"/>
        <w:rPr>
          <w:rFonts w:ascii="宋体" w:hAnsi="宋体" w:eastAsia="宋体" w:cs="宋体"/>
          <w:color w:val="000000" w:themeColor="text1"/>
          <w:spacing w:val="20"/>
          <w:sz w:val="32"/>
          <w:szCs w:val="40"/>
          <w:highlight w:val="none"/>
          <w14:textFill>
            <w14:solidFill>
              <w14:schemeClr w14:val="tx1"/>
            </w14:solidFill>
          </w14:textFill>
        </w:rPr>
      </w:pPr>
    </w:p>
    <w:p w14:paraId="6743BF4E">
      <w:pPr>
        <w:shd w:val="clear"/>
        <w:jc w:val="center"/>
        <w:rPr>
          <w:rFonts w:ascii="宋体" w:hAnsi="宋体" w:eastAsia="宋体" w:cs="宋体"/>
          <w:color w:val="000000" w:themeColor="text1"/>
          <w:spacing w:val="20"/>
          <w:sz w:val="32"/>
          <w:szCs w:val="40"/>
          <w:highlight w:val="none"/>
          <w14:textFill>
            <w14:solidFill>
              <w14:schemeClr w14:val="tx1"/>
            </w14:solidFill>
          </w14:textFill>
        </w:rPr>
      </w:pPr>
    </w:p>
    <w:p w14:paraId="6307E184">
      <w:pPr>
        <w:shd w:val="clear"/>
        <w:jc w:val="center"/>
        <w:rPr>
          <w:rFonts w:ascii="宋体" w:hAnsi="宋体" w:eastAsia="宋体" w:cs="宋体"/>
          <w:color w:val="000000" w:themeColor="text1"/>
          <w:spacing w:val="20"/>
          <w:sz w:val="32"/>
          <w:szCs w:val="40"/>
          <w:highlight w:val="none"/>
          <w14:textFill>
            <w14:solidFill>
              <w14:schemeClr w14:val="tx1"/>
            </w14:solidFill>
          </w14:textFill>
        </w:rPr>
      </w:pPr>
    </w:p>
    <w:p w14:paraId="7C55D928">
      <w:pPr>
        <w:shd w:val="clear"/>
        <w:jc w:val="center"/>
        <w:rPr>
          <w:rFonts w:ascii="宋体" w:hAnsi="宋体" w:eastAsia="宋体" w:cs="宋体"/>
          <w:color w:val="000000" w:themeColor="text1"/>
          <w:spacing w:val="20"/>
          <w:sz w:val="32"/>
          <w:szCs w:val="40"/>
          <w:highlight w:val="none"/>
          <w14:textFill>
            <w14:solidFill>
              <w14:schemeClr w14:val="tx1"/>
            </w14:solidFill>
          </w14:textFill>
        </w:rPr>
      </w:pPr>
    </w:p>
    <w:p w14:paraId="1927A250">
      <w:pPr>
        <w:shd w:val="clear"/>
        <w:jc w:val="center"/>
        <w:rPr>
          <w:rFonts w:ascii="宋体" w:hAnsi="宋体" w:eastAsia="宋体" w:cs="宋体"/>
          <w:color w:val="000000" w:themeColor="text1"/>
          <w:spacing w:val="20"/>
          <w:sz w:val="32"/>
          <w:szCs w:val="40"/>
          <w:highlight w:val="none"/>
          <w14:textFill>
            <w14:solidFill>
              <w14:schemeClr w14:val="tx1"/>
            </w14:solidFill>
          </w14:textFill>
        </w:rPr>
      </w:pPr>
    </w:p>
    <w:p w14:paraId="1F5DE895">
      <w:pPr>
        <w:shd w:val="clear"/>
        <w:jc w:val="both"/>
        <w:rPr>
          <w:rFonts w:hint="default" w:ascii="宋体" w:hAnsi="宋体" w:eastAsia="宋体" w:cs="宋体"/>
          <w:b/>
          <w:bCs/>
          <w:color w:val="000000" w:themeColor="text1"/>
          <w:spacing w:val="20"/>
          <w:sz w:val="48"/>
          <w:szCs w:val="56"/>
          <w:highlight w:val="none"/>
          <w:lang w:val="en-US" w:eastAsia="zh-CN"/>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工程名称：</w:t>
      </w:r>
      <w:r>
        <w:rPr>
          <w:rFonts w:hint="eastAsia" w:ascii="宋体" w:hAnsi="宋体" w:eastAsia="宋体" w:cs="宋体"/>
          <w:color w:val="000000" w:themeColor="text1"/>
          <w:spacing w:val="0"/>
          <w:sz w:val="28"/>
          <w:szCs w:val="28"/>
          <w:highlight w:val="none"/>
          <w:u w:val="single"/>
          <w:lang w:val="en-US" w:eastAsia="zh-CN"/>
          <w14:textFill>
            <w14:solidFill>
              <w14:schemeClr w14:val="tx1"/>
            </w14:solidFill>
          </w14:textFill>
        </w:rPr>
        <w:t xml:space="preserve">                                           </w:t>
      </w:r>
    </w:p>
    <w:p w14:paraId="4C72845D">
      <w:pPr>
        <w:shd w:val="clear"/>
        <w:rPr>
          <w:rFonts w:ascii="宋体" w:hAnsi="宋体" w:eastAsia="宋体" w:cs="宋体"/>
          <w:color w:val="000000" w:themeColor="text1"/>
          <w:spacing w:val="20"/>
          <w:sz w:val="28"/>
          <w:szCs w:val="36"/>
          <w:highlight w:val="none"/>
          <w14:textFill>
            <w14:solidFill>
              <w14:schemeClr w14:val="tx1"/>
            </w14:solidFill>
          </w14:textFill>
        </w:rPr>
      </w:pPr>
    </w:p>
    <w:p w14:paraId="28736A29">
      <w:pPr>
        <w:shd w:val="clear"/>
        <w:rPr>
          <w:rFonts w:ascii="宋体" w:hAnsi="宋体" w:eastAsia="宋体" w:cs="宋体"/>
          <w:color w:val="000000" w:themeColor="text1"/>
          <w:spacing w:val="20"/>
          <w:sz w:val="28"/>
          <w:szCs w:val="36"/>
          <w:highlight w:val="none"/>
          <w:u w:val="single"/>
          <w14:textFill>
            <w14:solidFill>
              <w14:schemeClr w14:val="tx1"/>
            </w14:solidFill>
          </w14:textFill>
        </w:rPr>
      </w:pPr>
      <w:r>
        <w:rPr>
          <w:rFonts w:hint="eastAsia" w:ascii="宋体" w:hAnsi="宋体" w:eastAsia="宋体" w:cs="宋体"/>
          <w:color w:val="000000" w:themeColor="text1"/>
          <w:spacing w:val="20"/>
          <w:sz w:val="28"/>
          <w:szCs w:val="36"/>
          <w:highlight w:val="none"/>
          <w14:textFill>
            <w14:solidFill>
              <w14:schemeClr w14:val="tx1"/>
            </w14:solidFill>
          </w14:textFill>
        </w:rPr>
        <w:t>发包人（甲方）：</w:t>
      </w:r>
      <w:r>
        <w:rPr>
          <w:rFonts w:hint="eastAsia" w:ascii="宋体" w:hAnsi="宋体" w:eastAsia="宋体" w:cs="宋体"/>
          <w:color w:val="000000" w:themeColor="text1"/>
          <w:spacing w:val="20"/>
          <w:sz w:val="28"/>
          <w:szCs w:val="36"/>
          <w:highlight w:val="none"/>
          <w:u w:val="single"/>
          <w14:textFill>
            <w14:solidFill>
              <w14:schemeClr w14:val="tx1"/>
            </w14:solidFill>
          </w14:textFill>
        </w:rPr>
        <w:t xml:space="preserve"> </w:t>
      </w:r>
      <w:r>
        <w:rPr>
          <w:rFonts w:hint="eastAsia" w:ascii="宋体" w:hAnsi="宋体" w:cs="宋体"/>
          <w:color w:val="000000" w:themeColor="text1"/>
          <w:spacing w:val="20"/>
          <w:sz w:val="28"/>
          <w:szCs w:val="36"/>
          <w:highlight w:val="none"/>
          <w:u w:val="single"/>
          <w:lang w:eastAsia="zh-CN"/>
          <w14:textFill>
            <w14:solidFill>
              <w14:schemeClr w14:val="tx1"/>
            </w14:solidFill>
          </w14:textFill>
        </w:rPr>
        <w:t>浦北县六硍镇人民政府</w:t>
      </w:r>
      <w:r>
        <w:rPr>
          <w:rFonts w:hint="eastAsia" w:ascii="宋体" w:hAnsi="宋体" w:eastAsia="宋体" w:cs="宋体"/>
          <w:color w:val="000000" w:themeColor="text1"/>
          <w:spacing w:val="20"/>
          <w:sz w:val="28"/>
          <w:szCs w:val="36"/>
          <w:highlight w:val="none"/>
          <w:u w:val="single"/>
          <w14:textFill>
            <w14:solidFill>
              <w14:schemeClr w14:val="tx1"/>
            </w14:solidFill>
          </w14:textFill>
        </w:rPr>
        <w:t xml:space="preserve"> </w:t>
      </w:r>
    </w:p>
    <w:p w14:paraId="125785D6">
      <w:pPr>
        <w:shd w:val="clear"/>
        <w:rPr>
          <w:rFonts w:ascii="宋体" w:hAnsi="宋体" w:eastAsia="宋体" w:cs="宋体"/>
          <w:color w:val="000000" w:themeColor="text1"/>
          <w:spacing w:val="20"/>
          <w:sz w:val="28"/>
          <w:szCs w:val="36"/>
          <w:highlight w:val="none"/>
          <w14:textFill>
            <w14:solidFill>
              <w14:schemeClr w14:val="tx1"/>
            </w14:solidFill>
          </w14:textFill>
        </w:rPr>
      </w:pPr>
    </w:p>
    <w:p w14:paraId="2FB25394">
      <w:pPr>
        <w:shd w:val="clear"/>
        <w:rPr>
          <w:rFonts w:ascii="宋体" w:hAnsi="宋体" w:eastAsia="宋体" w:cs="宋体"/>
          <w:color w:val="000000" w:themeColor="text1"/>
          <w:spacing w:val="20"/>
          <w:sz w:val="28"/>
          <w:szCs w:val="36"/>
          <w:highlight w:val="none"/>
          <w:u w:val="single"/>
          <w14:textFill>
            <w14:solidFill>
              <w14:schemeClr w14:val="tx1"/>
            </w14:solidFill>
          </w14:textFill>
        </w:rPr>
      </w:pPr>
      <w:r>
        <w:rPr>
          <w:rFonts w:hint="eastAsia" w:ascii="宋体" w:hAnsi="宋体" w:eastAsia="宋体" w:cs="宋体"/>
          <w:color w:val="000000" w:themeColor="text1"/>
          <w:spacing w:val="20"/>
          <w:sz w:val="28"/>
          <w:szCs w:val="36"/>
          <w:highlight w:val="none"/>
          <w14:textFill>
            <w14:solidFill>
              <w14:schemeClr w14:val="tx1"/>
            </w14:solidFill>
          </w14:textFill>
        </w:rPr>
        <w:t>承包人（乙方）：</w:t>
      </w:r>
      <w:r>
        <w:rPr>
          <w:rFonts w:hint="eastAsia" w:ascii="宋体" w:hAnsi="宋体" w:eastAsia="宋体" w:cs="宋体"/>
          <w:color w:val="000000" w:themeColor="text1"/>
          <w:spacing w:val="20"/>
          <w:sz w:val="28"/>
          <w:szCs w:val="36"/>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8"/>
          <w:szCs w:val="36"/>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8"/>
          <w:szCs w:val="36"/>
          <w:highlight w:val="none"/>
          <w:u w:val="single"/>
          <w14:textFill>
            <w14:solidFill>
              <w14:schemeClr w14:val="tx1"/>
            </w14:solidFill>
          </w14:textFill>
        </w:rPr>
        <w:t xml:space="preserve">  </w:t>
      </w:r>
    </w:p>
    <w:p w14:paraId="39812380">
      <w:pPr>
        <w:shd w:val="clear"/>
        <w:rPr>
          <w:rFonts w:ascii="宋体" w:hAnsi="宋体" w:eastAsia="宋体" w:cs="宋体"/>
          <w:color w:val="000000" w:themeColor="text1"/>
          <w:spacing w:val="20"/>
          <w:sz w:val="28"/>
          <w:szCs w:val="36"/>
          <w:highlight w:val="none"/>
          <w14:textFill>
            <w14:solidFill>
              <w14:schemeClr w14:val="tx1"/>
            </w14:solidFill>
          </w14:textFill>
        </w:rPr>
      </w:pPr>
    </w:p>
    <w:p w14:paraId="0B2D75DC">
      <w:pPr>
        <w:shd w:val="clear"/>
        <w:rPr>
          <w:rFonts w:hint="eastAsia" w:ascii="宋体" w:hAnsi="宋体" w:eastAsia="宋体" w:cs="宋体"/>
          <w:color w:val="000000" w:themeColor="text1"/>
          <w:spacing w:val="20"/>
          <w:sz w:val="32"/>
          <w:szCs w:val="40"/>
          <w:highlight w:val="none"/>
          <w14:textFill>
            <w14:solidFill>
              <w14:schemeClr w14:val="tx1"/>
            </w14:solidFill>
          </w14:textFill>
        </w:rPr>
      </w:pPr>
      <w:r>
        <w:rPr>
          <w:rFonts w:hint="eastAsia" w:ascii="宋体" w:hAnsi="宋体" w:eastAsia="宋体" w:cs="宋体"/>
          <w:color w:val="000000" w:themeColor="text1"/>
          <w:spacing w:val="20"/>
          <w:sz w:val="32"/>
          <w:szCs w:val="40"/>
          <w:highlight w:val="none"/>
          <w14:textFill>
            <w14:solidFill>
              <w14:schemeClr w14:val="tx1"/>
            </w14:solidFill>
          </w14:textFill>
        </w:rPr>
        <w:t>日      期：</w:t>
      </w:r>
      <w:r>
        <w:rPr>
          <w:rFonts w:hint="eastAsia" w:ascii="宋体" w:hAnsi="宋体" w:eastAsia="宋体" w:cs="宋体"/>
          <w:color w:val="000000" w:themeColor="text1"/>
          <w:spacing w:val="20"/>
          <w:sz w:val="32"/>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32"/>
          <w:szCs w:val="40"/>
          <w:highlight w:val="none"/>
          <w14:textFill>
            <w14:solidFill>
              <w14:schemeClr w14:val="tx1"/>
            </w14:solidFill>
          </w14:textFill>
        </w:rPr>
        <w:t xml:space="preserve"> 年</w:t>
      </w:r>
      <w:r>
        <w:rPr>
          <w:rFonts w:hint="eastAsia" w:ascii="宋体" w:hAnsi="宋体" w:eastAsia="宋体" w:cs="宋体"/>
          <w:color w:val="000000" w:themeColor="text1"/>
          <w:spacing w:val="20"/>
          <w:sz w:val="32"/>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32"/>
          <w:szCs w:val="40"/>
          <w:highlight w:val="none"/>
          <w14:textFill>
            <w14:solidFill>
              <w14:schemeClr w14:val="tx1"/>
            </w14:solidFill>
          </w14:textFill>
        </w:rPr>
        <w:t xml:space="preserve">月 </w:t>
      </w:r>
      <w:r>
        <w:rPr>
          <w:rFonts w:hint="eastAsia" w:ascii="宋体" w:hAnsi="宋体" w:eastAsia="宋体" w:cs="宋体"/>
          <w:color w:val="000000" w:themeColor="text1"/>
          <w:spacing w:val="20"/>
          <w:sz w:val="32"/>
          <w:szCs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 w:val="32"/>
          <w:szCs w:val="40"/>
          <w:highlight w:val="none"/>
          <w14:textFill>
            <w14:solidFill>
              <w14:schemeClr w14:val="tx1"/>
            </w14:solidFill>
          </w14:textFill>
        </w:rPr>
        <w:t>日</w:t>
      </w:r>
    </w:p>
    <w:p w14:paraId="038C0C6C">
      <w:pPr>
        <w:shd w:val="clear"/>
        <w:rPr>
          <w:rFonts w:hint="eastAsia" w:ascii="宋体" w:hAnsi="宋体" w:eastAsia="宋体" w:cs="宋体"/>
          <w:color w:val="000000" w:themeColor="text1"/>
          <w:spacing w:val="20"/>
          <w:sz w:val="32"/>
          <w:szCs w:val="40"/>
          <w:highlight w:val="none"/>
          <w14:textFill>
            <w14:solidFill>
              <w14:schemeClr w14:val="tx1"/>
            </w14:solidFill>
          </w14:textFill>
        </w:rPr>
      </w:pPr>
      <w:r>
        <w:rPr>
          <w:rFonts w:hint="eastAsia" w:ascii="宋体" w:hAnsi="宋体" w:eastAsia="宋体" w:cs="宋体"/>
          <w:color w:val="000000" w:themeColor="text1"/>
          <w:spacing w:val="20"/>
          <w:sz w:val="32"/>
          <w:szCs w:val="40"/>
          <w:highlight w:val="none"/>
          <w14:textFill>
            <w14:solidFill>
              <w14:schemeClr w14:val="tx1"/>
            </w14:solidFill>
          </w14:textFill>
        </w:rPr>
        <w:br w:type="page"/>
      </w:r>
    </w:p>
    <w:p w14:paraId="67D599A3">
      <w:pPr>
        <w:pStyle w:val="2"/>
        <w:numPr>
          <w:ilvl w:val="0"/>
          <w:numId w:val="4"/>
        </w:numPr>
        <w:shd w:val="clear"/>
        <w:jc w:val="center"/>
        <w:rPr>
          <w:rFonts w:ascii="宋体" w:hAnsi="宋体" w:eastAsia="宋体" w:cs="宋体"/>
          <w:color w:val="000000" w:themeColor="text1"/>
          <w:spacing w:val="20"/>
          <w:sz w:val="24"/>
          <w:szCs w:val="32"/>
          <w:highlight w:val="none"/>
          <w14:textFill>
            <w14:solidFill>
              <w14:schemeClr w14:val="tx1"/>
            </w14:solidFill>
          </w14:textFill>
        </w:rPr>
      </w:pPr>
      <w:bookmarkStart w:id="79" w:name="_Toc296503025"/>
      <w:bookmarkStart w:id="80" w:name="_Toc373227552"/>
      <w:bookmarkStart w:id="81" w:name="_Toc389065255"/>
      <w:bookmarkStart w:id="82" w:name="_Toc12680"/>
      <w:bookmarkStart w:id="83" w:name="_Toc351203480"/>
      <w:bookmarkStart w:id="84" w:name="_Toc373478199"/>
      <w:bookmarkStart w:id="85" w:name="_Toc26265"/>
      <w:bookmarkStart w:id="86" w:name="_Toc296890982"/>
      <w:r>
        <w:rPr>
          <w:rFonts w:hint="eastAsia" w:ascii="宋体" w:hAnsi="宋体" w:eastAsia="宋体" w:cs="宋体"/>
          <w:color w:val="000000" w:themeColor="text1"/>
          <w:spacing w:val="20"/>
          <w:sz w:val="36"/>
          <w:szCs w:val="48"/>
          <w:highlight w:val="none"/>
          <w14:textFill>
            <w14:solidFill>
              <w14:schemeClr w14:val="tx1"/>
            </w14:solidFill>
          </w14:textFill>
        </w:rPr>
        <w:t>合同协议书</w:t>
      </w:r>
      <w:bookmarkEnd w:id="79"/>
      <w:bookmarkEnd w:id="80"/>
      <w:bookmarkEnd w:id="81"/>
      <w:bookmarkEnd w:id="82"/>
      <w:bookmarkEnd w:id="83"/>
      <w:bookmarkEnd w:id="84"/>
      <w:bookmarkEnd w:id="85"/>
      <w:bookmarkEnd w:id="86"/>
    </w:p>
    <w:p w14:paraId="3E68564A">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发包人（全称）：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eastAsia="zh-CN"/>
          <w14:textFill>
            <w14:solidFill>
              <w14:schemeClr w14:val="tx1"/>
            </w14:solidFill>
          </w14:textFill>
        </w:rPr>
        <w:t>浦北县六硍镇人民政府</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66111169">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承包人（全称）：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58A145AD">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u w:val="single"/>
          <w:lang w:eastAsia="zh-CN"/>
          <w14:textFill>
            <w14:solidFill>
              <w14:schemeClr w14:val="tx1"/>
            </w14:solidFill>
          </w14:textFill>
        </w:rPr>
        <w:t>浦北县六硍镇人民政府</w:t>
      </w:r>
      <w:r>
        <w:rPr>
          <w:rFonts w:hint="eastAsia" w:ascii="宋体" w:hAnsi="宋体" w:eastAsia="宋体" w:cs="宋体"/>
          <w:color w:val="000000" w:themeColor="text1"/>
          <w:spacing w:val="20"/>
          <w:sz w:val="24"/>
          <w:highlight w:val="none"/>
          <w14:textFill>
            <w14:solidFill>
              <w14:schemeClr w14:val="tx1"/>
            </w14:solidFill>
          </w14:textFill>
        </w:rPr>
        <w:t>（以下称发包人）为实施</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eastAsia="zh-CN"/>
          <w14:textFill>
            <w14:solidFill>
              <w14:schemeClr w14:val="tx1"/>
            </w14:solidFill>
          </w14:textFill>
        </w:rPr>
        <w:t>（工程名称）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，根据《中华人民共和国</w:t>
      </w:r>
      <w:r>
        <w:rPr>
          <w:rFonts w:hint="eastAsia" w:ascii="宋体" w:hAnsi="宋体" w:eastAsia="宋体" w:cs="宋体"/>
          <w:color w:val="000000" w:themeColor="text1"/>
          <w:spacing w:val="20"/>
          <w:sz w:val="24"/>
          <w:highlight w:val="none"/>
          <w:lang w:eastAsia="zh-CN"/>
          <w14:textFill>
            <w14:solidFill>
              <w14:schemeClr w14:val="tx1"/>
            </w14:solidFill>
          </w14:textFill>
        </w:rPr>
        <w:t>民法典</w:t>
      </w:r>
      <w:r>
        <w:rPr>
          <w:rFonts w:hint="eastAsia" w:ascii="宋体" w:hAnsi="宋体" w:eastAsia="宋体" w:cs="宋体"/>
          <w:color w:val="000000" w:themeColor="text1"/>
          <w:spacing w:val="20"/>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eastAsia="zh-CN"/>
          <w14:textFill>
            <w14:solidFill>
              <w14:schemeClr w14:val="tx1"/>
            </w14:solidFill>
          </w14:textFill>
        </w:rPr>
        <w:t>（工程名称）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工程施工及有关事项协商一致，共同达成如下协议：</w:t>
      </w:r>
      <w:bookmarkStart w:id="87" w:name="_Toc351203481"/>
    </w:p>
    <w:p w14:paraId="6D0DF642">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pacing w:val="20"/>
          <w:sz w:val="24"/>
          <w:highlight w:val="none"/>
          <w14:textFill>
            <w14:solidFill>
              <w14:schemeClr w14:val="tx1"/>
            </w14:solidFill>
          </w14:textFill>
        </w:rPr>
        <w:t>一、工程概况</w:t>
      </w:r>
      <w:bookmarkEnd w:id="87"/>
    </w:p>
    <w:p w14:paraId="13CBD509">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1. 工程名称</w:t>
      </w:r>
      <w:r>
        <w:rPr>
          <w:rFonts w:hint="eastAsia" w:ascii="宋体" w:hAnsi="宋体" w:eastAsia="宋体" w:cs="宋体"/>
          <w:color w:val="000000" w:themeColor="text1"/>
          <w:spacing w:val="20"/>
          <w:sz w:val="24"/>
          <w:highlight w:val="none"/>
          <w14:textFill>
            <w14:solidFill>
              <w14:schemeClr w14:val="tx1"/>
            </w14:solidFill>
          </w14:textFill>
        </w:rPr>
        <w:t>：</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
          <w:bCs/>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w:t>
      </w:r>
    </w:p>
    <w:p w14:paraId="507AB55B">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2. 工程地点：</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w:t>
      </w:r>
    </w:p>
    <w:p w14:paraId="2B276232">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hint="eastAsia" w:ascii="宋体" w:hAnsi="宋体" w:cs="宋体"/>
          <w:bCs/>
          <w:color w:val="000000" w:themeColor="text1"/>
          <w:spacing w:val="20"/>
          <w:sz w:val="24"/>
          <w:highlight w:val="none"/>
          <w:u w:val="single"/>
          <w:lang w:val="en-US" w:eastAsia="zh-CN"/>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3. 工程立项批准文号：</w:t>
      </w:r>
      <w:r>
        <w:rPr>
          <w:rFonts w:hint="eastAsia" w:ascii="宋体" w:hAnsi="宋体" w:cs="宋体"/>
          <w:bCs/>
          <w:color w:val="000000" w:themeColor="text1"/>
          <w:spacing w:val="20"/>
          <w:sz w:val="24"/>
          <w:highlight w:val="none"/>
          <w:u w:val="single"/>
          <w:lang w:val="en-US" w:eastAsia="zh-CN"/>
          <w14:textFill>
            <w14:solidFill>
              <w14:schemeClr w14:val="tx1"/>
            </w14:solidFill>
          </w14:textFill>
        </w:rPr>
        <w:t xml:space="preserve">               。</w:t>
      </w:r>
    </w:p>
    <w:p w14:paraId="1588682D">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4. 资金来源：</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政府性资金   </w:t>
      </w:r>
      <w:r>
        <w:rPr>
          <w:rFonts w:hint="eastAsia" w:ascii="宋体" w:hAnsi="宋体" w:eastAsia="宋体" w:cs="宋体"/>
          <w:bCs/>
          <w:color w:val="000000" w:themeColor="text1"/>
          <w:spacing w:val="20"/>
          <w:sz w:val="24"/>
          <w:highlight w:val="none"/>
          <w14:textFill>
            <w14:solidFill>
              <w14:schemeClr w14:val="tx1"/>
            </w14:solidFill>
          </w14:textFill>
        </w:rPr>
        <w:t>。</w:t>
      </w:r>
    </w:p>
    <w:p w14:paraId="5D1269DA">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hint="eastAsia" w:ascii="宋体" w:hAnsi="宋体" w:eastAsia="宋体" w:cs="宋体"/>
          <w:color w:val="000000" w:themeColor="text1"/>
          <w:spacing w:val="20"/>
          <w:sz w:val="24"/>
          <w:highlight w:val="none"/>
          <w:u w:val="single"/>
          <w:lang w:eastAsia="zh-CN"/>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5. 工程内容：</w:t>
      </w:r>
      <w:r>
        <w:rPr>
          <w:rFonts w:hint="eastAsia" w:ascii="宋体" w:hAnsi="宋体" w:eastAsia="宋体" w:cs="宋体"/>
          <w:bCs/>
          <w:color w:val="000000" w:themeColor="text1"/>
          <w:spacing w:val="20"/>
          <w:sz w:val="24"/>
          <w:highlight w:val="none"/>
          <w:u w:val="single"/>
          <w:lang w:val="en-US" w:eastAsia="zh-CN"/>
          <w14:textFill>
            <w14:solidFill>
              <w14:schemeClr w14:val="tx1"/>
            </w14:solidFill>
          </w14:textFill>
        </w:rPr>
        <w:t>本工程名称为浦北县六硍镇南进城路口扩宽建设挡土墙工程项目(二期），建于浦北县</w:t>
      </w:r>
      <w:r>
        <w:rPr>
          <w:rFonts w:hint="eastAsia" w:ascii="宋体" w:hAnsi="宋体" w:cs="宋体"/>
          <w:bCs/>
          <w:color w:val="000000" w:themeColor="text1"/>
          <w:spacing w:val="20"/>
          <w:sz w:val="24"/>
          <w:highlight w:val="none"/>
          <w:u w:val="single"/>
          <w:lang w:val="en-US" w:eastAsia="zh-CN"/>
          <w14:textFill>
            <w14:solidFill>
              <w14:schemeClr w14:val="tx1"/>
            </w14:solidFill>
          </w14:textFill>
        </w:rPr>
        <w:t>六硍</w:t>
      </w:r>
      <w:r>
        <w:rPr>
          <w:rFonts w:hint="eastAsia" w:ascii="宋体" w:hAnsi="宋体" w:eastAsia="宋体" w:cs="宋体"/>
          <w:bCs/>
          <w:color w:val="000000" w:themeColor="text1"/>
          <w:spacing w:val="20"/>
          <w:sz w:val="24"/>
          <w:highlight w:val="none"/>
          <w:u w:val="single"/>
          <w:lang w:val="en-US" w:eastAsia="zh-CN"/>
          <w14:textFill>
            <w14:solidFill>
              <w14:schemeClr w14:val="tx1"/>
            </w14:solidFill>
          </w14:textFill>
        </w:rPr>
        <w:t>镇内，</w:t>
      </w:r>
      <w:r>
        <w:rPr>
          <w:rFonts w:hint="eastAsia" w:ascii="宋体" w:hAnsi="宋体" w:cs="宋体"/>
          <w:bCs/>
          <w:color w:val="000000" w:themeColor="text1"/>
          <w:spacing w:val="20"/>
          <w:sz w:val="24"/>
          <w:highlight w:val="none"/>
          <w:u w:val="single"/>
          <w:lang w:val="en-US" w:eastAsia="zh-CN"/>
          <w14:textFill>
            <w14:solidFill>
              <w14:schemeClr w14:val="tx1"/>
            </w14:solidFill>
          </w14:textFill>
        </w:rPr>
        <w:t>项目主要建设内容有挡土墙，详见施工图及工程量清单</w:t>
      </w:r>
    </w:p>
    <w:p w14:paraId="246F5165">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outlineLvl w:val="0"/>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6. 工程承包范围：</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详见工程量清单所包含内容 </w:t>
      </w:r>
      <w:r>
        <w:rPr>
          <w:rFonts w:hint="eastAsia" w:ascii="宋体" w:hAnsi="宋体" w:eastAsia="宋体" w:cs="宋体"/>
          <w:color w:val="000000" w:themeColor="text1"/>
          <w:spacing w:val="20"/>
          <w:sz w:val="24"/>
          <w:highlight w:val="none"/>
          <w14:textFill>
            <w14:solidFill>
              <w14:schemeClr w14:val="tx1"/>
            </w14:solidFill>
          </w14:textFill>
        </w:rPr>
        <w:t>。</w:t>
      </w:r>
    </w:p>
    <w:p w14:paraId="46717AD5">
      <w:pPr>
        <w:keepNext w:val="0"/>
        <w:keepLines w:val="0"/>
        <w:pageBreakBefore w:val="0"/>
        <w:widowControl w:val="0"/>
        <w:shd w:val="clear"/>
        <w:kinsoku/>
        <w:wordWrap/>
        <w:overflowPunct/>
        <w:topLinePunct w:val="0"/>
        <w:bidi w:val="0"/>
        <w:adjustRightInd w:val="0"/>
        <w:snapToGrid w:val="0"/>
        <w:spacing w:line="380" w:lineRule="exact"/>
        <w:ind w:firstLine="542" w:firstLineChars="193"/>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88" w:name="_Toc351203482"/>
      <w:r>
        <w:rPr>
          <w:rFonts w:hint="eastAsia" w:ascii="宋体" w:hAnsi="宋体" w:eastAsia="宋体" w:cs="宋体"/>
          <w:b/>
          <w:bCs/>
          <w:color w:val="000000" w:themeColor="text1"/>
          <w:spacing w:val="20"/>
          <w:sz w:val="24"/>
          <w:highlight w:val="none"/>
          <w14:textFill>
            <w14:solidFill>
              <w14:schemeClr w14:val="tx1"/>
            </w14:solidFill>
          </w14:textFill>
        </w:rPr>
        <w:t>二、合同工期</w:t>
      </w:r>
      <w:bookmarkEnd w:id="88"/>
    </w:p>
    <w:p w14:paraId="018E1FD1">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计划开工日期：</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年</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月</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日。（具体以开工令为准）</w:t>
      </w:r>
    </w:p>
    <w:p w14:paraId="0E9C749B">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计划竣工日期：</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年</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月</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日。</w:t>
      </w:r>
    </w:p>
    <w:p w14:paraId="6C258D5A">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工期总日历天数：</w:t>
      </w:r>
      <w:r>
        <w:rPr>
          <w:rFonts w:hint="eastAsia" w:ascii="宋体" w:hAnsi="宋体" w:eastAsia="宋体" w:cs="宋体"/>
          <w:b/>
          <w:bCs/>
          <w:color w:val="000000" w:themeColor="text1"/>
          <w:spacing w:val="20"/>
          <w:sz w:val="24"/>
          <w:highlight w:val="none"/>
          <w:u w:val="single"/>
          <w14:textFill>
            <w14:solidFill>
              <w14:schemeClr w14:val="tx1"/>
            </w14:solidFill>
          </w14:textFill>
        </w:rPr>
        <w:t xml:space="preserve"> </w:t>
      </w:r>
      <w:r>
        <w:rPr>
          <w:rFonts w:hint="eastAsia" w:ascii="宋体" w:hAnsi="宋体" w:cs="宋体"/>
          <w:b/>
          <w:bCs/>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天。工期总日历天数与根据前述计划开竣工日期计算的工期天数不一致的，以工期总日历天数为准。</w:t>
      </w:r>
    </w:p>
    <w:p w14:paraId="23AA69D9">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89" w:name="_Toc351203483"/>
      <w:r>
        <w:rPr>
          <w:rFonts w:hint="eastAsia" w:ascii="宋体" w:hAnsi="宋体" w:eastAsia="宋体" w:cs="宋体"/>
          <w:b/>
          <w:bCs/>
          <w:color w:val="000000" w:themeColor="text1"/>
          <w:spacing w:val="20"/>
          <w:sz w:val="24"/>
          <w:highlight w:val="none"/>
          <w14:textFill>
            <w14:solidFill>
              <w14:schemeClr w14:val="tx1"/>
            </w14:solidFill>
          </w14:textFill>
        </w:rPr>
        <w:t>三、质量标准</w:t>
      </w:r>
      <w:bookmarkEnd w:id="89"/>
    </w:p>
    <w:p w14:paraId="058B18DE">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工程质量符合</w:t>
      </w:r>
      <w:r>
        <w:rPr>
          <w:rFonts w:hint="eastAsia" w:ascii="宋体" w:hAnsi="宋体" w:eastAsia="宋体" w:cs="宋体"/>
          <w:color w:val="000000" w:themeColor="text1"/>
          <w:spacing w:val="20"/>
          <w:sz w:val="24"/>
          <w:highlight w:val="none"/>
          <w:u w:val="single"/>
          <w14:textFill>
            <w14:solidFill>
              <w14:schemeClr w14:val="tx1"/>
            </w14:solidFill>
          </w14:textFill>
        </w:rPr>
        <w:t>《工程施工质量验收规范》合格</w:t>
      </w:r>
      <w:r>
        <w:rPr>
          <w:rFonts w:hint="eastAsia" w:ascii="宋体" w:hAnsi="宋体" w:eastAsia="宋体" w:cs="宋体"/>
          <w:color w:val="000000" w:themeColor="text1"/>
          <w:spacing w:val="20"/>
          <w:sz w:val="24"/>
          <w:highlight w:val="none"/>
          <w14:textFill>
            <w14:solidFill>
              <w14:schemeClr w14:val="tx1"/>
            </w14:solidFill>
          </w14:textFill>
        </w:rPr>
        <w:t>标准。</w:t>
      </w:r>
    </w:p>
    <w:p w14:paraId="7E1B3365">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0" w:name="_Toc351203484"/>
      <w:r>
        <w:rPr>
          <w:rFonts w:hint="eastAsia" w:ascii="宋体" w:hAnsi="宋体" w:eastAsia="宋体" w:cs="宋体"/>
          <w:b/>
          <w:bCs/>
          <w:color w:val="000000" w:themeColor="text1"/>
          <w:spacing w:val="20"/>
          <w:sz w:val="24"/>
          <w:highlight w:val="none"/>
          <w14:textFill>
            <w14:solidFill>
              <w14:schemeClr w14:val="tx1"/>
            </w14:solidFill>
          </w14:textFill>
        </w:rPr>
        <w:t>四、签约合同价与合同价格形式</w:t>
      </w:r>
      <w:bookmarkEnd w:id="90"/>
    </w:p>
    <w:p w14:paraId="69405930">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 签约合同价为：</w:t>
      </w:r>
    </w:p>
    <w:p w14:paraId="666A7472">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人民币（大写</w:t>
      </w:r>
      <w:r>
        <w:rPr>
          <w:rFonts w:hint="eastAsia" w:ascii="宋体" w:hAnsi="宋体" w:eastAsia="宋体" w:cs="宋体"/>
          <w:color w:val="000000" w:themeColor="text1"/>
          <w:spacing w:val="20"/>
          <w:sz w:val="24"/>
          <w:highlight w:val="none"/>
          <w:lang w:eastAsia="zh-CN"/>
          <w14:textFill>
            <w14:solidFill>
              <w14:schemeClr w14:val="tx1"/>
            </w14:solidFill>
          </w14:textFill>
        </w:rPr>
        <w:t>：</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w:t>
      </w:r>
    </w:p>
    <w:p w14:paraId="1AC98DB1">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最终执行：如果结算审计价高于合同的按合同价执行，如果低于合同价的按审计价执行。</w:t>
      </w:r>
    </w:p>
    <w:p w14:paraId="52409F53">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 合同价格形式：</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固定综合单价   </w:t>
      </w:r>
      <w:r>
        <w:rPr>
          <w:rFonts w:hint="eastAsia" w:ascii="宋体" w:hAnsi="宋体" w:eastAsia="宋体" w:cs="宋体"/>
          <w:color w:val="000000" w:themeColor="text1"/>
          <w:spacing w:val="20"/>
          <w:sz w:val="24"/>
          <w:highlight w:val="none"/>
          <w14:textFill>
            <w14:solidFill>
              <w14:schemeClr w14:val="tx1"/>
            </w14:solidFill>
          </w14:textFill>
        </w:rPr>
        <w:t>。</w:t>
      </w:r>
    </w:p>
    <w:p w14:paraId="768E468F">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1" w:name="_Toc351203485"/>
      <w:r>
        <w:rPr>
          <w:rFonts w:hint="eastAsia" w:ascii="宋体" w:hAnsi="宋体" w:eastAsia="宋体" w:cs="宋体"/>
          <w:b/>
          <w:bCs/>
          <w:color w:val="000000" w:themeColor="text1"/>
          <w:spacing w:val="20"/>
          <w:sz w:val="24"/>
          <w:highlight w:val="none"/>
          <w14:textFill>
            <w14:solidFill>
              <w14:schemeClr w14:val="tx1"/>
            </w14:solidFill>
          </w14:textFill>
        </w:rPr>
        <w:t>五、</w:t>
      </w:r>
      <w:bookmarkEnd w:id="91"/>
      <w:r>
        <w:rPr>
          <w:rFonts w:hint="eastAsia" w:ascii="宋体" w:hAnsi="宋体" w:eastAsia="宋体" w:cs="宋体"/>
          <w:b/>
          <w:bCs/>
          <w:color w:val="000000" w:themeColor="text1"/>
          <w:spacing w:val="20"/>
          <w:sz w:val="24"/>
          <w:highlight w:val="none"/>
          <w14:textFill>
            <w14:solidFill>
              <w14:schemeClr w14:val="tx1"/>
            </w14:solidFill>
          </w14:textFill>
        </w:rPr>
        <w:t>项目经理</w:t>
      </w:r>
    </w:p>
    <w:p w14:paraId="1700593F">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承包人项目经理：</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w:t>
      </w:r>
    </w:p>
    <w:p w14:paraId="6E67B56D">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2" w:name="_Toc351203486"/>
      <w:r>
        <w:rPr>
          <w:rFonts w:hint="eastAsia" w:ascii="宋体" w:hAnsi="宋体" w:eastAsia="宋体" w:cs="宋体"/>
          <w:b/>
          <w:bCs/>
          <w:color w:val="000000" w:themeColor="text1"/>
          <w:spacing w:val="20"/>
          <w:sz w:val="24"/>
          <w:highlight w:val="none"/>
          <w14:textFill>
            <w14:solidFill>
              <w14:schemeClr w14:val="tx1"/>
            </w14:solidFill>
          </w14:textFill>
        </w:rPr>
        <w:t>六、合同文件构成</w:t>
      </w:r>
      <w:bookmarkEnd w:id="92"/>
    </w:p>
    <w:p w14:paraId="59FD707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1.本协议书与下列文件一起构成合同文件：</w:t>
      </w:r>
    </w:p>
    <w:p w14:paraId="0561D92E">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（1）中标</w:t>
      </w:r>
      <w:r>
        <w:rPr>
          <w:rFonts w:hint="eastAsia" w:ascii="宋体" w:hAnsi="宋体" w:cs="宋体"/>
          <w:color w:val="000000" w:themeColor="text1"/>
          <w:spacing w:val="20"/>
          <w:sz w:val="24"/>
          <w:highlight w:val="none"/>
          <w:lang w:eastAsia="zh-CN"/>
          <w14:textFill>
            <w14:solidFill>
              <w14:schemeClr w14:val="tx1"/>
            </w14:solidFill>
          </w14:textFill>
        </w:rPr>
        <w:t>（</w:t>
      </w:r>
      <w:r>
        <w:rPr>
          <w:rFonts w:hint="eastAsia" w:ascii="宋体" w:hAnsi="宋体" w:cs="宋体"/>
          <w:color w:val="000000" w:themeColor="text1"/>
          <w:spacing w:val="20"/>
          <w:sz w:val="24"/>
          <w:highlight w:val="none"/>
          <w:lang w:val="en-US" w:eastAsia="zh-CN"/>
          <w14:textFill>
            <w14:solidFill>
              <w14:schemeClr w14:val="tx1"/>
            </w14:solidFill>
          </w14:textFill>
        </w:rPr>
        <w:t>成交</w:t>
      </w:r>
      <w:r>
        <w:rPr>
          <w:rFonts w:hint="eastAsia" w:ascii="宋体" w:hAnsi="宋体" w:cs="宋体"/>
          <w:color w:val="000000" w:themeColor="text1"/>
          <w:spacing w:val="20"/>
          <w:sz w:val="24"/>
          <w:highlight w:val="none"/>
          <w:lang w:eastAsia="zh-CN"/>
          <w14:textFill>
            <w14:solidFill>
              <w14:schemeClr w14:val="tx1"/>
            </w14:solidFill>
          </w14:textFill>
        </w:rPr>
        <w:t>）</w:t>
      </w:r>
      <w:r>
        <w:rPr>
          <w:rFonts w:hint="eastAsia" w:ascii="宋体" w:hAnsi="宋体" w:eastAsia="宋体" w:cs="宋体"/>
          <w:color w:val="000000" w:themeColor="text1"/>
          <w:spacing w:val="20"/>
          <w:sz w:val="24"/>
          <w:highlight w:val="none"/>
          <w14:textFill>
            <w14:solidFill>
              <w14:schemeClr w14:val="tx1"/>
            </w14:solidFill>
          </w14:textFill>
        </w:rPr>
        <w:t>通知书（如有）；</w:t>
      </w:r>
    </w:p>
    <w:p w14:paraId="209D5550">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 xml:space="preserve">（2）投标函及其附录（如有）； </w:t>
      </w:r>
    </w:p>
    <w:p w14:paraId="4DF763F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（3）专用合同条款及其附件；</w:t>
      </w:r>
    </w:p>
    <w:p w14:paraId="43FE20D7">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（4）通用合同条款；</w:t>
      </w:r>
    </w:p>
    <w:p w14:paraId="44D8F919">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（5）技术标准和要求；</w:t>
      </w:r>
    </w:p>
    <w:p w14:paraId="54088CA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 xml:space="preserve">（6）已标价工程量清单或预算书； </w:t>
      </w:r>
    </w:p>
    <w:p w14:paraId="226D10C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（7）图纸；</w:t>
      </w:r>
    </w:p>
    <w:p w14:paraId="115368FC">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（8）其他合同文件。</w:t>
      </w:r>
    </w:p>
    <w:p w14:paraId="599B23DA">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2.双方有关工程的洽商、变更等书面协议或文件视为本合同的组成部分。</w:t>
      </w:r>
    </w:p>
    <w:p w14:paraId="4404E6A1">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390C0AD4">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2" w:firstLineChars="200"/>
        <w:jc w:val="left"/>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3" w:name="_Toc351203487"/>
      <w:r>
        <w:rPr>
          <w:rFonts w:hint="eastAsia" w:ascii="宋体" w:hAnsi="宋体" w:eastAsia="宋体" w:cs="宋体"/>
          <w:b/>
          <w:bCs/>
          <w:color w:val="000000" w:themeColor="text1"/>
          <w:spacing w:val="20"/>
          <w:sz w:val="24"/>
          <w:highlight w:val="none"/>
          <w14:textFill>
            <w14:solidFill>
              <w14:schemeClr w14:val="tx1"/>
            </w14:solidFill>
          </w14:textFill>
        </w:rPr>
        <w:t>七、承诺</w:t>
      </w:r>
      <w:bookmarkEnd w:id="93"/>
    </w:p>
    <w:p w14:paraId="7425CAA3">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1. 发包人承诺按照法律规定履行项目审批手续、筹集工程建设资金并按照合同约定的期限和方式支付合同价款。</w:t>
      </w:r>
    </w:p>
    <w:p w14:paraId="4BC127CB">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194BE085">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hint="eastAsia" w:ascii="宋体" w:hAnsi="宋体" w:eastAsia="宋体" w:cs="宋体"/>
          <w:bCs/>
          <w:color w:val="000000" w:themeColor="text1"/>
          <w:spacing w:val="20"/>
          <w:sz w:val="24"/>
          <w:highlight w:val="none"/>
          <w:lang w:val="en-US" w:eastAsia="zh-CN"/>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3. 发包人和承包人签订</w:t>
      </w:r>
      <w:r>
        <w:rPr>
          <w:rFonts w:hint="eastAsia" w:ascii="宋体" w:hAnsi="宋体" w:eastAsia="宋体" w:cs="宋体"/>
          <w:bCs/>
          <w:color w:val="000000" w:themeColor="text1"/>
          <w:spacing w:val="20"/>
          <w:sz w:val="24"/>
          <w:highlight w:val="none"/>
          <w:lang w:eastAsia="zh-CN"/>
          <w14:textFill>
            <w14:solidFill>
              <w14:schemeClr w14:val="tx1"/>
            </w14:solidFill>
          </w14:textFill>
        </w:rPr>
        <w:t>的</w:t>
      </w:r>
      <w:r>
        <w:rPr>
          <w:rFonts w:hint="eastAsia" w:ascii="宋体" w:hAnsi="宋体" w:eastAsia="宋体" w:cs="宋体"/>
          <w:bCs/>
          <w:color w:val="000000" w:themeColor="text1"/>
          <w:spacing w:val="20"/>
          <w:sz w:val="24"/>
          <w:highlight w:val="none"/>
          <w14:textFill>
            <w14:solidFill>
              <w14:schemeClr w14:val="tx1"/>
            </w14:solidFill>
          </w14:textFill>
        </w:rPr>
        <w:t>合同，双方理解并承诺不再就同一工程另行签订与合同实质性内容相背离的协议。</w:t>
      </w:r>
      <w:bookmarkStart w:id="94" w:name="_Toc351203488"/>
      <w:r>
        <w:rPr>
          <w:rFonts w:hint="eastAsia" w:ascii="宋体" w:hAnsi="宋体" w:eastAsia="宋体" w:cs="宋体"/>
          <w:bCs/>
          <w:color w:val="000000" w:themeColor="text1"/>
          <w:spacing w:val="20"/>
          <w:sz w:val="24"/>
          <w:highlight w:val="none"/>
          <w:lang w:eastAsia="zh-CN"/>
          <w14:textFill>
            <w14:solidFill>
              <w14:schemeClr w14:val="tx1"/>
            </w14:solidFill>
          </w14:textFill>
        </w:rPr>
        <w:t>其他未说明的有关管理办法严格按浦政规〔</w:t>
      </w:r>
      <w:r>
        <w:rPr>
          <w:rFonts w:hint="eastAsia" w:ascii="宋体" w:hAnsi="宋体" w:eastAsia="宋体" w:cs="宋体"/>
          <w:bCs/>
          <w:color w:val="000000" w:themeColor="text1"/>
          <w:spacing w:val="20"/>
          <w:sz w:val="24"/>
          <w:highlight w:val="none"/>
          <w:lang w:val="en-US" w:eastAsia="zh-CN"/>
          <w14:textFill>
            <w14:solidFill>
              <w14:schemeClr w14:val="tx1"/>
            </w14:solidFill>
          </w14:textFill>
        </w:rPr>
        <w:t>2020</w:t>
      </w:r>
      <w:r>
        <w:rPr>
          <w:rFonts w:hint="eastAsia" w:ascii="宋体" w:hAnsi="宋体" w:eastAsia="宋体" w:cs="宋体"/>
          <w:bCs/>
          <w:color w:val="000000" w:themeColor="text1"/>
          <w:spacing w:val="20"/>
          <w:sz w:val="24"/>
          <w:highlight w:val="none"/>
          <w:lang w:eastAsia="zh-CN"/>
          <w14:textFill>
            <w14:solidFill>
              <w14:schemeClr w14:val="tx1"/>
            </w14:solidFill>
          </w14:textFill>
        </w:rPr>
        <w:t>〕</w:t>
      </w:r>
      <w:r>
        <w:rPr>
          <w:rFonts w:hint="eastAsia" w:ascii="宋体" w:hAnsi="宋体" w:eastAsia="宋体" w:cs="宋体"/>
          <w:bCs/>
          <w:color w:val="000000" w:themeColor="text1"/>
          <w:spacing w:val="20"/>
          <w:sz w:val="24"/>
          <w:highlight w:val="none"/>
          <w:lang w:val="en-US" w:eastAsia="zh-CN"/>
          <w14:textFill>
            <w14:solidFill>
              <w14:schemeClr w14:val="tx1"/>
            </w14:solidFill>
          </w14:textFill>
        </w:rPr>
        <w:t xml:space="preserve">1号及相关规范执行。比如 </w:t>
      </w:r>
    </w:p>
    <w:p w14:paraId="688230D6">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3B5F609D">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5B9EE22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（3）监理单位弄虚作假、超越权限，导致虚增工程量、多计价款的，不支付监理费，并由县行业行政监管部门给予处罚；给项目业主造成损失的，依法承担经济和法律责任。</w:t>
      </w:r>
    </w:p>
    <w:p w14:paraId="0C2DF4F4">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hint="default" w:ascii="宋体" w:hAnsi="宋体" w:eastAsia="宋体" w:cs="宋体"/>
          <w:bCs/>
          <w:color w:val="000000" w:themeColor="text1"/>
          <w:spacing w:val="20"/>
          <w:sz w:val="24"/>
          <w:highlight w:val="none"/>
          <w:lang w:val="en-US" w:eastAsia="zh-CN"/>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监理单位一次弄虚作假、超越权限的，由县行业行政监管部门通报全县各镇（街道）、县直单位五年内不得参加本县政府投资项目的监理；造成经济损失的，依法承担赔偿责任；涉嫌犯罪的，依法追究刑事责任。</w:t>
      </w:r>
    </w:p>
    <w:p w14:paraId="18C387FF">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pacing w:val="20"/>
          <w:sz w:val="24"/>
          <w:highlight w:val="none"/>
          <w14:textFill>
            <w14:solidFill>
              <w14:schemeClr w14:val="tx1"/>
            </w14:solidFill>
          </w14:textFill>
        </w:rPr>
        <w:t>八、词语含义</w:t>
      </w:r>
      <w:bookmarkEnd w:id="94"/>
    </w:p>
    <w:p w14:paraId="1845B896">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本协议书中词语含义与第二部分通用合同条款中赋予的含义相同。</w:t>
      </w:r>
    </w:p>
    <w:p w14:paraId="71C84DFC">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5" w:name="_Toc351203489"/>
      <w:r>
        <w:rPr>
          <w:rFonts w:hint="eastAsia" w:ascii="宋体" w:hAnsi="宋体" w:eastAsia="宋体" w:cs="宋体"/>
          <w:b/>
          <w:bCs/>
          <w:color w:val="000000" w:themeColor="text1"/>
          <w:spacing w:val="20"/>
          <w:sz w:val="24"/>
          <w:highlight w:val="none"/>
          <w14:textFill>
            <w14:solidFill>
              <w14:schemeClr w14:val="tx1"/>
            </w14:solidFill>
          </w14:textFill>
        </w:rPr>
        <w:t>九、签订时间</w:t>
      </w:r>
      <w:bookmarkEnd w:id="95"/>
    </w:p>
    <w:p w14:paraId="6704C6FC">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本合同于</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14:textFill>
            <w14:solidFill>
              <w14:schemeClr w14:val="tx1"/>
            </w14:solidFill>
          </w14:textFill>
        </w:rPr>
        <w:t>年</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14:textFill>
            <w14:solidFill>
              <w14:schemeClr w14:val="tx1"/>
            </w14:solidFill>
          </w14:textFill>
        </w:rPr>
        <w:t>月</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14:textFill>
            <w14:solidFill>
              <w14:schemeClr w14:val="tx1"/>
            </w14:solidFill>
          </w14:textFill>
        </w:rPr>
        <w:t>日签订。</w:t>
      </w:r>
    </w:p>
    <w:p w14:paraId="419B4DFE">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6" w:name="_Toc351203490"/>
      <w:r>
        <w:rPr>
          <w:rFonts w:hint="eastAsia" w:ascii="宋体" w:hAnsi="宋体" w:eastAsia="宋体" w:cs="宋体"/>
          <w:b/>
          <w:bCs/>
          <w:color w:val="000000" w:themeColor="text1"/>
          <w:spacing w:val="20"/>
          <w:sz w:val="24"/>
          <w:highlight w:val="none"/>
          <w14:textFill>
            <w14:solidFill>
              <w14:schemeClr w14:val="tx1"/>
            </w14:solidFill>
          </w14:textFill>
        </w:rPr>
        <w:t>十、签订地点</w:t>
      </w:r>
      <w:bookmarkEnd w:id="96"/>
    </w:p>
    <w:p w14:paraId="70DDF132">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本合同在</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cs="宋体"/>
          <w:bCs/>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20"/>
          <w:sz w:val="24"/>
          <w:highlight w:val="none"/>
          <w14:textFill>
            <w14:solidFill>
              <w14:schemeClr w14:val="tx1"/>
            </w14:solidFill>
          </w14:textFill>
        </w:rPr>
        <w:t>签订。</w:t>
      </w:r>
    </w:p>
    <w:p w14:paraId="781AF1C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7" w:name="_Toc351203491"/>
      <w:r>
        <w:rPr>
          <w:rFonts w:hint="eastAsia" w:ascii="宋体" w:hAnsi="宋体" w:eastAsia="宋体" w:cs="宋体"/>
          <w:b/>
          <w:bCs/>
          <w:color w:val="000000" w:themeColor="text1"/>
          <w:spacing w:val="20"/>
          <w:sz w:val="24"/>
          <w:highlight w:val="none"/>
          <w14:textFill>
            <w14:solidFill>
              <w14:schemeClr w14:val="tx1"/>
            </w14:solidFill>
          </w14:textFill>
        </w:rPr>
        <w:t>十一、补充协议</w:t>
      </w:r>
      <w:bookmarkEnd w:id="97"/>
    </w:p>
    <w:p w14:paraId="3A98116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合同未尽事宜，合同当事人另行签订补充协议，补充协议是合同的组成部分。</w:t>
      </w:r>
    </w:p>
    <w:p w14:paraId="78AE6F5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8" w:name="_Toc351203492"/>
      <w:r>
        <w:rPr>
          <w:rFonts w:hint="eastAsia" w:ascii="宋体" w:hAnsi="宋体" w:eastAsia="宋体" w:cs="宋体"/>
          <w:b/>
          <w:bCs/>
          <w:color w:val="000000" w:themeColor="text1"/>
          <w:spacing w:val="20"/>
          <w:sz w:val="24"/>
          <w:highlight w:val="none"/>
          <w14:textFill>
            <w14:solidFill>
              <w14:schemeClr w14:val="tx1"/>
            </w14:solidFill>
          </w14:textFill>
        </w:rPr>
        <w:t>十二、合同生效</w:t>
      </w:r>
      <w:bookmarkEnd w:id="98"/>
    </w:p>
    <w:p w14:paraId="69A26B1A">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本合同自</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双方法定代表人或其授权代理人签字并加盖单位公章之日起 </w:t>
      </w:r>
      <w:r>
        <w:rPr>
          <w:rFonts w:hint="eastAsia" w:ascii="宋体" w:hAnsi="宋体" w:eastAsia="宋体" w:cs="宋体"/>
          <w:bCs/>
          <w:color w:val="000000" w:themeColor="text1"/>
          <w:spacing w:val="20"/>
          <w:sz w:val="24"/>
          <w:highlight w:val="none"/>
          <w14:textFill>
            <w14:solidFill>
              <w14:schemeClr w14:val="tx1"/>
            </w14:solidFill>
          </w14:textFill>
        </w:rPr>
        <w:t>生效。</w:t>
      </w:r>
    </w:p>
    <w:p w14:paraId="77C7486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000000" w:themeColor="text1"/>
          <w:spacing w:val="20"/>
          <w:sz w:val="24"/>
          <w:highlight w:val="none"/>
          <w14:textFill>
            <w14:solidFill>
              <w14:schemeClr w14:val="tx1"/>
            </w14:solidFill>
          </w14:textFill>
        </w:rPr>
      </w:pPr>
      <w:bookmarkStart w:id="99" w:name="_Toc351203493"/>
      <w:r>
        <w:rPr>
          <w:rFonts w:hint="eastAsia" w:ascii="宋体" w:hAnsi="宋体" w:eastAsia="宋体" w:cs="宋体"/>
          <w:b/>
          <w:bCs/>
          <w:color w:val="000000" w:themeColor="text1"/>
          <w:spacing w:val="20"/>
          <w:sz w:val="24"/>
          <w:highlight w:val="none"/>
          <w14:textFill>
            <w14:solidFill>
              <w14:schemeClr w14:val="tx1"/>
            </w14:solidFill>
          </w14:textFill>
        </w:rPr>
        <w:t>十三、合同份数</w:t>
      </w:r>
      <w:bookmarkEnd w:id="99"/>
    </w:p>
    <w:p w14:paraId="622B6C87">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本合同一式</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捌 </w:t>
      </w:r>
      <w:r>
        <w:rPr>
          <w:rFonts w:hint="eastAsia" w:ascii="宋体" w:hAnsi="宋体" w:eastAsia="宋体" w:cs="宋体"/>
          <w:bCs/>
          <w:color w:val="000000" w:themeColor="text1"/>
          <w:spacing w:val="20"/>
          <w:sz w:val="24"/>
          <w:highlight w:val="none"/>
          <w14:textFill>
            <w14:solidFill>
              <w14:schemeClr w14:val="tx1"/>
            </w14:solidFill>
          </w14:textFill>
        </w:rPr>
        <w:t>份，均具有同等法律效力，发包人执</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肆 </w:t>
      </w:r>
      <w:r>
        <w:rPr>
          <w:rFonts w:hint="eastAsia" w:ascii="宋体" w:hAnsi="宋体" w:eastAsia="宋体" w:cs="宋体"/>
          <w:bCs/>
          <w:color w:val="000000" w:themeColor="text1"/>
          <w:spacing w:val="20"/>
          <w:sz w:val="24"/>
          <w:highlight w:val="none"/>
          <w14:textFill>
            <w14:solidFill>
              <w14:schemeClr w14:val="tx1"/>
            </w14:solidFill>
          </w14:textFill>
        </w:rPr>
        <w:t>份，承包人执</w:t>
      </w:r>
      <w:r>
        <w:rPr>
          <w:rFonts w:hint="eastAsia" w:ascii="宋体" w:hAnsi="宋体" w:eastAsia="宋体" w:cs="宋体"/>
          <w:bCs/>
          <w:color w:val="000000" w:themeColor="text1"/>
          <w:spacing w:val="20"/>
          <w:sz w:val="24"/>
          <w:highlight w:val="none"/>
          <w:u w:val="single"/>
          <w14:textFill>
            <w14:solidFill>
              <w14:schemeClr w14:val="tx1"/>
            </w14:solidFill>
          </w14:textFill>
        </w:rPr>
        <w:t xml:space="preserve"> 肆 </w:t>
      </w:r>
      <w:r>
        <w:rPr>
          <w:rFonts w:hint="eastAsia" w:ascii="宋体" w:hAnsi="宋体" w:eastAsia="宋体" w:cs="宋体"/>
          <w:bCs/>
          <w:color w:val="000000" w:themeColor="text1"/>
          <w:spacing w:val="20"/>
          <w:sz w:val="24"/>
          <w:highlight w:val="none"/>
          <w14:textFill>
            <w14:solidFill>
              <w14:schemeClr w14:val="tx1"/>
            </w14:solidFill>
          </w14:textFill>
        </w:rPr>
        <w:t>份。</w:t>
      </w:r>
    </w:p>
    <w:p w14:paraId="0F4CDA80">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000000" w:themeColor="text1"/>
          <w:spacing w:val="20"/>
          <w:sz w:val="24"/>
          <w:highlight w:val="none"/>
          <w14:textFill>
            <w14:solidFill>
              <w14:schemeClr w14:val="tx1"/>
            </w14:solidFill>
          </w14:textFill>
        </w:rPr>
      </w:pPr>
      <w:bookmarkStart w:id="100" w:name="_Toc439779029"/>
      <w:bookmarkStart w:id="101" w:name="_Toc21285"/>
      <w:bookmarkStart w:id="102" w:name="_Toc389065256"/>
      <w:bookmarkStart w:id="103" w:name="_Toc461982824"/>
      <w:bookmarkStart w:id="104" w:name="_Toc425437329"/>
      <w:bookmarkStart w:id="105" w:name="_Toc16007"/>
      <w:bookmarkStart w:id="106" w:name="_Toc351203632"/>
      <w:bookmarkStart w:id="107" w:name="_Toc373227691"/>
      <w:bookmarkStart w:id="108" w:name="_Toc373478338"/>
      <w:r>
        <w:rPr>
          <w:rFonts w:hint="eastAsia" w:ascii="宋体" w:hAnsi="宋体" w:cs="宋体"/>
          <w:color w:val="000000" w:themeColor="text1"/>
          <w:spacing w:val="20"/>
          <w:sz w:val="24"/>
          <w:highlight w:val="none"/>
          <w14:textFill>
            <w14:solidFill>
              <w14:schemeClr w14:val="tx1"/>
            </w14:solidFill>
          </w14:textFill>
        </w:rPr>
        <w:t>发包人：  （公章）              承包人：  （公章）</w:t>
      </w:r>
    </w:p>
    <w:p w14:paraId="64A35C2F">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法定代表人：                   法定代表人：</w:t>
      </w:r>
    </w:p>
    <w:p w14:paraId="2AD1349C">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或其委托代理人：               或其委托代理人：</w:t>
      </w:r>
    </w:p>
    <w:p w14:paraId="5325048A">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eastAsia="宋体" w:cs="宋体"/>
          <w:color w:val="000000" w:themeColor="text1"/>
          <w:spacing w:val="20"/>
          <w:sz w:val="24"/>
          <w:highlight w:val="none"/>
          <w:lang w:val="en-US" w:eastAsia="zh-CN"/>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地址：</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地址：</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p>
    <w:p w14:paraId="409FED96">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邮政编码：</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邮政编码：</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7B34777E">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eastAsia="宋体" w:cs="宋体"/>
          <w:color w:val="000000" w:themeColor="text1"/>
          <w:spacing w:val="20"/>
          <w:sz w:val="24"/>
          <w:highlight w:val="none"/>
          <w:lang w:val="en-US" w:eastAsia="zh-CN"/>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电话（传真）：</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电话（传真）：</w:t>
      </w:r>
      <w:r>
        <w:rPr>
          <w:rFonts w:hint="eastAsia" w:ascii="宋体" w:hAnsi="宋体" w:cs="宋体"/>
          <w:color w:val="000000" w:themeColor="text1"/>
          <w:spacing w:val="20"/>
          <w:sz w:val="24"/>
          <w:highlight w:val="none"/>
          <w:u w:val="single"/>
          <w:lang w:val="en-US" w:eastAsia="zh-CN"/>
          <w14:textFill>
            <w14:solidFill>
              <w14:schemeClr w14:val="tx1"/>
            </w14:solidFill>
          </w14:textFill>
        </w:rPr>
        <w:t xml:space="preserve">                </w:t>
      </w:r>
    </w:p>
    <w:p w14:paraId="656F5B12">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cs="宋体"/>
          <w:color w:val="000000" w:themeColor="text1"/>
          <w:spacing w:val="20"/>
          <w:sz w:val="24"/>
          <w:highlight w:val="none"/>
          <w:lang w:val="en-US"/>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开户银行：</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开户银行：</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p>
    <w:p w14:paraId="76374BEB">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000000" w:themeColor="text1"/>
          <w:spacing w:val="20"/>
          <w:sz w:val="24"/>
          <w:highlight w:val="none"/>
          <w:u w:val="singl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账 号：</w:t>
      </w:r>
      <w:r>
        <w:rPr>
          <w:rFonts w:hint="eastAsia" w:ascii="宋体" w:hAnsi="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14:textFill>
            <w14:solidFill>
              <w14:schemeClr w14:val="tx1"/>
            </w14:solidFill>
          </w14:textFill>
        </w:rPr>
        <w:t xml:space="preserve">        账 号：</w:t>
      </w:r>
      <w:r>
        <w:rPr>
          <w:rFonts w:hint="eastAsia" w:asciiTheme="minorEastAsia" w:hAnsiTheme="minorEastAsia"/>
          <w:color w:val="000000" w:themeColor="text1"/>
          <w:sz w:val="24"/>
          <w:highlight w:val="none"/>
          <w:u w:val="single"/>
          <w:lang w:eastAsia="zh-CN"/>
          <w14:textFill>
            <w14:solidFill>
              <w14:schemeClr w14:val="tx1"/>
            </w14:solidFill>
          </w14:textFill>
        </w:rPr>
        <w:t xml:space="preserve"> </w:t>
      </w:r>
      <w:r>
        <w:rPr>
          <w:rFonts w:hint="eastAsia" w:asciiTheme="minorEastAsia" w:hAnsiTheme="minor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0"/>
          <w:sz w:val="24"/>
          <w:highlight w:val="none"/>
          <w:u w:val="single"/>
          <w14:textFill>
            <w14:solidFill>
              <w14:schemeClr w14:val="tx1"/>
            </w14:solidFill>
          </w14:textFill>
        </w:rPr>
        <w:t xml:space="preserve"> </w:t>
      </w:r>
    </w:p>
    <w:p w14:paraId="497AFB1E">
      <w:pPr>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color w:val="000000" w:themeColor="text1"/>
          <w:spacing w:val="20"/>
          <w:szCs w:val="32"/>
          <w:highlight w:val="none"/>
          <w14:textFill>
            <w14:solidFill>
              <w14:schemeClr w14:val="tx1"/>
            </w14:solidFill>
          </w14:textFill>
        </w:rPr>
      </w:pPr>
      <w:r>
        <w:rPr>
          <w:rFonts w:hint="eastAsia" w:ascii="宋体" w:hAnsi="宋体" w:eastAsia="宋体" w:cs="宋体"/>
          <w:color w:val="000000" w:themeColor="text1"/>
          <w:spacing w:val="20"/>
          <w:szCs w:val="32"/>
          <w:highlight w:val="none"/>
          <w14:textFill>
            <w14:solidFill>
              <w14:schemeClr w14:val="tx1"/>
            </w14:solidFill>
          </w14:textFill>
        </w:rPr>
        <w:br w:type="page"/>
      </w:r>
    </w:p>
    <w:p w14:paraId="57E812F6">
      <w:pPr>
        <w:pStyle w:val="2"/>
        <w:keepNext w:val="0"/>
        <w:keepLines w:val="0"/>
        <w:shd w:val="clear"/>
        <w:spacing w:line="312" w:lineRule="auto"/>
        <w:jc w:val="center"/>
        <w:rPr>
          <w:rFonts w:ascii="宋体" w:hAnsi="宋体" w:eastAsia="宋体" w:cs="宋体"/>
          <w:color w:val="000000" w:themeColor="text1"/>
          <w:spacing w:val="20"/>
          <w:szCs w:val="32"/>
          <w:highlight w:val="none"/>
          <w14:textFill>
            <w14:solidFill>
              <w14:schemeClr w14:val="tx1"/>
            </w14:solidFill>
          </w14:textFill>
        </w:rPr>
      </w:pPr>
      <w:r>
        <w:rPr>
          <w:rFonts w:hint="eastAsia" w:ascii="宋体" w:hAnsi="宋体" w:eastAsia="宋体" w:cs="宋体"/>
          <w:color w:val="000000" w:themeColor="text1"/>
          <w:spacing w:val="20"/>
          <w:szCs w:val="32"/>
          <w:highlight w:val="none"/>
          <w14:textFill>
            <w14:solidFill>
              <w14:schemeClr w14:val="tx1"/>
            </w14:solidFill>
          </w14:textFill>
        </w:rPr>
        <w:t>第二部分 通用合同条款</w:t>
      </w:r>
      <w:bookmarkEnd w:id="100"/>
      <w:bookmarkEnd w:id="101"/>
      <w:bookmarkEnd w:id="102"/>
      <w:bookmarkEnd w:id="103"/>
      <w:bookmarkEnd w:id="104"/>
      <w:bookmarkEnd w:id="105"/>
    </w:p>
    <w:p w14:paraId="11C8F7FE">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109" w:name="_Toc351203495"/>
      <w:bookmarkStart w:id="110" w:name="_Toc425437330"/>
      <w:bookmarkStart w:id="111" w:name="_Toc389065257"/>
      <w:bookmarkStart w:id="112" w:name="_Toc461982825"/>
      <w:bookmarkStart w:id="113" w:name="_Toc439779030"/>
      <w:bookmarkStart w:id="114" w:name="_Toc1320"/>
      <w:bookmarkStart w:id="115" w:name="_Toc25546"/>
      <w:r>
        <w:rPr>
          <w:rFonts w:hint="eastAsia" w:ascii="宋体" w:hAnsi="宋体" w:eastAsia="宋体" w:cs="宋体"/>
          <w:b w:val="0"/>
          <w:color w:val="000000" w:themeColor="text1"/>
          <w:sz w:val="24"/>
          <w:szCs w:val="24"/>
          <w:highlight w:val="none"/>
          <w14:textFill>
            <w14:solidFill>
              <w14:schemeClr w14:val="tx1"/>
            </w14:solidFill>
          </w14:textFill>
        </w:rPr>
        <w:t>1.</w:t>
      </w:r>
      <w:bookmarkStart w:id="116" w:name="_Toc303538975"/>
      <w:bookmarkEnd w:id="116"/>
      <w:bookmarkStart w:id="117" w:name="_Toc303538974"/>
      <w:bookmarkEnd w:id="117"/>
      <w:bookmarkStart w:id="118" w:name="_Toc303538972"/>
      <w:bookmarkEnd w:id="118"/>
      <w:bookmarkStart w:id="119" w:name="_Toc303538973"/>
      <w:bookmarkEnd w:id="119"/>
      <w:bookmarkStart w:id="120" w:name="_Toc303538976"/>
      <w:bookmarkEnd w:id="120"/>
      <w:bookmarkStart w:id="121" w:name="_Toc296503027"/>
      <w:bookmarkStart w:id="122" w:name="_Toc296346528"/>
      <w:r>
        <w:rPr>
          <w:rFonts w:hint="eastAsia" w:ascii="宋体" w:hAnsi="宋体" w:eastAsia="宋体" w:cs="宋体"/>
          <w:b w:val="0"/>
          <w:color w:val="000000" w:themeColor="text1"/>
          <w:sz w:val="24"/>
          <w:szCs w:val="24"/>
          <w:highlight w:val="none"/>
          <w14:textFill>
            <w14:solidFill>
              <w14:schemeClr w14:val="tx1"/>
            </w14:solidFill>
          </w14:textFill>
        </w:rPr>
        <w:t xml:space="preserve"> 一般约定</w:t>
      </w:r>
      <w:bookmarkEnd w:id="109"/>
      <w:bookmarkEnd w:id="121"/>
      <w:bookmarkEnd w:id="122"/>
    </w:p>
    <w:p w14:paraId="5C8D2EA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23" w:name="_Toc296346529"/>
      <w:bookmarkStart w:id="124" w:name="_Toc296503028"/>
      <w:bookmarkStart w:id="125" w:name="_Toc337558728"/>
      <w:bookmarkStart w:id="126" w:name="_Toc351203496"/>
      <w:r>
        <w:rPr>
          <w:rFonts w:hint="eastAsia" w:ascii="宋体" w:hAnsi="宋体" w:eastAsia="宋体" w:cs="宋体"/>
          <w:b w:val="0"/>
          <w:color w:val="000000" w:themeColor="text1"/>
          <w:sz w:val="24"/>
          <w:szCs w:val="24"/>
          <w:highlight w:val="none"/>
          <w14:textFill>
            <w14:solidFill>
              <w14:schemeClr w14:val="tx1"/>
            </w14:solidFill>
          </w14:textFill>
        </w:rPr>
        <w:t>1.1词语定义</w:t>
      </w:r>
      <w:bookmarkEnd w:id="123"/>
      <w:bookmarkEnd w:id="124"/>
      <w:bookmarkEnd w:id="125"/>
      <w:r>
        <w:rPr>
          <w:rFonts w:hint="eastAsia" w:ascii="宋体" w:hAnsi="宋体" w:eastAsia="宋体" w:cs="宋体"/>
          <w:b w:val="0"/>
          <w:color w:val="000000" w:themeColor="text1"/>
          <w:sz w:val="24"/>
          <w:szCs w:val="24"/>
          <w:highlight w:val="none"/>
          <w14:textFill>
            <w14:solidFill>
              <w14:schemeClr w14:val="tx1"/>
            </w14:solidFill>
          </w14:textFill>
        </w:rPr>
        <w:t>与解释</w:t>
      </w:r>
      <w:bookmarkEnd w:id="126"/>
    </w:p>
    <w:p w14:paraId="32F6B8E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合同协议书、通用合同条款、专用合同条款中的下列词语具有本款所赋予的含义：</w:t>
      </w:r>
    </w:p>
    <w:p w14:paraId="709F39E7">
      <w:pPr>
        <w:shd w:val="clear"/>
        <w:autoSpaceDE w:val="0"/>
        <w:autoSpaceDN w:val="0"/>
        <w:adjustRightInd w:val="0"/>
        <w:spacing w:line="312" w:lineRule="auto"/>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1.1.1 合同</w:t>
      </w:r>
    </w:p>
    <w:p w14:paraId="3FA32D5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themeColor="text1"/>
          <w:sz w:val="24"/>
          <w:highlight w:val="none"/>
          <w14:textFill>
            <w14:solidFill>
              <w14:schemeClr w14:val="tx1"/>
            </w14:solidFill>
          </w14:textFill>
        </w:rPr>
        <w:t>及其附件</w:t>
      </w:r>
      <w:r>
        <w:rPr>
          <w:rFonts w:hint="eastAsia" w:ascii="宋体" w:hAnsi="宋体" w:eastAsia="宋体" w:cs="宋体"/>
          <w:color w:val="000000" w:themeColor="text1"/>
          <w:kern w:val="0"/>
          <w:sz w:val="24"/>
          <w:highlight w:val="none"/>
          <w14:textFill>
            <w14:solidFill>
              <w14:schemeClr w14:val="tx1"/>
            </w14:solidFill>
          </w14:textFill>
        </w:rPr>
        <w:t>、通用合同条款、技术标准和要求、图纸、已标价工程量清单或预算书以及其他合同文件。</w:t>
      </w:r>
    </w:p>
    <w:p w14:paraId="09A8050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1.1.1.2 合同协议书：是指构成合同的由发包人和承包人共同签署的称为“合同协议书”的书面文件。</w:t>
      </w:r>
    </w:p>
    <w:p w14:paraId="635B894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1.1.1.3 中标通知书：是指构成合同的由发包人通知承包人中标的书面文件。</w:t>
      </w:r>
    </w:p>
    <w:p w14:paraId="0120867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1.1.1.4 投标函：是指构成合同的由承包人填写并签署的用于投标的称为“投标函”的文件。</w:t>
      </w:r>
    </w:p>
    <w:p w14:paraId="293C5E1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1.1.1.5 投标函附录：是指构成合同的附在投标函后的称为“投标函附录”的文件。</w:t>
      </w:r>
    </w:p>
    <w:p w14:paraId="55CA92F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1.1.1.6 技术标准和要求：是指构成合同的施工应当遵守的或指导施工的国家、行业或地方的技术标准和要求，以及合同约定的技术标准和要求。</w:t>
      </w:r>
    </w:p>
    <w:p w14:paraId="1C5C41C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4D872C7D">
      <w:pPr>
        <w:shd w:val="clear"/>
        <w:autoSpaceDE w:val="0"/>
        <w:autoSpaceDN w:val="0"/>
        <w:adjustRightInd w:val="0"/>
        <w:spacing w:line="312" w:lineRule="auto"/>
        <w:ind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1.1.1.8 已标价工程量清单：是指构成合同的由承包人按照规定的格式和要求填写并标明价格的工程量清单，包括说明和表格。</w:t>
      </w:r>
    </w:p>
    <w:p w14:paraId="5B5D33A0">
      <w:pPr>
        <w:shd w:val="clear"/>
        <w:autoSpaceDE w:val="0"/>
        <w:autoSpaceDN w:val="0"/>
        <w:adjustRightInd w:val="0"/>
        <w:spacing w:line="312" w:lineRule="auto"/>
        <w:ind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1.1.1.9 预算书：是指构成合同的由承包人按照发包人规定的格式和要求编制的工程预算文件。</w:t>
      </w:r>
    </w:p>
    <w:p w14:paraId="263DBFD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36C01ECD">
      <w:pPr>
        <w:shd w:val="clear"/>
        <w:autoSpaceDE w:val="0"/>
        <w:autoSpaceDN w:val="0"/>
        <w:adjustRightInd w:val="0"/>
        <w:spacing w:line="312" w:lineRule="auto"/>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1.1.2 合同当事人及其他相关方</w:t>
      </w:r>
    </w:p>
    <w:p w14:paraId="62ED420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1.1.2.1 合同当事人：是指发包人和（或）承包人。</w:t>
      </w:r>
    </w:p>
    <w:p w14:paraId="1D2F245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1.1.2.2 发包人：是指与承包人签订合同协议书的当事人及取得该当事人资格的合法继承人。</w:t>
      </w:r>
    </w:p>
    <w:p w14:paraId="5BF64F1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1.1.2.3 承包人：是指与发包人签订合同协议书的，具有相应工程施工承包资质的当事人及取得该当事人资格的合法继承人。</w:t>
      </w:r>
    </w:p>
    <w:p w14:paraId="3CE75D1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1.1.2.4 监理人：是指在专用合同条款中指明的，受发包人委托按照法律规定进行工程监督管理的法人或其他组织。</w:t>
      </w:r>
    </w:p>
    <w:p w14:paraId="038905B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1.1.2.5 设计人：是指在专用合同条款中指明的，受发包人委托负责工程设计并具备相应工程设计资质的法人或其他组织。</w:t>
      </w:r>
    </w:p>
    <w:p w14:paraId="7BBB1305">
      <w:pPr>
        <w:shd w:val="clear"/>
        <w:spacing w:line="312" w:lineRule="auto"/>
        <w:ind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1.1.2.6 分包人：</w:t>
      </w:r>
      <w:bookmarkStart w:id="127" w:name="#go5"/>
      <w:bookmarkEnd w:id="127"/>
      <w:r>
        <w:rPr>
          <w:rFonts w:hint="eastAsia" w:ascii="宋体" w:hAnsi="宋体" w:eastAsia="宋体" w:cs="宋体"/>
          <w:color w:val="000000" w:themeColor="text1"/>
          <w:kern w:val="0"/>
          <w:sz w:val="24"/>
          <w:highlight w:val="none"/>
          <w14:textFill>
            <w14:solidFill>
              <w14:schemeClr w14:val="tx1"/>
            </w14:solidFill>
          </w14:textFill>
        </w:rPr>
        <w:t>是指按照法律规定和合同约定，分包部分工程或工作，并与承包人签订分包合同的具有相应资质的法人。</w:t>
      </w:r>
    </w:p>
    <w:p w14:paraId="2E569E8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1.1.2.7 发包人代表：是指由发包人任命并派驻施工现场在发包人授权范围内行使发包人权利的人。</w:t>
      </w:r>
    </w:p>
    <w:p w14:paraId="5DEB2D1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1.1.2.8 项目经理：是指由承包人任命并派驻施工现场，在承包人授权范围内负责合同履行，且按照法律规定具有相应资格的项目负责人。</w:t>
      </w:r>
    </w:p>
    <w:p w14:paraId="6D63789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1.1.2.9 总监理工程师：是指由监理人任命并派驻施工现场进行工程监理的总负责人。</w:t>
      </w:r>
    </w:p>
    <w:p w14:paraId="0E8D706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 工程和设备</w:t>
      </w:r>
    </w:p>
    <w:p w14:paraId="4332460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1.1.3.1 工程：是指与合同协议书中工程承包范围对应的永久工程和（或）临时工程。</w:t>
      </w:r>
    </w:p>
    <w:p w14:paraId="2A1DA5D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1.1.3.2 永久工程：是指按合同约定建造并移交给发包人的工程，包括工程设备。</w:t>
      </w:r>
    </w:p>
    <w:p w14:paraId="657F4EA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1.1.3.3 临时工程：是指为完成合同约定的永久工程所修建的各类临时性工程，不包括施工设备。</w:t>
      </w:r>
    </w:p>
    <w:p w14:paraId="44F845B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1.1.3.4 单位工程：是指在合同协议书中指明的，具备独立施工条件并能形成独立使用功能的永久工程。</w:t>
      </w:r>
    </w:p>
    <w:p w14:paraId="5C7B9B7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1.1.3.5 工程设备：是指构成永久工程的机电设备、金属结构设备、仪器及其他类似的设备和装置。</w:t>
      </w:r>
    </w:p>
    <w:p w14:paraId="6B4C1AB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1.1.3.6 施工设备：是指为完成合同约定的各项工作所需的设备、器具和其他物品，但不包括工程设备、临时工程和材料。</w:t>
      </w:r>
    </w:p>
    <w:p w14:paraId="05706F7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1.1.3.7 施工现场：是指用于工程施工的场所，以及在专用合同条款中指明作为施工场所组成部分的其他场所，包括永久占地和临时占地。</w:t>
      </w:r>
    </w:p>
    <w:p w14:paraId="149D54D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1.1.3.8临时设施：是指为完成合同约定的各项工作所服务的临时性生产和生活设施。</w:t>
      </w:r>
    </w:p>
    <w:p w14:paraId="53BB4EC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1.1.3.9 永久占地：是指专用合同条款中指明为实施工程需永久占用的土地。</w:t>
      </w:r>
    </w:p>
    <w:p w14:paraId="0636BBC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1.1.3.10 临时占地：是指专用合同条款中指明为实施工程需要临时占用的土地。</w:t>
      </w:r>
    </w:p>
    <w:p w14:paraId="0AFAF46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 日期和期限</w:t>
      </w:r>
    </w:p>
    <w:p w14:paraId="76E5CD8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063B3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4F2FBEB4">
      <w:pPr>
        <w:shd w:val="clear"/>
        <w:spacing w:line="312" w:lineRule="auto"/>
        <w:ind w:firstLine="487" w:firstLineChars="203"/>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1.1.4.3 工期：是指在合同协议书约定的承包人完成工程所需的期限，包括按照合同约定所作的期限变更。</w:t>
      </w:r>
    </w:p>
    <w:p w14:paraId="328218B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1.1.4.4 缺陷责任期：是指承包人按照合同约定承担缺陷修复义务，且发包人预留质量保证金的期限，自工程实际竣工日期起计算。</w:t>
      </w:r>
    </w:p>
    <w:p w14:paraId="296777C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1.1.4.5 保修期：是指承包人按照合同约定对工程承担保修责任的期限，从工程竣工验收合格之日起计算。</w:t>
      </w:r>
    </w:p>
    <w:p w14:paraId="03D129B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1.1.4.6 基准日期：招标发包的工程以投标截止日前28天的日期为基准日期，直接发包的工程以合同签订日前28天的日期为基准日期。</w:t>
      </w:r>
    </w:p>
    <w:p w14:paraId="1252915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1.1.4.7 天：除特别指明外，均指日历天。合同中按天计算时间的，开始当天不计入，从次日开始计算，期限最后一天的截止时间为当天24:00时。</w:t>
      </w:r>
    </w:p>
    <w:p w14:paraId="206E482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 合同价格和费用</w:t>
      </w:r>
    </w:p>
    <w:p w14:paraId="6B90B5A6">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1.1.5.1 签约合同价：是指</w:t>
      </w:r>
      <w:r>
        <w:rPr>
          <w:rFonts w:hint="eastAsia" w:ascii="宋体" w:hAnsi="宋体" w:eastAsia="宋体" w:cs="宋体"/>
          <w:color w:val="000000" w:themeColor="text1"/>
          <w:sz w:val="24"/>
          <w:highlight w:val="none"/>
          <w14:textFill>
            <w14:solidFill>
              <w14:schemeClr w14:val="tx1"/>
            </w14:solidFill>
          </w14:textFill>
        </w:rPr>
        <w:t>发包人和承包人在合同协议书中确定的总金额，包括安全文明施工费、暂估价及暂列金额等。</w:t>
      </w:r>
    </w:p>
    <w:p w14:paraId="070889C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1.1.5.2 合同价格：是指发包人用于支付承包人按照合同约定完成承包范围内全部工作的金额，包括合同履行过程中按合同约定发生的价格变化。</w:t>
      </w:r>
    </w:p>
    <w:p w14:paraId="098C658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1.1.5.3 费用：是指为履行合同所发生的或将要发生的所有必需的开支，包括管理费和应分摊的其他费用，但不包括利润。</w:t>
      </w:r>
    </w:p>
    <w:p w14:paraId="69F8F3E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14:paraId="400FBB3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A615A2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1.1.5.6 计日工：是指合同履行过程中，承包人完成发包人提出的零星工作或需要采用计日工计价的变更工作时，按合同中约定的单价计价的一种方式。</w:t>
      </w:r>
    </w:p>
    <w:p w14:paraId="37B049D5">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1.1.5.7 质量保证金</w:t>
      </w:r>
      <w:bookmarkStart w:id="128" w:name="#go2"/>
      <w:bookmarkEnd w:id="128"/>
      <w:r>
        <w:rPr>
          <w:rFonts w:hint="eastAsia" w:ascii="宋体" w:hAnsi="宋体" w:eastAsia="宋体" w:cs="宋体"/>
          <w:color w:val="000000" w:themeColor="text1"/>
          <w:kern w:val="0"/>
          <w:sz w:val="24"/>
          <w:highlight w:val="none"/>
          <w14:textFill>
            <w14:solidFill>
              <w14:schemeClr w14:val="tx1"/>
            </w14:solidFill>
          </w14:textFill>
        </w:rPr>
        <w:t>：是指按照第15.3款〔质量保证金〕约定承包人用于保证其在缺陷责任期内履行缺陷修补义务的担保</w:t>
      </w:r>
      <w:r>
        <w:rPr>
          <w:rFonts w:hint="eastAsia" w:ascii="宋体" w:hAnsi="宋体" w:eastAsia="宋体" w:cs="宋体"/>
          <w:color w:val="000000" w:themeColor="text1"/>
          <w:sz w:val="24"/>
          <w:highlight w:val="none"/>
          <w14:textFill>
            <w14:solidFill>
              <w14:schemeClr w14:val="tx1"/>
            </w14:solidFill>
          </w14:textFill>
        </w:rPr>
        <w:t>。</w:t>
      </w:r>
    </w:p>
    <w:p w14:paraId="603E8A0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1.1.5.8 总价项目：是指在现行国家、行业以及地方的计量规则中无工程量计算规则，在已标价工程量清单或预算书中以总价或以费率形式计算的项目。</w:t>
      </w:r>
    </w:p>
    <w:p w14:paraId="7290ECA5">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其他</w:t>
      </w:r>
    </w:p>
    <w:p w14:paraId="19A714ED">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1.1.6.1 书面形式：是指合同文件、信函、电报、传真等可以有形地表现所载内容的形式。</w:t>
      </w:r>
    </w:p>
    <w:p w14:paraId="30932BF9">
      <w:pPr>
        <w:pStyle w:val="6"/>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Start w:id="129" w:name="_Toc296346530"/>
      <w:bookmarkStart w:id="130" w:name="_Toc296503029"/>
      <w:bookmarkStart w:id="131" w:name="_Toc351203497"/>
      <w:bookmarkStart w:id="132" w:name="_Toc337558729"/>
      <w:r>
        <w:rPr>
          <w:rFonts w:hint="eastAsia" w:ascii="宋体" w:hAnsi="宋体" w:eastAsia="宋体" w:cs="宋体"/>
          <w:b w:val="0"/>
          <w:color w:val="000000" w:themeColor="text1"/>
          <w:sz w:val="24"/>
          <w:szCs w:val="24"/>
          <w:highlight w:val="none"/>
          <w14:textFill>
            <w14:solidFill>
              <w14:schemeClr w14:val="tx1"/>
            </w14:solidFill>
          </w14:textFill>
        </w:rPr>
        <w:t>1.2语言文字</w:t>
      </w:r>
      <w:bookmarkEnd w:id="129"/>
      <w:bookmarkEnd w:id="130"/>
      <w:bookmarkEnd w:id="131"/>
      <w:bookmarkEnd w:id="132"/>
    </w:p>
    <w:p w14:paraId="4E36E98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14:paraId="2D05328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33" w:name="_Toc337558730"/>
      <w:bookmarkStart w:id="134" w:name="_Toc351203498"/>
      <w:bookmarkStart w:id="135" w:name="_Toc296346531"/>
      <w:bookmarkStart w:id="136" w:name="_Toc296503030"/>
      <w:r>
        <w:rPr>
          <w:rFonts w:hint="eastAsia" w:ascii="宋体" w:hAnsi="宋体" w:eastAsia="宋体" w:cs="宋体"/>
          <w:b w:val="0"/>
          <w:color w:val="000000" w:themeColor="text1"/>
          <w:sz w:val="24"/>
          <w:szCs w:val="24"/>
          <w:highlight w:val="none"/>
          <w14:textFill>
            <w14:solidFill>
              <w14:schemeClr w14:val="tx1"/>
            </w14:solidFill>
          </w14:textFill>
        </w:rPr>
        <w:t>1.3法律</w:t>
      </w:r>
      <w:bookmarkEnd w:id="133"/>
      <w:bookmarkEnd w:id="134"/>
      <w:bookmarkEnd w:id="135"/>
      <w:bookmarkEnd w:id="136"/>
    </w:p>
    <w:p w14:paraId="1C93458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合同所称法律是指中华人民共和国法律、行政法规、部门规章，以及工程所在地的地方性法规、自治条例、单行条例和地方政府规章等。</w:t>
      </w:r>
    </w:p>
    <w:p w14:paraId="6E412DB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合同当事人可以在专用合同条款中约定合同适用的其他规范性文件。</w:t>
      </w:r>
    </w:p>
    <w:p w14:paraId="723814D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37" w:name="_Toc351203499"/>
      <w:r>
        <w:rPr>
          <w:rFonts w:hint="eastAsia" w:ascii="宋体" w:hAnsi="宋体" w:eastAsia="宋体" w:cs="宋体"/>
          <w:b w:val="0"/>
          <w:color w:val="000000" w:themeColor="text1"/>
          <w:sz w:val="24"/>
          <w:szCs w:val="24"/>
          <w:highlight w:val="none"/>
          <w14:textFill>
            <w14:solidFill>
              <w14:schemeClr w14:val="tx1"/>
            </w14:solidFill>
          </w14:textFill>
        </w:rPr>
        <w:t>1.4 标准和规范</w:t>
      </w:r>
      <w:bookmarkEnd w:id="137"/>
    </w:p>
    <w:p w14:paraId="2096D1BB">
      <w:pPr>
        <w:shd w:val="clear"/>
        <w:autoSpaceDE w:val="0"/>
        <w:autoSpaceDN w:val="0"/>
        <w:adjustRightInd w:val="0"/>
        <w:spacing w:line="312" w:lineRule="auto"/>
        <w:ind w:firstLine="64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1.4.1 适用于工程的国家标准、行业标准、工程所在地的地方性标准，以及相应的规范、规程等，合同当事人有特别要求的，应在专用合同条款中约定。</w:t>
      </w:r>
    </w:p>
    <w:p w14:paraId="4E99A06B">
      <w:pPr>
        <w:shd w:val="clear"/>
        <w:autoSpaceDE w:val="0"/>
        <w:autoSpaceDN w:val="0"/>
        <w:adjustRightInd w:val="0"/>
        <w:spacing w:line="312" w:lineRule="auto"/>
        <w:ind w:firstLine="64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1.4.2 发包人要求使用国外标准、规范的，发包人负责提供原文版本和中文译本，并在专用合同条款中约定提供标准规范的名称、份数和时间。</w:t>
      </w:r>
    </w:p>
    <w:p w14:paraId="2C9ECEA6">
      <w:pPr>
        <w:shd w:val="clear"/>
        <w:autoSpaceDE w:val="0"/>
        <w:autoSpaceDN w:val="0"/>
        <w:adjustRightInd w:val="0"/>
        <w:spacing w:line="312" w:lineRule="auto"/>
        <w:ind w:firstLine="64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57A26C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38" w:name="_Toc351203500"/>
      <w:r>
        <w:rPr>
          <w:rFonts w:hint="eastAsia" w:ascii="宋体" w:hAnsi="宋体" w:eastAsia="宋体" w:cs="宋体"/>
          <w:b w:val="0"/>
          <w:color w:val="000000" w:themeColor="text1"/>
          <w:sz w:val="24"/>
          <w:szCs w:val="24"/>
          <w:highlight w:val="none"/>
          <w14:textFill>
            <w14:solidFill>
              <w14:schemeClr w14:val="tx1"/>
            </w14:solidFill>
          </w14:textFill>
        </w:rPr>
        <w:t>1</w:t>
      </w:r>
      <w:bookmarkStart w:id="139" w:name="_Toc296503031"/>
      <w:bookmarkStart w:id="140" w:name="_Toc296346532"/>
      <w:bookmarkStart w:id="141" w:name="_Toc337558731"/>
      <w:r>
        <w:rPr>
          <w:rFonts w:hint="eastAsia" w:ascii="宋体" w:hAnsi="宋体" w:eastAsia="宋体" w:cs="宋体"/>
          <w:b w:val="0"/>
          <w:color w:val="000000" w:themeColor="text1"/>
          <w:sz w:val="24"/>
          <w:szCs w:val="24"/>
          <w:highlight w:val="none"/>
          <w14:textFill>
            <w14:solidFill>
              <w14:schemeClr w14:val="tx1"/>
            </w14:solidFill>
          </w14:textFill>
        </w:rPr>
        <w:t>.5 合同文件的优先顺序</w:t>
      </w:r>
      <w:bookmarkEnd w:id="138"/>
    </w:p>
    <w:bookmarkEnd w:id="139"/>
    <w:bookmarkEnd w:id="140"/>
    <w:bookmarkEnd w:id="141"/>
    <w:p w14:paraId="38EAC49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组成合同的各项文件应互相解释，互为说明。除专用合同条款另有约定外，解释合同文件的优先顺序如下：</w:t>
      </w:r>
    </w:p>
    <w:p w14:paraId="6378F8B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（1）合同协议书；</w:t>
      </w:r>
    </w:p>
    <w:p w14:paraId="1CC25FA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（2）中标通知书（如果有）；</w:t>
      </w:r>
    </w:p>
    <w:p w14:paraId="1CFC2E3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（3）投标函及其附录（如果有）；</w:t>
      </w:r>
    </w:p>
    <w:p w14:paraId="4263C9F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（4）专用合同条款</w:t>
      </w:r>
      <w:r>
        <w:rPr>
          <w:rFonts w:hint="eastAsia" w:ascii="宋体" w:hAnsi="宋体" w:eastAsia="宋体" w:cs="宋体"/>
          <w:color w:val="000000" w:themeColor="text1"/>
          <w:sz w:val="24"/>
          <w:highlight w:val="none"/>
          <w14:textFill>
            <w14:solidFill>
              <w14:schemeClr w14:val="tx1"/>
            </w14:solidFill>
          </w14:textFill>
        </w:rPr>
        <w:t>及其附件</w:t>
      </w:r>
      <w:r>
        <w:rPr>
          <w:rFonts w:hint="eastAsia" w:ascii="宋体" w:hAnsi="宋体" w:eastAsia="宋体" w:cs="宋体"/>
          <w:color w:val="000000" w:themeColor="text1"/>
          <w:kern w:val="0"/>
          <w:sz w:val="24"/>
          <w:highlight w:val="none"/>
          <w14:textFill>
            <w14:solidFill>
              <w14:schemeClr w14:val="tx1"/>
            </w14:solidFill>
          </w14:textFill>
        </w:rPr>
        <w:t>；</w:t>
      </w:r>
    </w:p>
    <w:p w14:paraId="03B4240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（5）通用合同条款；</w:t>
      </w:r>
    </w:p>
    <w:p w14:paraId="3A5DA55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（6）技术标准和要求；</w:t>
      </w:r>
    </w:p>
    <w:p w14:paraId="5910E4B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（7）图纸；</w:t>
      </w:r>
    </w:p>
    <w:p w14:paraId="660D893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（8）已标价工程量清单或预算书；</w:t>
      </w:r>
    </w:p>
    <w:p w14:paraId="5416915A">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（9）其他合同文件。</w:t>
      </w:r>
    </w:p>
    <w:p w14:paraId="7F70F377">
      <w:pPr>
        <w:shd w:val="clear"/>
        <w:spacing w:line="312" w:lineRule="auto"/>
        <w:ind w:firstLine="511" w:firstLineChars="213"/>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2B43A189">
      <w:pPr>
        <w:shd w:val="clear"/>
        <w:spacing w:line="312" w:lineRule="auto"/>
        <w:ind w:firstLine="511" w:firstLineChars="213"/>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在合同订立及履行过程中形成的与合同有关的文件均构成合同文件组成部分，并根据其性质确定优先解释顺序。</w:t>
      </w:r>
    </w:p>
    <w:p w14:paraId="721E0D63">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42" w:name="_Toc351203501"/>
      <w:r>
        <w:rPr>
          <w:rFonts w:hint="eastAsia" w:ascii="宋体" w:hAnsi="宋体" w:eastAsia="宋体" w:cs="宋体"/>
          <w:b w:val="0"/>
          <w:color w:val="000000" w:themeColor="text1"/>
          <w:sz w:val="24"/>
          <w:szCs w:val="24"/>
          <w:highlight w:val="none"/>
          <w14:textFill>
            <w14:solidFill>
              <w14:schemeClr w14:val="tx1"/>
            </w14:solidFill>
          </w14:textFill>
        </w:rPr>
        <w:t>1</w:t>
      </w:r>
      <w:bookmarkStart w:id="143" w:name="_Toc296503032"/>
      <w:bookmarkStart w:id="144" w:name="_Toc296346533"/>
      <w:bookmarkStart w:id="145" w:name="_Toc337558732"/>
      <w:r>
        <w:rPr>
          <w:rFonts w:hint="eastAsia" w:ascii="宋体" w:hAnsi="宋体" w:eastAsia="宋体" w:cs="宋体"/>
          <w:b w:val="0"/>
          <w:color w:val="000000" w:themeColor="text1"/>
          <w:sz w:val="24"/>
          <w:szCs w:val="24"/>
          <w:highlight w:val="none"/>
          <w14:textFill>
            <w14:solidFill>
              <w14:schemeClr w14:val="tx1"/>
            </w14:solidFill>
          </w14:textFill>
        </w:rPr>
        <w:t>.6图纸和承包人文件</w:t>
      </w:r>
      <w:bookmarkEnd w:id="142"/>
    </w:p>
    <w:bookmarkEnd w:id="143"/>
    <w:bookmarkEnd w:id="144"/>
    <w:bookmarkEnd w:id="145"/>
    <w:p w14:paraId="0A6E755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1.6.1 图纸的提供和交底</w:t>
      </w:r>
    </w:p>
    <w:p w14:paraId="4ED974D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689626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因发包人未按合同约定提供图纸导致承包人费用增加和（或）工期延误的，按照第7.5.1项〔因发包人原因导致工期延误〕约定办理。</w:t>
      </w:r>
    </w:p>
    <w:p w14:paraId="55BCCF9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 图纸的错误</w:t>
      </w:r>
    </w:p>
    <w:p w14:paraId="619101B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459DF2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1.6.3 图纸的修改和补充</w:t>
      </w:r>
    </w:p>
    <w:p w14:paraId="5AF5ED3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47A76E6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1.6.4 承包人文件</w:t>
      </w:r>
    </w:p>
    <w:p w14:paraId="1DB63F4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261EE1A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938270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1.6.5 图纸和承包人文件的保管</w:t>
      </w:r>
    </w:p>
    <w:p w14:paraId="750333A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14:paraId="68270DF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46" w:name="_Toc351203502"/>
      <w:r>
        <w:rPr>
          <w:rFonts w:hint="eastAsia" w:ascii="宋体" w:hAnsi="宋体" w:eastAsia="宋体" w:cs="宋体"/>
          <w:b w:val="0"/>
          <w:color w:val="000000" w:themeColor="text1"/>
          <w:sz w:val="24"/>
          <w:szCs w:val="24"/>
          <w:highlight w:val="none"/>
          <w14:textFill>
            <w14:solidFill>
              <w14:schemeClr w14:val="tx1"/>
            </w14:solidFill>
          </w14:textFill>
        </w:rPr>
        <w:t>1</w:t>
      </w:r>
      <w:bookmarkStart w:id="147" w:name="_Toc296346534"/>
      <w:bookmarkStart w:id="148" w:name="_Toc296503033"/>
      <w:bookmarkStart w:id="149" w:name="_Toc337558733"/>
      <w:r>
        <w:rPr>
          <w:rFonts w:hint="eastAsia" w:ascii="宋体" w:hAnsi="宋体" w:eastAsia="宋体" w:cs="宋体"/>
          <w:b w:val="0"/>
          <w:color w:val="000000" w:themeColor="text1"/>
          <w:sz w:val="24"/>
          <w:szCs w:val="24"/>
          <w:highlight w:val="none"/>
          <w14:textFill>
            <w14:solidFill>
              <w14:schemeClr w14:val="tx1"/>
            </w14:solidFill>
          </w14:textFill>
        </w:rPr>
        <w:t>.7联络</w:t>
      </w:r>
      <w:bookmarkEnd w:id="146"/>
    </w:p>
    <w:bookmarkEnd w:id="147"/>
    <w:bookmarkEnd w:id="148"/>
    <w:bookmarkEnd w:id="149"/>
    <w:p w14:paraId="791F819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122AB5B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0247094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16AE2B2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50" w:name="_Toc351203503"/>
      <w:r>
        <w:rPr>
          <w:rFonts w:hint="eastAsia" w:ascii="宋体" w:hAnsi="宋体" w:eastAsia="宋体" w:cs="宋体"/>
          <w:b w:val="0"/>
          <w:color w:val="000000" w:themeColor="text1"/>
          <w:sz w:val="24"/>
          <w:szCs w:val="24"/>
          <w:highlight w:val="none"/>
          <w14:textFill>
            <w14:solidFill>
              <w14:schemeClr w14:val="tx1"/>
            </w14:solidFill>
          </w14:textFill>
        </w:rPr>
        <w:t>1</w:t>
      </w:r>
      <w:bookmarkStart w:id="151" w:name="_Toc296503035"/>
      <w:bookmarkStart w:id="152" w:name="_Toc337558734"/>
      <w:bookmarkStart w:id="153" w:name="_Toc296346536"/>
      <w:r>
        <w:rPr>
          <w:rFonts w:hint="eastAsia" w:ascii="宋体" w:hAnsi="宋体" w:eastAsia="宋体" w:cs="宋体"/>
          <w:b w:val="0"/>
          <w:color w:val="000000" w:themeColor="text1"/>
          <w:sz w:val="24"/>
          <w:szCs w:val="24"/>
          <w:highlight w:val="none"/>
          <w14:textFill>
            <w14:solidFill>
              <w14:schemeClr w14:val="tx1"/>
            </w14:solidFill>
          </w14:textFill>
        </w:rPr>
        <w:t>.8严禁贿赂</w:t>
      </w:r>
      <w:bookmarkEnd w:id="150"/>
    </w:p>
    <w:bookmarkEnd w:id="151"/>
    <w:bookmarkEnd w:id="152"/>
    <w:bookmarkEnd w:id="153"/>
    <w:p w14:paraId="4D21E57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165ECAC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5EE3183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54" w:name="_Toc351203504"/>
      <w:r>
        <w:rPr>
          <w:rFonts w:hint="eastAsia" w:ascii="宋体" w:hAnsi="宋体" w:eastAsia="宋体" w:cs="宋体"/>
          <w:b w:val="0"/>
          <w:color w:val="000000" w:themeColor="text1"/>
          <w:sz w:val="24"/>
          <w:szCs w:val="24"/>
          <w:highlight w:val="none"/>
          <w14:textFill>
            <w14:solidFill>
              <w14:schemeClr w14:val="tx1"/>
            </w14:solidFill>
          </w14:textFill>
        </w:rPr>
        <w:t>1</w:t>
      </w:r>
      <w:bookmarkStart w:id="155" w:name="_Toc296346537"/>
      <w:bookmarkStart w:id="156" w:name="_Toc337558735"/>
      <w:bookmarkStart w:id="157" w:name="_Toc296503036"/>
      <w:r>
        <w:rPr>
          <w:rFonts w:hint="eastAsia" w:ascii="宋体" w:hAnsi="宋体" w:eastAsia="宋体" w:cs="宋体"/>
          <w:b w:val="0"/>
          <w:color w:val="000000" w:themeColor="text1"/>
          <w:sz w:val="24"/>
          <w:szCs w:val="24"/>
          <w:highlight w:val="none"/>
          <w14:textFill>
            <w14:solidFill>
              <w14:schemeClr w14:val="tx1"/>
            </w14:solidFill>
          </w14:textFill>
        </w:rPr>
        <w:t>.9化石、文物</w:t>
      </w:r>
      <w:bookmarkEnd w:id="154"/>
    </w:p>
    <w:bookmarkEnd w:id="155"/>
    <w:bookmarkEnd w:id="156"/>
    <w:bookmarkEnd w:id="157"/>
    <w:p w14:paraId="76EFAF2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E4C1F1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发包人、监理人和承包人应按有关政府行政管理部门要求采取妥善的保护措施，由此增加的费用和（或）延误的工期由发包人承担。</w:t>
      </w:r>
    </w:p>
    <w:p w14:paraId="17D611E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承包人发现文物后不及时报告或隐瞒不报，致使文物丢失或损坏的，应赔偿损失，并承担相应的法律责任。</w:t>
      </w:r>
    </w:p>
    <w:p w14:paraId="731BC05E">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58" w:name="_Toc351203505"/>
      <w:r>
        <w:rPr>
          <w:rFonts w:hint="eastAsia" w:ascii="宋体" w:hAnsi="宋体" w:eastAsia="宋体" w:cs="宋体"/>
          <w:b w:val="0"/>
          <w:color w:val="000000" w:themeColor="text1"/>
          <w:sz w:val="24"/>
          <w:szCs w:val="24"/>
          <w:highlight w:val="none"/>
          <w14:textFill>
            <w14:solidFill>
              <w14:schemeClr w14:val="tx1"/>
            </w14:solidFill>
          </w14:textFill>
        </w:rPr>
        <w:t>1</w:t>
      </w:r>
      <w:bookmarkStart w:id="159" w:name="_Toc337558736"/>
      <w:r>
        <w:rPr>
          <w:rFonts w:hint="eastAsia" w:ascii="宋体" w:hAnsi="宋体" w:eastAsia="宋体" w:cs="宋体"/>
          <w:b w:val="0"/>
          <w:color w:val="000000" w:themeColor="text1"/>
          <w:sz w:val="24"/>
          <w:szCs w:val="24"/>
          <w:highlight w:val="none"/>
          <w14:textFill>
            <w14:solidFill>
              <w14:schemeClr w14:val="tx1"/>
            </w14:solidFill>
          </w14:textFill>
        </w:rPr>
        <w:t>.10交通运输</w:t>
      </w:r>
      <w:bookmarkEnd w:id="158"/>
    </w:p>
    <w:bookmarkEnd w:id="159"/>
    <w:p w14:paraId="1EE181B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1.10.1 出入现场的权利</w:t>
      </w:r>
    </w:p>
    <w:p w14:paraId="6A45C81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172B53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6539D5B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1.10.2 场外交通</w:t>
      </w:r>
    </w:p>
    <w:p w14:paraId="7FCED24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B8D7A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1.10.3场内交通</w:t>
      </w:r>
    </w:p>
    <w:p w14:paraId="221520C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83CA36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8F758A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场外交通和场内交通的边界由合同当事人在专用合同条款中约定。</w:t>
      </w:r>
    </w:p>
    <w:p w14:paraId="7326AC8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1.10.4 超大件和超重件的运输</w:t>
      </w:r>
    </w:p>
    <w:p w14:paraId="00F0C82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346CBE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1.10.5 道路和桥梁的损坏责任</w:t>
      </w:r>
    </w:p>
    <w:p w14:paraId="7C13D54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因承包人运输造成施工场地内外公共道路和桥梁损坏的，由承包人承担修复损坏的全部费用和可能引起的赔偿。</w:t>
      </w:r>
    </w:p>
    <w:p w14:paraId="1E67782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1.10.6 水路和航空运输</w:t>
      </w:r>
    </w:p>
    <w:p w14:paraId="26E2086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40B22388">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60" w:name="_Toc351203506"/>
      <w:r>
        <w:rPr>
          <w:rFonts w:hint="eastAsia" w:ascii="宋体" w:hAnsi="宋体" w:eastAsia="宋体" w:cs="宋体"/>
          <w:b w:val="0"/>
          <w:color w:val="000000" w:themeColor="text1"/>
          <w:sz w:val="24"/>
          <w:szCs w:val="24"/>
          <w:highlight w:val="none"/>
          <w14:textFill>
            <w14:solidFill>
              <w14:schemeClr w14:val="tx1"/>
            </w14:solidFill>
          </w14:textFill>
        </w:rPr>
        <w:t>1</w:t>
      </w:r>
      <w:bookmarkStart w:id="161" w:name="_Toc337558737"/>
      <w:bookmarkStart w:id="162" w:name="_Toc296346538"/>
      <w:bookmarkStart w:id="163" w:name="_Toc296503037"/>
      <w:r>
        <w:rPr>
          <w:rFonts w:hint="eastAsia" w:ascii="宋体" w:hAnsi="宋体" w:eastAsia="宋体" w:cs="宋体"/>
          <w:b w:val="0"/>
          <w:color w:val="000000" w:themeColor="text1"/>
          <w:sz w:val="24"/>
          <w:szCs w:val="24"/>
          <w:highlight w:val="none"/>
          <w14:textFill>
            <w14:solidFill>
              <w14:schemeClr w14:val="tx1"/>
            </w14:solidFill>
          </w14:textFill>
        </w:rPr>
        <w:t>.11知识产权</w:t>
      </w:r>
      <w:bookmarkEnd w:id="160"/>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161"/>
    </w:p>
    <w:bookmarkEnd w:id="162"/>
    <w:bookmarkEnd w:id="163"/>
    <w:p w14:paraId="28D9CAC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0D76F0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B67220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08911EF">
      <w:pPr>
        <w:shd w:val="clear"/>
        <w:spacing w:line="312"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1.11.4 除专用合同条款另有约定外，承包人在合同签订前和签订时已确定采用的专利、专有技术、技术秘密的使用费已包含在签约合同价中。</w:t>
      </w:r>
    </w:p>
    <w:p w14:paraId="23553EBF">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64" w:name="_Toc351203507"/>
      <w:r>
        <w:rPr>
          <w:rFonts w:hint="eastAsia" w:ascii="宋体" w:hAnsi="宋体" w:eastAsia="宋体" w:cs="宋体"/>
          <w:b w:val="0"/>
          <w:color w:val="000000" w:themeColor="text1"/>
          <w:sz w:val="24"/>
          <w:szCs w:val="24"/>
          <w:highlight w:val="none"/>
          <w14:textFill>
            <w14:solidFill>
              <w14:schemeClr w14:val="tx1"/>
            </w14:solidFill>
          </w14:textFill>
        </w:rPr>
        <w:t>1</w:t>
      </w:r>
      <w:bookmarkStart w:id="165" w:name="_Toc337558738"/>
      <w:r>
        <w:rPr>
          <w:rFonts w:hint="eastAsia" w:ascii="宋体" w:hAnsi="宋体" w:eastAsia="宋体" w:cs="宋体"/>
          <w:b w:val="0"/>
          <w:color w:val="000000" w:themeColor="text1"/>
          <w:sz w:val="24"/>
          <w:szCs w:val="24"/>
          <w:highlight w:val="none"/>
          <w14:textFill>
            <w14:solidFill>
              <w14:schemeClr w14:val="tx1"/>
            </w14:solidFill>
          </w14:textFill>
        </w:rPr>
        <w:t>.12保密</w:t>
      </w:r>
      <w:bookmarkEnd w:id="164"/>
    </w:p>
    <w:bookmarkEnd w:id="165"/>
    <w:p w14:paraId="536597B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0E12BE8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14:paraId="5023622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66" w:name="_Toc351203508"/>
      <w:r>
        <w:rPr>
          <w:rFonts w:hint="eastAsia" w:ascii="宋体" w:hAnsi="宋体" w:eastAsia="宋体" w:cs="宋体"/>
          <w:b w:val="0"/>
          <w:color w:val="000000" w:themeColor="text1"/>
          <w:sz w:val="24"/>
          <w:szCs w:val="24"/>
          <w:highlight w:val="none"/>
          <w14:textFill>
            <w14:solidFill>
              <w14:schemeClr w14:val="tx1"/>
            </w14:solidFill>
          </w14:textFill>
        </w:rPr>
        <w:t>1.13工程量清单错误的修正</w:t>
      </w:r>
      <w:bookmarkEnd w:id="166"/>
    </w:p>
    <w:p w14:paraId="677A8BF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19B4F34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（1）工程量清单存在缺项、漏项的；</w:t>
      </w:r>
    </w:p>
    <w:p w14:paraId="74FF5A0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（2）工程量清单偏差超出专用合同条款约定的工程量偏差范围的；</w:t>
      </w:r>
    </w:p>
    <w:p w14:paraId="04DBC7E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（3）未按照国家现行计量规范强制性规定计量的。</w:t>
      </w:r>
    </w:p>
    <w:p w14:paraId="4555CAD6">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167" w:name="_Toc351203509"/>
      <w:r>
        <w:rPr>
          <w:rFonts w:hint="eastAsia" w:ascii="宋体" w:hAnsi="宋体" w:eastAsia="宋体" w:cs="宋体"/>
          <w:b w:val="0"/>
          <w:color w:val="000000" w:themeColor="text1"/>
          <w:sz w:val="24"/>
          <w:szCs w:val="24"/>
          <w:highlight w:val="none"/>
          <w14:textFill>
            <w14:solidFill>
              <w14:schemeClr w14:val="tx1"/>
            </w14:solidFill>
          </w14:textFill>
        </w:rPr>
        <w:t>2</w:t>
      </w:r>
      <w:bookmarkStart w:id="168" w:name="_Toc296346539"/>
      <w:bookmarkStart w:id="169" w:name="_Toc337558739"/>
      <w:bookmarkStart w:id="170" w:name="_Toc296503038"/>
      <w:bookmarkStart w:id="171" w:name="OLE_LINK1"/>
      <w:bookmarkStart w:id="172" w:name="OLE_LINK2"/>
      <w:r>
        <w:rPr>
          <w:rFonts w:hint="eastAsia" w:ascii="宋体" w:hAnsi="宋体" w:eastAsia="宋体" w:cs="宋体"/>
          <w:b w:val="0"/>
          <w:color w:val="000000" w:themeColor="text1"/>
          <w:sz w:val="24"/>
          <w:szCs w:val="24"/>
          <w:highlight w:val="none"/>
          <w14:textFill>
            <w14:solidFill>
              <w14:schemeClr w14:val="tx1"/>
            </w14:solidFill>
          </w14:textFill>
        </w:rPr>
        <w:t>. 发包人</w:t>
      </w:r>
      <w:bookmarkEnd w:id="167"/>
    </w:p>
    <w:bookmarkEnd w:id="168"/>
    <w:bookmarkEnd w:id="169"/>
    <w:bookmarkEnd w:id="170"/>
    <w:p w14:paraId="297689AE">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73" w:name="_Toc351203510"/>
      <w:r>
        <w:rPr>
          <w:rFonts w:hint="eastAsia" w:ascii="宋体" w:hAnsi="宋体" w:eastAsia="宋体" w:cs="宋体"/>
          <w:b w:val="0"/>
          <w:color w:val="000000" w:themeColor="text1"/>
          <w:sz w:val="24"/>
          <w:szCs w:val="24"/>
          <w:highlight w:val="none"/>
          <w14:textFill>
            <w14:solidFill>
              <w14:schemeClr w14:val="tx1"/>
            </w14:solidFill>
          </w14:textFill>
        </w:rPr>
        <w:t>2</w:t>
      </w:r>
      <w:bookmarkStart w:id="174" w:name="_Toc337558740"/>
      <w:bookmarkStart w:id="175" w:name="_Toc296503039"/>
      <w:bookmarkStart w:id="176" w:name="_Toc296346540"/>
      <w:r>
        <w:rPr>
          <w:rFonts w:hint="eastAsia" w:ascii="宋体" w:hAnsi="宋体" w:eastAsia="宋体" w:cs="宋体"/>
          <w:b w:val="0"/>
          <w:color w:val="000000" w:themeColor="text1"/>
          <w:sz w:val="24"/>
          <w:szCs w:val="24"/>
          <w:highlight w:val="none"/>
          <w14:textFill>
            <w14:solidFill>
              <w14:schemeClr w14:val="tx1"/>
            </w14:solidFill>
          </w14:textFill>
        </w:rPr>
        <w:t>.1 许可或批准</w:t>
      </w:r>
      <w:bookmarkEnd w:id="173"/>
    </w:p>
    <w:p w14:paraId="6509011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8B2F95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因发包人原因未能及时办理完毕前述许可、批准或备案，由发包人承担由此增加的费用和（或）延误的工期，并支付承包人合理的利润。</w:t>
      </w:r>
    </w:p>
    <w:p w14:paraId="5C5443E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77" w:name="_Toc351203511"/>
      <w:r>
        <w:rPr>
          <w:rFonts w:hint="eastAsia" w:ascii="宋体" w:hAnsi="宋体" w:eastAsia="宋体" w:cs="宋体"/>
          <w:b w:val="0"/>
          <w:color w:val="000000" w:themeColor="text1"/>
          <w:sz w:val="24"/>
          <w:szCs w:val="24"/>
          <w:highlight w:val="none"/>
          <w14:textFill>
            <w14:solidFill>
              <w14:schemeClr w14:val="tx1"/>
            </w14:solidFill>
          </w14:textFill>
        </w:rPr>
        <w:t>2.2 发包人代表</w:t>
      </w:r>
      <w:bookmarkEnd w:id="177"/>
    </w:p>
    <w:p w14:paraId="4E82CF6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4A7E9BD">
      <w:pPr>
        <w:shd w:val="clear"/>
        <w:spacing w:line="312"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发包人代表不能按照合同约定履行其职责及义务，并导致合同无法继续正常履行的，承包人可以要求发包人撤换发包人代表。</w:t>
      </w:r>
    </w:p>
    <w:p w14:paraId="0EDF77EB">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不属于法定必须监理的工程，监理人的职权可以由发包人代表或发包人指定的其他人员行使。</w:t>
      </w:r>
    </w:p>
    <w:p w14:paraId="7928023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78" w:name="_Toc351203512"/>
      <w:r>
        <w:rPr>
          <w:rFonts w:hint="eastAsia" w:ascii="宋体" w:hAnsi="宋体" w:eastAsia="宋体" w:cs="宋体"/>
          <w:b w:val="0"/>
          <w:color w:val="000000" w:themeColor="text1"/>
          <w:sz w:val="24"/>
          <w:szCs w:val="24"/>
          <w:highlight w:val="none"/>
          <w14:textFill>
            <w14:solidFill>
              <w14:schemeClr w14:val="tx1"/>
            </w14:solidFill>
          </w14:textFill>
        </w:rPr>
        <w:t>2.3 发包人人员</w:t>
      </w:r>
      <w:bookmarkEnd w:id="178"/>
    </w:p>
    <w:p w14:paraId="7259234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286B46AB">
      <w:pPr>
        <w:shd w:val="clear"/>
        <w:spacing w:line="312" w:lineRule="auto"/>
        <w:ind w:firstLine="64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发包人人员包括发包人代表及其他由发包人派驻施工现场的人员。</w:t>
      </w:r>
      <w:bookmarkEnd w:id="174"/>
      <w:bookmarkEnd w:id="175"/>
      <w:bookmarkEnd w:id="176"/>
    </w:p>
    <w:p w14:paraId="0B15C67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79" w:name="_Toc351203513"/>
      <w:r>
        <w:rPr>
          <w:rFonts w:hint="eastAsia" w:ascii="宋体" w:hAnsi="宋体" w:eastAsia="宋体" w:cs="宋体"/>
          <w:b w:val="0"/>
          <w:color w:val="000000" w:themeColor="text1"/>
          <w:sz w:val="24"/>
          <w:szCs w:val="24"/>
          <w:highlight w:val="none"/>
          <w14:textFill>
            <w14:solidFill>
              <w14:schemeClr w14:val="tx1"/>
            </w14:solidFill>
          </w14:textFill>
        </w:rPr>
        <w:t>2</w:t>
      </w:r>
      <w:bookmarkStart w:id="180" w:name="_Toc337558741"/>
      <w:bookmarkStart w:id="181" w:name="_Toc296346541"/>
      <w:bookmarkStart w:id="182" w:name="_Toc296503040"/>
      <w:r>
        <w:rPr>
          <w:rFonts w:hint="eastAsia" w:ascii="宋体" w:hAnsi="宋体" w:eastAsia="宋体" w:cs="宋体"/>
          <w:b w:val="0"/>
          <w:color w:val="000000" w:themeColor="text1"/>
          <w:sz w:val="24"/>
          <w:szCs w:val="24"/>
          <w:highlight w:val="none"/>
          <w14:textFill>
            <w14:solidFill>
              <w14:schemeClr w14:val="tx1"/>
            </w14:solidFill>
          </w14:textFill>
        </w:rPr>
        <w:t>.4 施工现场、施工条件和基础资料的提供</w:t>
      </w:r>
      <w:bookmarkEnd w:id="179"/>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180"/>
      <w:bookmarkEnd w:id="181"/>
      <w:bookmarkEnd w:id="182"/>
      <w:r>
        <w:rPr>
          <w:rFonts w:hint="eastAsia" w:ascii="宋体" w:hAnsi="宋体" w:eastAsia="宋体" w:cs="宋体"/>
          <w:b w:val="0"/>
          <w:color w:val="000000" w:themeColor="text1"/>
          <w:sz w:val="24"/>
          <w:szCs w:val="24"/>
          <w:highlight w:val="none"/>
          <w14:textFill>
            <w14:solidFill>
              <w14:schemeClr w14:val="tx1"/>
            </w14:solidFill>
          </w14:textFill>
        </w:rPr>
        <w:t xml:space="preserve"> </w:t>
      </w:r>
    </w:p>
    <w:p w14:paraId="4E87FCE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2.4.1 提供施工现场</w:t>
      </w:r>
    </w:p>
    <w:p w14:paraId="2BD2A09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w:t>
      </w:r>
      <w:bookmarkEnd w:id="171"/>
      <w:bookmarkEnd w:id="172"/>
      <w:r>
        <w:rPr>
          <w:rFonts w:hint="eastAsia" w:ascii="宋体" w:hAnsi="宋体" w:eastAsia="宋体" w:cs="宋体"/>
          <w:color w:val="000000" w:themeColor="text1"/>
          <w:kern w:val="0"/>
          <w:sz w:val="24"/>
          <w:highlight w:val="none"/>
          <w14:textFill>
            <w14:solidFill>
              <w14:schemeClr w14:val="tx1"/>
            </w14:solidFill>
          </w14:textFill>
        </w:rPr>
        <w:t>专用合同条款另有约定外，发包人应最迟于开工日期7天前向承包人移交施工现场。</w:t>
      </w:r>
    </w:p>
    <w:p w14:paraId="1F0B835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2.4.2 提供施工条件</w:t>
      </w:r>
    </w:p>
    <w:p w14:paraId="6E2A2F0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除专用合同条款另有约定外，发包人应负责提供施工所需要的条件，包括：</w:t>
      </w:r>
    </w:p>
    <w:p w14:paraId="4063480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（1）将施工用水、电力、通讯线路等施工所必需的条件接至施工现场内；</w:t>
      </w:r>
    </w:p>
    <w:p w14:paraId="55C25D4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（2）保证向承包人提供正常施工所需要的进入施工现场的交通条件；</w:t>
      </w:r>
    </w:p>
    <w:p w14:paraId="6B97E74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（3）协调处理施工现场周围地下管线和邻近建筑物、构筑物、古树名木的保护工作，并承担相关费用；</w:t>
      </w:r>
    </w:p>
    <w:p w14:paraId="203A1EF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（4）按照专用合同条款约定应提供的其他设施和条件。</w:t>
      </w:r>
    </w:p>
    <w:p w14:paraId="0F96F044">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2.4.3 提供基础资料</w:t>
      </w:r>
    </w:p>
    <w:p w14:paraId="0382AA2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5D062B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2C4BCC3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2.4.4 逾期提供的责任</w:t>
      </w:r>
    </w:p>
    <w:p w14:paraId="2D57069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因发包人原因未能按合同约定及时向承包人提供施工现场、施工条件、基础资料的，由发包人承担由此增加的费用和（或）延误的工期。</w:t>
      </w:r>
    </w:p>
    <w:p w14:paraId="0B8796D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83" w:name="_Toc351203514"/>
      <w:r>
        <w:rPr>
          <w:rFonts w:hint="eastAsia" w:ascii="宋体" w:hAnsi="宋体" w:eastAsia="宋体" w:cs="宋体"/>
          <w:b w:val="0"/>
          <w:color w:val="000000" w:themeColor="text1"/>
          <w:sz w:val="24"/>
          <w:szCs w:val="24"/>
          <w:highlight w:val="none"/>
          <w14:textFill>
            <w14:solidFill>
              <w14:schemeClr w14:val="tx1"/>
            </w14:solidFill>
          </w14:textFill>
        </w:rPr>
        <w:t>2</w:t>
      </w:r>
      <w:bookmarkStart w:id="184" w:name="_Toc296346543"/>
      <w:bookmarkStart w:id="185" w:name="_Toc296503042"/>
      <w:bookmarkStart w:id="186" w:name="_Toc337558745"/>
      <w:r>
        <w:rPr>
          <w:rFonts w:hint="eastAsia" w:ascii="宋体" w:hAnsi="宋体" w:eastAsia="宋体" w:cs="宋体"/>
          <w:b w:val="0"/>
          <w:color w:val="000000" w:themeColor="text1"/>
          <w:sz w:val="24"/>
          <w:szCs w:val="24"/>
          <w:highlight w:val="none"/>
          <w14:textFill>
            <w14:solidFill>
              <w14:schemeClr w14:val="tx1"/>
            </w14:solidFill>
          </w14:textFill>
        </w:rPr>
        <w:t>.5 资</w:t>
      </w:r>
      <w:bookmarkEnd w:id="184"/>
      <w:bookmarkEnd w:id="185"/>
      <w:bookmarkEnd w:id="186"/>
      <w:r>
        <w:rPr>
          <w:rFonts w:hint="eastAsia" w:ascii="宋体" w:hAnsi="宋体" w:eastAsia="宋体" w:cs="宋体"/>
          <w:b w:val="0"/>
          <w:color w:val="000000" w:themeColor="text1"/>
          <w:sz w:val="24"/>
          <w:szCs w:val="24"/>
          <w:highlight w:val="none"/>
          <w14:textFill>
            <w14:solidFill>
              <w14:schemeClr w14:val="tx1"/>
            </w14:solidFill>
          </w14:textFill>
        </w:rPr>
        <w:t>金来源证明及支付担保</w:t>
      </w:r>
      <w:bookmarkEnd w:id="183"/>
    </w:p>
    <w:p w14:paraId="14E9DCB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54B0F0F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25525AB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87" w:name="_Toc351203515"/>
      <w:r>
        <w:rPr>
          <w:rFonts w:hint="eastAsia" w:ascii="宋体" w:hAnsi="宋体" w:eastAsia="宋体" w:cs="宋体"/>
          <w:b w:val="0"/>
          <w:color w:val="000000" w:themeColor="text1"/>
          <w:sz w:val="24"/>
          <w:szCs w:val="24"/>
          <w:highlight w:val="none"/>
          <w14:textFill>
            <w14:solidFill>
              <w14:schemeClr w14:val="tx1"/>
            </w14:solidFill>
          </w14:textFill>
        </w:rPr>
        <w:t>2.6 支付合同价款</w:t>
      </w:r>
      <w:bookmarkEnd w:id="187"/>
    </w:p>
    <w:p w14:paraId="5E761D2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发包人应按合同约定向承包人及时支付合同价款。</w:t>
      </w:r>
    </w:p>
    <w:p w14:paraId="59A4731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88" w:name="_Toc351203516"/>
      <w:r>
        <w:rPr>
          <w:rFonts w:hint="eastAsia" w:ascii="宋体" w:hAnsi="宋体" w:eastAsia="宋体" w:cs="宋体"/>
          <w:b w:val="0"/>
          <w:color w:val="000000" w:themeColor="text1"/>
          <w:sz w:val="24"/>
          <w:szCs w:val="24"/>
          <w:highlight w:val="none"/>
          <w14:textFill>
            <w14:solidFill>
              <w14:schemeClr w14:val="tx1"/>
            </w14:solidFill>
          </w14:textFill>
        </w:rPr>
        <w:t>2.7 组织竣工验收</w:t>
      </w:r>
      <w:bookmarkEnd w:id="188"/>
    </w:p>
    <w:p w14:paraId="6C0C340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发包人应按合同约定及时组织竣工验收。</w:t>
      </w:r>
    </w:p>
    <w:p w14:paraId="6B562EC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89" w:name="_Toc351203517"/>
      <w:r>
        <w:rPr>
          <w:rFonts w:hint="eastAsia" w:ascii="宋体" w:hAnsi="宋体" w:eastAsia="宋体" w:cs="宋体"/>
          <w:b w:val="0"/>
          <w:color w:val="000000" w:themeColor="text1"/>
          <w:sz w:val="24"/>
          <w:szCs w:val="24"/>
          <w:highlight w:val="none"/>
          <w14:textFill>
            <w14:solidFill>
              <w14:schemeClr w14:val="tx1"/>
            </w14:solidFill>
          </w14:textFill>
        </w:rPr>
        <w:t>2.8 现场统一管理协议</w:t>
      </w:r>
      <w:bookmarkEnd w:id="189"/>
    </w:p>
    <w:p w14:paraId="3ACBDFE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68C5EED2">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190" w:name="_Toc351203518"/>
      <w:r>
        <w:rPr>
          <w:rFonts w:hint="eastAsia" w:ascii="宋体" w:hAnsi="宋体" w:eastAsia="宋体" w:cs="宋体"/>
          <w:b w:val="0"/>
          <w:color w:val="000000" w:themeColor="text1"/>
          <w:sz w:val="24"/>
          <w:szCs w:val="24"/>
          <w:highlight w:val="none"/>
          <w14:textFill>
            <w14:solidFill>
              <w14:schemeClr w14:val="tx1"/>
            </w14:solidFill>
          </w14:textFill>
        </w:rPr>
        <w:t>3</w:t>
      </w:r>
      <w:bookmarkStart w:id="191" w:name="_Toc296503045"/>
      <w:bookmarkStart w:id="192" w:name="_Toc296346546"/>
      <w:bookmarkStart w:id="193" w:name="_Toc337558746"/>
      <w:r>
        <w:rPr>
          <w:rFonts w:hint="eastAsia" w:ascii="宋体" w:hAnsi="宋体" w:eastAsia="宋体" w:cs="宋体"/>
          <w:b w:val="0"/>
          <w:color w:val="000000" w:themeColor="text1"/>
          <w:sz w:val="24"/>
          <w:szCs w:val="24"/>
          <w:highlight w:val="none"/>
          <w14:textFill>
            <w14:solidFill>
              <w14:schemeClr w14:val="tx1"/>
            </w14:solidFill>
          </w14:textFill>
        </w:rPr>
        <w:t>. 承包人</w:t>
      </w:r>
      <w:bookmarkEnd w:id="190"/>
    </w:p>
    <w:bookmarkEnd w:id="191"/>
    <w:bookmarkEnd w:id="192"/>
    <w:bookmarkEnd w:id="193"/>
    <w:p w14:paraId="67CE2FA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94" w:name="_Toc351203519"/>
      <w:r>
        <w:rPr>
          <w:rFonts w:hint="eastAsia" w:ascii="宋体" w:hAnsi="宋体" w:eastAsia="宋体" w:cs="宋体"/>
          <w:b w:val="0"/>
          <w:color w:val="000000" w:themeColor="text1"/>
          <w:sz w:val="24"/>
          <w:szCs w:val="24"/>
          <w:highlight w:val="none"/>
          <w14:textFill>
            <w14:solidFill>
              <w14:schemeClr w14:val="tx1"/>
            </w14:solidFill>
          </w14:textFill>
        </w:rPr>
        <w:t>3</w:t>
      </w:r>
      <w:bookmarkStart w:id="195" w:name="_Toc296346547"/>
      <w:bookmarkStart w:id="196" w:name="_Toc296503046"/>
      <w:bookmarkStart w:id="197" w:name="_Toc337558747"/>
      <w:r>
        <w:rPr>
          <w:rFonts w:hint="eastAsia" w:ascii="宋体" w:hAnsi="宋体" w:eastAsia="宋体" w:cs="宋体"/>
          <w:b w:val="0"/>
          <w:color w:val="000000" w:themeColor="text1"/>
          <w:sz w:val="24"/>
          <w:szCs w:val="24"/>
          <w:highlight w:val="none"/>
          <w14:textFill>
            <w14:solidFill>
              <w14:schemeClr w14:val="tx1"/>
            </w14:solidFill>
          </w14:textFill>
        </w:rPr>
        <w:t>.1 承包人的一般义务</w:t>
      </w:r>
      <w:bookmarkEnd w:id="194"/>
    </w:p>
    <w:bookmarkEnd w:id="195"/>
    <w:bookmarkEnd w:id="196"/>
    <w:bookmarkEnd w:id="197"/>
    <w:p w14:paraId="76C24BD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承包人在履行合同过程中应遵守法律和工程建设标准规范，并履行以下义务：</w:t>
      </w:r>
    </w:p>
    <w:p w14:paraId="0E75E676">
      <w:pPr>
        <w:numPr>
          <w:ilvl w:val="0"/>
          <w:numId w:val="5"/>
        </w:num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办理法律规定应由承包人办理的许可和批准，并将办理结果书面报送发包人留存；</w:t>
      </w:r>
    </w:p>
    <w:p w14:paraId="06FABC8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（2）按法律规定和合同约定完成工程，并在保修期内承担保修义务；</w:t>
      </w:r>
    </w:p>
    <w:p w14:paraId="2CEF715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（3）按法律规定和合同约定采取施工安全和环境保护措施，办理工伤保险，确保工程及人员、材料、设备和设施的安全；</w:t>
      </w:r>
    </w:p>
    <w:p w14:paraId="7727A4F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14:paraId="76CAD6F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9A573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（6）按照第6.3款〔环境保护〕约定负责施工场地及其周边环境与生态的保护工作；</w:t>
      </w:r>
    </w:p>
    <w:p w14:paraId="3940DE9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（7）按第6.1款〔安全文明施工〕约定采取施工安全措施，确保工程及其人员、材料、设备和设施的安全，防止因工程施工造成的人身伤害和财产损失；</w:t>
      </w:r>
    </w:p>
    <w:p w14:paraId="5223C69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（8）将发包人按合同约定支付的各项价款专用于合同工程，且应及时支付其雇用人员工资，并及时向分包人支付合同价款；</w:t>
      </w:r>
    </w:p>
    <w:p w14:paraId="03A87F9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14:paraId="3055B3C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（10）应履行的其他义务。</w:t>
      </w:r>
    </w:p>
    <w:p w14:paraId="243E447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198" w:name="_Toc351203520"/>
      <w:r>
        <w:rPr>
          <w:rFonts w:hint="eastAsia" w:ascii="宋体" w:hAnsi="宋体" w:eastAsia="宋体" w:cs="宋体"/>
          <w:b w:val="0"/>
          <w:color w:val="000000" w:themeColor="text1"/>
          <w:sz w:val="24"/>
          <w:szCs w:val="24"/>
          <w:highlight w:val="none"/>
          <w14:textFill>
            <w14:solidFill>
              <w14:schemeClr w14:val="tx1"/>
            </w14:solidFill>
          </w14:textFill>
        </w:rPr>
        <w:t>3</w:t>
      </w:r>
      <w:bookmarkStart w:id="199" w:name="_Toc337558748"/>
      <w:bookmarkStart w:id="200" w:name="_Toc296346548"/>
      <w:bookmarkStart w:id="201" w:name="_Toc296503047"/>
      <w:r>
        <w:rPr>
          <w:rFonts w:hint="eastAsia" w:ascii="宋体" w:hAnsi="宋体" w:eastAsia="宋体" w:cs="宋体"/>
          <w:b w:val="0"/>
          <w:color w:val="000000" w:themeColor="text1"/>
          <w:sz w:val="24"/>
          <w:szCs w:val="24"/>
          <w:highlight w:val="none"/>
          <w14:textFill>
            <w14:solidFill>
              <w14:schemeClr w14:val="tx1"/>
            </w14:solidFill>
          </w14:textFill>
        </w:rPr>
        <w:t xml:space="preserve">.2 </w:t>
      </w:r>
      <w:bookmarkEnd w:id="198"/>
      <w:r>
        <w:rPr>
          <w:rFonts w:hint="eastAsia" w:ascii="宋体" w:hAnsi="宋体" w:eastAsia="宋体" w:cs="宋体"/>
          <w:b w:val="0"/>
          <w:color w:val="000000" w:themeColor="text1"/>
          <w:sz w:val="24"/>
          <w:szCs w:val="24"/>
          <w:highlight w:val="none"/>
          <w14:textFill>
            <w14:solidFill>
              <w14:schemeClr w14:val="tx1"/>
            </w14:solidFill>
          </w14:textFill>
        </w:rPr>
        <w:t>项目经理</w:t>
      </w:r>
    </w:p>
    <w:bookmarkEnd w:id="199"/>
    <w:bookmarkEnd w:id="200"/>
    <w:bookmarkEnd w:id="201"/>
    <w:p w14:paraId="048C627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18013B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CCF984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承包人违反上述约定的，应按照专用合同条款的约定，承担违约责任。</w:t>
      </w:r>
    </w:p>
    <w:p w14:paraId="42A4A8D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B6F3EE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59B1C5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A35B70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6D68E118">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02" w:name="_Toc351203521"/>
      <w:r>
        <w:rPr>
          <w:rFonts w:hint="eastAsia" w:ascii="宋体" w:hAnsi="宋体" w:eastAsia="宋体" w:cs="宋体"/>
          <w:b w:val="0"/>
          <w:color w:val="000000" w:themeColor="text1"/>
          <w:sz w:val="24"/>
          <w:szCs w:val="24"/>
          <w:highlight w:val="none"/>
          <w14:textFill>
            <w14:solidFill>
              <w14:schemeClr w14:val="tx1"/>
            </w14:solidFill>
          </w14:textFill>
        </w:rPr>
        <w:t>3</w:t>
      </w:r>
      <w:bookmarkStart w:id="203" w:name="_Toc296346549"/>
      <w:bookmarkStart w:id="204" w:name="_Toc296503048"/>
      <w:bookmarkStart w:id="205" w:name="_Toc337558749"/>
      <w:r>
        <w:rPr>
          <w:rFonts w:hint="eastAsia" w:ascii="宋体" w:hAnsi="宋体" w:eastAsia="宋体" w:cs="宋体"/>
          <w:b w:val="0"/>
          <w:color w:val="000000" w:themeColor="text1"/>
          <w:sz w:val="24"/>
          <w:szCs w:val="24"/>
          <w:highlight w:val="none"/>
          <w14:textFill>
            <w14:solidFill>
              <w14:schemeClr w14:val="tx1"/>
            </w14:solidFill>
          </w14:textFill>
        </w:rPr>
        <w:t xml:space="preserve">.3 </w:t>
      </w:r>
      <w:bookmarkEnd w:id="203"/>
      <w:bookmarkEnd w:id="204"/>
      <w:r>
        <w:rPr>
          <w:rFonts w:hint="eastAsia" w:ascii="宋体" w:hAnsi="宋体" w:eastAsia="宋体" w:cs="宋体"/>
          <w:b w:val="0"/>
          <w:color w:val="000000" w:themeColor="text1"/>
          <w:sz w:val="24"/>
          <w:szCs w:val="24"/>
          <w:highlight w:val="none"/>
          <w14:textFill>
            <w14:solidFill>
              <w14:schemeClr w14:val="tx1"/>
            </w14:solidFill>
          </w14:textFill>
        </w:rPr>
        <w:t>承包人人员</w:t>
      </w:r>
      <w:bookmarkEnd w:id="202"/>
    </w:p>
    <w:bookmarkEnd w:id="205"/>
    <w:p w14:paraId="35EB988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BC0038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F04973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特殊工种作业人员均应持有相应的资格证明，监理人可以随时检查。</w:t>
      </w:r>
    </w:p>
    <w:p w14:paraId="7A4A495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7A28BD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72E3B7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3.3.5 承包人擅自更换主要施工管理人员，或前述人员未经监理人或发包人同意擅自离开施工现场的，应按照专用合同条款约定承担违约责任。</w:t>
      </w:r>
    </w:p>
    <w:p w14:paraId="52B4DE2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06" w:name="_Toc351203522"/>
      <w:r>
        <w:rPr>
          <w:rFonts w:hint="eastAsia" w:ascii="宋体" w:hAnsi="宋体" w:eastAsia="宋体" w:cs="宋体"/>
          <w:b w:val="0"/>
          <w:color w:val="000000" w:themeColor="text1"/>
          <w:sz w:val="24"/>
          <w:szCs w:val="24"/>
          <w:highlight w:val="none"/>
          <w14:textFill>
            <w14:solidFill>
              <w14:schemeClr w14:val="tx1"/>
            </w14:solidFill>
          </w14:textFill>
        </w:rPr>
        <w:t>3</w:t>
      </w:r>
      <w:bookmarkStart w:id="207" w:name="_Toc296346551"/>
      <w:bookmarkStart w:id="208" w:name="_Toc296503050"/>
      <w:bookmarkStart w:id="209" w:name="_Toc337558750"/>
      <w:r>
        <w:rPr>
          <w:rFonts w:hint="eastAsia" w:ascii="宋体" w:hAnsi="宋体" w:eastAsia="宋体" w:cs="宋体"/>
          <w:b w:val="0"/>
          <w:color w:val="000000" w:themeColor="text1"/>
          <w:sz w:val="24"/>
          <w:szCs w:val="24"/>
          <w:highlight w:val="none"/>
          <w14:textFill>
            <w14:solidFill>
              <w14:schemeClr w14:val="tx1"/>
            </w14:solidFill>
          </w14:textFill>
        </w:rPr>
        <w:t>.4 承包人现场查勘</w:t>
      </w:r>
      <w:bookmarkEnd w:id="206"/>
    </w:p>
    <w:bookmarkEnd w:id="207"/>
    <w:bookmarkEnd w:id="208"/>
    <w:bookmarkEnd w:id="209"/>
    <w:p w14:paraId="780070CD">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5176795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FF2A2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10" w:name="_Toc351203523"/>
      <w:r>
        <w:rPr>
          <w:rFonts w:hint="eastAsia" w:ascii="宋体" w:hAnsi="宋体" w:eastAsia="宋体" w:cs="宋体"/>
          <w:b w:val="0"/>
          <w:color w:val="000000" w:themeColor="text1"/>
          <w:sz w:val="24"/>
          <w:szCs w:val="24"/>
          <w:highlight w:val="none"/>
          <w14:textFill>
            <w14:solidFill>
              <w14:schemeClr w14:val="tx1"/>
            </w14:solidFill>
          </w14:textFill>
        </w:rPr>
        <w:t>3</w:t>
      </w:r>
      <w:bookmarkStart w:id="211" w:name="_Toc296346552"/>
      <w:bookmarkStart w:id="212" w:name="_Toc337558751"/>
      <w:bookmarkStart w:id="213" w:name="_Toc296503051"/>
      <w:r>
        <w:rPr>
          <w:rFonts w:hint="eastAsia" w:ascii="宋体" w:hAnsi="宋体" w:eastAsia="宋体" w:cs="宋体"/>
          <w:b w:val="0"/>
          <w:color w:val="000000" w:themeColor="text1"/>
          <w:sz w:val="24"/>
          <w:szCs w:val="24"/>
          <w:highlight w:val="none"/>
          <w14:textFill>
            <w14:solidFill>
              <w14:schemeClr w14:val="tx1"/>
            </w14:solidFill>
          </w14:textFill>
        </w:rPr>
        <w:t>.5 分包</w:t>
      </w:r>
      <w:bookmarkEnd w:id="210"/>
    </w:p>
    <w:bookmarkEnd w:id="211"/>
    <w:bookmarkEnd w:id="212"/>
    <w:bookmarkEnd w:id="213"/>
    <w:p w14:paraId="0482DF8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3.5.1 分包的一般约定</w:t>
      </w:r>
    </w:p>
    <w:p w14:paraId="2E5EADA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20AF72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承包人不得以劳务分包的名义转包或违法分包工程。</w:t>
      </w:r>
    </w:p>
    <w:p w14:paraId="6152C1A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3.5.2 分包的确定</w:t>
      </w:r>
    </w:p>
    <w:p w14:paraId="76A2F37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C5C6FB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3.5.3 分包管理</w:t>
      </w:r>
    </w:p>
    <w:p w14:paraId="18E9FAC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1C08623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3.5.4 分包合同价款</w:t>
      </w:r>
    </w:p>
    <w:p w14:paraId="4053359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150915C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（2）生效法律文书要求发包人向分包人支付分包合同价款的，发包人有权从应付承包人工程款中扣除该部分款项。</w:t>
      </w:r>
    </w:p>
    <w:p w14:paraId="468DD99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3.5.5 分包合同权益的转让</w:t>
      </w:r>
    </w:p>
    <w:p w14:paraId="1D920EA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4" w:name="_Toc351203524"/>
    </w:p>
    <w:p w14:paraId="538041E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3.6 工程照管与成品、半成品保护</w:t>
      </w:r>
      <w:bookmarkEnd w:id="214"/>
    </w:p>
    <w:p w14:paraId="1AFF142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590AD65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（2）在承包人负责照管期间，因承包人原因造成工程、材料、工程设备损坏的，由承包人负责修复或更换，并承担由此增加的费用和（或）延误的工期。</w:t>
      </w:r>
    </w:p>
    <w:p w14:paraId="15FDF57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6423E90F">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15" w:name="_Toc351203525"/>
      <w:r>
        <w:rPr>
          <w:rFonts w:hint="eastAsia" w:ascii="宋体" w:hAnsi="宋体" w:eastAsia="宋体" w:cs="宋体"/>
          <w:b w:val="0"/>
          <w:color w:val="000000" w:themeColor="text1"/>
          <w:sz w:val="24"/>
          <w:szCs w:val="24"/>
          <w:highlight w:val="none"/>
          <w14:textFill>
            <w14:solidFill>
              <w14:schemeClr w14:val="tx1"/>
            </w14:solidFill>
          </w14:textFill>
        </w:rPr>
        <w:t>3</w:t>
      </w:r>
      <w:bookmarkStart w:id="216" w:name="_Toc296346553"/>
      <w:bookmarkStart w:id="217" w:name="_Toc337558752"/>
      <w:bookmarkStart w:id="218" w:name="_Toc296503052"/>
      <w:r>
        <w:rPr>
          <w:rFonts w:hint="eastAsia" w:ascii="宋体" w:hAnsi="宋体" w:eastAsia="宋体" w:cs="宋体"/>
          <w:b w:val="0"/>
          <w:color w:val="000000" w:themeColor="text1"/>
          <w:sz w:val="24"/>
          <w:szCs w:val="24"/>
          <w:highlight w:val="none"/>
          <w14:textFill>
            <w14:solidFill>
              <w14:schemeClr w14:val="tx1"/>
            </w14:solidFill>
          </w14:textFill>
        </w:rPr>
        <w:t>.7 履约担保</w:t>
      </w:r>
      <w:bookmarkEnd w:id="215"/>
    </w:p>
    <w:bookmarkEnd w:id="216"/>
    <w:bookmarkEnd w:id="217"/>
    <w:bookmarkEnd w:id="218"/>
    <w:p w14:paraId="1E7B6CB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1300C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43D13993">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19" w:name="_Toc351203526"/>
      <w:r>
        <w:rPr>
          <w:rFonts w:hint="eastAsia" w:ascii="宋体" w:hAnsi="宋体" w:eastAsia="宋体" w:cs="宋体"/>
          <w:b w:val="0"/>
          <w:color w:val="000000" w:themeColor="text1"/>
          <w:sz w:val="24"/>
          <w:szCs w:val="24"/>
          <w:highlight w:val="none"/>
          <w14:textFill>
            <w14:solidFill>
              <w14:schemeClr w14:val="tx1"/>
            </w14:solidFill>
          </w14:textFill>
        </w:rPr>
        <w:t>3.8 联合体</w:t>
      </w:r>
      <w:bookmarkEnd w:id="219"/>
    </w:p>
    <w:p w14:paraId="6C38155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3.8.1 联合体各方应共同与发包人签订合同协议书。联合体各方应为履行合同向发包人承担连带责任。</w:t>
      </w:r>
    </w:p>
    <w:p w14:paraId="341D978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3.8.2 联合体协议经发包人确认后作为合同附件。在履行合同过程中，未经发包人同意，不得修改联合体协议。</w:t>
      </w:r>
    </w:p>
    <w:p w14:paraId="291965C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3.8.3 联合体牵头人负责与发包人和监理人联系，并接受指示，负责组织联合体各成员全面履行合同。</w:t>
      </w:r>
    </w:p>
    <w:p w14:paraId="57DCA528">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220" w:name="_Toc351203527"/>
      <w:r>
        <w:rPr>
          <w:rFonts w:hint="eastAsia" w:ascii="宋体" w:hAnsi="宋体" w:eastAsia="宋体" w:cs="宋体"/>
          <w:b w:val="0"/>
          <w:color w:val="000000" w:themeColor="text1"/>
          <w:sz w:val="24"/>
          <w:szCs w:val="24"/>
          <w:highlight w:val="none"/>
          <w14:textFill>
            <w14:solidFill>
              <w14:schemeClr w14:val="tx1"/>
            </w14:solidFill>
          </w14:textFill>
        </w:rPr>
        <w:t>4</w:t>
      </w:r>
      <w:bookmarkStart w:id="221" w:name="_Toc296503053"/>
      <w:bookmarkStart w:id="222" w:name="_Toc296346554"/>
      <w:bookmarkStart w:id="223" w:name="_Toc337558753"/>
      <w:r>
        <w:rPr>
          <w:rFonts w:hint="eastAsia" w:ascii="宋体" w:hAnsi="宋体" w:eastAsia="宋体" w:cs="宋体"/>
          <w:b w:val="0"/>
          <w:color w:val="000000" w:themeColor="text1"/>
          <w:sz w:val="24"/>
          <w:szCs w:val="24"/>
          <w:highlight w:val="none"/>
          <w14:textFill>
            <w14:solidFill>
              <w14:schemeClr w14:val="tx1"/>
            </w14:solidFill>
          </w14:textFill>
        </w:rPr>
        <w:t>. 监</w:t>
      </w:r>
      <w:bookmarkEnd w:id="221"/>
      <w:bookmarkEnd w:id="222"/>
      <w:r>
        <w:rPr>
          <w:rFonts w:hint="eastAsia" w:ascii="宋体" w:hAnsi="宋体" w:eastAsia="宋体" w:cs="宋体"/>
          <w:b w:val="0"/>
          <w:color w:val="000000" w:themeColor="text1"/>
          <w:sz w:val="24"/>
          <w:szCs w:val="24"/>
          <w:highlight w:val="none"/>
          <w14:textFill>
            <w14:solidFill>
              <w14:schemeClr w14:val="tx1"/>
            </w14:solidFill>
          </w14:textFill>
        </w:rPr>
        <w:t>理人</w:t>
      </w:r>
      <w:bookmarkEnd w:id="220"/>
    </w:p>
    <w:bookmarkEnd w:id="223"/>
    <w:p w14:paraId="7E640D7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24" w:name="_Toc351203528"/>
      <w:r>
        <w:rPr>
          <w:rFonts w:hint="eastAsia" w:ascii="宋体" w:hAnsi="宋体" w:eastAsia="宋体" w:cs="宋体"/>
          <w:b w:val="0"/>
          <w:color w:val="000000" w:themeColor="text1"/>
          <w:sz w:val="24"/>
          <w:szCs w:val="24"/>
          <w:highlight w:val="none"/>
          <w14:textFill>
            <w14:solidFill>
              <w14:schemeClr w14:val="tx1"/>
            </w14:solidFill>
          </w14:textFill>
        </w:rPr>
        <w:t>4</w:t>
      </w:r>
      <w:bookmarkStart w:id="225" w:name="_Toc296503054"/>
      <w:bookmarkStart w:id="226" w:name="_Toc296346555"/>
      <w:bookmarkStart w:id="227" w:name="_Toc337558754"/>
      <w:r>
        <w:rPr>
          <w:rFonts w:hint="eastAsia" w:ascii="宋体" w:hAnsi="宋体" w:eastAsia="宋体" w:cs="宋体"/>
          <w:b w:val="0"/>
          <w:color w:val="000000" w:themeColor="text1"/>
          <w:sz w:val="24"/>
          <w:szCs w:val="24"/>
          <w:highlight w:val="none"/>
          <w14:textFill>
            <w14:solidFill>
              <w14:schemeClr w14:val="tx1"/>
            </w14:solidFill>
          </w14:textFill>
        </w:rPr>
        <w:t>.1监理人的一般规定</w:t>
      </w:r>
      <w:bookmarkEnd w:id="224"/>
    </w:p>
    <w:bookmarkEnd w:id="225"/>
    <w:bookmarkEnd w:id="226"/>
    <w:bookmarkEnd w:id="227"/>
    <w:p w14:paraId="7ECE691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821780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除专用合同条款另有约定外，监理人在施工现场的办公场所、生活场所由承包人提供，所发生的费用由发包人承担。</w:t>
      </w:r>
    </w:p>
    <w:p w14:paraId="473FD1FF">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28" w:name="_Toc351203529"/>
      <w:r>
        <w:rPr>
          <w:rFonts w:hint="eastAsia" w:ascii="宋体" w:hAnsi="宋体" w:eastAsia="宋体" w:cs="宋体"/>
          <w:b w:val="0"/>
          <w:color w:val="000000" w:themeColor="text1"/>
          <w:sz w:val="24"/>
          <w:szCs w:val="24"/>
          <w:highlight w:val="none"/>
          <w14:textFill>
            <w14:solidFill>
              <w14:schemeClr w14:val="tx1"/>
            </w14:solidFill>
          </w14:textFill>
        </w:rPr>
        <w:t>4</w:t>
      </w:r>
      <w:bookmarkStart w:id="229" w:name="_Toc337558755"/>
      <w:r>
        <w:rPr>
          <w:rFonts w:hint="eastAsia" w:ascii="宋体" w:hAnsi="宋体" w:eastAsia="宋体" w:cs="宋体"/>
          <w:b w:val="0"/>
          <w:color w:val="000000" w:themeColor="text1"/>
          <w:sz w:val="24"/>
          <w:szCs w:val="24"/>
          <w:highlight w:val="none"/>
          <w14:textFill>
            <w14:solidFill>
              <w14:schemeClr w14:val="tx1"/>
            </w14:solidFill>
          </w14:textFill>
        </w:rPr>
        <w:t>.2监理人员</w:t>
      </w:r>
      <w:bookmarkEnd w:id="228"/>
    </w:p>
    <w:bookmarkEnd w:id="229"/>
    <w:p w14:paraId="5DABB13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FCD837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30" w:name="_Toc351203530"/>
      <w:r>
        <w:rPr>
          <w:rFonts w:hint="eastAsia" w:ascii="宋体" w:hAnsi="宋体" w:eastAsia="宋体" w:cs="宋体"/>
          <w:b w:val="0"/>
          <w:color w:val="000000" w:themeColor="text1"/>
          <w:sz w:val="24"/>
          <w:szCs w:val="24"/>
          <w:highlight w:val="none"/>
          <w14:textFill>
            <w14:solidFill>
              <w14:schemeClr w14:val="tx1"/>
            </w14:solidFill>
          </w14:textFill>
        </w:rPr>
        <w:t>4</w:t>
      </w:r>
      <w:bookmarkStart w:id="231" w:name="_Toc296503055"/>
      <w:bookmarkStart w:id="232" w:name="_Toc296346556"/>
      <w:bookmarkStart w:id="233" w:name="_Toc337558756"/>
      <w:r>
        <w:rPr>
          <w:rFonts w:hint="eastAsia" w:ascii="宋体" w:hAnsi="宋体" w:eastAsia="宋体" w:cs="宋体"/>
          <w:b w:val="0"/>
          <w:color w:val="000000" w:themeColor="text1"/>
          <w:sz w:val="24"/>
          <w:szCs w:val="24"/>
          <w:highlight w:val="none"/>
          <w14:textFill>
            <w14:solidFill>
              <w14:schemeClr w14:val="tx1"/>
            </w14:solidFill>
          </w14:textFill>
        </w:rPr>
        <w:t>.3</w:t>
      </w:r>
      <w:bookmarkEnd w:id="231"/>
      <w:bookmarkEnd w:id="232"/>
      <w:r>
        <w:rPr>
          <w:rFonts w:hint="eastAsia" w:ascii="宋体" w:hAnsi="宋体" w:eastAsia="宋体" w:cs="宋体"/>
          <w:b w:val="0"/>
          <w:color w:val="000000" w:themeColor="text1"/>
          <w:sz w:val="24"/>
          <w:szCs w:val="24"/>
          <w:highlight w:val="none"/>
          <w14:textFill>
            <w14:solidFill>
              <w14:schemeClr w14:val="tx1"/>
            </w14:solidFill>
          </w14:textFill>
        </w:rPr>
        <w:t>监理人的指</w:t>
      </w:r>
      <w:bookmarkEnd w:id="233"/>
      <w:r>
        <w:rPr>
          <w:rFonts w:hint="eastAsia" w:ascii="宋体" w:hAnsi="宋体" w:eastAsia="宋体" w:cs="宋体"/>
          <w:b w:val="0"/>
          <w:color w:val="000000" w:themeColor="text1"/>
          <w:sz w:val="24"/>
          <w:szCs w:val="24"/>
          <w:highlight w:val="none"/>
          <w14:textFill>
            <w14:solidFill>
              <w14:schemeClr w14:val="tx1"/>
            </w14:solidFill>
          </w14:textFill>
        </w:rPr>
        <w:t>示</w:t>
      </w:r>
      <w:bookmarkEnd w:id="230"/>
    </w:p>
    <w:p w14:paraId="07F78FA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1F3BF0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C3692B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2956650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55A3D644">
      <w:pPr>
        <w:pStyle w:val="5"/>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34" w:name="_Toc351203531"/>
      <w:r>
        <w:rPr>
          <w:rFonts w:hint="eastAsia" w:ascii="宋体" w:hAnsi="宋体" w:eastAsia="宋体" w:cs="宋体"/>
          <w:b w:val="0"/>
          <w:color w:val="000000" w:themeColor="text1"/>
          <w:sz w:val="24"/>
          <w:szCs w:val="24"/>
          <w:highlight w:val="none"/>
          <w14:textFill>
            <w14:solidFill>
              <w14:schemeClr w14:val="tx1"/>
            </w14:solidFill>
          </w14:textFill>
        </w:rPr>
        <w:t>4</w:t>
      </w:r>
      <w:bookmarkStart w:id="235" w:name="_Toc296503057"/>
      <w:bookmarkStart w:id="236" w:name="_Toc337558757"/>
      <w:bookmarkStart w:id="237" w:name="_Toc296346558"/>
      <w:r>
        <w:rPr>
          <w:rFonts w:hint="eastAsia" w:ascii="宋体" w:hAnsi="宋体" w:eastAsia="宋体" w:cs="宋体"/>
          <w:b w:val="0"/>
          <w:color w:val="000000" w:themeColor="text1"/>
          <w:sz w:val="24"/>
          <w:szCs w:val="24"/>
          <w:highlight w:val="none"/>
          <w14:textFill>
            <w14:solidFill>
              <w14:schemeClr w14:val="tx1"/>
            </w14:solidFill>
          </w14:textFill>
        </w:rPr>
        <w:t>.4 商定或确定</w:t>
      </w:r>
      <w:bookmarkEnd w:id="234"/>
    </w:p>
    <w:bookmarkEnd w:id="235"/>
    <w:bookmarkEnd w:id="236"/>
    <w:bookmarkEnd w:id="237"/>
    <w:p w14:paraId="06AEEE2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7A970E6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10F8AA6">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238" w:name="_Toc351203532"/>
      <w:r>
        <w:rPr>
          <w:rFonts w:hint="eastAsia" w:ascii="宋体" w:hAnsi="宋体" w:eastAsia="宋体" w:cs="宋体"/>
          <w:b w:val="0"/>
          <w:color w:val="000000" w:themeColor="text1"/>
          <w:sz w:val="24"/>
          <w:szCs w:val="24"/>
          <w:highlight w:val="none"/>
          <w14:textFill>
            <w14:solidFill>
              <w14:schemeClr w14:val="tx1"/>
            </w14:solidFill>
          </w14:textFill>
        </w:rPr>
        <w:t>5</w:t>
      </w:r>
      <w:bookmarkStart w:id="239" w:name="_Toc337558758"/>
      <w:r>
        <w:rPr>
          <w:rFonts w:hint="eastAsia" w:ascii="宋体" w:hAnsi="宋体" w:eastAsia="宋体" w:cs="宋体"/>
          <w:b w:val="0"/>
          <w:color w:val="000000" w:themeColor="text1"/>
          <w:sz w:val="24"/>
          <w:szCs w:val="24"/>
          <w:highlight w:val="none"/>
          <w14:textFill>
            <w14:solidFill>
              <w14:schemeClr w14:val="tx1"/>
            </w14:solidFill>
          </w14:textFill>
        </w:rPr>
        <w:t>. 工程质量</w:t>
      </w:r>
      <w:bookmarkEnd w:id="238"/>
    </w:p>
    <w:bookmarkEnd w:id="239"/>
    <w:p w14:paraId="7F07039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40" w:name="_Toc351203533"/>
      <w:r>
        <w:rPr>
          <w:rFonts w:hint="eastAsia" w:ascii="宋体" w:hAnsi="宋体" w:eastAsia="宋体" w:cs="宋体"/>
          <w:b w:val="0"/>
          <w:color w:val="000000" w:themeColor="text1"/>
          <w:sz w:val="24"/>
          <w:szCs w:val="24"/>
          <w:highlight w:val="none"/>
          <w14:textFill>
            <w14:solidFill>
              <w14:schemeClr w14:val="tx1"/>
            </w14:solidFill>
          </w14:textFill>
        </w:rPr>
        <w:t>5</w:t>
      </w:r>
      <w:bookmarkStart w:id="241" w:name="_Toc337558759"/>
      <w:r>
        <w:rPr>
          <w:rFonts w:hint="eastAsia" w:ascii="宋体" w:hAnsi="宋体" w:eastAsia="宋体" w:cs="宋体"/>
          <w:b w:val="0"/>
          <w:color w:val="000000" w:themeColor="text1"/>
          <w:sz w:val="24"/>
          <w:szCs w:val="24"/>
          <w:highlight w:val="none"/>
          <w14:textFill>
            <w14:solidFill>
              <w14:schemeClr w14:val="tx1"/>
            </w14:solidFill>
          </w14:textFill>
        </w:rPr>
        <w:t>.1质量要求</w:t>
      </w:r>
      <w:bookmarkEnd w:id="240"/>
    </w:p>
    <w:bookmarkEnd w:id="241"/>
    <w:p w14:paraId="5221F7F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4F3D8E5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5.1.2 因发包人原因造成工程质量未达到合同约定标准的，由发包人承担由此增加的费用和（或）延误的工期，并支付承包人合理的利润。</w:t>
      </w:r>
    </w:p>
    <w:p w14:paraId="22BF22B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1527B0F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42" w:name="_Toc351203534"/>
      <w:r>
        <w:rPr>
          <w:rFonts w:hint="eastAsia" w:ascii="宋体" w:hAnsi="宋体" w:eastAsia="宋体" w:cs="宋体"/>
          <w:b w:val="0"/>
          <w:color w:val="000000" w:themeColor="text1"/>
          <w:sz w:val="24"/>
          <w:szCs w:val="24"/>
          <w:highlight w:val="none"/>
          <w14:textFill>
            <w14:solidFill>
              <w14:schemeClr w14:val="tx1"/>
            </w14:solidFill>
          </w14:textFill>
        </w:rPr>
        <w:t>5</w:t>
      </w:r>
      <w:bookmarkStart w:id="243" w:name="_Toc337558760"/>
      <w:r>
        <w:rPr>
          <w:rFonts w:hint="eastAsia" w:ascii="宋体" w:hAnsi="宋体" w:eastAsia="宋体" w:cs="宋体"/>
          <w:b w:val="0"/>
          <w:color w:val="000000" w:themeColor="text1"/>
          <w:sz w:val="24"/>
          <w:szCs w:val="24"/>
          <w:highlight w:val="none"/>
          <w14:textFill>
            <w14:solidFill>
              <w14:schemeClr w14:val="tx1"/>
            </w14:solidFill>
          </w14:textFill>
        </w:rPr>
        <w:t>.2质量保证措施</w:t>
      </w:r>
      <w:bookmarkEnd w:id="242"/>
    </w:p>
    <w:bookmarkEnd w:id="243"/>
    <w:p w14:paraId="4D0A3F2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5.2.1 发包人的质量管理</w:t>
      </w:r>
    </w:p>
    <w:p w14:paraId="3965DCC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发包人应按照法律规定及合同约定完成与工程质量有关的各项工作。</w:t>
      </w:r>
    </w:p>
    <w:p w14:paraId="25DD151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5.2.2 承包人的质量管理</w:t>
      </w:r>
    </w:p>
    <w:p w14:paraId="5553AFA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B44486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承包人应对施工人员进行质量教育和技术培训，定期考核施工人员的劳动技能，严格执行施工规范和操作规程。</w:t>
      </w:r>
    </w:p>
    <w:p w14:paraId="093B9DB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77B122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5.2.3 监理人的质量检查和检验</w:t>
      </w:r>
    </w:p>
    <w:p w14:paraId="3D5E84C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BE1228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AB5E96E">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44" w:name="_Toc351203535"/>
      <w:r>
        <w:rPr>
          <w:rFonts w:hint="eastAsia" w:ascii="宋体" w:hAnsi="宋体" w:eastAsia="宋体" w:cs="宋体"/>
          <w:b w:val="0"/>
          <w:color w:val="000000" w:themeColor="text1"/>
          <w:sz w:val="24"/>
          <w:szCs w:val="24"/>
          <w:highlight w:val="none"/>
          <w14:textFill>
            <w14:solidFill>
              <w14:schemeClr w14:val="tx1"/>
            </w14:solidFill>
          </w14:textFill>
        </w:rPr>
        <w:t>5</w:t>
      </w:r>
      <w:bookmarkStart w:id="245" w:name="_Toc337558761"/>
      <w:r>
        <w:rPr>
          <w:rFonts w:hint="eastAsia" w:ascii="宋体" w:hAnsi="宋体" w:eastAsia="宋体" w:cs="宋体"/>
          <w:b w:val="0"/>
          <w:color w:val="000000" w:themeColor="text1"/>
          <w:sz w:val="24"/>
          <w:szCs w:val="24"/>
          <w:highlight w:val="none"/>
          <w14:textFill>
            <w14:solidFill>
              <w14:schemeClr w14:val="tx1"/>
            </w14:solidFill>
          </w14:textFill>
        </w:rPr>
        <w:t>.3 隐蔽工程检查</w:t>
      </w:r>
      <w:bookmarkEnd w:id="244"/>
    </w:p>
    <w:bookmarkEnd w:id="245"/>
    <w:p w14:paraId="03275D2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5.3.1承包人自检</w:t>
      </w:r>
    </w:p>
    <w:p w14:paraId="3256FED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承包人应当对工程隐蔽部位进行自检，并经自检确认是否具备覆盖条件。</w:t>
      </w:r>
    </w:p>
    <w:p w14:paraId="09984A9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5.3.2检查程序</w:t>
      </w:r>
    </w:p>
    <w:p w14:paraId="0B6F7F6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3CC771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E523DB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C8CA2C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5.3.3 重新检查</w:t>
      </w:r>
    </w:p>
    <w:p w14:paraId="6EEE656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CAB42B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5.3.4 承包人私自覆盖</w:t>
      </w:r>
    </w:p>
    <w:p w14:paraId="26EDB2FA">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6EF6ED1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46" w:name="_Toc351203536"/>
      <w:r>
        <w:rPr>
          <w:rFonts w:hint="eastAsia" w:ascii="宋体" w:hAnsi="宋体" w:eastAsia="宋体" w:cs="宋体"/>
          <w:b w:val="0"/>
          <w:color w:val="000000" w:themeColor="text1"/>
          <w:sz w:val="24"/>
          <w:szCs w:val="24"/>
          <w:highlight w:val="none"/>
          <w14:textFill>
            <w14:solidFill>
              <w14:schemeClr w14:val="tx1"/>
            </w14:solidFill>
          </w14:textFill>
        </w:rPr>
        <w:t>5</w:t>
      </w:r>
      <w:bookmarkStart w:id="247" w:name="_Toc337558762"/>
      <w:r>
        <w:rPr>
          <w:rFonts w:hint="eastAsia" w:ascii="宋体" w:hAnsi="宋体" w:eastAsia="宋体" w:cs="宋体"/>
          <w:b w:val="0"/>
          <w:color w:val="000000" w:themeColor="text1"/>
          <w:sz w:val="24"/>
          <w:szCs w:val="24"/>
          <w:highlight w:val="none"/>
          <w14:textFill>
            <w14:solidFill>
              <w14:schemeClr w14:val="tx1"/>
            </w14:solidFill>
          </w14:textFill>
        </w:rPr>
        <w:t>.4不合格工程的处理</w:t>
      </w:r>
      <w:bookmarkEnd w:id="246"/>
    </w:p>
    <w:bookmarkEnd w:id="247"/>
    <w:p w14:paraId="7759E3B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918EC0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5.4.2 因发包人原因造成工程不合格的，由此增加的费用和（或）延误的工期由发包人承担，并支付承包人合理的利润。</w:t>
      </w:r>
    </w:p>
    <w:p w14:paraId="406C0E1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48" w:name="_Toc351203537"/>
      <w:r>
        <w:rPr>
          <w:rFonts w:hint="eastAsia" w:ascii="宋体" w:hAnsi="宋体" w:eastAsia="宋体" w:cs="宋体"/>
          <w:b w:val="0"/>
          <w:color w:val="000000" w:themeColor="text1"/>
          <w:sz w:val="24"/>
          <w:szCs w:val="24"/>
          <w:highlight w:val="none"/>
          <w14:textFill>
            <w14:solidFill>
              <w14:schemeClr w14:val="tx1"/>
            </w14:solidFill>
          </w14:textFill>
        </w:rPr>
        <w:t>5.5 质量争议检测</w:t>
      </w:r>
      <w:bookmarkEnd w:id="248"/>
    </w:p>
    <w:p w14:paraId="5A7C587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合同当事人对工程质量有争议的，由双方协商确定的工程质量检测机构鉴定，由此产生的费用及因此造成的损失，由责任方承担。</w:t>
      </w:r>
    </w:p>
    <w:p w14:paraId="0D9D1239">
      <w:pPr>
        <w:shd w:val="clear"/>
        <w:autoSpaceDE w:val="0"/>
        <w:autoSpaceDN w:val="0"/>
        <w:adjustRightInd w:val="0"/>
        <w:spacing w:line="312" w:lineRule="auto"/>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合同当事人均有责任的，由双方根据其责任分别承担。合同当事人无法达成一致的，按照第4.4款〔商定或确定〕执行。</w:t>
      </w:r>
    </w:p>
    <w:p w14:paraId="3BC9CBB6">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249" w:name="_Toc351203538"/>
      <w:r>
        <w:rPr>
          <w:rFonts w:hint="eastAsia" w:ascii="宋体" w:hAnsi="宋体" w:eastAsia="宋体" w:cs="宋体"/>
          <w:b w:val="0"/>
          <w:color w:val="000000" w:themeColor="text1"/>
          <w:sz w:val="24"/>
          <w:szCs w:val="24"/>
          <w:highlight w:val="none"/>
          <w14:textFill>
            <w14:solidFill>
              <w14:schemeClr w14:val="tx1"/>
            </w14:solidFill>
          </w14:textFill>
        </w:rPr>
        <w:t>6</w:t>
      </w:r>
      <w:bookmarkStart w:id="250" w:name="_Toc337558763"/>
      <w:r>
        <w:rPr>
          <w:rFonts w:hint="eastAsia" w:ascii="宋体" w:hAnsi="宋体" w:eastAsia="宋体" w:cs="宋体"/>
          <w:b w:val="0"/>
          <w:color w:val="000000" w:themeColor="text1"/>
          <w:sz w:val="24"/>
          <w:szCs w:val="24"/>
          <w:highlight w:val="none"/>
          <w14:textFill>
            <w14:solidFill>
              <w14:schemeClr w14:val="tx1"/>
            </w14:solidFill>
          </w14:textFill>
        </w:rPr>
        <w:t>. 安全文明施工与环境保护</w:t>
      </w:r>
      <w:bookmarkEnd w:id="249"/>
    </w:p>
    <w:bookmarkEnd w:id="250"/>
    <w:p w14:paraId="1201CDF8">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51" w:name="_Toc351203539"/>
      <w:r>
        <w:rPr>
          <w:rFonts w:hint="eastAsia" w:ascii="宋体" w:hAnsi="宋体" w:eastAsia="宋体" w:cs="宋体"/>
          <w:b w:val="0"/>
          <w:color w:val="000000" w:themeColor="text1"/>
          <w:sz w:val="24"/>
          <w:szCs w:val="24"/>
          <w:highlight w:val="none"/>
          <w14:textFill>
            <w14:solidFill>
              <w14:schemeClr w14:val="tx1"/>
            </w14:solidFill>
          </w14:textFill>
        </w:rPr>
        <w:t>6</w:t>
      </w:r>
      <w:bookmarkStart w:id="252" w:name="_Toc337558764"/>
      <w:r>
        <w:rPr>
          <w:rFonts w:hint="eastAsia" w:ascii="宋体" w:hAnsi="宋体" w:eastAsia="宋体" w:cs="宋体"/>
          <w:b w:val="0"/>
          <w:color w:val="000000" w:themeColor="text1"/>
          <w:sz w:val="24"/>
          <w:szCs w:val="24"/>
          <w:highlight w:val="none"/>
          <w14:textFill>
            <w14:solidFill>
              <w14:schemeClr w14:val="tx1"/>
            </w14:solidFill>
          </w14:textFill>
        </w:rPr>
        <w:t>.1安全文明施工</w:t>
      </w:r>
      <w:bookmarkEnd w:id="251"/>
    </w:p>
    <w:bookmarkEnd w:id="252"/>
    <w:p w14:paraId="2B813CA5">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6.1.1安全生产要求</w:t>
      </w:r>
    </w:p>
    <w:p w14:paraId="567A65CD">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5659206">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themeColor="text1"/>
          <w:kern w:val="0"/>
          <w:sz w:val="24"/>
          <w:highlight w:val="none"/>
          <w14:textFill>
            <w14:solidFill>
              <w14:schemeClr w14:val="tx1"/>
            </w14:solidFill>
          </w14:textFill>
        </w:rPr>
        <w:t>政府有关行政管理部门</w:t>
      </w:r>
      <w:r>
        <w:rPr>
          <w:rFonts w:hint="eastAsia" w:ascii="宋体" w:hAnsi="宋体" w:eastAsia="宋体" w:cs="宋体"/>
          <w:color w:val="000000" w:themeColor="text1"/>
          <w:sz w:val="24"/>
          <w:highlight w:val="none"/>
          <w14:textFill>
            <w14:solidFill>
              <w14:schemeClr w14:val="tx1"/>
            </w14:solidFill>
          </w14:textFill>
        </w:rPr>
        <w:t>采取应急措施。</w:t>
      </w:r>
    </w:p>
    <w:p w14:paraId="237FBE81">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因安全生产需要暂停施工的，按照第7.8款〔暂停施工〕的约定执行。</w:t>
      </w:r>
    </w:p>
    <w:p w14:paraId="5D9926C7">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 安全生产保证措施</w:t>
      </w:r>
    </w:p>
    <w:p w14:paraId="2467A22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承包人应当按照有关</w:t>
      </w:r>
      <w:r>
        <w:rPr>
          <w:rFonts w:hint="eastAsia" w:ascii="宋体" w:hAnsi="宋体" w:eastAsia="宋体" w:cs="宋体"/>
          <w:color w:val="000000" w:themeColor="text1"/>
          <w:kern w:val="0"/>
          <w:sz w:val="24"/>
          <w:highlight w:val="none"/>
          <w14:textFill>
            <w14:solidFill>
              <w14:schemeClr w14:val="tx1"/>
            </w14:solidFill>
          </w14:textFill>
        </w:rPr>
        <w:t>规定编制安全技术措施或者专项施工方案，</w:t>
      </w:r>
      <w:r>
        <w:rPr>
          <w:rFonts w:hint="eastAsia" w:ascii="宋体" w:hAnsi="宋体" w:eastAsia="宋体" w:cs="宋体"/>
          <w:color w:val="000000" w:themeColor="text1"/>
          <w:sz w:val="24"/>
          <w:highlight w:val="none"/>
          <w14:textFill>
            <w14:solidFill>
              <w14:schemeClr w14:val="tx1"/>
            </w14:solidFill>
          </w14:textFill>
        </w:rPr>
        <w:t>建立安全生产责任制度、治安保卫制度及安全生产教育培训制度，并</w:t>
      </w:r>
      <w:r>
        <w:rPr>
          <w:rFonts w:hint="eastAsia" w:ascii="宋体" w:hAnsi="宋体" w:eastAsia="宋体" w:cs="宋体"/>
          <w:color w:val="000000" w:themeColor="text1"/>
          <w:kern w:val="0"/>
          <w:sz w:val="24"/>
          <w:highlight w:val="none"/>
          <w14:textFill>
            <w14:solidFill>
              <w14:schemeClr w14:val="tx1"/>
            </w14:solidFill>
          </w14:textFill>
        </w:rPr>
        <w:t>按安全生产法律规定及合同约定履行安全职责，如实</w:t>
      </w:r>
      <w:r>
        <w:rPr>
          <w:rFonts w:hint="eastAsia" w:ascii="宋体" w:hAnsi="宋体" w:eastAsia="宋体" w:cs="宋体"/>
          <w:color w:val="000000" w:themeColor="text1"/>
          <w:sz w:val="24"/>
          <w:highlight w:val="none"/>
          <w14:textFill>
            <w14:solidFill>
              <w14:schemeClr w14:val="tx1"/>
            </w14:solidFill>
          </w14:textFill>
        </w:rPr>
        <w:t>编制工程安全生产的有关记录，</w:t>
      </w:r>
      <w:r>
        <w:rPr>
          <w:rFonts w:hint="eastAsia" w:ascii="宋体" w:hAnsi="宋体" w:eastAsia="宋体" w:cs="宋体"/>
          <w:color w:val="000000" w:themeColor="text1"/>
          <w:kern w:val="0"/>
          <w:sz w:val="24"/>
          <w:highlight w:val="none"/>
          <w14:textFill>
            <w14:solidFill>
              <w14:schemeClr w14:val="tx1"/>
            </w14:solidFill>
          </w14:textFill>
        </w:rPr>
        <w:t>接受发包人、监理人及政府安全监督部门的检查与监督。</w:t>
      </w:r>
    </w:p>
    <w:p w14:paraId="4BFAAC91">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6.1.3特别安全生产事项</w:t>
      </w:r>
    </w:p>
    <w:p w14:paraId="71E757B1">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BBE00A2">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46FD4C23">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6542A0C8">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19946388">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治安保卫</w:t>
      </w:r>
    </w:p>
    <w:p w14:paraId="3DE54D2A">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3B49D359">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6E2A9A24">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651DE04">
      <w:pPr>
        <w:shd w:val="clear"/>
        <w:spacing w:line="312"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 文明施工</w:t>
      </w:r>
    </w:p>
    <w:p w14:paraId="7CEA3B4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DD6AE1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5774806">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6.1.6 安全文明施工费</w:t>
      </w:r>
    </w:p>
    <w:p w14:paraId="6F9B22C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1070CEB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EFD471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1718F0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B31CDC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6.1.7 紧急情况处理</w:t>
      </w:r>
    </w:p>
    <w:p w14:paraId="0BF7428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FF7189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6.1.8 事故处理</w:t>
      </w:r>
    </w:p>
    <w:p w14:paraId="141B76D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6ED4DA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6.1.9 安全生产责任</w:t>
      </w:r>
    </w:p>
    <w:p w14:paraId="6F05720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6.1.9.1 发包人的安全责任</w:t>
      </w:r>
    </w:p>
    <w:p w14:paraId="2902BD09">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发包人应负责赔偿以下各种情况造成的损失：</w:t>
      </w:r>
    </w:p>
    <w:p w14:paraId="4D9EED2B">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（1）工程或工程的任何部分对土地的占用所造成的第三者财产损失；</w:t>
      </w:r>
    </w:p>
    <w:p w14:paraId="7F745BC7">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（2）由于发包人原因在施工场地及其毗邻地带造成的第三者人身伤亡和财产损失；</w:t>
      </w:r>
    </w:p>
    <w:p w14:paraId="0175BF77">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（3）由于发包人原因对承包人、监理人造成的人员人身伤亡和财产损失；</w:t>
      </w:r>
    </w:p>
    <w:p w14:paraId="3AC9C0B3">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（4）由于发包人原因造成的发包人自身人员的人身伤害以及财产损失。</w:t>
      </w:r>
    </w:p>
    <w:p w14:paraId="62D18E9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6.1.9.2 承包人的安全责任</w:t>
      </w:r>
    </w:p>
    <w:p w14:paraId="1883209B">
      <w:pPr>
        <w:shd w:val="clear"/>
        <w:spacing w:line="312"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由于承包人原因在施工场地内及其毗邻地带造成的发包人、监理人以及第三者人员伤亡和财产损失，由承包人负责赔偿。</w:t>
      </w:r>
    </w:p>
    <w:p w14:paraId="2762131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53" w:name="_Toc351203540"/>
      <w:r>
        <w:rPr>
          <w:rFonts w:hint="eastAsia" w:ascii="宋体" w:hAnsi="宋体" w:eastAsia="宋体" w:cs="宋体"/>
          <w:b w:val="0"/>
          <w:color w:val="000000" w:themeColor="text1"/>
          <w:sz w:val="24"/>
          <w:szCs w:val="24"/>
          <w:highlight w:val="none"/>
          <w14:textFill>
            <w14:solidFill>
              <w14:schemeClr w14:val="tx1"/>
            </w14:solidFill>
          </w14:textFill>
        </w:rPr>
        <w:t>6</w:t>
      </w:r>
      <w:bookmarkStart w:id="254" w:name="_Toc337558765"/>
      <w:r>
        <w:rPr>
          <w:rFonts w:hint="eastAsia" w:ascii="宋体" w:hAnsi="宋体" w:eastAsia="宋体" w:cs="宋体"/>
          <w:b w:val="0"/>
          <w:color w:val="000000" w:themeColor="text1"/>
          <w:sz w:val="24"/>
          <w:szCs w:val="24"/>
          <w:highlight w:val="none"/>
          <w14:textFill>
            <w14:solidFill>
              <w14:schemeClr w14:val="tx1"/>
            </w14:solidFill>
          </w14:textFill>
        </w:rPr>
        <w:t>.2 职业健康</w:t>
      </w:r>
      <w:bookmarkEnd w:id="253"/>
    </w:p>
    <w:bookmarkEnd w:id="254"/>
    <w:p w14:paraId="683AC08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6.2.1 劳动保护</w:t>
      </w:r>
    </w:p>
    <w:p w14:paraId="23E95D0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18CD8E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32355D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06913EA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6.2.2 生活条件</w:t>
      </w:r>
    </w:p>
    <w:p w14:paraId="21C405D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F771D1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55" w:name="_Toc351203541"/>
      <w:r>
        <w:rPr>
          <w:rFonts w:hint="eastAsia" w:ascii="宋体" w:hAnsi="宋体" w:eastAsia="宋体" w:cs="宋体"/>
          <w:b w:val="0"/>
          <w:color w:val="000000" w:themeColor="text1"/>
          <w:sz w:val="24"/>
          <w:szCs w:val="24"/>
          <w:highlight w:val="none"/>
          <w14:textFill>
            <w14:solidFill>
              <w14:schemeClr w14:val="tx1"/>
            </w14:solidFill>
          </w14:textFill>
        </w:rPr>
        <w:t>6</w:t>
      </w:r>
      <w:bookmarkStart w:id="256" w:name="_Toc337558766"/>
      <w:r>
        <w:rPr>
          <w:rFonts w:hint="eastAsia" w:ascii="宋体" w:hAnsi="宋体" w:eastAsia="宋体" w:cs="宋体"/>
          <w:b w:val="0"/>
          <w:color w:val="000000" w:themeColor="text1"/>
          <w:sz w:val="24"/>
          <w:szCs w:val="24"/>
          <w:highlight w:val="none"/>
          <w14:textFill>
            <w14:solidFill>
              <w14:schemeClr w14:val="tx1"/>
            </w14:solidFill>
          </w14:textFill>
        </w:rPr>
        <w:t>.3 环境保护</w:t>
      </w:r>
      <w:bookmarkEnd w:id="255"/>
    </w:p>
    <w:bookmarkEnd w:id="256"/>
    <w:p w14:paraId="5D0FF7E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71A0A1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2BCE1F12">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257" w:name="_Toc351203542"/>
      <w:r>
        <w:rPr>
          <w:rFonts w:hint="eastAsia" w:ascii="宋体" w:hAnsi="宋体" w:eastAsia="宋体" w:cs="宋体"/>
          <w:b w:val="0"/>
          <w:color w:val="000000" w:themeColor="text1"/>
          <w:sz w:val="24"/>
          <w:szCs w:val="24"/>
          <w:highlight w:val="none"/>
          <w14:textFill>
            <w14:solidFill>
              <w14:schemeClr w14:val="tx1"/>
            </w14:solidFill>
          </w14:textFill>
        </w:rPr>
        <w:t>7</w:t>
      </w:r>
      <w:bookmarkStart w:id="258" w:name="_Toc337558767"/>
      <w:r>
        <w:rPr>
          <w:rFonts w:hint="eastAsia" w:ascii="宋体" w:hAnsi="宋体" w:eastAsia="宋体" w:cs="宋体"/>
          <w:b w:val="0"/>
          <w:color w:val="000000" w:themeColor="text1"/>
          <w:sz w:val="24"/>
          <w:szCs w:val="24"/>
          <w:highlight w:val="none"/>
          <w14:textFill>
            <w14:solidFill>
              <w14:schemeClr w14:val="tx1"/>
            </w14:solidFill>
          </w14:textFill>
        </w:rPr>
        <w:t>. 工期和进度</w:t>
      </w:r>
      <w:bookmarkEnd w:id="257"/>
    </w:p>
    <w:bookmarkEnd w:id="258"/>
    <w:p w14:paraId="5A390D6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59" w:name="_Toc351203543"/>
      <w:r>
        <w:rPr>
          <w:rFonts w:hint="eastAsia" w:ascii="宋体" w:hAnsi="宋体" w:eastAsia="宋体" w:cs="宋体"/>
          <w:b w:val="0"/>
          <w:color w:val="000000" w:themeColor="text1"/>
          <w:sz w:val="24"/>
          <w:szCs w:val="24"/>
          <w:highlight w:val="none"/>
          <w14:textFill>
            <w14:solidFill>
              <w14:schemeClr w14:val="tx1"/>
            </w14:solidFill>
          </w14:textFill>
        </w:rPr>
        <w:t>7</w:t>
      </w:r>
      <w:bookmarkStart w:id="260" w:name="_Toc337558768"/>
      <w:bookmarkStart w:id="261" w:name="_Toc296503066"/>
      <w:bookmarkStart w:id="262" w:name="_Toc296346567"/>
      <w:r>
        <w:rPr>
          <w:rFonts w:hint="eastAsia" w:ascii="宋体" w:hAnsi="宋体" w:eastAsia="宋体" w:cs="宋体"/>
          <w:b w:val="0"/>
          <w:color w:val="000000" w:themeColor="text1"/>
          <w:sz w:val="24"/>
          <w:szCs w:val="24"/>
          <w:highlight w:val="none"/>
          <w14:textFill>
            <w14:solidFill>
              <w14:schemeClr w14:val="tx1"/>
            </w14:solidFill>
          </w14:textFill>
        </w:rPr>
        <w:t>.1施工组织设计</w:t>
      </w:r>
      <w:bookmarkEnd w:id="259"/>
    </w:p>
    <w:bookmarkEnd w:id="260"/>
    <w:p w14:paraId="34D94B3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7.1.1 </w:t>
      </w:r>
      <w:r>
        <w:rPr>
          <w:rFonts w:hint="eastAsia" w:ascii="宋体" w:hAnsi="宋体" w:eastAsia="宋体" w:cs="宋体"/>
          <w:color w:val="000000" w:themeColor="text1"/>
          <w:kern w:val="0"/>
          <w:sz w:val="24"/>
          <w:highlight w:val="none"/>
          <w14:textFill>
            <w14:solidFill>
              <w14:schemeClr w14:val="tx1"/>
            </w14:solidFill>
          </w14:textFill>
        </w:rPr>
        <w:t>施工组织设计的内容</w:t>
      </w:r>
    </w:p>
    <w:p w14:paraId="1505514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施工组织设计应包含以下内容：</w:t>
      </w:r>
    </w:p>
    <w:p w14:paraId="39E3FAF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（1）施工方案； </w:t>
      </w:r>
    </w:p>
    <w:p w14:paraId="2A4DCBF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（2）施工现场平面布置图；</w:t>
      </w:r>
    </w:p>
    <w:p w14:paraId="520E6B8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（3）施工进度计划和保证措施； </w:t>
      </w:r>
    </w:p>
    <w:p w14:paraId="13F82E8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（4）劳动力及材料供应计划；</w:t>
      </w:r>
    </w:p>
    <w:p w14:paraId="748E005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（5）施工机械设备的选用；</w:t>
      </w:r>
    </w:p>
    <w:p w14:paraId="7EED759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（6）质量保证体系及措施；</w:t>
      </w:r>
    </w:p>
    <w:p w14:paraId="6CF0161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（7）安全生产、文明施工措施；</w:t>
      </w:r>
    </w:p>
    <w:p w14:paraId="24A02A4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（8）环境保护、成本控制措施；</w:t>
      </w:r>
    </w:p>
    <w:p w14:paraId="4B87E34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（9）合同当事人约定的其他内容。</w:t>
      </w:r>
    </w:p>
    <w:p w14:paraId="41A4CE8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7.1.2 </w:t>
      </w:r>
      <w:r>
        <w:rPr>
          <w:rFonts w:hint="eastAsia" w:ascii="宋体" w:hAnsi="宋体" w:eastAsia="宋体" w:cs="宋体"/>
          <w:color w:val="000000" w:themeColor="text1"/>
          <w:kern w:val="0"/>
          <w:sz w:val="24"/>
          <w:highlight w:val="none"/>
          <w14:textFill>
            <w14:solidFill>
              <w14:schemeClr w14:val="tx1"/>
            </w14:solidFill>
          </w14:textFill>
        </w:rPr>
        <w:t>施工组织设计的提交和修改</w:t>
      </w:r>
    </w:p>
    <w:p w14:paraId="2D57F26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154A3D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施工进度计划的编制和修改按照第7.2款〔施工进度计划〕执行。</w:t>
      </w:r>
    </w:p>
    <w:p w14:paraId="73AD662F">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63" w:name="_Toc351203544"/>
      <w:r>
        <w:rPr>
          <w:rFonts w:hint="eastAsia" w:ascii="宋体" w:hAnsi="宋体" w:eastAsia="宋体" w:cs="宋体"/>
          <w:b w:val="0"/>
          <w:color w:val="000000" w:themeColor="text1"/>
          <w:sz w:val="24"/>
          <w:szCs w:val="24"/>
          <w:highlight w:val="none"/>
          <w14:textFill>
            <w14:solidFill>
              <w14:schemeClr w14:val="tx1"/>
            </w14:solidFill>
          </w14:textFill>
        </w:rPr>
        <w:t>7</w:t>
      </w:r>
      <w:bookmarkStart w:id="264" w:name="_Toc337558769"/>
      <w:r>
        <w:rPr>
          <w:rFonts w:hint="eastAsia" w:ascii="宋体" w:hAnsi="宋体" w:eastAsia="宋体" w:cs="宋体"/>
          <w:b w:val="0"/>
          <w:color w:val="000000" w:themeColor="text1"/>
          <w:sz w:val="24"/>
          <w:szCs w:val="24"/>
          <w:highlight w:val="none"/>
          <w14:textFill>
            <w14:solidFill>
              <w14:schemeClr w14:val="tx1"/>
            </w14:solidFill>
          </w14:textFill>
        </w:rPr>
        <w:t>.2 施工进度计划</w:t>
      </w:r>
      <w:bookmarkEnd w:id="263"/>
    </w:p>
    <w:bookmarkEnd w:id="264"/>
    <w:p w14:paraId="04C392A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7.2.1 施工进度计划的编制</w:t>
      </w:r>
    </w:p>
    <w:p w14:paraId="567AD33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18BB58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7.2.2 施工进度计划的修订</w:t>
      </w:r>
    </w:p>
    <w:p w14:paraId="2D9F59B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EA1609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65" w:name="_Toc351203545"/>
      <w:r>
        <w:rPr>
          <w:rFonts w:hint="eastAsia" w:ascii="宋体" w:hAnsi="宋体" w:eastAsia="宋体" w:cs="宋体"/>
          <w:b w:val="0"/>
          <w:color w:val="000000" w:themeColor="text1"/>
          <w:sz w:val="24"/>
          <w:szCs w:val="24"/>
          <w:highlight w:val="none"/>
          <w14:textFill>
            <w14:solidFill>
              <w14:schemeClr w14:val="tx1"/>
            </w14:solidFill>
          </w14:textFill>
        </w:rPr>
        <w:t>7</w:t>
      </w:r>
      <w:bookmarkStart w:id="266" w:name="_Toc337558770"/>
      <w:r>
        <w:rPr>
          <w:rFonts w:hint="eastAsia" w:ascii="宋体" w:hAnsi="宋体" w:eastAsia="宋体" w:cs="宋体"/>
          <w:b w:val="0"/>
          <w:color w:val="000000" w:themeColor="text1"/>
          <w:sz w:val="24"/>
          <w:szCs w:val="24"/>
          <w:highlight w:val="none"/>
          <w14:textFill>
            <w14:solidFill>
              <w14:schemeClr w14:val="tx1"/>
            </w14:solidFill>
          </w14:textFill>
        </w:rPr>
        <w:t>.3 开工</w:t>
      </w:r>
      <w:bookmarkEnd w:id="265"/>
    </w:p>
    <w:p w14:paraId="36714715">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7.3.1 开工准备</w:t>
      </w:r>
    </w:p>
    <w:p w14:paraId="513A4F2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4A9FE0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除专用合同条款另有约定外，合同当事人应按约定完成开工准备工作。</w:t>
      </w:r>
    </w:p>
    <w:p w14:paraId="4E4A74D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7.3.2 开工通知</w:t>
      </w:r>
    </w:p>
    <w:bookmarkEnd w:id="266"/>
    <w:p w14:paraId="6C20D9D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673F66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5B7031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67" w:name="_Toc351203546"/>
      <w:r>
        <w:rPr>
          <w:rFonts w:hint="eastAsia" w:ascii="宋体" w:hAnsi="宋体" w:eastAsia="宋体" w:cs="宋体"/>
          <w:b w:val="0"/>
          <w:color w:val="000000" w:themeColor="text1"/>
          <w:sz w:val="24"/>
          <w:szCs w:val="24"/>
          <w:highlight w:val="none"/>
          <w14:textFill>
            <w14:solidFill>
              <w14:schemeClr w14:val="tx1"/>
            </w14:solidFill>
          </w14:textFill>
        </w:rPr>
        <w:t>7.4测量放线</w:t>
      </w:r>
      <w:bookmarkEnd w:id="267"/>
    </w:p>
    <w:p w14:paraId="0BAC382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41AB21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0E2362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FF4AB1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施工过程中对施工现场内水准点等测量标志物的保护工作由承包人负责。</w:t>
      </w:r>
      <w:bookmarkStart w:id="268" w:name="_Toc351203547"/>
    </w:p>
    <w:p w14:paraId="1FB3530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7</w:t>
      </w:r>
      <w:bookmarkEnd w:id="261"/>
      <w:bookmarkEnd w:id="262"/>
      <w:bookmarkStart w:id="269" w:name="_Toc296503073"/>
      <w:bookmarkStart w:id="270" w:name="_Toc296346574"/>
      <w:bookmarkStart w:id="271" w:name="_Toc337558772"/>
      <w:r>
        <w:rPr>
          <w:rFonts w:hint="eastAsia" w:ascii="宋体" w:hAnsi="宋体" w:eastAsia="宋体" w:cs="宋体"/>
          <w:b w:val="0"/>
          <w:color w:val="000000" w:themeColor="text1"/>
          <w:sz w:val="24"/>
          <w:szCs w:val="24"/>
          <w:highlight w:val="none"/>
          <w14:textFill>
            <w14:solidFill>
              <w14:schemeClr w14:val="tx1"/>
            </w14:solidFill>
          </w14:textFill>
        </w:rPr>
        <w:t>.5 工期延误</w:t>
      </w:r>
      <w:bookmarkEnd w:id="268"/>
    </w:p>
    <w:bookmarkEnd w:id="269"/>
    <w:bookmarkEnd w:id="270"/>
    <w:bookmarkEnd w:id="271"/>
    <w:p w14:paraId="3577CB8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7.5.1 因发包人原因导致工期延误</w:t>
      </w:r>
    </w:p>
    <w:p w14:paraId="670B6BF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258C881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（1）发包人未能按合同约定提供图纸或所提供图纸不符合合同约定的；</w:t>
      </w:r>
    </w:p>
    <w:p w14:paraId="5382CA6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（2）发包人未能按合同约定提供施工现场、施工条件、基础资料、许可、批准等开工条件的；</w:t>
      </w:r>
    </w:p>
    <w:p w14:paraId="5937FAA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（3）发包人提供的测量基准点、基准线和水准点及其书面资料存在错误或疏漏的；</w:t>
      </w:r>
    </w:p>
    <w:p w14:paraId="0D84E76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（4）发包人未能在计划开工日期之日起7天内同意下达开工通知的；</w:t>
      </w:r>
    </w:p>
    <w:p w14:paraId="3FB4B22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（5）发包人未能按合同约定日期支付工程预付款、进度款或竣工结算款的；</w:t>
      </w:r>
    </w:p>
    <w:p w14:paraId="6227D4C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（6）监理人未按合同约定发出指示、批准等文件的；</w:t>
      </w:r>
    </w:p>
    <w:p w14:paraId="750B8BF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（7）专用合同条款中约定的其他情形。</w:t>
      </w:r>
    </w:p>
    <w:p w14:paraId="2FA76AC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766836D">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7.5.2 因承包人原因导致工期延误</w:t>
      </w:r>
    </w:p>
    <w:p w14:paraId="4EF1093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bookmarkStart w:id="272" w:name="_Toc296346577"/>
      <w:bookmarkStart w:id="273" w:name="_Toc296503076"/>
      <w:r>
        <w:rPr>
          <w:rFonts w:hint="eastAsia" w:ascii="宋体" w:hAnsi="宋体" w:eastAsia="宋体" w:cs="宋体"/>
          <w:color w:val="000000" w:themeColor="text1"/>
          <w:kern w:val="0"/>
          <w:sz w:val="24"/>
          <w:highlight w:val="none"/>
          <w14:textFill>
            <w14:solidFill>
              <w14:schemeClr w14:val="tx1"/>
            </w14:solidFill>
          </w14:textFill>
        </w:rPr>
        <w:t>因</w:t>
      </w:r>
      <w:bookmarkEnd w:id="272"/>
      <w:bookmarkEnd w:id="273"/>
      <w:r>
        <w:rPr>
          <w:rFonts w:hint="eastAsia" w:ascii="宋体" w:hAnsi="宋体" w:eastAsia="宋体" w:cs="宋体"/>
          <w:color w:val="000000" w:themeColor="text1"/>
          <w:kern w:val="0"/>
          <w:sz w:val="24"/>
          <w:highlight w:val="none"/>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14:paraId="0F83511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74" w:name="_Toc351203548"/>
      <w:r>
        <w:rPr>
          <w:rFonts w:hint="eastAsia" w:ascii="宋体" w:hAnsi="宋体" w:eastAsia="宋体" w:cs="宋体"/>
          <w:b w:val="0"/>
          <w:color w:val="000000" w:themeColor="text1"/>
          <w:sz w:val="24"/>
          <w:szCs w:val="24"/>
          <w:highlight w:val="none"/>
          <w14:textFill>
            <w14:solidFill>
              <w14:schemeClr w14:val="tx1"/>
            </w14:solidFill>
          </w14:textFill>
        </w:rPr>
        <w:t>7</w:t>
      </w:r>
      <w:bookmarkStart w:id="275" w:name="_Toc296503074"/>
      <w:bookmarkStart w:id="276" w:name="_Toc296346575"/>
      <w:bookmarkStart w:id="277" w:name="_Toc337558773"/>
      <w:bookmarkStart w:id="278" w:name="_Toc296346578"/>
      <w:bookmarkStart w:id="279" w:name="_Toc296503077"/>
      <w:r>
        <w:rPr>
          <w:rFonts w:hint="eastAsia" w:ascii="宋体" w:hAnsi="宋体" w:eastAsia="宋体" w:cs="宋体"/>
          <w:b w:val="0"/>
          <w:color w:val="000000" w:themeColor="text1"/>
          <w:sz w:val="24"/>
          <w:szCs w:val="24"/>
          <w:highlight w:val="none"/>
          <w14:textFill>
            <w14:solidFill>
              <w14:schemeClr w14:val="tx1"/>
            </w14:solidFill>
          </w14:textFill>
        </w:rPr>
        <w:t>.6 不利物质条件</w:t>
      </w:r>
      <w:bookmarkEnd w:id="274"/>
    </w:p>
    <w:bookmarkEnd w:id="275"/>
    <w:bookmarkEnd w:id="276"/>
    <w:bookmarkEnd w:id="277"/>
    <w:p w14:paraId="4F60D80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A19FAA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D20A85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80" w:name="_Toc351203549"/>
      <w:r>
        <w:rPr>
          <w:rFonts w:hint="eastAsia" w:ascii="宋体" w:hAnsi="宋体" w:eastAsia="宋体" w:cs="宋体"/>
          <w:b w:val="0"/>
          <w:color w:val="000000" w:themeColor="text1"/>
          <w:sz w:val="24"/>
          <w:szCs w:val="24"/>
          <w:highlight w:val="none"/>
          <w14:textFill>
            <w14:solidFill>
              <w14:schemeClr w14:val="tx1"/>
            </w14:solidFill>
          </w14:textFill>
        </w:rPr>
        <w:t>7</w:t>
      </w:r>
      <w:bookmarkStart w:id="281" w:name="_Toc296346576"/>
      <w:bookmarkStart w:id="282" w:name="_Toc337558774"/>
      <w:bookmarkStart w:id="283" w:name="_Toc296503075"/>
      <w:r>
        <w:rPr>
          <w:rFonts w:hint="eastAsia" w:ascii="宋体" w:hAnsi="宋体" w:eastAsia="宋体" w:cs="宋体"/>
          <w:b w:val="0"/>
          <w:color w:val="000000" w:themeColor="text1"/>
          <w:sz w:val="24"/>
          <w:szCs w:val="24"/>
          <w:highlight w:val="none"/>
          <w14:textFill>
            <w14:solidFill>
              <w14:schemeClr w14:val="tx1"/>
            </w14:solidFill>
          </w14:textFill>
        </w:rPr>
        <w:t>.7 异常恶劣的气候条件</w:t>
      </w:r>
      <w:bookmarkEnd w:id="280"/>
    </w:p>
    <w:bookmarkEnd w:id="281"/>
    <w:bookmarkEnd w:id="282"/>
    <w:bookmarkEnd w:id="283"/>
    <w:p w14:paraId="1182099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2A0B20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4" w:name="_Toc351203550"/>
    </w:p>
    <w:p w14:paraId="3669FBD0">
      <w:pPr>
        <w:shd w:val="clear"/>
        <w:autoSpaceDE w:val="0"/>
        <w:autoSpaceDN w:val="0"/>
        <w:adjustRightInd w:val="0"/>
        <w:spacing w:line="312" w:lineRule="auto"/>
        <w:ind w:firstLine="480" w:firstLineChars="200"/>
        <w:jc w:val="left"/>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w:t>
      </w:r>
      <w:bookmarkStart w:id="285" w:name="_Toc337558775"/>
      <w:r>
        <w:rPr>
          <w:rFonts w:hint="eastAsia" w:ascii="宋体" w:hAnsi="宋体" w:eastAsia="宋体" w:cs="宋体"/>
          <w:bCs/>
          <w:color w:val="000000" w:themeColor="text1"/>
          <w:sz w:val="24"/>
          <w:highlight w:val="none"/>
          <w14:textFill>
            <w14:solidFill>
              <w14:schemeClr w14:val="tx1"/>
            </w14:solidFill>
          </w14:textFill>
        </w:rPr>
        <w:t>.8 暂停施工</w:t>
      </w:r>
      <w:bookmarkEnd w:id="284"/>
    </w:p>
    <w:bookmarkEnd w:id="278"/>
    <w:bookmarkEnd w:id="279"/>
    <w:bookmarkEnd w:id="285"/>
    <w:p w14:paraId="4EB8AD5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7.8.1发包人原因引起的暂停施工</w:t>
      </w:r>
    </w:p>
    <w:p w14:paraId="5ABB268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45F5235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因发包人原因引起的暂停施工，发包人应承担由此增加的费用和（或）延误的工期，并支付承包人合理的利润。</w:t>
      </w:r>
    </w:p>
    <w:p w14:paraId="553CF4C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7.8.2 承包人原因引起的暂停施工</w:t>
      </w:r>
    </w:p>
    <w:p w14:paraId="3F63081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9209DB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7.8.3 指示暂停施工</w:t>
      </w:r>
    </w:p>
    <w:p w14:paraId="5545709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监理人认为有必要时，并经发包人批准后，可向承包人作出暂停施工的指示，承包人应按监理人指示暂停施工。</w:t>
      </w:r>
    </w:p>
    <w:p w14:paraId="026B842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7.8.4 紧急情况下的暂停施工</w:t>
      </w:r>
    </w:p>
    <w:p w14:paraId="098F3F1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23EE18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7.8.5 暂停施工后的复工</w:t>
      </w:r>
    </w:p>
    <w:p w14:paraId="0FF7D24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121B1B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7423027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7.8.6 暂停施工持续56天以上</w:t>
      </w:r>
    </w:p>
    <w:p w14:paraId="52D1D400">
      <w:pPr>
        <w:shd w:val="clear"/>
        <w:spacing w:line="312" w:lineRule="auto"/>
        <w:ind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2005B8">
      <w:pPr>
        <w:shd w:val="clear"/>
        <w:spacing w:line="312" w:lineRule="auto"/>
        <w:ind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400B753">
      <w:pPr>
        <w:shd w:val="clear"/>
        <w:spacing w:line="312" w:lineRule="auto"/>
        <w:ind w:left="16" w:firstLine="468" w:firstLineChars="195"/>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7.8.7 暂停施工期间的工程照管</w:t>
      </w:r>
    </w:p>
    <w:p w14:paraId="1B7763A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暂停施工期间，承包人应负责妥善照管工程并提供安全保障，由此增加的费用由责任方承担。</w:t>
      </w:r>
    </w:p>
    <w:p w14:paraId="7CE3970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7.8.8 暂停施工的措施</w:t>
      </w:r>
    </w:p>
    <w:p w14:paraId="5C3617C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暂停施工期间，发包人和承包人均应采取必要的措施确保工程质量及安全，防止因暂停施工扩大损失。</w:t>
      </w:r>
    </w:p>
    <w:p w14:paraId="696C764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86" w:name="_Toc351203551"/>
      <w:r>
        <w:rPr>
          <w:rFonts w:hint="eastAsia" w:ascii="宋体" w:hAnsi="宋体" w:eastAsia="宋体" w:cs="宋体"/>
          <w:b w:val="0"/>
          <w:color w:val="000000" w:themeColor="text1"/>
          <w:sz w:val="24"/>
          <w:szCs w:val="24"/>
          <w:highlight w:val="none"/>
          <w14:textFill>
            <w14:solidFill>
              <w14:schemeClr w14:val="tx1"/>
            </w14:solidFill>
          </w14:textFill>
        </w:rPr>
        <w:t>7.9提前竣工</w:t>
      </w:r>
      <w:bookmarkEnd w:id="286"/>
    </w:p>
    <w:p w14:paraId="2DFF606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565B4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516E38CA">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287" w:name="_Toc351203552"/>
      <w:r>
        <w:rPr>
          <w:rFonts w:hint="eastAsia" w:ascii="宋体" w:hAnsi="宋体" w:eastAsia="宋体" w:cs="宋体"/>
          <w:b w:val="0"/>
          <w:color w:val="000000" w:themeColor="text1"/>
          <w:sz w:val="24"/>
          <w:szCs w:val="24"/>
          <w:highlight w:val="none"/>
          <w14:textFill>
            <w14:solidFill>
              <w14:schemeClr w14:val="tx1"/>
            </w14:solidFill>
          </w14:textFill>
        </w:rPr>
        <w:t>8</w:t>
      </w:r>
      <w:bookmarkStart w:id="288" w:name="_Toc337558776"/>
      <w:bookmarkStart w:id="289" w:name="_Toc296346559"/>
      <w:bookmarkStart w:id="290" w:name="_Toc296503058"/>
      <w:r>
        <w:rPr>
          <w:rFonts w:hint="eastAsia" w:ascii="宋体" w:hAnsi="宋体" w:eastAsia="宋体" w:cs="宋体"/>
          <w:b w:val="0"/>
          <w:color w:val="000000" w:themeColor="text1"/>
          <w:sz w:val="24"/>
          <w:szCs w:val="24"/>
          <w:highlight w:val="none"/>
          <w14:textFill>
            <w14:solidFill>
              <w14:schemeClr w14:val="tx1"/>
            </w14:solidFill>
          </w14:textFill>
        </w:rPr>
        <w:t>. 材料与设备</w:t>
      </w:r>
      <w:bookmarkEnd w:id="287"/>
    </w:p>
    <w:bookmarkEnd w:id="288"/>
    <w:bookmarkEnd w:id="289"/>
    <w:bookmarkEnd w:id="290"/>
    <w:p w14:paraId="1F7268E3">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291" w:name="_Toc351203553"/>
      <w:r>
        <w:rPr>
          <w:rFonts w:hint="eastAsia" w:ascii="宋体" w:hAnsi="宋体" w:eastAsia="宋体" w:cs="宋体"/>
          <w:b w:val="0"/>
          <w:color w:val="000000" w:themeColor="text1"/>
          <w:sz w:val="24"/>
          <w:szCs w:val="24"/>
          <w:highlight w:val="none"/>
          <w14:textFill>
            <w14:solidFill>
              <w14:schemeClr w14:val="tx1"/>
            </w14:solidFill>
          </w14:textFill>
        </w:rPr>
        <w:t>8</w:t>
      </w:r>
      <w:bookmarkStart w:id="292" w:name="_Toc296346560"/>
      <w:bookmarkStart w:id="293" w:name="_Toc337558777"/>
      <w:bookmarkStart w:id="294" w:name="_Toc296503059"/>
      <w:bookmarkStart w:id="295" w:name="_Toc468936960"/>
      <w:r>
        <w:rPr>
          <w:rFonts w:hint="eastAsia" w:ascii="宋体" w:hAnsi="宋体" w:eastAsia="宋体" w:cs="宋体"/>
          <w:b w:val="0"/>
          <w:color w:val="000000" w:themeColor="text1"/>
          <w:sz w:val="24"/>
          <w:szCs w:val="24"/>
          <w:highlight w:val="none"/>
          <w14:textFill>
            <w14:solidFill>
              <w14:schemeClr w14:val="tx1"/>
            </w14:solidFill>
          </w14:textFill>
        </w:rPr>
        <w:t>.1发包人供应材料与工程设备</w:t>
      </w:r>
      <w:bookmarkEnd w:id="291"/>
    </w:p>
    <w:bookmarkEnd w:id="292"/>
    <w:bookmarkEnd w:id="293"/>
    <w:bookmarkEnd w:id="294"/>
    <w:p w14:paraId="1E60780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4420D18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56A3C4">
      <w:pPr>
        <w:pStyle w:val="6"/>
        <w:shd w:val="clear"/>
        <w:spacing w:before="120" w:after="120" w:line="312"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296" w:name="_Toc351203554"/>
      <w:r>
        <w:rPr>
          <w:rFonts w:hint="eastAsia" w:ascii="宋体" w:hAnsi="宋体" w:eastAsia="宋体" w:cs="宋体"/>
          <w:b w:val="0"/>
          <w:color w:val="000000" w:themeColor="text1"/>
          <w:sz w:val="24"/>
          <w:szCs w:val="24"/>
          <w:highlight w:val="none"/>
          <w14:textFill>
            <w14:solidFill>
              <w14:schemeClr w14:val="tx1"/>
            </w14:solidFill>
          </w14:textFill>
        </w:rPr>
        <w:t>8</w:t>
      </w:r>
      <w:bookmarkStart w:id="297" w:name="_Toc337558778"/>
      <w:bookmarkStart w:id="298" w:name="_Toc296503060"/>
      <w:bookmarkStart w:id="299" w:name="_Toc296346561"/>
      <w:r>
        <w:rPr>
          <w:rFonts w:hint="eastAsia" w:ascii="宋体" w:hAnsi="宋体" w:eastAsia="宋体" w:cs="宋体"/>
          <w:b w:val="0"/>
          <w:color w:val="000000" w:themeColor="text1"/>
          <w:sz w:val="24"/>
          <w:szCs w:val="24"/>
          <w:highlight w:val="none"/>
          <w14:textFill>
            <w14:solidFill>
              <w14:schemeClr w14:val="tx1"/>
            </w14:solidFill>
          </w14:textFill>
        </w:rPr>
        <w:t>.2承包人采购材料与工程设备</w:t>
      </w:r>
      <w:bookmarkEnd w:id="296"/>
    </w:p>
    <w:bookmarkEnd w:id="297"/>
    <w:bookmarkEnd w:id="298"/>
    <w:bookmarkEnd w:id="299"/>
    <w:p w14:paraId="7AEB243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1C28418">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00" w:name="_Toc351203555"/>
      <w:r>
        <w:rPr>
          <w:rFonts w:hint="eastAsia" w:ascii="宋体" w:hAnsi="宋体" w:eastAsia="宋体" w:cs="宋体"/>
          <w:b w:val="0"/>
          <w:color w:val="000000" w:themeColor="text1"/>
          <w:sz w:val="24"/>
          <w:szCs w:val="24"/>
          <w:highlight w:val="none"/>
          <w14:textFill>
            <w14:solidFill>
              <w14:schemeClr w14:val="tx1"/>
            </w14:solidFill>
          </w14:textFill>
        </w:rPr>
        <w:t>8</w:t>
      </w:r>
      <w:bookmarkStart w:id="301" w:name="_Toc296346562"/>
      <w:bookmarkStart w:id="302" w:name="_Toc337558779"/>
      <w:bookmarkStart w:id="303" w:name="_Toc296503061"/>
      <w:r>
        <w:rPr>
          <w:rFonts w:hint="eastAsia" w:ascii="宋体" w:hAnsi="宋体" w:eastAsia="宋体" w:cs="宋体"/>
          <w:b w:val="0"/>
          <w:color w:val="000000" w:themeColor="text1"/>
          <w:sz w:val="24"/>
          <w:szCs w:val="24"/>
          <w:highlight w:val="none"/>
          <w14:textFill>
            <w14:solidFill>
              <w14:schemeClr w14:val="tx1"/>
            </w14:solidFill>
          </w14:textFill>
        </w:rPr>
        <w:t>.3材料与工程设备的接收与拒收</w:t>
      </w:r>
      <w:bookmarkEnd w:id="300"/>
    </w:p>
    <w:bookmarkEnd w:id="301"/>
    <w:bookmarkEnd w:id="302"/>
    <w:bookmarkEnd w:id="303"/>
    <w:p w14:paraId="2DD1F35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E6955A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48DEB9E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8.3.2 承包人采购的材料和工程设备，应保证产品质量合格，承包人应在材料和工程设备到货前24小时通知监理人检验。承</w:t>
      </w:r>
      <w:bookmarkStart w:id="304" w:name="_Toc250655469"/>
      <w:r>
        <w:rPr>
          <w:rFonts w:hint="eastAsia" w:ascii="宋体" w:hAnsi="宋体" w:eastAsia="宋体" w:cs="宋体"/>
          <w:color w:val="000000" w:themeColor="text1"/>
          <w:kern w:val="0"/>
          <w:sz w:val="24"/>
          <w:highlight w:val="none"/>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p>
    <w:bookmarkEnd w:id="304"/>
    <w:p w14:paraId="07B5F5F0">
      <w:pPr>
        <w:shd w:val="clear"/>
        <w:autoSpaceDE w:val="0"/>
        <w:autoSpaceDN w:val="0"/>
        <w:adjustRightInd w:val="0"/>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07BE47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05" w:name="_Toc351203556"/>
      <w:r>
        <w:rPr>
          <w:rFonts w:hint="eastAsia" w:ascii="宋体" w:hAnsi="宋体" w:eastAsia="宋体" w:cs="宋体"/>
          <w:b w:val="0"/>
          <w:color w:val="000000" w:themeColor="text1"/>
          <w:sz w:val="24"/>
          <w:szCs w:val="24"/>
          <w:highlight w:val="none"/>
          <w14:textFill>
            <w14:solidFill>
              <w14:schemeClr w14:val="tx1"/>
            </w14:solidFill>
          </w14:textFill>
        </w:rPr>
        <w:t>8</w:t>
      </w:r>
      <w:bookmarkStart w:id="306" w:name="_Toc296503062"/>
      <w:bookmarkStart w:id="307" w:name="_Toc296346563"/>
      <w:bookmarkStart w:id="308" w:name="_Toc337558780"/>
      <w:r>
        <w:rPr>
          <w:rFonts w:hint="eastAsia" w:ascii="宋体" w:hAnsi="宋体" w:eastAsia="宋体" w:cs="宋体"/>
          <w:b w:val="0"/>
          <w:color w:val="000000" w:themeColor="text1"/>
          <w:sz w:val="24"/>
          <w:szCs w:val="24"/>
          <w:highlight w:val="none"/>
          <w14:textFill>
            <w14:solidFill>
              <w14:schemeClr w14:val="tx1"/>
            </w14:solidFill>
          </w14:textFill>
        </w:rPr>
        <w:t>.4材料与工程设备的保管与使用</w:t>
      </w:r>
      <w:bookmarkEnd w:id="305"/>
    </w:p>
    <w:bookmarkEnd w:id="306"/>
    <w:bookmarkEnd w:id="307"/>
    <w:bookmarkEnd w:id="308"/>
    <w:p w14:paraId="1B66EEB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8.4.1 发包人供应</w:t>
      </w:r>
      <w:r>
        <w:rPr>
          <w:rFonts w:hint="eastAsia" w:ascii="宋体" w:hAnsi="宋体" w:eastAsia="宋体" w:cs="宋体"/>
          <w:color w:val="000000" w:themeColor="text1"/>
          <w:sz w:val="24"/>
          <w:highlight w:val="none"/>
          <w14:textFill>
            <w14:solidFill>
              <w14:schemeClr w14:val="tx1"/>
            </w14:solidFill>
          </w14:textFill>
        </w:rPr>
        <w:t>材料与</w:t>
      </w:r>
      <w:r>
        <w:rPr>
          <w:rFonts w:hint="eastAsia" w:ascii="宋体" w:hAnsi="宋体" w:eastAsia="宋体" w:cs="宋体"/>
          <w:color w:val="000000" w:themeColor="text1"/>
          <w:kern w:val="0"/>
          <w:sz w:val="24"/>
          <w:highlight w:val="none"/>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设备的保管与使用</w:t>
      </w:r>
    </w:p>
    <w:p w14:paraId="05FBDB5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5CB6DA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发包人供应的材料和工程设备使用前，由承包人负责检验，检验费用由发包人承担，不合格的不得使用。</w:t>
      </w:r>
    </w:p>
    <w:p w14:paraId="6D53655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8.4.2 承包人采购</w:t>
      </w:r>
      <w:r>
        <w:rPr>
          <w:rFonts w:hint="eastAsia" w:ascii="宋体" w:hAnsi="宋体" w:eastAsia="宋体" w:cs="宋体"/>
          <w:color w:val="000000" w:themeColor="text1"/>
          <w:sz w:val="24"/>
          <w:highlight w:val="none"/>
          <w14:textFill>
            <w14:solidFill>
              <w14:schemeClr w14:val="tx1"/>
            </w14:solidFill>
          </w14:textFill>
        </w:rPr>
        <w:t>材料与</w:t>
      </w:r>
      <w:r>
        <w:rPr>
          <w:rFonts w:hint="eastAsia" w:ascii="宋体" w:hAnsi="宋体" w:eastAsia="宋体" w:cs="宋体"/>
          <w:color w:val="000000" w:themeColor="text1"/>
          <w:kern w:val="0"/>
          <w:sz w:val="24"/>
          <w:highlight w:val="none"/>
          <w14:textFill>
            <w14:solidFill>
              <w14:schemeClr w14:val="tx1"/>
            </w14:solidFill>
          </w14:textFill>
        </w:rPr>
        <w:t>工程</w:t>
      </w:r>
      <w:r>
        <w:rPr>
          <w:rFonts w:hint="eastAsia" w:ascii="宋体" w:hAnsi="宋体" w:eastAsia="宋体" w:cs="宋体"/>
          <w:color w:val="000000" w:themeColor="text1"/>
          <w:sz w:val="24"/>
          <w:highlight w:val="none"/>
          <w14:textFill>
            <w14:solidFill>
              <w14:schemeClr w14:val="tx1"/>
            </w14:solidFill>
          </w14:textFill>
        </w:rPr>
        <w:t>设备的保管与使用</w:t>
      </w:r>
    </w:p>
    <w:p w14:paraId="74F4F4E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F4730C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3B30C77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09" w:name="_Toc351203557"/>
      <w:r>
        <w:rPr>
          <w:rFonts w:hint="eastAsia" w:ascii="宋体" w:hAnsi="宋体" w:eastAsia="宋体" w:cs="宋体"/>
          <w:b w:val="0"/>
          <w:color w:val="000000" w:themeColor="text1"/>
          <w:sz w:val="24"/>
          <w:szCs w:val="24"/>
          <w:highlight w:val="none"/>
          <w14:textFill>
            <w14:solidFill>
              <w14:schemeClr w14:val="tx1"/>
            </w14:solidFill>
          </w14:textFill>
        </w:rPr>
        <w:t>8.5禁止使用不合格的材料和工程设备</w:t>
      </w:r>
      <w:bookmarkEnd w:id="309"/>
    </w:p>
    <w:p w14:paraId="60CE00B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4E8F0CE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290ECF2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3A73D93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10" w:name="_Toc351203558"/>
      <w:r>
        <w:rPr>
          <w:rFonts w:hint="eastAsia" w:ascii="宋体" w:hAnsi="宋体" w:eastAsia="宋体" w:cs="宋体"/>
          <w:b w:val="0"/>
          <w:color w:val="000000" w:themeColor="text1"/>
          <w:sz w:val="24"/>
          <w:szCs w:val="24"/>
          <w:highlight w:val="none"/>
          <w14:textFill>
            <w14:solidFill>
              <w14:schemeClr w14:val="tx1"/>
            </w14:solidFill>
          </w14:textFill>
        </w:rPr>
        <w:t>8.6 样品</w:t>
      </w:r>
      <w:bookmarkEnd w:id="310"/>
    </w:p>
    <w:p w14:paraId="270FAB4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8.6.1</w:t>
      </w:r>
      <w:r>
        <w:rPr>
          <w:rFonts w:hint="eastAsia" w:ascii="宋体" w:hAnsi="宋体" w:eastAsia="宋体" w:cs="宋体"/>
          <w:color w:val="000000" w:themeColor="text1"/>
          <w:kern w:val="0"/>
          <w:sz w:val="24"/>
          <w:highlight w:val="none"/>
          <w14:textFill>
            <w14:solidFill>
              <w14:schemeClr w14:val="tx1"/>
            </w14:solidFill>
          </w14:textFill>
        </w:rPr>
        <w:tab/>
      </w:r>
      <w:r>
        <w:rPr>
          <w:rFonts w:hint="eastAsia" w:ascii="宋体" w:hAnsi="宋体" w:eastAsia="宋体" w:cs="宋体"/>
          <w:color w:val="000000" w:themeColor="text1"/>
          <w:kern w:val="0"/>
          <w:sz w:val="24"/>
          <w:highlight w:val="none"/>
          <w14:textFill>
            <w14:solidFill>
              <w14:schemeClr w14:val="tx1"/>
            </w14:solidFill>
          </w14:textFill>
        </w:rPr>
        <w:t>样品的报送与封存</w:t>
      </w:r>
    </w:p>
    <w:p w14:paraId="459B6CC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需要承包人报送样品的材料或工程设备，样品的种类、名称、规格、数量等要求均应在专用合同条款中约定。样品的报送程序如下：</w:t>
      </w:r>
    </w:p>
    <w:p w14:paraId="5A9AEFB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6D52FE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D3C110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4AA5175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8F322A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8.6.2 样品的保管</w:t>
      </w:r>
    </w:p>
    <w:p w14:paraId="4202BEC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经批准的样品应由监理人负责封存于现场，承包人应在现场为保存样品提供适当和固定的场所并保持适当和良好的存储环境条件。</w:t>
      </w:r>
    </w:p>
    <w:p w14:paraId="2220557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11" w:name="_Toc351203559"/>
      <w:r>
        <w:rPr>
          <w:rFonts w:hint="eastAsia" w:ascii="宋体" w:hAnsi="宋体" w:eastAsia="宋体" w:cs="宋体"/>
          <w:b w:val="0"/>
          <w:color w:val="000000" w:themeColor="text1"/>
          <w:sz w:val="24"/>
          <w:szCs w:val="24"/>
          <w:highlight w:val="none"/>
          <w14:textFill>
            <w14:solidFill>
              <w14:schemeClr w14:val="tx1"/>
            </w14:solidFill>
          </w14:textFill>
        </w:rPr>
        <w:t>8.7材料与工程设备的替代</w:t>
      </w:r>
      <w:bookmarkEnd w:id="311"/>
    </w:p>
    <w:p w14:paraId="5DD36AB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8.7.1 出现下列情况需要使用替代材料和工程设备的，承包人应按照第8.7.2项约定的程序执行：</w:t>
      </w:r>
    </w:p>
    <w:p w14:paraId="3F41D9E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（1）基准日期后生效的法律规定禁止使用的；</w:t>
      </w:r>
    </w:p>
    <w:p w14:paraId="1EE842B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（2）发包人要求使用替代品的；</w:t>
      </w:r>
    </w:p>
    <w:p w14:paraId="609B4C5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（3）因其他原因必须使用替代品的。</w:t>
      </w:r>
    </w:p>
    <w:p w14:paraId="5028BB1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8.7.2 承包人应在使用替代材料和工程设备28天前书面通知监理人，并附下列文件：</w:t>
      </w:r>
    </w:p>
    <w:p w14:paraId="02FD5C4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（1）被替代的材料和工程设备的名称、数量、规格、型号、品牌、性能、价格及其他相关资料；</w:t>
      </w:r>
    </w:p>
    <w:p w14:paraId="11F4331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（2）替代品的名称、数量、规格、型号、品牌、性能、价格及其他相关资料；</w:t>
      </w:r>
    </w:p>
    <w:p w14:paraId="6C61C3B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（3）替代品与被替代产品之间的差异以及使用替代品可能对工程产生的影响；</w:t>
      </w:r>
    </w:p>
    <w:p w14:paraId="7CAD480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（4）替代品与被替代产品的价格差异；</w:t>
      </w:r>
    </w:p>
    <w:p w14:paraId="0429DFF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（5）使用替代品的理由和原因说明；</w:t>
      </w:r>
    </w:p>
    <w:p w14:paraId="3E3A0C0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（6）监理人要求的其他文件。</w:t>
      </w:r>
    </w:p>
    <w:p w14:paraId="2FDEB4D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14:paraId="1355AB7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E2ADB7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12" w:name="_Toc351203560"/>
      <w:r>
        <w:rPr>
          <w:rFonts w:hint="eastAsia" w:ascii="宋体" w:hAnsi="宋体" w:eastAsia="宋体" w:cs="宋体"/>
          <w:b w:val="0"/>
          <w:color w:val="000000" w:themeColor="text1"/>
          <w:sz w:val="24"/>
          <w:szCs w:val="24"/>
          <w:highlight w:val="none"/>
          <w14:textFill>
            <w14:solidFill>
              <w14:schemeClr w14:val="tx1"/>
            </w14:solidFill>
          </w14:textFill>
        </w:rPr>
        <w:t>8.8施工设备和临时设施</w:t>
      </w:r>
      <w:bookmarkEnd w:id="312"/>
    </w:p>
    <w:p w14:paraId="6B110CF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8.8.1 承包人提供的施工设备和临时设施</w:t>
      </w:r>
    </w:p>
    <w:p w14:paraId="7D303FF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7587892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除专用合同条款另有约定外，承包人应自行承担修建临时设施的费用，需要临时占地的，应由发包人办理申请手续并承担相应费用。</w:t>
      </w:r>
    </w:p>
    <w:p w14:paraId="44BDD66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8.8.2发包人提供的施工设备和临时设施</w:t>
      </w:r>
    </w:p>
    <w:p w14:paraId="61F081B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发包人提供的施工设备或临时设施在专用合同条款中约定。</w:t>
      </w:r>
    </w:p>
    <w:p w14:paraId="174497A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8.8.3要求承包人增加或更换施工设备</w:t>
      </w:r>
    </w:p>
    <w:p w14:paraId="42C9110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5F514C1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13" w:name="_Toc351203561"/>
      <w:r>
        <w:rPr>
          <w:rFonts w:hint="eastAsia" w:ascii="宋体" w:hAnsi="宋体" w:eastAsia="宋体" w:cs="宋体"/>
          <w:b w:val="0"/>
          <w:color w:val="000000" w:themeColor="text1"/>
          <w:sz w:val="24"/>
          <w:szCs w:val="24"/>
          <w:highlight w:val="none"/>
          <w14:textFill>
            <w14:solidFill>
              <w14:schemeClr w14:val="tx1"/>
            </w14:solidFill>
          </w14:textFill>
        </w:rPr>
        <w:t>8</w:t>
      </w:r>
      <w:bookmarkStart w:id="314" w:name="_Toc296503063"/>
      <w:bookmarkStart w:id="315" w:name="_Toc337558781"/>
      <w:bookmarkStart w:id="316" w:name="_Toc296346564"/>
      <w:r>
        <w:rPr>
          <w:rFonts w:hint="eastAsia" w:ascii="宋体" w:hAnsi="宋体" w:eastAsia="宋体" w:cs="宋体"/>
          <w:b w:val="0"/>
          <w:color w:val="000000" w:themeColor="text1"/>
          <w:sz w:val="24"/>
          <w:szCs w:val="24"/>
          <w:highlight w:val="none"/>
          <w14:textFill>
            <w14:solidFill>
              <w14:schemeClr w14:val="tx1"/>
            </w14:solidFill>
          </w14:textFill>
        </w:rPr>
        <w:t>.9材料与设备专用</w:t>
      </w:r>
      <w:bookmarkEnd w:id="313"/>
      <w:r>
        <w:rPr>
          <w:rFonts w:hint="eastAsia" w:ascii="宋体" w:hAnsi="宋体" w:eastAsia="宋体" w:cs="宋体"/>
          <w:b w:val="0"/>
          <w:color w:val="000000" w:themeColor="text1"/>
          <w:sz w:val="24"/>
          <w:szCs w:val="24"/>
          <w:highlight w:val="none"/>
          <w14:textFill>
            <w14:solidFill>
              <w14:schemeClr w14:val="tx1"/>
            </w14:solidFill>
          </w14:textFill>
        </w:rPr>
        <w:t>要求</w:t>
      </w:r>
    </w:p>
    <w:bookmarkEnd w:id="314"/>
    <w:bookmarkEnd w:id="315"/>
    <w:bookmarkEnd w:id="316"/>
    <w:p w14:paraId="61556B0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295"/>
      <w:r>
        <w:rPr>
          <w:rFonts w:hint="eastAsia" w:ascii="宋体" w:hAnsi="宋体" w:eastAsia="宋体" w:cs="宋体"/>
          <w:color w:val="000000" w:themeColor="text1"/>
          <w:kern w:val="0"/>
          <w:sz w:val="24"/>
          <w:highlight w:val="none"/>
          <w14:textFill>
            <w14:solidFill>
              <w14:schemeClr w14:val="tx1"/>
            </w14:solidFill>
          </w14:textFill>
        </w:rPr>
        <w:t>经发包人批准，承包人可以根据施工进度计划撤走闲置的施工设备和其他物品。</w:t>
      </w:r>
    </w:p>
    <w:p w14:paraId="69F7FE5E">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317" w:name="_Toc351203562"/>
      <w:r>
        <w:rPr>
          <w:rFonts w:hint="eastAsia" w:ascii="宋体" w:hAnsi="宋体" w:eastAsia="宋体" w:cs="宋体"/>
          <w:b w:val="0"/>
          <w:color w:val="000000" w:themeColor="text1"/>
          <w:sz w:val="24"/>
          <w:szCs w:val="24"/>
          <w:highlight w:val="none"/>
          <w14:textFill>
            <w14:solidFill>
              <w14:schemeClr w14:val="tx1"/>
            </w14:solidFill>
          </w14:textFill>
        </w:rPr>
        <w:t>9</w:t>
      </w:r>
      <w:bookmarkStart w:id="318" w:name="_Toc337558782"/>
      <w:bookmarkStart w:id="319" w:name="_Toc296346584"/>
      <w:bookmarkStart w:id="320" w:name="_Toc296503083"/>
      <w:r>
        <w:rPr>
          <w:rFonts w:hint="eastAsia" w:ascii="宋体" w:hAnsi="宋体" w:eastAsia="宋体" w:cs="宋体"/>
          <w:b w:val="0"/>
          <w:color w:val="000000" w:themeColor="text1"/>
          <w:sz w:val="24"/>
          <w:szCs w:val="24"/>
          <w:highlight w:val="none"/>
          <w14:textFill>
            <w14:solidFill>
              <w14:schemeClr w14:val="tx1"/>
            </w14:solidFill>
          </w14:textFill>
        </w:rPr>
        <w:t>. 试验与检验</w:t>
      </w:r>
      <w:bookmarkEnd w:id="317"/>
    </w:p>
    <w:bookmarkEnd w:id="318"/>
    <w:p w14:paraId="17B4AB6E">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21" w:name="_Toc351203563"/>
      <w:r>
        <w:rPr>
          <w:rFonts w:hint="eastAsia" w:ascii="宋体" w:hAnsi="宋体" w:eastAsia="宋体" w:cs="宋体"/>
          <w:b w:val="0"/>
          <w:color w:val="000000" w:themeColor="text1"/>
          <w:sz w:val="24"/>
          <w:szCs w:val="24"/>
          <w:highlight w:val="none"/>
          <w14:textFill>
            <w14:solidFill>
              <w14:schemeClr w14:val="tx1"/>
            </w14:solidFill>
          </w14:textFill>
        </w:rPr>
        <w:t>9</w:t>
      </w:r>
      <w:bookmarkStart w:id="322" w:name="_Toc337558783"/>
      <w:r>
        <w:rPr>
          <w:rFonts w:hint="eastAsia" w:ascii="宋体" w:hAnsi="宋体" w:eastAsia="宋体" w:cs="宋体"/>
          <w:b w:val="0"/>
          <w:color w:val="000000" w:themeColor="text1"/>
          <w:sz w:val="24"/>
          <w:szCs w:val="24"/>
          <w:highlight w:val="none"/>
          <w14:textFill>
            <w14:solidFill>
              <w14:schemeClr w14:val="tx1"/>
            </w14:solidFill>
          </w14:textFill>
        </w:rPr>
        <w:t>.1试验设备与试验人员</w:t>
      </w:r>
      <w:bookmarkEnd w:id="321"/>
    </w:p>
    <w:bookmarkEnd w:id="322"/>
    <w:p w14:paraId="2789C26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EA10A7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9.1.2 承包人应按专用合同条款的约定提供试验设备、取样装置、试验场所和试验条件，并向监理人提交相应进场计划表。</w:t>
      </w:r>
    </w:p>
    <w:p w14:paraId="11C5A13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2DEE7F5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2921FE3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23" w:name="_Toc351203564"/>
      <w:r>
        <w:rPr>
          <w:rFonts w:hint="eastAsia" w:ascii="宋体" w:hAnsi="宋体" w:eastAsia="宋体" w:cs="宋体"/>
          <w:b w:val="0"/>
          <w:color w:val="000000" w:themeColor="text1"/>
          <w:sz w:val="24"/>
          <w:szCs w:val="24"/>
          <w:highlight w:val="none"/>
          <w14:textFill>
            <w14:solidFill>
              <w14:schemeClr w14:val="tx1"/>
            </w14:solidFill>
          </w14:textFill>
        </w:rPr>
        <w:t>9</w:t>
      </w:r>
      <w:bookmarkStart w:id="324" w:name="_Toc337558784"/>
      <w:r>
        <w:rPr>
          <w:rFonts w:hint="eastAsia" w:ascii="宋体" w:hAnsi="宋体" w:eastAsia="宋体" w:cs="宋体"/>
          <w:b w:val="0"/>
          <w:color w:val="000000" w:themeColor="text1"/>
          <w:sz w:val="24"/>
          <w:szCs w:val="24"/>
          <w:highlight w:val="none"/>
          <w14:textFill>
            <w14:solidFill>
              <w14:schemeClr w14:val="tx1"/>
            </w14:solidFill>
          </w14:textFill>
        </w:rPr>
        <w:t>.2取样</w:t>
      </w:r>
      <w:bookmarkEnd w:id="323"/>
    </w:p>
    <w:bookmarkEnd w:id="324"/>
    <w:p w14:paraId="7BE5553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14:paraId="32505AF2">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25" w:name="_Toc351203565"/>
      <w:r>
        <w:rPr>
          <w:rFonts w:hint="eastAsia" w:ascii="宋体" w:hAnsi="宋体" w:eastAsia="宋体" w:cs="宋体"/>
          <w:b w:val="0"/>
          <w:color w:val="000000" w:themeColor="text1"/>
          <w:sz w:val="24"/>
          <w:szCs w:val="24"/>
          <w:highlight w:val="none"/>
          <w14:textFill>
            <w14:solidFill>
              <w14:schemeClr w14:val="tx1"/>
            </w14:solidFill>
          </w14:textFill>
        </w:rPr>
        <w:t>9</w:t>
      </w:r>
      <w:bookmarkStart w:id="326" w:name="_Toc337558785"/>
      <w:r>
        <w:rPr>
          <w:rFonts w:hint="eastAsia" w:ascii="宋体" w:hAnsi="宋体" w:eastAsia="宋体" w:cs="宋体"/>
          <w:b w:val="0"/>
          <w:color w:val="000000" w:themeColor="text1"/>
          <w:sz w:val="24"/>
          <w:szCs w:val="24"/>
          <w:highlight w:val="none"/>
          <w14:textFill>
            <w14:solidFill>
              <w14:schemeClr w14:val="tx1"/>
            </w14:solidFill>
          </w14:textFill>
        </w:rPr>
        <w:t>.3材料、工程设备和工程的试验和检验</w:t>
      </w:r>
      <w:bookmarkEnd w:id="325"/>
    </w:p>
    <w:bookmarkEnd w:id="326"/>
    <w:p w14:paraId="78B2F29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4EF9EF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6F41B1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C85FE6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27" w:name="_Toc351203566"/>
      <w:r>
        <w:rPr>
          <w:rFonts w:hint="eastAsia" w:ascii="宋体" w:hAnsi="宋体" w:eastAsia="宋体" w:cs="宋体"/>
          <w:b w:val="0"/>
          <w:color w:val="000000" w:themeColor="text1"/>
          <w:sz w:val="24"/>
          <w:szCs w:val="24"/>
          <w:highlight w:val="none"/>
          <w14:textFill>
            <w14:solidFill>
              <w14:schemeClr w14:val="tx1"/>
            </w14:solidFill>
          </w14:textFill>
        </w:rPr>
        <w:t>9</w:t>
      </w:r>
      <w:bookmarkStart w:id="328" w:name="_Toc337558786"/>
      <w:r>
        <w:rPr>
          <w:rFonts w:hint="eastAsia" w:ascii="宋体" w:hAnsi="宋体" w:eastAsia="宋体" w:cs="宋体"/>
          <w:b w:val="0"/>
          <w:color w:val="000000" w:themeColor="text1"/>
          <w:sz w:val="24"/>
          <w:szCs w:val="24"/>
          <w:highlight w:val="none"/>
          <w14:textFill>
            <w14:solidFill>
              <w14:schemeClr w14:val="tx1"/>
            </w14:solidFill>
          </w14:textFill>
        </w:rPr>
        <w:t>.4现场工艺试验</w:t>
      </w:r>
      <w:bookmarkEnd w:id="327"/>
    </w:p>
    <w:bookmarkEnd w:id="328"/>
    <w:p w14:paraId="7D257A2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5F5F36F7">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329" w:name="_Toc351203567"/>
      <w:r>
        <w:rPr>
          <w:rFonts w:hint="eastAsia" w:ascii="宋体" w:hAnsi="宋体" w:eastAsia="宋体" w:cs="宋体"/>
          <w:b w:val="0"/>
          <w:color w:val="000000" w:themeColor="text1"/>
          <w:sz w:val="24"/>
          <w:szCs w:val="24"/>
          <w:highlight w:val="none"/>
          <w14:textFill>
            <w14:solidFill>
              <w14:schemeClr w14:val="tx1"/>
            </w14:solidFill>
          </w14:textFill>
        </w:rPr>
        <w:t>1</w:t>
      </w:r>
      <w:bookmarkStart w:id="330" w:name="_Toc337558787"/>
      <w:r>
        <w:rPr>
          <w:rFonts w:hint="eastAsia" w:ascii="宋体" w:hAnsi="宋体" w:eastAsia="宋体" w:cs="宋体"/>
          <w:b w:val="0"/>
          <w:color w:val="000000" w:themeColor="text1"/>
          <w:sz w:val="24"/>
          <w:szCs w:val="24"/>
          <w:highlight w:val="none"/>
          <w14:textFill>
            <w14:solidFill>
              <w14:schemeClr w14:val="tx1"/>
            </w14:solidFill>
          </w14:textFill>
        </w:rPr>
        <w:t>0. 变更</w:t>
      </w:r>
      <w:bookmarkEnd w:id="319"/>
      <w:bookmarkEnd w:id="320"/>
      <w:bookmarkEnd w:id="329"/>
    </w:p>
    <w:bookmarkEnd w:id="330"/>
    <w:p w14:paraId="34A5298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31" w:name="_Toc351203568"/>
      <w:r>
        <w:rPr>
          <w:rFonts w:hint="eastAsia" w:ascii="宋体" w:hAnsi="宋体" w:eastAsia="宋体" w:cs="宋体"/>
          <w:b w:val="0"/>
          <w:color w:val="000000" w:themeColor="text1"/>
          <w:sz w:val="24"/>
          <w:szCs w:val="24"/>
          <w:highlight w:val="none"/>
          <w14:textFill>
            <w14:solidFill>
              <w14:schemeClr w14:val="tx1"/>
            </w14:solidFill>
          </w14:textFill>
        </w:rPr>
        <w:t>1</w:t>
      </w:r>
      <w:bookmarkStart w:id="332" w:name="_Toc337558788"/>
      <w:bookmarkStart w:id="333" w:name="_Toc296503084"/>
      <w:bookmarkStart w:id="334" w:name="_Toc296346585"/>
      <w:r>
        <w:rPr>
          <w:rFonts w:hint="eastAsia" w:ascii="宋体" w:hAnsi="宋体" w:eastAsia="宋体" w:cs="宋体"/>
          <w:b w:val="0"/>
          <w:color w:val="000000" w:themeColor="text1"/>
          <w:sz w:val="24"/>
          <w:szCs w:val="24"/>
          <w:highlight w:val="none"/>
          <w14:textFill>
            <w14:solidFill>
              <w14:schemeClr w14:val="tx1"/>
            </w14:solidFill>
          </w14:textFill>
        </w:rPr>
        <w:t>0.1变更的范围</w:t>
      </w:r>
      <w:bookmarkEnd w:id="331"/>
    </w:p>
    <w:bookmarkEnd w:id="332"/>
    <w:bookmarkEnd w:id="333"/>
    <w:bookmarkEnd w:id="334"/>
    <w:p w14:paraId="7F1687B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除专用合同条款另有约定外，合同履行过程中发生以下情形的，应按照本条约定进行变更：</w:t>
      </w:r>
    </w:p>
    <w:p w14:paraId="1136592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（1）增加或减少合同中任何工作，或追加额外的工作；</w:t>
      </w:r>
    </w:p>
    <w:p w14:paraId="34FC426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（2）取消合同中任何工作，但转由他人实施的工作除外；</w:t>
      </w:r>
    </w:p>
    <w:p w14:paraId="0555094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（3）改变合同中任何工作的质量标准或其他特性；</w:t>
      </w:r>
    </w:p>
    <w:p w14:paraId="229EDC1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（4）改变工程的基线、标高、位置和尺寸；</w:t>
      </w:r>
    </w:p>
    <w:p w14:paraId="7F9C257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（5）改变工程的时间安排或实施顺序。</w:t>
      </w:r>
    </w:p>
    <w:p w14:paraId="6CEC0C6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35" w:name="_Toc351203569"/>
      <w:r>
        <w:rPr>
          <w:rFonts w:hint="eastAsia" w:ascii="宋体" w:hAnsi="宋体" w:eastAsia="宋体" w:cs="宋体"/>
          <w:b w:val="0"/>
          <w:color w:val="000000" w:themeColor="text1"/>
          <w:sz w:val="24"/>
          <w:szCs w:val="24"/>
          <w:highlight w:val="none"/>
          <w14:textFill>
            <w14:solidFill>
              <w14:schemeClr w14:val="tx1"/>
            </w14:solidFill>
          </w14:textFill>
        </w:rPr>
        <w:t>1</w:t>
      </w:r>
      <w:bookmarkStart w:id="336" w:name="_Toc296503085"/>
      <w:bookmarkStart w:id="337" w:name="_Toc296346586"/>
      <w:bookmarkStart w:id="338" w:name="_Toc337558789"/>
      <w:r>
        <w:rPr>
          <w:rFonts w:hint="eastAsia" w:ascii="宋体" w:hAnsi="宋体" w:eastAsia="宋体" w:cs="宋体"/>
          <w:b w:val="0"/>
          <w:color w:val="000000" w:themeColor="text1"/>
          <w:sz w:val="24"/>
          <w:szCs w:val="24"/>
          <w:highlight w:val="none"/>
          <w14:textFill>
            <w14:solidFill>
              <w14:schemeClr w14:val="tx1"/>
            </w14:solidFill>
          </w14:textFill>
        </w:rPr>
        <w:t>0.2变更权</w:t>
      </w:r>
      <w:bookmarkEnd w:id="335"/>
    </w:p>
    <w:bookmarkEnd w:id="336"/>
    <w:bookmarkEnd w:id="337"/>
    <w:bookmarkEnd w:id="338"/>
    <w:p w14:paraId="514649A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961489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16D3013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39" w:name="_Toc351203570"/>
      <w:r>
        <w:rPr>
          <w:rFonts w:hint="eastAsia" w:ascii="宋体" w:hAnsi="宋体" w:eastAsia="宋体" w:cs="宋体"/>
          <w:b w:val="0"/>
          <w:color w:val="000000" w:themeColor="text1"/>
          <w:sz w:val="24"/>
          <w:szCs w:val="24"/>
          <w:highlight w:val="none"/>
          <w14:textFill>
            <w14:solidFill>
              <w14:schemeClr w14:val="tx1"/>
            </w14:solidFill>
          </w14:textFill>
        </w:rPr>
        <w:t>1</w:t>
      </w:r>
      <w:bookmarkStart w:id="340" w:name="_Toc296346587"/>
      <w:bookmarkStart w:id="341" w:name="_Toc337558790"/>
      <w:bookmarkStart w:id="342" w:name="_Toc296503086"/>
      <w:r>
        <w:rPr>
          <w:rFonts w:hint="eastAsia" w:ascii="宋体" w:hAnsi="宋体" w:eastAsia="宋体" w:cs="宋体"/>
          <w:b w:val="0"/>
          <w:color w:val="000000" w:themeColor="text1"/>
          <w:sz w:val="24"/>
          <w:szCs w:val="24"/>
          <w:highlight w:val="none"/>
          <w14:textFill>
            <w14:solidFill>
              <w14:schemeClr w14:val="tx1"/>
            </w14:solidFill>
          </w14:textFill>
        </w:rPr>
        <w:t>0.3变更程序</w:t>
      </w:r>
      <w:bookmarkEnd w:id="339"/>
    </w:p>
    <w:bookmarkEnd w:id="340"/>
    <w:bookmarkEnd w:id="341"/>
    <w:bookmarkEnd w:id="342"/>
    <w:p w14:paraId="2E57434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r>
        <w:rPr>
          <w:rFonts w:hint="eastAsia" w:ascii="宋体" w:hAnsi="宋体" w:eastAsia="宋体" w:cs="宋体"/>
          <w:color w:val="000000" w:themeColor="text1"/>
          <w:kern w:val="0"/>
          <w:sz w:val="24"/>
          <w:highlight w:val="none"/>
          <w14:textFill>
            <w14:solidFill>
              <w14:schemeClr w14:val="tx1"/>
            </w14:solidFill>
          </w14:textFill>
        </w:rPr>
        <w:t>.3.1 发包人提出变更</w:t>
      </w:r>
    </w:p>
    <w:p w14:paraId="72F7EF8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发包人提出变更的，应通过监理人向承包人发出变更指示，变更指示应说明计划变更的工程范围和变更的内容。</w:t>
      </w:r>
    </w:p>
    <w:p w14:paraId="5BDE56F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r>
        <w:rPr>
          <w:rFonts w:hint="eastAsia" w:ascii="宋体" w:hAnsi="宋体" w:eastAsia="宋体" w:cs="宋体"/>
          <w:color w:val="000000" w:themeColor="text1"/>
          <w:kern w:val="0"/>
          <w:sz w:val="24"/>
          <w:highlight w:val="none"/>
          <w14:textFill>
            <w14:solidFill>
              <w14:schemeClr w14:val="tx1"/>
            </w14:solidFill>
          </w14:textFill>
        </w:rPr>
        <w:t>.3.2 监理人提出变更建议</w:t>
      </w:r>
    </w:p>
    <w:p w14:paraId="14AAF00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034FFFC">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10.3.3 变更执行</w:t>
      </w:r>
    </w:p>
    <w:p w14:paraId="2186F88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99EA82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43" w:name="_Toc351203571"/>
      <w:r>
        <w:rPr>
          <w:rFonts w:hint="eastAsia" w:ascii="宋体" w:hAnsi="宋体" w:eastAsia="宋体" w:cs="宋体"/>
          <w:b w:val="0"/>
          <w:color w:val="000000" w:themeColor="text1"/>
          <w:sz w:val="24"/>
          <w:szCs w:val="24"/>
          <w:highlight w:val="none"/>
          <w14:textFill>
            <w14:solidFill>
              <w14:schemeClr w14:val="tx1"/>
            </w14:solidFill>
          </w14:textFill>
        </w:rPr>
        <w:t>1</w:t>
      </w:r>
      <w:bookmarkStart w:id="344" w:name="_Toc296346588"/>
      <w:bookmarkStart w:id="345" w:name="_Toc296503087"/>
      <w:bookmarkStart w:id="346" w:name="_Toc337558791"/>
      <w:r>
        <w:rPr>
          <w:rFonts w:hint="eastAsia" w:ascii="宋体" w:hAnsi="宋体" w:eastAsia="宋体" w:cs="宋体"/>
          <w:b w:val="0"/>
          <w:color w:val="000000" w:themeColor="text1"/>
          <w:sz w:val="24"/>
          <w:szCs w:val="24"/>
          <w:highlight w:val="none"/>
          <w14:textFill>
            <w14:solidFill>
              <w14:schemeClr w14:val="tx1"/>
            </w14:solidFill>
          </w14:textFill>
        </w:rPr>
        <w:t>0.4变更估价</w:t>
      </w:r>
      <w:bookmarkEnd w:id="343"/>
    </w:p>
    <w:bookmarkEnd w:id="344"/>
    <w:bookmarkEnd w:id="345"/>
    <w:bookmarkEnd w:id="346"/>
    <w:p w14:paraId="10E2005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10.4.1 变更估价原则</w:t>
      </w:r>
    </w:p>
    <w:p w14:paraId="1582DF9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除专用合同条款另有约定外，变更估价按照本款约定处理：</w:t>
      </w:r>
    </w:p>
    <w:p w14:paraId="24801FE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（1）已标价工程量清单或预算书有相同项目的，按照相同项目单价认定；</w:t>
      </w:r>
    </w:p>
    <w:p w14:paraId="793ED56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（2）已标价工程量清单或预算书中无相同项目，但有类似项目的，参照类似项目的单价认定；</w:t>
      </w:r>
    </w:p>
    <w:p w14:paraId="3570415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D9E864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10.4.2 变更估价程序</w:t>
      </w:r>
    </w:p>
    <w:p w14:paraId="039C98C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6799D7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因变更引起的价格调整应计入最近一期的进度款中支付。</w:t>
      </w:r>
    </w:p>
    <w:p w14:paraId="6526E70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47" w:name="_Toc351203572"/>
      <w:r>
        <w:rPr>
          <w:rFonts w:hint="eastAsia" w:ascii="宋体" w:hAnsi="宋体" w:eastAsia="宋体" w:cs="宋体"/>
          <w:b w:val="0"/>
          <w:color w:val="000000" w:themeColor="text1"/>
          <w:sz w:val="24"/>
          <w:szCs w:val="24"/>
          <w:highlight w:val="none"/>
          <w14:textFill>
            <w14:solidFill>
              <w14:schemeClr w14:val="tx1"/>
            </w14:solidFill>
          </w14:textFill>
        </w:rPr>
        <w:t>1</w:t>
      </w:r>
      <w:bookmarkStart w:id="348" w:name="_Toc296503094"/>
      <w:bookmarkStart w:id="349" w:name="_Toc296346595"/>
      <w:bookmarkStart w:id="350" w:name="_Toc337558792"/>
      <w:r>
        <w:rPr>
          <w:rFonts w:hint="eastAsia" w:ascii="宋体" w:hAnsi="宋体" w:eastAsia="宋体" w:cs="宋体"/>
          <w:b w:val="0"/>
          <w:color w:val="000000" w:themeColor="text1"/>
          <w:sz w:val="24"/>
          <w:szCs w:val="24"/>
          <w:highlight w:val="none"/>
          <w14:textFill>
            <w14:solidFill>
              <w14:schemeClr w14:val="tx1"/>
            </w14:solidFill>
          </w14:textFill>
        </w:rPr>
        <w:t>0.5承包人的合理化建议</w:t>
      </w:r>
      <w:bookmarkEnd w:id="347"/>
    </w:p>
    <w:bookmarkEnd w:id="348"/>
    <w:bookmarkEnd w:id="349"/>
    <w:bookmarkEnd w:id="350"/>
    <w:p w14:paraId="134DB5D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承包人提出合理化建议的，应向监理人提交合理化建议说明，说明建议的内容和理由，以及实施该建议对合同价格和工期的影响。</w:t>
      </w:r>
    </w:p>
    <w:p w14:paraId="53E7FD3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9293C3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合理化建议降低了合同价格或者提高了工程经济效益的，发包人可对承包人给予奖励，奖励的方法和金额在专用合同条款中约定。</w:t>
      </w:r>
    </w:p>
    <w:p w14:paraId="2FFF2EF5">
      <w:pPr>
        <w:pStyle w:val="6"/>
        <w:shd w:val="clear"/>
        <w:spacing w:before="120" w:after="120" w:line="312"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bookmarkStart w:id="351" w:name="_Toc351203573"/>
      <w:r>
        <w:rPr>
          <w:rFonts w:hint="eastAsia" w:ascii="宋体" w:hAnsi="宋体" w:eastAsia="宋体" w:cs="宋体"/>
          <w:b w:val="0"/>
          <w:color w:val="000000" w:themeColor="text1"/>
          <w:sz w:val="24"/>
          <w:szCs w:val="24"/>
          <w:highlight w:val="none"/>
          <w14:textFill>
            <w14:solidFill>
              <w14:schemeClr w14:val="tx1"/>
            </w14:solidFill>
          </w14:textFill>
        </w:rPr>
        <w:t>1</w:t>
      </w:r>
      <w:bookmarkStart w:id="352" w:name="_Toc337558793"/>
      <w:r>
        <w:rPr>
          <w:rFonts w:hint="eastAsia" w:ascii="宋体" w:hAnsi="宋体" w:eastAsia="宋体" w:cs="宋体"/>
          <w:b w:val="0"/>
          <w:color w:val="000000" w:themeColor="text1"/>
          <w:sz w:val="24"/>
          <w:szCs w:val="24"/>
          <w:highlight w:val="none"/>
          <w14:textFill>
            <w14:solidFill>
              <w14:schemeClr w14:val="tx1"/>
            </w14:solidFill>
          </w14:textFill>
        </w:rPr>
        <w:t>0.6变更引起的工期调整</w:t>
      </w:r>
      <w:bookmarkEnd w:id="351"/>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352"/>
      <w:r>
        <w:rPr>
          <w:rFonts w:hint="eastAsia" w:ascii="宋体" w:hAnsi="宋体" w:eastAsia="宋体" w:cs="宋体"/>
          <w:b w:val="0"/>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F9ABD6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7C511AD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53" w:name="_Toc351203574"/>
      <w:r>
        <w:rPr>
          <w:rFonts w:hint="eastAsia" w:ascii="宋体" w:hAnsi="宋体" w:eastAsia="宋体" w:cs="宋体"/>
          <w:b w:val="0"/>
          <w:color w:val="000000" w:themeColor="text1"/>
          <w:sz w:val="24"/>
          <w:szCs w:val="24"/>
          <w:highlight w:val="none"/>
          <w14:textFill>
            <w14:solidFill>
              <w14:schemeClr w14:val="tx1"/>
            </w14:solidFill>
          </w14:textFill>
        </w:rPr>
        <w:t>10.7暂估价</w:t>
      </w:r>
      <w:bookmarkEnd w:id="353"/>
    </w:p>
    <w:p w14:paraId="3A33C0A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暂估价专业分包工程、服务、材料和工程设备的明细由合同当事人在专用合同条款中约定。</w:t>
      </w:r>
    </w:p>
    <w:p w14:paraId="7799567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10.7.1</w:t>
      </w:r>
      <w:r>
        <w:rPr>
          <w:rFonts w:hint="eastAsia" w:ascii="宋体" w:hAnsi="宋体" w:eastAsia="宋体" w:cs="宋体"/>
          <w:color w:val="000000" w:themeColor="text1"/>
          <w:kern w:val="0"/>
          <w:sz w:val="24"/>
          <w:highlight w:val="none"/>
          <w14:textFill>
            <w14:solidFill>
              <w14:schemeClr w14:val="tx1"/>
            </w14:solidFill>
          </w14:textFill>
        </w:rPr>
        <w:t xml:space="preserve"> 依法必须招标的暂估价项目</w:t>
      </w:r>
    </w:p>
    <w:p w14:paraId="21B8CBE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对于依法必须招标的暂估价项目，采取以下第1种方式确定。合同当事人也可以在专用合同条款中选择其他招标方式。</w:t>
      </w:r>
    </w:p>
    <w:p w14:paraId="62FD006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第1种方式：对于依法必须招标的暂估价项目，由承包人招标，对该暂估价项目的确认和批准按照以下约定执行：</w:t>
      </w:r>
    </w:p>
    <w:p w14:paraId="41FE7D8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F96474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582B1EA">
      <w:pPr>
        <w:shd w:val="clear"/>
        <w:spacing w:line="312" w:lineRule="auto"/>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6AB654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0355C8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10.7.2</w:t>
      </w:r>
      <w:r>
        <w:rPr>
          <w:rFonts w:hint="eastAsia" w:ascii="宋体" w:hAnsi="宋体" w:eastAsia="宋体" w:cs="宋体"/>
          <w:color w:val="000000" w:themeColor="text1"/>
          <w:kern w:val="0"/>
          <w:sz w:val="24"/>
          <w:highlight w:val="none"/>
          <w14:textFill>
            <w14:solidFill>
              <w14:schemeClr w14:val="tx1"/>
            </w14:solidFill>
          </w14:textFill>
        </w:rPr>
        <w:t>不属于依法必须招标的暂估价项目</w:t>
      </w:r>
    </w:p>
    <w:p w14:paraId="7DEE735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除专用合同条款另有约定外，对于不属于依法必须招标的暂估价项目，采取以下第1种方式确定： </w:t>
      </w:r>
    </w:p>
    <w:p w14:paraId="7314B99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第1种方式：对于不属于依法必须招标的暂估价项目，按本项约定确认和批准：</w:t>
      </w:r>
    </w:p>
    <w:p w14:paraId="4B8546C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7436A1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14:paraId="0F6FE01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（3）承包人应当在签订暂估价合同后7天内，将暂估价合同副本报送发包人留存。</w:t>
      </w:r>
    </w:p>
    <w:p w14:paraId="2111C3F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第2种方式：承包人按照第10.7.1项〔依法必须招标的暂估价项目〕约定的第1种方式确定暂估价项目。</w:t>
      </w:r>
    </w:p>
    <w:p w14:paraId="49226A4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第3种方式：</w:t>
      </w:r>
      <w:r>
        <w:rPr>
          <w:rFonts w:hint="eastAsia" w:ascii="宋体" w:hAnsi="宋体" w:eastAsia="宋体" w:cs="宋体"/>
          <w:color w:val="000000" w:themeColor="text1"/>
          <w:kern w:val="0"/>
          <w:sz w:val="24"/>
          <w:highlight w:val="none"/>
          <w14:textFill>
            <w14:solidFill>
              <w14:schemeClr w14:val="tx1"/>
            </w14:solidFill>
          </w14:textFill>
        </w:rPr>
        <w:t>承包人直接实施的暂估价项目</w:t>
      </w:r>
    </w:p>
    <w:p w14:paraId="0C695E1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487E077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326454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54" w:name="_Toc351203575"/>
      <w:r>
        <w:rPr>
          <w:rFonts w:hint="eastAsia" w:ascii="宋体" w:hAnsi="宋体" w:eastAsia="宋体" w:cs="宋体"/>
          <w:b w:val="0"/>
          <w:color w:val="000000" w:themeColor="text1"/>
          <w:sz w:val="24"/>
          <w:szCs w:val="24"/>
          <w:highlight w:val="none"/>
          <w14:textFill>
            <w14:solidFill>
              <w14:schemeClr w14:val="tx1"/>
            </w14:solidFill>
          </w14:textFill>
        </w:rPr>
        <w:t>1</w:t>
      </w:r>
      <w:bookmarkStart w:id="355" w:name="_Toc337558794"/>
      <w:bookmarkStart w:id="356" w:name="_Toc322522561"/>
      <w:bookmarkStart w:id="357" w:name="_Toc296346591"/>
      <w:bookmarkStart w:id="358" w:name="_Toc296503090"/>
      <w:r>
        <w:rPr>
          <w:rFonts w:hint="eastAsia" w:ascii="宋体" w:hAnsi="宋体" w:eastAsia="宋体" w:cs="宋体"/>
          <w:b w:val="0"/>
          <w:color w:val="000000" w:themeColor="text1"/>
          <w:sz w:val="24"/>
          <w:szCs w:val="24"/>
          <w:highlight w:val="none"/>
          <w14:textFill>
            <w14:solidFill>
              <w14:schemeClr w14:val="tx1"/>
            </w14:solidFill>
          </w14:textFill>
        </w:rPr>
        <w:t>0.8暂列金额</w:t>
      </w:r>
      <w:bookmarkEnd w:id="354"/>
    </w:p>
    <w:bookmarkEnd w:id="355"/>
    <w:p w14:paraId="28F6B73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暂列金额应按照发包人的要求使用，发包人的要求应通过监理人发出。合同当事人可以在专用合同条款中协商确定有关事项。</w:t>
      </w:r>
    </w:p>
    <w:bookmarkEnd w:id="356"/>
    <w:bookmarkEnd w:id="357"/>
    <w:bookmarkEnd w:id="358"/>
    <w:p w14:paraId="083335B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59" w:name="_Toc351203576"/>
      <w:r>
        <w:rPr>
          <w:rFonts w:hint="eastAsia" w:ascii="宋体" w:hAnsi="宋体" w:eastAsia="宋体" w:cs="宋体"/>
          <w:b w:val="0"/>
          <w:color w:val="000000" w:themeColor="text1"/>
          <w:sz w:val="24"/>
          <w:szCs w:val="24"/>
          <w:highlight w:val="none"/>
          <w14:textFill>
            <w14:solidFill>
              <w14:schemeClr w14:val="tx1"/>
            </w14:solidFill>
          </w14:textFill>
        </w:rPr>
        <w:t>1</w:t>
      </w:r>
      <w:bookmarkStart w:id="360" w:name="_Toc296346592"/>
      <w:bookmarkStart w:id="361" w:name="_Toc337558796"/>
      <w:bookmarkStart w:id="362" w:name="_Toc296503091"/>
      <w:r>
        <w:rPr>
          <w:rFonts w:hint="eastAsia" w:ascii="宋体" w:hAnsi="宋体" w:eastAsia="宋体" w:cs="宋体"/>
          <w:b w:val="0"/>
          <w:color w:val="000000" w:themeColor="text1"/>
          <w:sz w:val="24"/>
          <w:szCs w:val="24"/>
          <w:highlight w:val="none"/>
          <w14:textFill>
            <w14:solidFill>
              <w14:schemeClr w14:val="tx1"/>
            </w14:solidFill>
          </w14:textFill>
        </w:rPr>
        <w:t>0.9计日工</w:t>
      </w:r>
      <w:bookmarkEnd w:id="359"/>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360"/>
      <w:bookmarkEnd w:id="361"/>
      <w:bookmarkEnd w:id="362"/>
    </w:p>
    <w:p w14:paraId="593EFF9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EA9AFB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采用计日工计价的任何一项工作，承包人应在该项工作实施过程中，每天提交以下报表和有关凭证报送监理人审查：</w:t>
      </w:r>
    </w:p>
    <w:p w14:paraId="41788E54">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（1）工作名称、内容和数量；</w:t>
      </w:r>
    </w:p>
    <w:p w14:paraId="7A2D4112">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（2）投入该工作的所有人员的姓名、专业、工种、级别和耗用工时；</w:t>
      </w:r>
    </w:p>
    <w:p w14:paraId="32179AD6">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（3）投入该工作的材料类别和数量；</w:t>
      </w:r>
    </w:p>
    <w:p w14:paraId="75749817">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（4）投入该工作的施工设备型号、台数和耗用台时；</w:t>
      </w:r>
    </w:p>
    <w:p w14:paraId="17902A6B">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（5）其他有关资料和凭证。</w:t>
      </w:r>
    </w:p>
    <w:p w14:paraId="208DF3F8">
      <w:pPr>
        <w:shd w:val="clear"/>
        <w:spacing w:line="312" w:lineRule="auto"/>
        <w:ind w:firstLine="360" w:firstLineChars="15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计日工由承包人汇总后，列入最近一期进度付款申请单，由监理人审查并经发包人批准后列入进度付款。</w:t>
      </w:r>
      <w:bookmarkStart w:id="363" w:name="_Toc351203577"/>
    </w:p>
    <w:p w14:paraId="02F1B957">
      <w:pPr>
        <w:numPr>
          <w:ilvl w:val="0"/>
          <w:numId w:val="6"/>
        </w:numPr>
        <w:shd w:val="clear"/>
        <w:spacing w:line="312" w:lineRule="auto"/>
        <w:ind w:firstLine="360" w:firstLineChars="15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价格调整</w:t>
      </w:r>
      <w:bookmarkEnd w:id="363"/>
      <w:bookmarkStart w:id="364" w:name="_Toc351203578"/>
      <w:bookmarkStart w:id="365" w:name="_Toc337558797"/>
      <w:bookmarkStart w:id="366" w:name="_Toc296346593"/>
      <w:bookmarkStart w:id="367" w:name="_Toc296503092"/>
    </w:p>
    <w:p w14:paraId="5B2F2608">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11.1市场价格波动引起的调整</w:t>
      </w:r>
      <w:bookmarkEnd w:id="364"/>
    </w:p>
    <w:bookmarkEnd w:id="365"/>
    <w:bookmarkEnd w:id="366"/>
    <w:bookmarkEnd w:id="367"/>
    <w:p w14:paraId="547E4F6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48062BAE">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第1种方式：采用价格指数进行价格调整。</w:t>
      </w:r>
    </w:p>
    <w:p w14:paraId="7C8A076C">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（1）价格调整公式</w:t>
      </w:r>
    </w:p>
    <w:p w14:paraId="10E74111">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因人工、材料和设备等价格波动影响合同价格时，根据专用合同条款中约定的数据，按以下公式计算差额并调整合同价格：</w:t>
      </w:r>
    </w:p>
    <w:p w14:paraId="1889814A">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p>
    <w:p w14:paraId="1BA49EA2">
      <w:pPr>
        <w:shd w:val="clear"/>
        <w:tabs>
          <w:tab w:val="left" w:pos="0"/>
          <w:tab w:val="left" w:pos="360"/>
          <w:tab w:val="left" w:pos="540"/>
        </w:tabs>
        <w:spacing w:line="312" w:lineRule="auto"/>
        <w:ind w:firstLine="600" w:firstLineChars="200"/>
        <w:rPr>
          <w:rFonts w:ascii="宋体" w:hAnsi="宋体" w:eastAsia="宋体" w:cs="宋体"/>
          <w:color w:val="000000" w:themeColor="text1"/>
          <w:sz w:val="24"/>
          <w:highlight w:val="none"/>
          <w14:textFill>
            <w14:solidFill>
              <w14:schemeClr w14:val="tx1"/>
            </w14:solidFill>
          </w14:textFill>
        </w:rPr>
      </w:pPr>
      <w:r>
        <w:rPr>
          <w:rFonts w:hint="eastAsia" w:ascii="Times New Roman" w:hAnsi="Times New Roman" w:eastAsia="仿宋_GB2312"/>
          <w:color w:val="000000" w:themeColor="text1"/>
          <w:position w:val="-30"/>
          <w:sz w:val="30"/>
          <w:szCs w:val="32"/>
          <w:highlight w:val="none"/>
          <w14:textFill>
            <w14:solidFill>
              <w14:schemeClr w14:val="tx1"/>
            </w14:solidFill>
          </w14:textFill>
        </w:rPr>
        <w:object>
          <v:shape id="_x0000_i1025" o:spt="75" type="#_x0000_t75" style="height:44.85pt;width:339.6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p>
    <w:p w14:paraId="25103F04">
      <w:pPr>
        <w:shd w:val="clear"/>
        <w:tabs>
          <w:tab w:val="left" w:pos="0"/>
          <w:tab w:val="left" w:pos="360"/>
          <w:tab w:val="left" w:pos="540"/>
        </w:tabs>
        <w:spacing w:line="312" w:lineRule="auto"/>
        <w:ind w:firstLine="64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公式中：ΔP——需调整的价格差额；</w:t>
      </w:r>
    </w:p>
    <w:p w14:paraId="066ADCBD">
      <w:pPr>
        <w:shd w:val="clear"/>
        <w:tabs>
          <w:tab w:val="left" w:pos="0"/>
          <w:tab w:val="left" w:pos="360"/>
          <w:tab w:val="left" w:pos="540"/>
        </w:tabs>
        <w:spacing w:line="312" w:lineRule="auto"/>
        <w:ind w:firstLine="1440" w:firstLineChars="6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object>
          <v:shape id="_x0000_i1026" o:spt="75" type="#_x0000_t75" style="height:17.65pt;width:17.65pt;" o:ole="t" filled="f" o:preferrelative="t" stroked="f" coordsize="21600,21600">
            <v:path/>
            <v:fill on="f" focussize="0,0"/>
            <v:stroke on="f" joinstyle="miter"/>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color w:val="000000" w:themeColor="text1"/>
          <w:sz w:val="24"/>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6F567846">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A——定值权重（即不调部分的权重）；</w:t>
      </w:r>
    </w:p>
    <w:p w14:paraId="1C1BA236">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10"/>
          <w:sz w:val="24"/>
          <w:highlight w:val="none"/>
          <w14:textFill>
            <w14:solidFill>
              <w14:schemeClr w14:val="tx1"/>
            </w14:solidFill>
          </w14:textFill>
        </w:rPr>
        <w:object>
          <v:shape id="_x0000_i1027" o:spt="75" type="#_x0000_t75" style="height:21.05pt;width:101.2pt;" o:ole="t" filled="f" o:preferrelative="t" stroked="f" coordsize="21600,21600">
            <v:path/>
            <v:fill on="f" focussize="0,0"/>
            <v:stroke on="f" joinstyle="miter"/>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color w:val="000000" w:themeColor="text1"/>
          <w:sz w:val="24"/>
          <w:highlight w:val="none"/>
          <w14:textFill>
            <w14:solidFill>
              <w14:schemeClr w14:val="tx1"/>
            </w14:solidFill>
          </w14:textFill>
        </w:rPr>
        <w:t>——各可调因子的变值权重（即可调部分的权重），为各可调因子在签约合同价中所占的比例；</w:t>
      </w:r>
    </w:p>
    <w:p w14:paraId="1F30E60D">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10"/>
          <w:sz w:val="24"/>
          <w:highlight w:val="none"/>
          <w14:textFill>
            <w14:solidFill>
              <w14:schemeClr w14:val="tx1"/>
            </w14:solidFill>
          </w14:textFill>
        </w:rPr>
        <w:object>
          <v:shape id="_x0000_i1028" o:spt="75" type="#_x0000_t75" style="height:20.4pt;width:101.9pt;" o:ole="t" filled="f" o:preferrelative="t" stroked="f" coordsize="21600,21600">
            <v:path/>
            <v:fill on="f" focussize="0,0"/>
            <v:stroke on="f" joinstyle="miter"/>
            <v:imagedata r:id="rId16" o:title=""/>
            <o:lock v:ext="edit"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color w:val="000000" w:themeColor="text1"/>
          <w:sz w:val="24"/>
          <w:highlight w:val="none"/>
          <w14:textFill>
            <w14:solidFill>
              <w14:schemeClr w14:val="tx1"/>
            </w14:solidFill>
          </w14:textFill>
        </w:rPr>
        <w:t>——各可调因子的现行价格指数，指约定的付款证书相关周期最后一天的前42天的各可调因子的价格指数；</w:t>
      </w:r>
    </w:p>
    <w:p w14:paraId="14AA646D">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10"/>
          <w:sz w:val="24"/>
          <w:highlight w:val="none"/>
          <w14:textFill>
            <w14:solidFill>
              <w14:schemeClr w14:val="tx1"/>
            </w14:solidFill>
          </w14:textFill>
        </w:rPr>
        <w:object>
          <v:shape id="_x0000_i1029" o:spt="75" type="#_x0000_t75" style="height:20.4pt;width:108pt;" o:ole="t" filled="f" o:preferrelative="t" stroked="f" coordsize="21600,21600">
            <v:path/>
            <v:fill on="f" focussize="0,0"/>
            <v:stroke on="f" joinstyle="miter"/>
            <v:imagedata r:id="rId18" o:title=""/>
            <o:lock v:ext="edit"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color w:val="000000" w:themeColor="text1"/>
          <w:sz w:val="24"/>
          <w:highlight w:val="none"/>
          <w14:textFill>
            <w14:solidFill>
              <w14:schemeClr w14:val="tx1"/>
            </w14:solidFill>
          </w14:textFill>
        </w:rPr>
        <w:t>——各可调因子的基本价格指数，指基准日期的各可调因子的价格指数。</w:t>
      </w:r>
    </w:p>
    <w:p w14:paraId="78E62DEE">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321F4EE">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（2）暂时确定调整差额</w:t>
      </w:r>
    </w:p>
    <w:p w14:paraId="548C8746">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在计算调整差额时无现行价格指数的，合同当事人同意暂用前次价格指数计算。实际价格指数有调整的，合同当事人进行相应调整。</w:t>
      </w:r>
    </w:p>
    <w:p w14:paraId="667D8BDF">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（3）权重的调整</w:t>
      </w:r>
    </w:p>
    <w:p w14:paraId="541C31BC">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因变更导致合同约定的权重不合理时，按照第4.4款〔商定或确定〕执行。</w:t>
      </w:r>
    </w:p>
    <w:p w14:paraId="235C2B54">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（4）因承包人原因工期延误后的价格调整</w:t>
      </w:r>
    </w:p>
    <w:p w14:paraId="6684CA7D">
      <w:pPr>
        <w:shd w:val="clear"/>
        <w:tabs>
          <w:tab w:val="left" w:pos="0"/>
          <w:tab w:val="left" w:pos="360"/>
          <w:tab w:val="left" w:pos="540"/>
        </w:tabs>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412F12EA">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第2种方式：采用造价信息进行价格调整。</w:t>
      </w:r>
    </w:p>
    <w:p w14:paraId="4DDB9399">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7E0D33E">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9F75495">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（2）材料、工程设备价格变化的价款调整按照发包人提供的基准价格，按以下风险范围规定执行:</w:t>
      </w:r>
    </w:p>
    <w:p w14:paraId="642BC8C6">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1DE86DB">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6A2DBAA">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1CDC91A8">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8EEE971">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2387F4D2">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3067654A">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第3种方式：专用合同条款约定的其他方式。</w:t>
      </w:r>
    </w:p>
    <w:p w14:paraId="6234287F">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68" w:name="_Toc351203579"/>
      <w:bookmarkStart w:id="369" w:name="_Toc337558798"/>
      <w:bookmarkStart w:id="370" w:name="_Toc296503093"/>
      <w:bookmarkStart w:id="371" w:name="_Toc296346594"/>
      <w:r>
        <w:rPr>
          <w:rFonts w:hint="eastAsia" w:ascii="宋体" w:hAnsi="宋体" w:eastAsia="宋体" w:cs="宋体"/>
          <w:b w:val="0"/>
          <w:color w:val="000000" w:themeColor="text1"/>
          <w:sz w:val="24"/>
          <w:szCs w:val="24"/>
          <w:highlight w:val="none"/>
          <w14:textFill>
            <w14:solidFill>
              <w14:schemeClr w14:val="tx1"/>
            </w14:solidFill>
          </w14:textFill>
        </w:rPr>
        <w:t>11.2法律变化引起的调整</w:t>
      </w:r>
      <w:bookmarkEnd w:id="368"/>
    </w:p>
    <w:bookmarkEnd w:id="369"/>
    <w:bookmarkEnd w:id="370"/>
    <w:bookmarkEnd w:id="371"/>
    <w:p w14:paraId="0CA04BE4">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D8118F0">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因法律变化引起的合同价格和工期调整，合同当事人无法达成一致的，由总监理工程师按第4.4款〔商定或确定〕的约定处理。</w:t>
      </w:r>
    </w:p>
    <w:p w14:paraId="716CC95E">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因承包人原因造成工期延误，在工期延误期间出现法律变化的，由此增加的费用和（或）延误的工期由承包人承担。</w:t>
      </w:r>
    </w:p>
    <w:p w14:paraId="5E799424">
      <w:pPr>
        <w:rPr>
          <w:rFonts w:hint="eastAsia" w:ascii="宋体" w:hAnsi="宋体" w:eastAsia="宋体" w:cs="宋体"/>
          <w:b w:val="0"/>
          <w:color w:val="000000" w:themeColor="text1"/>
          <w:sz w:val="24"/>
          <w:szCs w:val="24"/>
          <w:highlight w:val="none"/>
          <w14:textFill>
            <w14:solidFill>
              <w14:schemeClr w14:val="tx1"/>
            </w14:solidFill>
          </w14:textFill>
        </w:rPr>
      </w:pPr>
      <w:bookmarkStart w:id="372" w:name="_Toc351203580"/>
      <w:bookmarkStart w:id="373" w:name="_Toc337558799"/>
      <w:bookmarkStart w:id="374" w:name="_Toc296346597"/>
      <w:bookmarkStart w:id="375" w:name="_Toc296503096"/>
      <w:r>
        <w:rPr>
          <w:rFonts w:hint="eastAsia" w:ascii="宋体" w:hAnsi="宋体" w:eastAsia="宋体" w:cs="宋体"/>
          <w:b w:val="0"/>
          <w:color w:val="000000" w:themeColor="text1"/>
          <w:sz w:val="24"/>
          <w:szCs w:val="24"/>
          <w:highlight w:val="none"/>
          <w14:textFill>
            <w14:solidFill>
              <w14:schemeClr w14:val="tx1"/>
            </w14:solidFill>
          </w14:textFill>
        </w:rPr>
        <w:br w:type="page"/>
      </w:r>
    </w:p>
    <w:p w14:paraId="080A64F7">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12. 合同价格、计量与支付</w:t>
      </w:r>
      <w:bookmarkEnd w:id="372"/>
    </w:p>
    <w:bookmarkEnd w:id="373"/>
    <w:p w14:paraId="4149B87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76" w:name="_Toc351203581"/>
      <w:bookmarkStart w:id="377" w:name="_Toc337558800"/>
      <w:r>
        <w:rPr>
          <w:rFonts w:hint="eastAsia" w:ascii="宋体" w:hAnsi="宋体" w:eastAsia="宋体" w:cs="宋体"/>
          <w:b w:val="0"/>
          <w:color w:val="000000" w:themeColor="text1"/>
          <w:sz w:val="24"/>
          <w:szCs w:val="24"/>
          <w:highlight w:val="none"/>
          <w14:textFill>
            <w14:solidFill>
              <w14:schemeClr w14:val="tx1"/>
            </w14:solidFill>
          </w14:textFill>
        </w:rPr>
        <w:t>12.1 合同价</w:t>
      </w:r>
      <w:bookmarkEnd w:id="374"/>
      <w:bookmarkEnd w:id="375"/>
      <w:r>
        <w:rPr>
          <w:rFonts w:hint="eastAsia" w:ascii="宋体" w:hAnsi="宋体" w:eastAsia="宋体" w:cs="宋体"/>
          <w:b w:val="0"/>
          <w:color w:val="000000" w:themeColor="text1"/>
          <w:sz w:val="24"/>
          <w:szCs w:val="24"/>
          <w:highlight w:val="none"/>
          <w14:textFill>
            <w14:solidFill>
              <w14:schemeClr w14:val="tx1"/>
            </w14:solidFill>
          </w14:textFill>
        </w:rPr>
        <w:t>格形式</w:t>
      </w:r>
      <w:bookmarkEnd w:id="376"/>
    </w:p>
    <w:bookmarkEnd w:id="377"/>
    <w:p w14:paraId="0ADEE5A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发包人和承包人应在合同协议书中选择下列一种合同价格形式： </w:t>
      </w:r>
    </w:p>
    <w:p w14:paraId="7C0DEA4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1、单价合同</w:t>
      </w:r>
    </w:p>
    <w:p w14:paraId="0968CB0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单价合同是指合同当事人约定以工程量清单及其综合单价进行合同价格计算、调整和确认的建设工程施工合同，</w:t>
      </w:r>
      <w:r>
        <w:rPr>
          <w:rFonts w:hint="eastAsia" w:ascii="宋体" w:hAnsi="宋体" w:eastAsia="宋体" w:cs="宋体"/>
          <w:color w:val="000000" w:themeColor="text1"/>
          <w:sz w:val="24"/>
          <w:highlight w:val="none"/>
          <w14:textFill>
            <w14:solidFill>
              <w14:schemeClr w14:val="tx1"/>
            </w14:solidFill>
          </w14:textFill>
        </w:rPr>
        <w:t>在约定的范围内合同单价不作调整</w:t>
      </w:r>
      <w:r>
        <w:rPr>
          <w:rFonts w:hint="eastAsia" w:ascii="宋体" w:hAnsi="宋体" w:eastAsia="宋体" w:cs="宋体"/>
          <w:color w:val="000000" w:themeColor="text1"/>
          <w:kern w:val="0"/>
          <w:sz w:val="24"/>
          <w:highlight w:val="none"/>
          <w14:textFill>
            <w14:solidFill>
              <w14:schemeClr w14:val="tx1"/>
            </w14:solidFill>
          </w14:textFill>
        </w:rPr>
        <w:t>。合同当事人应在专用合同条款中约定综合单价包含的风险范围和风险费用的计算方法</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并约定风险范围以外的合同价格的调整方法，其中因市场价格波动引起的调整按第11.1款〔市场价格波动引起的调整〕约定执行。</w:t>
      </w:r>
    </w:p>
    <w:p w14:paraId="502D546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2、总价合同</w:t>
      </w:r>
    </w:p>
    <w:p w14:paraId="29C198E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总价合同是指合同当事人约定以施工图、已标价工程量清单或预算书及有关条件进行合同价格计算、调整和确认的建设工程施工合同，</w:t>
      </w:r>
      <w:r>
        <w:rPr>
          <w:rFonts w:hint="eastAsia" w:ascii="宋体" w:hAnsi="宋体" w:eastAsia="宋体" w:cs="宋体"/>
          <w:color w:val="000000" w:themeColor="text1"/>
          <w:sz w:val="24"/>
          <w:highlight w:val="none"/>
          <w14:textFill>
            <w14:solidFill>
              <w14:schemeClr w14:val="tx1"/>
            </w14:solidFill>
          </w14:textFill>
        </w:rPr>
        <w:t>在约定的范围内合同总价不作调整</w:t>
      </w:r>
      <w:r>
        <w:rPr>
          <w:rFonts w:hint="eastAsia" w:ascii="宋体" w:hAnsi="宋体" w:eastAsia="宋体" w:cs="宋体"/>
          <w:color w:val="000000" w:themeColor="text1"/>
          <w:kern w:val="0"/>
          <w:sz w:val="24"/>
          <w:highlight w:val="none"/>
          <w14:textFill>
            <w14:solidFill>
              <w14:schemeClr w14:val="tx1"/>
            </w14:solidFill>
          </w14:textFill>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DD8644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3、其它价格形式</w:t>
      </w:r>
    </w:p>
    <w:p w14:paraId="0C97D04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合同当事人可在专用合同条款中约定其他合同价格形式。</w:t>
      </w:r>
    </w:p>
    <w:p w14:paraId="0003C79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78" w:name="_Toc296503097"/>
      <w:bookmarkStart w:id="379" w:name="_Toc296346598"/>
      <w:bookmarkStart w:id="380" w:name="_Toc351203582"/>
      <w:bookmarkStart w:id="381" w:name="_Toc337558801"/>
      <w:r>
        <w:rPr>
          <w:rFonts w:hint="eastAsia" w:ascii="宋体" w:hAnsi="宋体" w:eastAsia="宋体" w:cs="宋体"/>
          <w:b w:val="0"/>
          <w:color w:val="000000" w:themeColor="text1"/>
          <w:sz w:val="24"/>
          <w:szCs w:val="24"/>
          <w:highlight w:val="none"/>
          <w14:textFill>
            <w14:solidFill>
              <w14:schemeClr w14:val="tx1"/>
            </w14:solidFill>
          </w14:textFill>
        </w:rPr>
        <w:t>12.2预</w:t>
      </w:r>
      <w:bookmarkEnd w:id="378"/>
      <w:bookmarkEnd w:id="379"/>
      <w:bookmarkStart w:id="382" w:name="_Toc296346601"/>
      <w:bookmarkStart w:id="383" w:name="_Toc296503100"/>
      <w:r>
        <w:rPr>
          <w:rFonts w:hint="eastAsia" w:ascii="宋体" w:hAnsi="宋体" w:eastAsia="宋体" w:cs="宋体"/>
          <w:b w:val="0"/>
          <w:color w:val="000000" w:themeColor="text1"/>
          <w:sz w:val="24"/>
          <w:szCs w:val="24"/>
          <w:highlight w:val="none"/>
          <w14:textFill>
            <w14:solidFill>
              <w14:schemeClr w14:val="tx1"/>
            </w14:solidFill>
          </w14:textFill>
        </w:rPr>
        <w:t>付款</w:t>
      </w:r>
      <w:bookmarkEnd w:id="380"/>
    </w:p>
    <w:bookmarkEnd w:id="381"/>
    <w:bookmarkEnd w:id="382"/>
    <w:bookmarkEnd w:id="383"/>
    <w:p w14:paraId="446219D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w:t>
      </w:r>
      <w:r>
        <w:rPr>
          <w:rFonts w:hint="eastAsia" w:ascii="宋体" w:hAnsi="宋体" w:eastAsia="宋体" w:cs="宋体"/>
          <w:color w:val="000000" w:themeColor="text1"/>
          <w:kern w:val="0"/>
          <w:sz w:val="24"/>
          <w:highlight w:val="none"/>
          <w14:textFill>
            <w14:solidFill>
              <w14:schemeClr w14:val="tx1"/>
            </w14:solidFill>
          </w14:textFill>
        </w:rPr>
        <w:t>1预付款的支付</w:t>
      </w:r>
    </w:p>
    <w:p w14:paraId="1BD80EE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7B273FC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108A1EAD">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12.2.2 预付款担保</w:t>
      </w:r>
    </w:p>
    <w:p w14:paraId="08D908D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BB61D08">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84" w:name="_Toc351203583"/>
      <w:bookmarkStart w:id="385" w:name="_Toc337558802"/>
      <w:r>
        <w:rPr>
          <w:rFonts w:hint="eastAsia" w:ascii="宋体" w:hAnsi="宋体" w:eastAsia="宋体" w:cs="宋体"/>
          <w:b w:val="0"/>
          <w:color w:val="000000" w:themeColor="text1"/>
          <w:sz w:val="24"/>
          <w:szCs w:val="24"/>
          <w:highlight w:val="none"/>
          <w14:textFill>
            <w14:solidFill>
              <w14:schemeClr w14:val="tx1"/>
            </w14:solidFill>
          </w14:textFill>
        </w:rPr>
        <w:t>12.3计量</w:t>
      </w:r>
      <w:bookmarkEnd w:id="384"/>
    </w:p>
    <w:bookmarkEnd w:id="385"/>
    <w:p w14:paraId="1CF1F51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12.3.1 计量原则</w:t>
      </w:r>
    </w:p>
    <w:p w14:paraId="4FE78C6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068801C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12.3.2 计量周期</w:t>
      </w:r>
    </w:p>
    <w:p w14:paraId="2DA52FF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除专用合同条款另有约定外，工程量的计量按月进行。</w:t>
      </w:r>
    </w:p>
    <w:p w14:paraId="77E71FD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12.3.3 单价合同的计量</w:t>
      </w:r>
    </w:p>
    <w:p w14:paraId="6292FB9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除专用合同条款另有约定外，单价合同的计量按照本项约定执行：</w:t>
      </w:r>
    </w:p>
    <w:p w14:paraId="52EC30A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054ED38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F17DDB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77D2EC1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12.3.4 总价合同的计量</w:t>
      </w:r>
    </w:p>
    <w:p w14:paraId="7AFE935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除专用合同条款另有约定外，按月计量支付的总价合同，按照本项约定执行：</w:t>
      </w:r>
    </w:p>
    <w:p w14:paraId="5A3E6F7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14:paraId="2DDED89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836EE8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14:paraId="071EA2B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12.3.5 总价合同采用支付分解表计量支付的，可以按照第12.3.4项〔总价合同的计量〕约定进行计量，但合同价款按照支付分解表进行支付。</w:t>
      </w:r>
    </w:p>
    <w:p w14:paraId="3420DE2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12.3.6 其他价格形式合同的计量</w:t>
      </w:r>
    </w:p>
    <w:p w14:paraId="6D92488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合同当事人可在专用合同条款中约定其他价格形式合同的计量方式和程序。</w:t>
      </w:r>
    </w:p>
    <w:p w14:paraId="29E31A0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86" w:name="_Toc296346602"/>
      <w:bookmarkStart w:id="387" w:name="_Toc296503101"/>
      <w:bookmarkStart w:id="388" w:name="_Toc351203584"/>
      <w:bookmarkStart w:id="389" w:name="_Toc337558803"/>
      <w:r>
        <w:rPr>
          <w:rFonts w:hint="eastAsia" w:ascii="宋体" w:hAnsi="宋体" w:eastAsia="宋体" w:cs="宋体"/>
          <w:b w:val="0"/>
          <w:color w:val="000000" w:themeColor="text1"/>
          <w:sz w:val="24"/>
          <w:szCs w:val="24"/>
          <w:highlight w:val="none"/>
          <w14:textFill>
            <w14:solidFill>
              <w14:schemeClr w14:val="tx1"/>
            </w14:solidFill>
          </w14:textFill>
        </w:rPr>
        <w:t>12.4工程进度款支</w:t>
      </w:r>
      <w:bookmarkEnd w:id="386"/>
      <w:bookmarkEnd w:id="387"/>
      <w:r>
        <w:rPr>
          <w:rFonts w:hint="eastAsia" w:ascii="宋体" w:hAnsi="宋体" w:eastAsia="宋体" w:cs="宋体"/>
          <w:b w:val="0"/>
          <w:color w:val="000000" w:themeColor="text1"/>
          <w:sz w:val="24"/>
          <w:szCs w:val="24"/>
          <w:highlight w:val="none"/>
          <w14:textFill>
            <w14:solidFill>
              <w14:schemeClr w14:val="tx1"/>
            </w14:solidFill>
          </w14:textFill>
        </w:rPr>
        <w:t>付</w:t>
      </w:r>
      <w:bookmarkEnd w:id="388"/>
    </w:p>
    <w:bookmarkEnd w:id="389"/>
    <w:p w14:paraId="694EA21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color w:val="000000" w:themeColor="text1"/>
          <w:kern w:val="0"/>
          <w:sz w:val="24"/>
          <w:highlight w:val="none"/>
          <w14:textFill>
            <w14:solidFill>
              <w14:schemeClr w14:val="tx1"/>
            </w14:solidFill>
          </w14:textFill>
        </w:rPr>
        <w:t>.1 付款周期</w:t>
      </w:r>
    </w:p>
    <w:p w14:paraId="3A63B4E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除专用合同条款另有约定外，付款周期应按照第12.3.2项〔计量周期〕的约定与计量周期保持一致。</w:t>
      </w:r>
    </w:p>
    <w:p w14:paraId="52858E0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color w:val="000000" w:themeColor="text1"/>
          <w:kern w:val="0"/>
          <w:sz w:val="24"/>
          <w:highlight w:val="none"/>
          <w14:textFill>
            <w14:solidFill>
              <w14:schemeClr w14:val="tx1"/>
            </w14:solidFill>
          </w14:textFill>
        </w:rPr>
        <w:t>.2 进度付款申请单的编制</w:t>
      </w:r>
    </w:p>
    <w:p w14:paraId="2428B09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除专用合同条款另有约定外，进度付款申请单应包括下列内容：</w:t>
      </w:r>
    </w:p>
    <w:p w14:paraId="16BD48C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（1）截至本次付款周期已完成工作对应的金额；</w:t>
      </w:r>
    </w:p>
    <w:p w14:paraId="4769F4F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（2）根据第10条〔变更〕应增加和扣减的变更金额；</w:t>
      </w:r>
    </w:p>
    <w:p w14:paraId="0C11A56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（3）根据第12.2款〔预付款〕约定应支付的预付款和扣减的返还预付款；</w:t>
      </w:r>
    </w:p>
    <w:p w14:paraId="1A7F65D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（4）根据第15.3款〔质量保证金〕约定应扣减的质量保证金；</w:t>
      </w:r>
    </w:p>
    <w:p w14:paraId="2768FEE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（5）根据第19条〔索赔〕应增加和扣减的索赔金额；</w:t>
      </w:r>
    </w:p>
    <w:p w14:paraId="6DBC65D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（6）对已签发的进度款支付证书中出现错误的修正，应在本次进度付款中支付或扣除的金额；</w:t>
      </w:r>
    </w:p>
    <w:p w14:paraId="2885F27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（7）根据合同约定应增加和扣减的其他金额。</w:t>
      </w:r>
    </w:p>
    <w:p w14:paraId="4061355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12.4.3 进度付款申请单的提交</w:t>
      </w:r>
    </w:p>
    <w:p w14:paraId="5FECA71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（1）单价合同进度付款申请单的提交</w:t>
      </w:r>
    </w:p>
    <w:p w14:paraId="3D80B61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824ED3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（2）总价合同进度付款申请单的提交</w:t>
      </w:r>
    </w:p>
    <w:p w14:paraId="49DE2B3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2F12442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总价合同按支付分解表支付的，承包人应按照第12.4.6项〔支付分解表〕及第12.4.2项〔进度付款申请单的编制〕的约定向监理人提交进度付款申请单。</w:t>
      </w:r>
    </w:p>
    <w:p w14:paraId="2B99DB4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（3）其他价格形式合同的进度付款申请单的提交</w:t>
      </w:r>
    </w:p>
    <w:p w14:paraId="6C78888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合同当事人可在专用合同条款中约定其他价格形式合同的进度付款申请单的编制和提交程序。</w:t>
      </w:r>
    </w:p>
    <w:p w14:paraId="3E3BF34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w:t>
      </w:r>
      <w:r>
        <w:rPr>
          <w:rFonts w:hint="eastAsia" w:ascii="宋体" w:hAnsi="宋体" w:eastAsia="宋体" w:cs="宋体"/>
          <w:color w:val="000000" w:themeColor="text1"/>
          <w:kern w:val="0"/>
          <w:sz w:val="24"/>
          <w:highlight w:val="none"/>
          <w14:textFill>
            <w14:solidFill>
              <w14:schemeClr w14:val="tx1"/>
            </w14:solidFill>
          </w14:textFill>
        </w:rPr>
        <w:t>.4 进度款审核和支付</w:t>
      </w:r>
    </w:p>
    <w:p w14:paraId="7723A28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348A5B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4194F4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2598D60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（3）发包人签发进度款支付证书或临时进度款支付证书，不表明发包人已同意、批准或接受了承包人完成的相应部分的工作。</w:t>
      </w:r>
    </w:p>
    <w:p w14:paraId="027BD92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12.4.5 进度付款的修正</w:t>
      </w:r>
    </w:p>
    <w:p w14:paraId="3A0F744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73B731C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12.4.6 支付分解表</w:t>
      </w:r>
    </w:p>
    <w:p w14:paraId="58A9336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1、支付分解表的编制要求</w:t>
      </w:r>
    </w:p>
    <w:p w14:paraId="7650E28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（1）支付分解表中所列的每期付款金额，应为第12.4.2项〔进度付款申请单的编制〕第（1）目的估算金额；</w:t>
      </w:r>
    </w:p>
    <w:p w14:paraId="1921587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（2）实际进度与施工进度计划不一致的，合同当事人可按照第4.4款〔商定或确定〕修改支付分解表；</w:t>
      </w:r>
    </w:p>
    <w:p w14:paraId="6D0C9E4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（3）不采用支付分解表的，承包人应向发包人和监理人提交按季度编制的支付估算分解表，用于支付参考。</w:t>
      </w:r>
    </w:p>
    <w:p w14:paraId="4E53441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2、总价合同支付分解表的编制与审批</w:t>
      </w:r>
    </w:p>
    <w:p w14:paraId="0B0E53D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25F49D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36F81668">
      <w:pPr>
        <w:shd w:val="clear"/>
        <w:spacing w:line="312" w:lineRule="auto"/>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（3）发包人逾期未完成支付分解表审批的，也未及时要求承包人进行修正和提供补充资料的，则承包人提交的支付分解表视为已经获得发包人批准。</w:t>
      </w:r>
    </w:p>
    <w:p w14:paraId="0F840BE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3、单价合同的总价项目支付分解表的编制与审批</w:t>
      </w:r>
    </w:p>
    <w:p w14:paraId="36FC345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6E223F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90" w:name="_Toc351203585"/>
      <w:r>
        <w:rPr>
          <w:rFonts w:hint="eastAsia" w:ascii="宋体" w:hAnsi="宋体" w:eastAsia="宋体" w:cs="宋体"/>
          <w:b w:val="0"/>
          <w:color w:val="000000" w:themeColor="text1"/>
          <w:sz w:val="24"/>
          <w:szCs w:val="24"/>
          <w:highlight w:val="none"/>
          <w14:textFill>
            <w14:solidFill>
              <w14:schemeClr w14:val="tx1"/>
            </w14:solidFill>
          </w14:textFill>
        </w:rPr>
        <w:t>12.5支付账户</w:t>
      </w:r>
      <w:bookmarkEnd w:id="390"/>
    </w:p>
    <w:p w14:paraId="52F6184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发包人应将合同价款支付至合同协议书中约定的承包人账户。</w:t>
      </w:r>
    </w:p>
    <w:p w14:paraId="6BA74631">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391" w:name="_Toc351203586"/>
      <w:bookmarkStart w:id="392" w:name="_Toc296346607"/>
      <w:bookmarkStart w:id="393" w:name="_Toc296503106"/>
      <w:bookmarkStart w:id="394" w:name="_Toc322522574"/>
      <w:bookmarkStart w:id="395" w:name="_Toc337558804"/>
      <w:r>
        <w:rPr>
          <w:rFonts w:hint="eastAsia" w:ascii="宋体" w:hAnsi="宋体" w:eastAsia="宋体" w:cs="宋体"/>
          <w:b w:val="0"/>
          <w:color w:val="000000" w:themeColor="text1"/>
          <w:sz w:val="24"/>
          <w:szCs w:val="24"/>
          <w:highlight w:val="none"/>
          <w14:textFill>
            <w14:solidFill>
              <w14:schemeClr w14:val="tx1"/>
            </w14:solidFill>
          </w14:textFill>
        </w:rPr>
        <w:t>13. 验收和工程试车</w:t>
      </w:r>
      <w:bookmarkEnd w:id="391"/>
    </w:p>
    <w:bookmarkEnd w:id="392"/>
    <w:bookmarkEnd w:id="393"/>
    <w:bookmarkEnd w:id="394"/>
    <w:bookmarkEnd w:id="395"/>
    <w:p w14:paraId="6BA85F83">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396" w:name="_Toc351203587"/>
      <w:bookmarkStart w:id="397" w:name="_Toc337558805"/>
      <w:bookmarkStart w:id="398" w:name="_Toc296503110"/>
      <w:bookmarkStart w:id="399" w:name="_Toc296346611"/>
      <w:r>
        <w:rPr>
          <w:rFonts w:hint="eastAsia" w:ascii="宋体" w:hAnsi="宋体" w:eastAsia="宋体" w:cs="宋体"/>
          <w:b w:val="0"/>
          <w:color w:val="000000" w:themeColor="text1"/>
          <w:sz w:val="24"/>
          <w:szCs w:val="24"/>
          <w:highlight w:val="none"/>
          <w14:textFill>
            <w14:solidFill>
              <w14:schemeClr w14:val="tx1"/>
            </w14:solidFill>
          </w14:textFill>
        </w:rPr>
        <w:t>13.1分部分项工程验收</w:t>
      </w:r>
      <w:bookmarkEnd w:id="396"/>
    </w:p>
    <w:bookmarkEnd w:id="397"/>
    <w:p w14:paraId="44BC10EC">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 分部分项工程质量应符合国家有关工程施工验收规范、标准及合同约定，承包人应按照施工组织设计的要求完成分部分项工程施工。</w:t>
      </w:r>
    </w:p>
    <w:p w14:paraId="688A65C4">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13.1.2 除专用合同条款另有约定外，分部分项工程经承包人自检合格并具备验收条件的，承包人应提前48小时通知监理人进行验收。</w:t>
      </w:r>
      <w:r>
        <w:rPr>
          <w:rFonts w:hint="eastAsia" w:ascii="宋体" w:hAnsi="宋体" w:eastAsia="宋体" w:cs="宋体"/>
          <w:color w:val="000000" w:themeColor="text1"/>
          <w:kern w:val="0"/>
          <w:sz w:val="24"/>
          <w:highlight w:val="none"/>
          <w14:textFill>
            <w14:solidFill>
              <w14:schemeClr w14:val="tx1"/>
            </w14:solidFill>
          </w14:textFill>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themeColor="text1"/>
          <w:sz w:val="24"/>
          <w:highlight w:val="none"/>
          <w14:textFill>
            <w14:solidFill>
              <w14:schemeClr w14:val="tx1"/>
            </w14:solidFill>
          </w14:textFill>
        </w:rPr>
        <w:t>分部分项工程未经验收的，不得进入下一道工序施工。</w:t>
      </w:r>
    </w:p>
    <w:p w14:paraId="1EFFFFD0">
      <w:pPr>
        <w:shd w:val="clear"/>
        <w:spacing w:line="312"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分部分项工程的验收资料应当作为竣工资料的组成部分。</w:t>
      </w:r>
    </w:p>
    <w:p w14:paraId="02F3E9D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00" w:name="_Toc351203588"/>
      <w:bookmarkStart w:id="401" w:name="_Toc337558806"/>
      <w:r>
        <w:rPr>
          <w:rFonts w:hint="eastAsia" w:ascii="宋体" w:hAnsi="宋体" w:eastAsia="宋体" w:cs="宋体"/>
          <w:b w:val="0"/>
          <w:color w:val="000000" w:themeColor="text1"/>
          <w:sz w:val="24"/>
          <w:szCs w:val="24"/>
          <w:highlight w:val="none"/>
          <w14:textFill>
            <w14:solidFill>
              <w14:schemeClr w14:val="tx1"/>
            </w14:solidFill>
          </w14:textFill>
        </w:rPr>
        <w:t>13.2竣工验收</w:t>
      </w:r>
      <w:bookmarkEnd w:id="400"/>
    </w:p>
    <w:bookmarkEnd w:id="398"/>
    <w:bookmarkEnd w:id="399"/>
    <w:bookmarkEnd w:id="401"/>
    <w:p w14:paraId="64E6B2C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13.2.1竣工验收条件</w:t>
      </w:r>
    </w:p>
    <w:p w14:paraId="015EE0F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工程具备以下条件的，承包人可以申请竣工验收：</w:t>
      </w:r>
    </w:p>
    <w:p w14:paraId="25758C3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2D0C126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（2）已按合同约定编制了甩项工作和缺陷修补工作清单以及相应的施工计划；</w:t>
      </w:r>
    </w:p>
    <w:p w14:paraId="06EE46E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（3）已按合同约定的内容和份数备齐竣工资料。</w:t>
      </w:r>
    </w:p>
    <w:p w14:paraId="48B5407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13.2.2竣工验收程序</w:t>
      </w:r>
    </w:p>
    <w:p w14:paraId="4AF0082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除专用合同条款另有约定外，承包人申请竣工验收的，应当按照以下程序进行：</w:t>
      </w:r>
    </w:p>
    <w:p w14:paraId="526A29C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142754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387243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718C732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A9A8A9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78455D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55C6CDD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13.2.3竣工日期</w:t>
      </w:r>
    </w:p>
    <w:p w14:paraId="27454E6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2" w:name="#go14"/>
      <w:bookmarkEnd w:id="402"/>
      <w:r>
        <w:rPr>
          <w:rFonts w:hint="eastAsia" w:ascii="宋体" w:hAnsi="宋体" w:eastAsia="宋体" w:cs="宋体"/>
          <w:color w:val="000000" w:themeColor="text1"/>
          <w:kern w:val="0"/>
          <w:sz w:val="24"/>
          <w:highlight w:val="none"/>
          <w14:textFill>
            <w14:solidFill>
              <w14:schemeClr w14:val="tx1"/>
            </w14:solidFill>
          </w14:textFill>
        </w:rPr>
        <w:t>收申请报告的日期为实际竣工日期；工程未经竣工验收，发包人擅自使用的，以转移占有工程之日为实际竣工日期。</w:t>
      </w:r>
    </w:p>
    <w:p w14:paraId="51D60DB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13.2.4 拒绝接收全部或部分工程</w:t>
      </w:r>
    </w:p>
    <w:p w14:paraId="66362B4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257DF0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13.2.5 移交、接收全部与部分工程</w:t>
      </w:r>
    </w:p>
    <w:p w14:paraId="72E5567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除专用合同条款另有约定外，合同当事人应当在颁发工程接收证书后7天内完成工程的移交。</w:t>
      </w:r>
    </w:p>
    <w:p w14:paraId="37DE5D2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590A163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21D5DA1E">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03" w:name="_Toc351203589"/>
      <w:bookmarkStart w:id="404" w:name="_Toc296346612"/>
      <w:bookmarkStart w:id="405" w:name="_Toc337558807"/>
      <w:bookmarkStart w:id="406" w:name="_Toc296503111"/>
      <w:r>
        <w:rPr>
          <w:rFonts w:hint="eastAsia" w:ascii="宋体" w:hAnsi="宋体" w:eastAsia="宋体" w:cs="宋体"/>
          <w:b w:val="0"/>
          <w:color w:val="000000" w:themeColor="text1"/>
          <w:sz w:val="24"/>
          <w:szCs w:val="24"/>
          <w:highlight w:val="none"/>
          <w14:textFill>
            <w14:solidFill>
              <w14:schemeClr w14:val="tx1"/>
            </w14:solidFill>
          </w14:textFill>
        </w:rPr>
        <w:t>13.3工程试车</w:t>
      </w:r>
      <w:bookmarkEnd w:id="403"/>
    </w:p>
    <w:bookmarkEnd w:id="404"/>
    <w:bookmarkEnd w:id="405"/>
    <w:bookmarkEnd w:id="406"/>
    <w:p w14:paraId="7399D2C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13.3.1试车程序</w:t>
      </w:r>
    </w:p>
    <w:p w14:paraId="473BC44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14:paraId="54819D4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3080B5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C49C82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464636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13.3.2 试车中的责任</w:t>
      </w:r>
    </w:p>
    <w:p w14:paraId="05D06D3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E9C923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AE2AA5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13.3.3 投料试车</w:t>
      </w:r>
    </w:p>
    <w:p w14:paraId="7C8FA43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7738EB8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9D12915">
      <w:pPr>
        <w:pStyle w:val="6"/>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07" w:name="_Toc337558808"/>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Start w:id="408" w:name="_Toc351203590"/>
      <w:r>
        <w:rPr>
          <w:rFonts w:hint="eastAsia" w:ascii="宋体" w:hAnsi="宋体" w:eastAsia="宋体" w:cs="宋体"/>
          <w:b w:val="0"/>
          <w:color w:val="000000" w:themeColor="text1"/>
          <w:sz w:val="24"/>
          <w:szCs w:val="24"/>
          <w:highlight w:val="none"/>
          <w14:textFill>
            <w14:solidFill>
              <w14:schemeClr w14:val="tx1"/>
            </w14:solidFill>
          </w14:textFill>
        </w:rPr>
        <w:t>13.4提前交付单位工程的验收</w:t>
      </w:r>
      <w:bookmarkEnd w:id="408"/>
    </w:p>
    <w:bookmarkEnd w:id="407"/>
    <w:p w14:paraId="208DE9F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1D621D3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0994E46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6D5A3AB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09" w:name="_Toc351203591"/>
      <w:r>
        <w:rPr>
          <w:rFonts w:hint="eastAsia" w:ascii="宋体" w:hAnsi="宋体" w:eastAsia="宋体" w:cs="宋体"/>
          <w:b w:val="0"/>
          <w:color w:val="000000" w:themeColor="text1"/>
          <w:sz w:val="24"/>
          <w:szCs w:val="24"/>
          <w:highlight w:val="none"/>
          <w14:textFill>
            <w14:solidFill>
              <w14:schemeClr w14:val="tx1"/>
            </w14:solidFill>
          </w14:textFill>
        </w:rPr>
        <w:t>13.5 施工期运行</w:t>
      </w:r>
      <w:bookmarkEnd w:id="409"/>
    </w:p>
    <w:p w14:paraId="54145A1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71F9F8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13.5.2 在施工期运行中发现工程或工程设备损坏或存在缺陷的，由承包人按第15.2款〔缺陷责任期〕约定进行修复。</w:t>
      </w:r>
    </w:p>
    <w:p w14:paraId="289B193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10" w:name="_Toc296503112"/>
      <w:bookmarkStart w:id="411" w:name="_Toc296346613"/>
      <w:bookmarkStart w:id="412" w:name="_Toc351203592"/>
      <w:bookmarkStart w:id="413" w:name="_Toc337558809"/>
      <w:r>
        <w:rPr>
          <w:rFonts w:hint="eastAsia" w:ascii="宋体" w:hAnsi="宋体" w:eastAsia="宋体" w:cs="宋体"/>
          <w:b w:val="0"/>
          <w:color w:val="000000" w:themeColor="text1"/>
          <w:sz w:val="24"/>
          <w:szCs w:val="24"/>
          <w:highlight w:val="none"/>
          <w14:textFill>
            <w14:solidFill>
              <w14:schemeClr w14:val="tx1"/>
            </w14:solidFill>
          </w14:textFill>
        </w:rPr>
        <w:t>13.6 竣工退</w:t>
      </w:r>
      <w:bookmarkEnd w:id="410"/>
      <w:bookmarkEnd w:id="411"/>
      <w:r>
        <w:rPr>
          <w:rFonts w:hint="eastAsia" w:ascii="宋体" w:hAnsi="宋体" w:eastAsia="宋体" w:cs="宋体"/>
          <w:b w:val="0"/>
          <w:color w:val="000000" w:themeColor="text1"/>
          <w:sz w:val="24"/>
          <w:szCs w:val="24"/>
          <w:highlight w:val="none"/>
          <w14:textFill>
            <w14:solidFill>
              <w14:schemeClr w14:val="tx1"/>
            </w14:solidFill>
          </w14:textFill>
        </w:rPr>
        <w:t>场</w:t>
      </w:r>
      <w:bookmarkEnd w:id="412"/>
    </w:p>
    <w:bookmarkEnd w:id="413"/>
    <w:p w14:paraId="4C88E73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13.6.1 竣工退场</w:t>
      </w:r>
    </w:p>
    <w:p w14:paraId="5274B89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颁发工程接收证书后，承包人应按以下要求对施工现场进行清理：</w:t>
      </w:r>
    </w:p>
    <w:p w14:paraId="7412DDDA">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（1）施工现场内残留的垃圾已全部清除出场；</w:t>
      </w:r>
    </w:p>
    <w:p w14:paraId="1A8D5C6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（2）临时工程已拆除，场地已进行清理、平整或复原；</w:t>
      </w:r>
    </w:p>
    <w:p w14:paraId="2F6E504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（3）按合同约定应撤离的人员、承包人施工设备和剩余的材料，包括废弃的施工设备和材料，已按计划撤离施工现场；</w:t>
      </w:r>
    </w:p>
    <w:p w14:paraId="6CF94D5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（4）施工现场周边及其附近道路、河道的施工堆积物，已全部清理；</w:t>
      </w:r>
    </w:p>
    <w:p w14:paraId="00F974B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（5）施工现场其他场地清理工作已全部完成。</w:t>
      </w:r>
    </w:p>
    <w:p w14:paraId="1939AC4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CB9BC5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13.6.2 地表还原</w:t>
      </w:r>
    </w:p>
    <w:p w14:paraId="5695A5D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18FF17B2">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14" w:name="_Toc351203593"/>
      <w:bookmarkStart w:id="415" w:name="_Toc337558810"/>
      <w:bookmarkStart w:id="416" w:name="_Toc296503113"/>
      <w:bookmarkStart w:id="417" w:name="_Toc296346614"/>
      <w:r>
        <w:rPr>
          <w:rFonts w:hint="eastAsia" w:ascii="宋体" w:hAnsi="宋体" w:eastAsia="宋体" w:cs="宋体"/>
          <w:b w:val="0"/>
          <w:color w:val="000000" w:themeColor="text1"/>
          <w:sz w:val="24"/>
          <w:szCs w:val="24"/>
          <w:highlight w:val="none"/>
          <w14:textFill>
            <w14:solidFill>
              <w14:schemeClr w14:val="tx1"/>
            </w14:solidFill>
          </w14:textFill>
        </w:rPr>
        <w:t>14. 竣工结算</w:t>
      </w:r>
      <w:bookmarkEnd w:id="414"/>
    </w:p>
    <w:bookmarkEnd w:id="415"/>
    <w:p w14:paraId="4F87001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18" w:name="_Toc351203594"/>
      <w:bookmarkStart w:id="419" w:name="_Toc337558811"/>
      <w:r>
        <w:rPr>
          <w:rFonts w:hint="eastAsia" w:ascii="宋体" w:hAnsi="宋体" w:eastAsia="宋体" w:cs="宋体"/>
          <w:b w:val="0"/>
          <w:color w:val="000000" w:themeColor="text1"/>
          <w:sz w:val="24"/>
          <w:szCs w:val="24"/>
          <w:highlight w:val="none"/>
          <w14:textFill>
            <w14:solidFill>
              <w14:schemeClr w14:val="tx1"/>
            </w14:solidFill>
          </w14:textFill>
        </w:rPr>
        <w:t>14.1 竣工结算申请</w:t>
      </w:r>
      <w:bookmarkEnd w:id="418"/>
    </w:p>
    <w:bookmarkEnd w:id="419"/>
    <w:p w14:paraId="54E8C841">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w:t>
      </w:r>
      <w:r>
        <w:rPr>
          <w:rFonts w:hint="eastAsia" w:ascii="宋体" w:hAnsi="宋体" w:eastAsia="宋体" w:cs="宋体"/>
          <w:color w:val="000000" w:themeColor="text1"/>
          <w:sz w:val="24"/>
          <w:highlight w:val="none"/>
          <w14:textFill>
            <w14:solidFill>
              <w14:schemeClr w14:val="tx1"/>
            </w14:solidFill>
          </w14:textFill>
        </w:rPr>
        <w:t>承包人应在工程竣工验收合格后28天内向发包人和监理人提交竣工结算申请单，并提交完整的结算资料，有关竣工结算申请单的资料清单和份数等要求由合同当事人在专用合同条款中约定。</w:t>
      </w:r>
    </w:p>
    <w:p w14:paraId="546A69EE">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除专用合同条款另有约定外，竣工结算申请单应包括以下内容：</w:t>
      </w:r>
    </w:p>
    <w:p w14:paraId="794A4F3C">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（1）竣工结算合同价格；</w:t>
      </w:r>
    </w:p>
    <w:p w14:paraId="45B9AEEC">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（2）发包人已支付承包人的款项；</w:t>
      </w:r>
    </w:p>
    <w:p w14:paraId="650C7A62">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（3）应扣留的质量保证金； </w:t>
      </w:r>
    </w:p>
    <w:p w14:paraId="1C8633E6">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（4）发包人应支付承包人的合同价款。</w:t>
      </w:r>
    </w:p>
    <w:p w14:paraId="0C3EDAB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20" w:name="_Toc351203595"/>
      <w:bookmarkStart w:id="421" w:name="_Toc337558812"/>
      <w:r>
        <w:rPr>
          <w:rFonts w:hint="eastAsia" w:ascii="宋体" w:hAnsi="宋体" w:eastAsia="宋体" w:cs="宋体"/>
          <w:b w:val="0"/>
          <w:color w:val="000000" w:themeColor="text1"/>
          <w:sz w:val="24"/>
          <w:szCs w:val="24"/>
          <w:highlight w:val="none"/>
          <w14:textFill>
            <w14:solidFill>
              <w14:schemeClr w14:val="tx1"/>
            </w14:solidFill>
          </w14:textFill>
        </w:rPr>
        <w:t>14.2 竣工结算审核</w:t>
      </w:r>
      <w:bookmarkEnd w:id="420"/>
    </w:p>
    <w:bookmarkEnd w:id="421"/>
    <w:p w14:paraId="7920B8A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themeColor="text1"/>
          <w:sz w:val="24"/>
          <w:highlight w:val="none"/>
          <w14:textFill>
            <w14:solidFill>
              <w14:schemeClr w14:val="tx1"/>
            </w14:solidFill>
          </w14:textFill>
        </w:rPr>
        <w:t>发包人对竣工</w:t>
      </w:r>
      <w:r>
        <w:rPr>
          <w:rFonts w:hint="eastAsia" w:ascii="宋体" w:hAnsi="宋体" w:eastAsia="宋体" w:cs="宋体"/>
          <w:color w:val="000000" w:themeColor="text1"/>
          <w:kern w:val="0"/>
          <w:sz w:val="24"/>
          <w:highlight w:val="none"/>
          <w14:textFill>
            <w14:solidFill>
              <w14:schemeClr w14:val="tx1"/>
            </w14:solidFill>
          </w14:textFill>
        </w:rPr>
        <w:t>结算</w:t>
      </w:r>
      <w:r>
        <w:rPr>
          <w:rFonts w:hint="eastAsia" w:ascii="宋体" w:hAnsi="宋体" w:eastAsia="宋体" w:cs="宋体"/>
          <w:color w:val="000000" w:themeColor="text1"/>
          <w:sz w:val="24"/>
          <w:highlight w:val="none"/>
          <w14:textFill>
            <w14:solidFill>
              <w14:schemeClr w14:val="tx1"/>
            </w14:solidFill>
          </w14:textFill>
        </w:rPr>
        <w:t>申请单有异议的，有权要求承包人进行修正和提供补充资料，承包人应提交修正后的竣工</w:t>
      </w:r>
      <w:r>
        <w:rPr>
          <w:rFonts w:hint="eastAsia" w:ascii="宋体" w:hAnsi="宋体" w:eastAsia="宋体" w:cs="宋体"/>
          <w:color w:val="000000" w:themeColor="text1"/>
          <w:kern w:val="0"/>
          <w:sz w:val="24"/>
          <w:highlight w:val="none"/>
          <w14:textFill>
            <w14:solidFill>
              <w14:schemeClr w14:val="tx1"/>
            </w14:solidFill>
          </w14:textFill>
        </w:rPr>
        <w:t>结算</w:t>
      </w:r>
      <w:r>
        <w:rPr>
          <w:rFonts w:hint="eastAsia" w:ascii="宋体" w:hAnsi="宋体" w:eastAsia="宋体" w:cs="宋体"/>
          <w:color w:val="000000" w:themeColor="text1"/>
          <w:sz w:val="24"/>
          <w:highlight w:val="none"/>
          <w14:textFill>
            <w14:solidFill>
              <w14:schemeClr w14:val="tx1"/>
            </w14:solidFill>
          </w14:textFill>
        </w:rPr>
        <w:t>申请单。</w:t>
      </w:r>
    </w:p>
    <w:p w14:paraId="1370851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2FBF13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37C844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8D96496">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22" w:name="_Toc351203596"/>
      <w:bookmarkStart w:id="423" w:name="_Toc337558813"/>
      <w:r>
        <w:rPr>
          <w:rFonts w:hint="eastAsia" w:ascii="宋体" w:hAnsi="宋体" w:eastAsia="宋体" w:cs="宋体"/>
          <w:b w:val="0"/>
          <w:color w:val="000000" w:themeColor="text1"/>
          <w:sz w:val="24"/>
          <w:szCs w:val="24"/>
          <w:highlight w:val="none"/>
          <w14:textFill>
            <w14:solidFill>
              <w14:schemeClr w14:val="tx1"/>
            </w14:solidFill>
          </w14:textFill>
        </w:rPr>
        <w:t>14.3 甩项竣工协议</w:t>
      </w:r>
      <w:bookmarkEnd w:id="422"/>
    </w:p>
    <w:bookmarkEnd w:id="423"/>
    <w:p w14:paraId="468C0150">
      <w:pPr>
        <w:shd w:val="clear"/>
        <w:autoSpaceDE w:val="0"/>
        <w:autoSpaceDN w:val="0"/>
        <w:adjustRightInd w:val="0"/>
        <w:spacing w:line="312" w:lineRule="auto"/>
        <w:ind w:firstLine="470" w:firstLineChars="196"/>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E094E0">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24" w:name="_Toc351203597"/>
      <w:bookmarkStart w:id="425" w:name="_Toc337558814"/>
      <w:r>
        <w:rPr>
          <w:rFonts w:hint="eastAsia" w:ascii="宋体" w:hAnsi="宋体" w:eastAsia="宋体" w:cs="宋体"/>
          <w:b w:val="0"/>
          <w:color w:val="000000" w:themeColor="text1"/>
          <w:sz w:val="24"/>
          <w:szCs w:val="24"/>
          <w:highlight w:val="none"/>
          <w14:textFill>
            <w14:solidFill>
              <w14:schemeClr w14:val="tx1"/>
            </w14:solidFill>
          </w14:textFill>
        </w:rPr>
        <w:t>14.4 最终结清</w:t>
      </w:r>
      <w:bookmarkEnd w:id="424"/>
    </w:p>
    <w:bookmarkEnd w:id="425"/>
    <w:p w14:paraId="7DD39F8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14.4.1 最终结清申请单</w:t>
      </w:r>
    </w:p>
    <w:p w14:paraId="6EFD403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6EB5A02C">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w:t>
      </w:r>
      <w:r>
        <w:rPr>
          <w:rFonts w:hint="eastAsia" w:ascii="宋体" w:hAnsi="宋体" w:eastAsia="宋体" w:cs="宋体"/>
          <w:color w:val="000000" w:themeColor="text1"/>
          <w:kern w:val="0"/>
          <w:sz w:val="24"/>
          <w:highlight w:val="none"/>
          <w14:textFill>
            <w14:solidFill>
              <w14:schemeClr w14:val="tx1"/>
            </w14:solidFill>
          </w14:textFill>
        </w:rPr>
        <w:t>最终结清申请单</w:t>
      </w:r>
      <w:r>
        <w:rPr>
          <w:rFonts w:hint="eastAsia" w:ascii="宋体" w:hAnsi="宋体" w:eastAsia="宋体" w:cs="宋体"/>
          <w:color w:val="000000" w:themeColor="text1"/>
          <w:sz w:val="24"/>
          <w:highlight w:val="none"/>
          <w14:textFill>
            <w14:solidFill>
              <w14:schemeClr w14:val="tx1"/>
            </w14:solidFill>
          </w14:textFill>
        </w:rPr>
        <w:t>应列明质量保证金、应扣除的质量保证金、缺陷责任期内发生的增减费用。</w:t>
      </w:r>
    </w:p>
    <w:p w14:paraId="44B8DD2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14:paraId="4BFC568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14.4.2 最终结清证书和支付</w:t>
      </w:r>
    </w:p>
    <w:p w14:paraId="33AA076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9EF45B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ADABBA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（3）承包人对发包人颁发的最终结清证书有异议的，按第20条〔争议解决〕的约定办理。</w:t>
      </w:r>
    </w:p>
    <w:p w14:paraId="7874CA76">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26" w:name="_Toc351203598"/>
      <w:bookmarkStart w:id="427" w:name="_Toc337558815"/>
      <w:r>
        <w:rPr>
          <w:rFonts w:hint="eastAsia" w:ascii="宋体" w:hAnsi="宋体" w:eastAsia="宋体" w:cs="宋体"/>
          <w:b w:val="0"/>
          <w:color w:val="000000" w:themeColor="text1"/>
          <w:sz w:val="24"/>
          <w:szCs w:val="24"/>
          <w:highlight w:val="none"/>
          <w14:textFill>
            <w14:solidFill>
              <w14:schemeClr w14:val="tx1"/>
            </w14:solidFill>
          </w14:textFill>
        </w:rPr>
        <w:t>15. 缺陷责任与保修</w:t>
      </w:r>
      <w:bookmarkEnd w:id="426"/>
    </w:p>
    <w:bookmarkEnd w:id="416"/>
    <w:bookmarkEnd w:id="417"/>
    <w:bookmarkEnd w:id="427"/>
    <w:p w14:paraId="48111AD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28" w:name="_Toc351203599"/>
      <w:bookmarkStart w:id="429" w:name="_Toc337558816"/>
      <w:bookmarkStart w:id="430" w:name="_Toc296503114"/>
      <w:bookmarkStart w:id="431" w:name="_Toc296346615"/>
      <w:r>
        <w:rPr>
          <w:rFonts w:hint="eastAsia" w:ascii="宋体" w:hAnsi="宋体" w:eastAsia="宋体" w:cs="宋体"/>
          <w:b w:val="0"/>
          <w:color w:val="000000" w:themeColor="text1"/>
          <w:sz w:val="24"/>
          <w:szCs w:val="24"/>
          <w:highlight w:val="none"/>
          <w14:textFill>
            <w14:solidFill>
              <w14:schemeClr w14:val="tx1"/>
            </w14:solidFill>
          </w14:textFill>
        </w:rPr>
        <w:t>15.1 工程保修的原则</w:t>
      </w:r>
      <w:bookmarkEnd w:id="428"/>
    </w:p>
    <w:bookmarkEnd w:id="429"/>
    <w:p w14:paraId="348AFEC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6DC21CF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32" w:name="_Toc351203600"/>
      <w:bookmarkStart w:id="433" w:name="_Toc337558817"/>
      <w:r>
        <w:rPr>
          <w:rFonts w:hint="eastAsia" w:ascii="宋体" w:hAnsi="宋体" w:eastAsia="宋体" w:cs="宋体"/>
          <w:b w:val="0"/>
          <w:color w:val="000000" w:themeColor="text1"/>
          <w:sz w:val="24"/>
          <w:szCs w:val="24"/>
          <w:highlight w:val="none"/>
          <w14:textFill>
            <w14:solidFill>
              <w14:schemeClr w14:val="tx1"/>
            </w14:solidFill>
          </w14:textFill>
        </w:rPr>
        <w:t>15.2 缺陷责任期</w:t>
      </w:r>
      <w:bookmarkEnd w:id="430"/>
      <w:bookmarkEnd w:id="431"/>
      <w:bookmarkEnd w:id="432"/>
    </w:p>
    <w:bookmarkEnd w:id="433"/>
    <w:p w14:paraId="431EBB3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15.2.1 缺陷责任期自实际竣工日期起计算，合同当事人应在专用合同条款约定缺陷责任期的具体期限，但该期限最长不超过24个月。</w:t>
      </w:r>
    </w:p>
    <w:p w14:paraId="318BEAE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02FFA0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000000" w:themeColor="text1"/>
          <w:sz w:val="24"/>
          <w:highlight w:val="none"/>
          <w14:textFill>
            <w14:solidFill>
              <w14:schemeClr w14:val="tx1"/>
            </w14:solidFill>
          </w14:textFill>
        </w:rPr>
        <w:t>包人延长缺陷责任期，</w:t>
      </w:r>
      <w:r>
        <w:rPr>
          <w:rFonts w:hint="eastAsia" w:ascii="宋体" w:hAnsi="宋体" w:eastAsia="宋体" w:cs="宋体"/>
          <w:color w:val="000000" w:themeColor="text1"/>
          <w:kern w:val="0"/>
          <w:sz w:val="24"/>
          <w:highlight w:val="none"/>
          <w14:textFill>
            <w14:solidFill>
              <w14:schemeClr w14:val="tx1"/>
            </w14:solidFill>
          </w14:textFill>
        </w:rPr>
        <w:t>并应在原缺陷责任期届满前发出延长通知，</w:t>
      </w:r>
      <w:r>
        <w:rPr>
          <w:rFonts w:hint="eastAsia" w:ascii="宋体" w:hAnsi="宋体" w:eastAsia="宋体" w:cs="宋体"/>
          <w:bCs/>
          <w:color w:val="000000" w:themeColor="text1"/>
          <w:sz w:val="24"/>
          <w:highlight w:val="none"/>
          <w14:textFill>
            <w14:solidFill>
              <w14:schemeClr w14:val="tx1"/>
            </w14:solidFill>
          </w14:textFill>
        </w:rPr>
        <w:t>但缺陷责任期最长</w:t>
      </w:r>
      <w:r>
        <w:rPr>
          <w:rFonts w:hint="eastAsia" w:ascii="宋体" w:hAnsi="宋体" w:eastAsia="宋体" w:cs="宋体"/>
          <w:color w:val="000000" w:themeColor="text1"/>
          <w:kern w:val="0"/>
          <w:sz w:val="24"/>
          <w:highlight w:val="none"/>
          <w14:textFill>
            <w14:solidFill>
              <w14:schemeClr w14:val="tx1"/>
            </w14:solidFill>
          </w14:textFill>
        </w:rPr>
        <w:t>不能超过24个月。</w:t>
      </w:r>
    </w:p>
    <w:p w14:paraId="6E5C273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0C82F65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4606CE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34" w:name="_Toc351203601"/>
      <w:bookmarkStart w:id="435" w:name="_Toc337558818"/>
      <w:bookmarkStart w:id="436" w:name="_Toc296503115"/>
      <w:bookmarkStart w:id="437" w:name="_Toc296346616"/>
      <w:r>
        <w:rPr>
          <w:rFonts w:hint="eastAsia" w:ascii="宋体" w:hAnsi="宋体" w:eastAsia="宋体" w:cs="宋体"/>
          <w:b w:val="0"/>
          <w:color w:val="000000" w:themeColor="text1"/>
          <w:sz w:val="24"/>
          <w:szCs w:val="24"/>
          <w:highlight w:val="none"/>
          <w14:textFill>
            <w14:solidFill>
              <w14:schemeClr w14:val="tx1"/>
            </w14:solidFill>
          </w14:textFill>
        </w:rPr>
        <w:t>15.3 质量保证金</w:t>
      </w:r>
      <w:bookmarkEnd w:id="434"/>
    </w:p>
    <w:bookmarkEnd w:id="435"/>
    <w:p w14:paraId="6E58665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经合同当事人协商一致扣留质量保证金的，应在专用合同条款中予以明确。</w:t>
      </w:r>
    </w:p>
    <w:p w14:paraId="49D7824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15.3.1 承包人提供质量保证金的方式</w:t>
      </w:r>
    </w:p>
    <w:p w14:paraId="56A4093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承包人提供质量保证金有以下三种方式：</w:t>
      </w:r>
    </w:p>
    <w:p w14:paraId="459CF79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（1）质量保证金保函； </w:t>
      </w:r>
    </w:p>
    <w:p w14:paraId="16F670F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（2）相应比例的工程款；</w:t>
      </w:r>
    </w:p>
    <w:p w14:paraId="1300884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（3）双方约定的其他方式。</w:t>
      </w:r>
    </w:p>
    <w:p w14:paraId="1733A4D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除专用合同条款另有约定外，质量保证金原则上采用上述第（1）种方式。</w:t>
      </w:r>
    </w:p>
    <w:p w14:paraId="3069988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15.3.2 质量保证金的扣留</w:t>
      </w:r>
    </w:p>
    <w:p w14:paraId="3F14A15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质量保证金的扣留有以下三种方式：</w:t>
      </w:r>
    </w:p>
    <w:p w14:paraId="2553D24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（1）在支付工程进度款时逐次扣留，在此情形下，质量保证金的计算基数不包括预付款的支付、扣回以及价格调整的金额；</w:t>
      </w:r>
    </w:p>
    <w:p w14:paraId="3BD67F3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（2）工</w:t>
      </w:r>
      <w:bookmarkStart w:id="438" w:name="#go6"/>
      <w:bookmarkEnd w:id="438"/>
      <w:r>
        <w:rPr>
          <w:rFonts w:hint="eastAsia" w:ascii="宋体" w:hAnsi="宋体" w:eastAsia="宋体" w:cs="宋体"/>
          <w:color w:val="000000" w:themeColor="text1"/>
          <w:kern w:val="0"/>
          <w:sz w:val="24"/>
          <w:highlight w:val="none"/>
          <w14:textFill>
            <w14:solidFill>
              <w14:schemeClr w14:val="tx1"/>
            </w14:solidFill>
          </w14:textFill>
        </w:rPr>
        <w:t>程竣工结算时一次性扣留质量保证金；</w:t>
      </w:r>
    </w:p>
    <w:p w14:paraId="506620E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（3）双方约定的其他扣留方式。</w:t>
      </w:r>
    </w:p>
    <w:p w14:paraId="51AAD8F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除专用合同条款另有约定外，质量保证金的扣留原则上采用上述第（1）种方式。</w:t>
      </w:r>
    </w:p>
    <w:p w14:paraId="0F61C86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w:t>
      </w:r>
      <w:bookmarkStart w:id="439" w:name="#go4"/>
      <w:bookmarkEnd w:id="439"/>
      <w:r>
        <w:rPr>
          <w:rFonts w:hint="eastAsia" w:ascii="宋体" w:hAnsi="宋体" w:eastAsia="宋体" w:cs="宋体"/>
          <w:color w:val="000000" w:themeColor="text1"/>
          <w:kern w:val="0"/>
          <w:sz w:val="24"/>
          <w:highlight w:val="none"/>
          <w14:textFill>
            <w14:solidFill>
              <w14:schemeClr w14:val="tx1"/>
            </w14:solidFill>
          </w14:textFill>
        </w:rPr>
        <w:t>包人累计扣留的质量保证金不得超过结算合同价格的5%，如承包人在发包人签发竣工付款证书后28天内提交质量保证金保函，发包人应同时退还扣留的作为质量保证金的工程价款。</w:t>
      </w:r>
    </w:p>
    <w:p w14:paraId="5F0390B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15.3.3 </w:t>
      </w:r>
      <w:r>
        <w:rPr>
          <w:rFonts w:hint="eastAsia" w:ascii="宋体" w:hAnsi="宋体" w:eastAsia="宋体" w:cs="宋体"/>
          <w:color w:val="000000" w:themeColor="text1"/>
          <w:sz w:val="24"/>
          <w:highlight w:val="none"/>
          <w14:textFill>
            <w14:solidFill>
              <w14:schemeClr w14:val="tx1"/>
            </w14:solidFill>
          </w14:textFill>
        </w:rPr>
        <w:t>质量保证金</w:t>
      </w:r>
      <w:r>
        <w:rPr>
          <w:rFonts w:hint="eastAsia" w:ascii="宋体" w:hAnsi="宋体" w:eastAsia="宋体" w:cs="宋体"/>
          <w:color w:val="000000" w:themeColor="text1"/>
          <w:kern w:val="0"/>
          <w:sz w:val="24"/>
          <w:highlight w:val="none"/>
          <w14:textFill>
            <w14:solidFill>
              <w14:schemeClr w14:val="tx1"/>
            </w14:solidFill>
          </w14:textFill>
        </w:rPr>
        <w:t>的退还</w:t>
      </w:r>
    </w:p>
    <w:p w14:paraId="1F58D27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发包人应按14.4款〔最终结清〕的约定退还质量保证金。</w:t>
      </w:r>
    </w:p>
    <w:p w14:paraId="159AFAB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40" w:name="_Toc351203602"/>
      <w:bookmarkStart w:id="441" w:name="_Toc337558819"/>
      <w:r>
        <w:rPr>
          <w:rFonts w:hint="eastAsia" w:ascii="宋体" w:hAnsi="宋体" w:eastAsia="宋体" w:cs="宋体"/>
          <w:b w:val="0"/>
          <w:color w:val="000000" w:themeColor="text1"/>
          <w:sz w:val="24"/>
          <w:szCs w:val="24"/>
          <w:highlight w:val="none"/>
          <w14:textFill>
            <w14:solidFill>
              <w14:schemeClr w14:val="tx1"/>
            </w14:solidFill>
          </w14:textFill>
        </w:rPr>
        <w:t>15.4 保修</w:t>
      </w:r>
      <w:bookmarkEnd w:id="440"/>
    </w:p>
    <w:bookmarkEnd w:id="436"/>
    <w:bookmarkEnd w:id="437"/>
    <w:bookmarkEnd w:id="441"/>
    <w:p w14:paraId="5A54166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15.4.1保修责任</w:t>
      </w:r>
    </w:p>
    <w:p w14:paraId="3BADF65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CC7919C">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发包人未经竣工验收擅自使用工程的，保修期自</w:t>
      </w:r>
      <w:r>
        <w:rPr>
          <w:rFonts w:hint="eastAsia" w:ascii="宋体" w:hAnsi="宋体" w:eastAsia="宋体" w:cs="宋体"/>
          <w:color w:val="000000" w:themeColor="text1"/>
          <w:kern w:val="0"/>
          <w:sz w:val="24"/>
          <w:highlight w:val="none"/>
          <w14:textFill>
            <w14:solidFill>
              <w14:schemeClr w14:val="tx1"/>
            </w14:solidFill>
          </w14:textFill>
        </w:rPr>
        <w:t>转移占有之日起算</w:t>
      </w:r>
      <w:r>
        <w:rPr>
          <w:rFonts w:hint="eastAsia" w:ascii="宋体" w:hAnsi="宋体" w:eastAsia="宋体" w:cs="宋体"/>
          <w:color w:val="000000" w:themeColor="text1"/>
          <w:sz w:val="24"/>
          <w:highlight w:val="none"/>
          <w14:textFill>
            <w14:solidFill>
              <w14:schemeClr w14:val="tx1"/>
            </w14:solidFill>
          </w14:textFill>
        </w:rPr>
        <w:t>。</w:t>
      </w:r>
    </w:p>
    <w:p w14:paraId="5C6FCEB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15.4.2 修复费用</w:t>
      </w:r>
    </w:p>
    <w:p w14:paraId="17FF609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保修期内，修复的费用按照以下约定处理：</w:t>
      </w:r>
    </w:p>
    <w:p w14:paraId="347BDACC">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14:paraId="7BBCDC2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（2）保修期内，因发包人使用不当造成工程的缺陷、损坏，可以委托承包人修复，但发包人应承担修复的费用，并支付承包人合理利润；</w:t>
      </w:r>
    </w:p>
    <w:p w14:paraId="17C6D85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542D294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15.4.3 修复通知</w:t>
      </w:r>
    </w:p>
    <w:p w14:paraId="7ABB111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5C790D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15.4.4 未能修复</w:t>
      </w:r>
    </w:p>
    <w:p w14:paraId="50F1D0B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E805B68">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15.4.5 承包人出入权</w:t>
      </w:r>
    </w:p>
    <w:p w14:paraId="13A387C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3CBFF98">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42" w:name="_Toc351203603"/>
      <w:bookmarkStart w:id="443" w:name="_Toc337558820"/>
      <w:r>
        <w:rPr>
          <w:rFonts w:hint="eastAsia" w:ascii="宋体" w:hAnsi="宋体" w:eastAsia="宋体" w:cs="宋体"/>
          <w:b w:val="0"/>
          <w:color w:val="000000" w:themeColor="text1"/>
          <w:sz w:val="24"/>
          <w:szCs w:val="24"/>
          <w:highlight w:val="none"/>
          <w14:textFill>
            <w14:solidFill>
              <w14:schemeClr w14:val="tx1"/>
            </w14:solidFill>
          </w14:textFill>
        </w:rPr>
        <w:t>16. 违约</w:t>
      </w:r>
      <w:bookmarkEnd w:id="442"/>
    </w:p>
    <w:bookmarkEnd w:id="443"/>
    <w:p w14:paraId="73636DC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44" w:name="_Toc296346630"/>
      <w:bookmarkStart w:id="445" w:name="_Toc296503129"/>
      <w:bookmarkStart w:id="446" w:name="_Toc351203604"/>
      <w:bookmarkStart w:id="447" w:name="_Toc337558821"/>
      <w:r>
        <w:rPr>
          <w:rFonts w:hint="eastAsia" w:ascii="宋体" w:hAnsi="宋体" w:eastAsia="宋体" w:cs="宋体"/>
          <w:b w:val="0"/>
          <w:color w:val="000000" w:themeColor="text1"/>
          <w:sz w:val="24"/>
          <w:szCs w:val="24"/>
          <w:highlight w:val="none"/>
          <w14:textFill>
            <w14:solidFill>
              <w14:schemeClr w14:val="tx1"/>
            </w14:solidFill>
          </w14:textFill>
        </w:rPr>
        <w:t>16.1 发</w:t>
      </w:r>
      <w:bookmarkEnd w:id="444"/>
      <w:bookmarkEnd w:id="445"/>
      <w:r>
        <w:rPr>
          <w:rFonts w:hint="eastAsia" w:ascii="宋体" w:hAnsi="宋体" w:eastAsia="宋体" w:cs="宋体"/>
          <w:b w:val="0"/>
          <w:color w:val="000000" w:themeColor="text1"/>
          <w:sz w:val="24"/>
          <w:szCs w:val="24"/>
          <w:highlight w:val="none"/>
          <w14:textFill>
            <w14:solidFill>
              <w14:schemeClr w14:val="tx1"/>
            </w14:solidFill>
          </w14:textFill>
        </w:rPr>
        <w:t>包人违约</w:t>
      </w:r>
      <w:bookmarkEnd w:id="446"/>
    </w:p>
    <w:bookmarkEnd w:id="447"/>
    <w:p w14:paraId="416A810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16.1.1 发包人违约的情形</w:t>
      </w:r>
    </w:p>
    <w:p w14:paraId="5617BF5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在合同履行过程中发生的下列情形，属于发包人违约：</w:t>
      </w:r>
    </w:p>
    <w:p w14:paraId="0DAB3FD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（1）因发包人原因未能在计划开工日期前7天内下达开工通知的；</w:t>
      </w:r>
    </w:p>
    <w:p w14:paraId="5883827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（2）因发包人原因未能按合同约定支付合同价款的；</w:t>
      </w:r>
    </w:p>
    <w:p w14:paraId="45330D8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（3）发包人违反第10.1款〔变更的范围〕第（2）项约定，自行实施被取消的工作或转由他人实施的；</w:t>
      </w:r>
    </w:p>
    <w:p w14:paraId="5A78437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（4）发包人提供的材料、工程设备的规格、数量或质量不符合合同约定，或因发包人原因导致交货日期延误或交货地点变更等情况的；</w:t>
      </w:r>
    </w:p>
    <w:p w14:paraId="2B4D4C1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（5）因发包人违反合同约定造成暂停施工的；</w:t>
      </w:r>
    </w:p>
    <w:p w14:paraId="3A48798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（6）发包人无正当理由没有在约定期限内发出复工指示，导致承包人无法复工的；</w:t>
      </w:r>
    </w:p>
    <w:p w14:paraId="4F7203B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（7）发包人明确表示或者以其行为表明不履行合同主要义务的；</w:t>
      </w:r>
    </w:p>
    <w:p w14:paraId="5454924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（8）发包人未能按照合同约定履行其他义务的。</w:t>
      </w:r>
    </w:p>
    <w:p w14:paraId="1D6D7FC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82FAFC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16.1.2 发包人违约的责任</w:t>
      </w:r>
    </w:p>
    <w:p w14:paraId="5689CDF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7C04777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16.1.3 因发包人违约解除合同</w:t>
      </w:r>
    </w:p>
    <w:p w14:paraId="46CF512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676F66C">
      <w:pPr>
        <w:shd w:val="clear"/>
        <w:autoSpaceDE w:val="0"/>
        <w:autoSpaceDN w:val="0"/>
        <w:adjustRightInd w:val="0"/>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16.1.4 因发包人违约解除合同后的付款</w:t>
      </w:r>
    </w:p>
    <w:p w14:paraId="3A6D7F4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承包人按照本款约定解除合同的，发包人应在解除合同后28天内支付下列款项，并解除履约担保：</w:t>
      </w:r>
    </w:p>
    <w:p w14:paraId="2D134B2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（1）合同解除前所完成工作的价款；</w:t>
      </w:r>
    </w:p>
    <w:p w14:paraId="1955B40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（2）承包人为工程施工订购并已付款的材料、工程设备和其他物品的价款；</w:t>
      </w:r>
    </w:p>
    <w:p w14:paraId="245AA2F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（3）承包人撤离施工现场以及遣散承包人人员的款项；</w:t>
      </w:r>
    </w:p>
    <w:p w14:paraId="77E6E8E3">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（4）按照合同约定在合同解除前应支付的违约金；</w:t>
      </w:r>
    </w:p>
    <w:p w14:paraId="138EA39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（5）按照合同约定应当支付给承包人的其他款项；</w:t>
      </w:r>
    </w:p>
    <w:p w14:paraId="0980DD5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（6）按照合同约定应退还的质量保证金；</w:t>
      </w:r>
    </w:p>
    <w:p w14:paraId="00AC49C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（7）因解除合同给承包人造成的损失。</w:t>
      </w:r>
    </w:p>
    <w:p w14:paraId="2AEB7951">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合同当事人未能就解除合同后的结清达成一致的，按照第20条〔争议解决〕的约定处理。</w:t>
      </w:r>
    </w:p>
    <w:p w14:paraId="11FB1C10">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60CF443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48" w:name="_Toc351203605"/>
      <w:bookmarkStart w:id="449" w:name="_Toc337558822"/>
      <w:bookmarkStart w:id="450" w:name="_Toc296346632"/>
      <w:bookmarkStart w:id="451" w:name="_Toc296503131"/>
      <w:r>
        <w:rPr>
          <w:rFonts w:hint="eastAsia" w:ascii="宋体" w:hAnsi="宋体" w:eastAsia="宋体" w:cs="宋体"/>
          <w:b w:val="0"/>
          <w:color w:val="000000" w:themeColor="text1"/>
          <w:sz w:val="24"/>
          <w:szCs w:val="24"/>
          <w:highlight w:val="none"/>
          <w14:textFill>
            <w14:solidFill>
              <w14:schemeClr w14:val="tx1"/>
            </w14:solidFill>
          </w14:textFill>
        </w:rPr>
        <w:t>16.2 承包人违约</w:t>
      </w:r>
      <w:bookmarkEnd w:id="448"/>
    </w:p>
    <w:bookmarkEnd w:id="449"/>
    <w:bookmarkEnd w:id="450"/>
    <w:bookmarkEnd w:id="451"/>
    <w:p w14:paraId="72DB88C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16.2.1 承包人违约的情形</w:t>
      </w:r>
    </w:p>
    <w:p w14:paraId="2D35D25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在合同履行过程中发生的下列情形，属于承包人违约：</w:t>
      </w:r>
    </w:p>
    <w:p w14:paraId="0DDB3A4A">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（1）承包人违反合同约定进行转包或违法分包的；</w:t>
      </w:r>
    </w:p>
    <w:p w14:paraId="6B751ED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（2）承包人违反合同约定采购和使用不合格的材料和工程设备的；</w:t>
      </w:r>
    </w:p>
    <w:p w14:paraId="2FF7F91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（3）因承包人原因导致工程质量不符合合同要求的； </w:t>
      </w:r>
    </w:p>
    <w:p w14:paraId="767D40F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（4）承包人违反第8.9款〔材料与设备专用要求〕的约定，未经批准，私自将已按照合同约定进入施工现场的材料或设备撤离施工现场的；</w:t>
      </w:r>
    </w:p>
    <w:p w14:paraId="76D21C1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（5）承包人未能按施工进度计划及时完成合同约定的工作，造成工期延误的；</w:t>
      </w:r>
    </w:p>
    <w:p w14:paraId="058C181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（6）承包人在缺陷责任期及保修期内，未能在合理期限对工程缺陷进行修复，或拒绝按发包人要求进行修复的；</w:t>
      </w:r>
    </w:p>
    <w:p w14:paraId="374F697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（7）承包人明确表示或者以其行为表明不履行合同主要义务的；</w:t>
      </w:r>
    </w:p>
    <w:p w14:paraId="7E04471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（8）承包人未能按照合同约定履行其他义务的。</w:t>
      </w:r>
    </w:p>
    <w:p w14:paraId="56BE798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承包人发生除本项第（7）目约定以外的其他违约情况时，监理人可向承包人发出整改通知，要求其在指定的期限内改正。</w:t>
      </w:r>
    </w:p>
    <w:p w14:paraId="1659446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16.2.2 承包人违约的责任</w:t>
      </w:r>
    </w:p>
    <w:p w14:paraId="2EB1E037">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2F7550F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16.2.3 因承包人违约解除合同</w:t>
      </w:r>
    </w:p>
    <w:p w14:paraId="345FAAD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0CE9E3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16.2.4因承包人违约解除合同后的处理</w:t>
      </w:r>
    </w:p>
    <w:p w14:paraId="483258A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因承包人原因导致合同解除的，则合同当事人应在合同解除后28天内完成估价、付款和清算，并按以下约定执行：</w:t>
      </w:r>
    </w:p>
    <w:p w14:paraId="5BE76D96">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2BDF596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（2）合同解除后，承包人应支付的违约金；</w:t>
      </w:r>
    </w:p>
    <w:p w14:paraId="31720AB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（3）合同解除后，因解除合同给发包人造成的损失；</w:t>
      </w:r>
    </w:p>
    <w:p w14:paraId="3704984B">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（4）合同解除后，承包人应按照发包人要求和监理人的指示完成现场的清理和撤离；</w:t>
      </w:r>
    </w:p>
    <w:p w14:paraId="78344A2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（5）发包人和承包人应在合同解除后进行清算，出具最终结清付款证书，结清全部款项。</w:t>
      </w:r>
    </w:p>
    <w:p w14:paraId="5181B24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14D8DB37">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16.2.5采购合同权益转让</w:t>
      </w:r>
    </w:p>
    <w:p w14:paraId="69FDEA8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0E5459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52" w:name="_Toc351203606"/>
      <w:r>
        <w:rPr>
          <w:rFonts w:hint="eastAsia" w:ascii="宋体" w:hAnsi="宋体" w:eastAsia="宋体" w:cs="宋体"/>
          <w:b w:val="0"/>
          <w:color w:val="000000" w:themeColor="text1"/>
          <w:sz w:val="24"/>
          <w:szCs w:val="24"/>
          <w:highlight w:val="none"/>
          <w14:textFill>
            <w14:solidFill>
              <w14:schemeClr w14:val="tx1"/>
            </w14:solidFill>
          </w14:textFill>
        </w:rPr>
        <w:t>16.3 第三人造成的违约</w:t>
      </w:r>
      <w:bookmarkEnd w:id="452"/>
    </w:p>
    <w:p w14:paraId="045DCF8D">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431E6A56">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53" w:name="_Toc351203607"/>
      <w:bookmarkStart w:id="454" w:name="_Toc296346617"/>
      <w:bookmarkStart w:id="455" w:name="_Toc337558823"/>
      <w:bookmarkStart w:id="456" w:name="_Toc296503116"/>
      <w:r>
        <w:rPr>
          <w:rFonts w:hint="eastAsia" w:ascii="宋体" w:hAnsi="宋体" w:eastAsia="宋体" w:cs="宋体"/>
          <w:b w:val="0"/>
          <w:color w:val="000000" w:themeColor="text1"/>
          <w:sz w:val="24"/>
          <w:szCs w:val="24"/>
          <w:highlight w:val="none"/>
          <w14:textFill>
            <w14:solidFill>
              <w14:schemeClr w14:val="tx1"/>
            </w14:solidFill>
          </w14:textFill>
        </w:rPr>
        <w:t>17. 不可抗力</w:t>
      </w:r>
      <w:bookmarkEnd w:id="453"/>
      <w:r>
        <w:rPr>
          <w:rFonts w:hint="eastAsia" w:ascii="宋体" w:hAnsi="宋体" w:eastAsia="宋体" w:cs="宋体"/>
          <w:b w:val="0"/>
          <w:color w:val="000000" w:themeColor="text1"/>
          <w:sz w:val="24"/>
          <w:szCs w:val="24"/>
          <w:highlight w:val="none"/>
          <w14:textFill>
            <w14:solidFill>
              <w14:schemeClr w14:val="tx1"/>
            </w14:solidFill>
          </w14:textFill>
        </w:rPr>
        <w:t xml:space="preserve"> </w:t>
      </w:r>
      <w:bookmarkEnd w:id="454"/>
      <w:bookmarkEnd w:id="455"/>
      <w:bookmarkEnd w:id="456"/>
    </w:p>
    <w:p w14:paraId="20194B5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57" w:name="_Toc351203608"/>
      <w:bookmarkStart w:id="458" w:name="_Toc337558824"/>
      <w:bookmarkStart w:id="459" w:name="_Toc296503117"/>
      <w:bookmarkStart w:id="460" w:name="_Toc296346618"/>
      <w:r>
        <w:rPr>
          <w:rFonts w:hint="eastAsia" w:ascii="宋体" w:hAnsi="宋体" w:eastAsia="宋体" w:cs="宋体"/>
          <w:b w:val="0"/>
          <w:color w:val="000000" w:themeColor="text1"/>
          <w:sz w:val="24"/>
          <w:szCs w:val="24"/>
          <w:highlight w:val="none"/>
          <w14:textFill>
            <w14:solidFill>
              <w14:schemeClr w14:val="tx1"/>
            </w14:solidFill>
          </w14:textFill>
        </w:rPr>
        <w:t>17.1 不可抗力的确认</w:t>
      </w:r>
      <w:bookmarkEnd w:id="457"/>
    </w:p>
    <w:bookmarkEnd w:id="458"/>
    <w:bookmarkEnd w:id="459"/>
    <w:bookmarkEnd w:id="460"/>
    <w:p w14:paraId="1E5EAF6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07B254E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0D4116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61" w:name="_Toc351203609"/>
      <w:bookmarkStart w:id="462" w:name="_Toc337558825"/>
      <w:bookmarkStart w:id="463" w:name="_Toc296503118"/>
      <w:bookmarkStart w:id="464" w:name="_Toc296346619"/>
      <w:r>
        <w:rPr>
          <w:rFonts w:hint="eastAsia" w:ascii="宋体" w:hAnsi="宋体" w:eastAsia="宋体" w:cs="宋体"/>
          <w:b w:val="0"/>
          <w:color w:val="000000" w:themeColor="text1"/>
          <w:sz w:val="24"/>
          <w:szCs w:val="24"/>
          <w:highlight w:val="none"/>
          <w14:textFill>
            <w14:solidFill>
              <w14:schemeClr w14:val="tx1"/>
            </w14:solidFill>
          </w14:textFill>
        </w:rPr>
        <w:t>17.2 不可抗力的通知</w:t>
      </w:r>
      <w:bookmarkEnd w:id="461"/>
    </w:p>
    <w:bookmarkEnd w:id="462"/>
    <w:bookmarkEnd w:id="463"/>
    <w:bookmarkEnd w:id="464"/>
    <w:p w14:paraId="46AE928B">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6FB62E3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64F3AC69">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65" w:name="_Toc351203610"/>
      <w:bookmarkStart w:id="466" w:name="_Toc337558826"/>
      <w:bookmarkStart w:id="467" w:name="_Toc296503119"/>
      <w:bookmarkStart w:id="468" w:name="_Toc296346620"/>
      <w:r>
        <w:rPr>
          <w:rFonts w:hint="eastAsia" w:ascii="宋体" w:hAnsi="宋体" w:eastAsia="宋体" w:cs="宋体"/>
          <w:b w:val="0"/>
          <w:color w:val="000000" w:themeColor="text1"/>
          <w:sz w:val="24"/>
          <w:szCs w:val="24"/>
          <w:highlight w:val="none"/>
          <w14:textFill>
            <w14:solidFill>
              <w14:schemeClr w14:val="tx1"/>
            </w14:solidFill>
          </w14:textFill>
        </w:rPr>
        <w:t>17.3 不可抗力后果的承担</w:t>
      </w:r>
      <w:bookmarkEnd w:id="465"/>
    </w:p>
    <w:bookmarkEnd w:id="466"/>
    <w:bookmarkEnd w:id="467"/>
    <w:bookmarkEnd w:id="468"/>
    <w:p w14:paraId="6D36996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5EBE876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17.3.2 不可抗力导致的人员伤亡、财产损失、费用增加和（或）工期延误等后果，由合同当事人按以下原则承担：</w:t>
      </w:r>
    </w:p>
    <w:p w14:paraId="32FAA1F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（1）永久工程、已运至施工现场的材料和工程设备的损坏，以及因工程损坏造成的第三人人员伤亡和财产损失由发包人承担；</w:t>
      </w:r>
    </w:p>
    <w:p w14:paraId="37B3B0FD">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（2）承包人施工设备的损坏由承包人承担；</w:t>
      </w:r>
    </w:p>
    <w:p w14:paraId="1EF47D1F">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（3）发包人和承包人承担各自人员伤亡和财产的损失；</w:t>
      </w:r>
    </w:p>
    <w:p w14:paraId="16F1EAE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798727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（5）因不可抗力引起或将引起工期延误，发包人要求赶工的，由此增加的赶工费用由发包人承担；</w:t>
      </w:r>
    </w:p>
    <w:p w14:paraId="2A43B8A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（6）承包人在停工期间按照发包人要求照管、清理和修复工程的费用由发包人承担。</w:t>
      </w:r>
    </w:p>
    <w:p w14:paraId="72B1190E">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0D69D44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因合同一方迟延履行合同义务，在迟延履行期间遭遇不可抗力的，不免除其违约责任。</w:t>
      </w:r>
    </w:p>
    <w:p w14:paraId="2FAA6332">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69" w:name="_Toc351203611"/>
      <w:bookmarkStart w:id="470" w:name="_Toc337558827"/>
      <w:r>
        <w:rPr>
          <w:rFonts w:hint="eastAsia" w:ascii="宋体" w:hAnsi="宋体" w:eastAsia="宋体" w:cs="宋体"/>
          <w:b w:val="0"/>
          <w:color w:val="000000" w:themeColor="text1"/>
          <w:sz w:val="24"/>
          <w:szCs w:val="24"/>
          <w:highlight w:val="none"/>
          <w14:textFill>
            <w14:solidFill>
              <w14:schemeClr w14:val="tx1"/>
            </w14:solidFill>
          </w14:textFill>
        </w:rPr>
        <w:t>17.4 因不可抗力解除合同</w:t>
      </w:r>
      <w:bookmarkEnd w:id="469"/>
    </w:p>
    <w:bookmarkEnd w:id="470"/>
    <w:p w14:paraId="2E451FD4">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10738C1C">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（1）合同解除前承包人已完成工作的价款；</w:t>
      </w:r>
    </w:p>
    <w:p w14:paraId="61EB55D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（2）承包人为工程订购的并已交付给承包人，或承包人有责任接受交付的材料、工程设备和其他物品的价款；</w:t>
      </w:r>
    </w:p>
    <w:p w14:paraId="7C4084AF">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（3）发包人要求承包人退货或解除订货合同而产生的费用，或因不能退货或解除合同而产生的损失；</w:t>
      </w:r>
    </w:p>
    <w:p w14:paraId="5CF4839E">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（4）承包人撤离施工现场以及遣散承包人人员的费用；</w:t>
      </w:r>
    </w:p>
    <w:p w14:paraId="22F83099">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（5）按照合同约定在合同解除前应支付给承包人的其他款项；</w:t>
      </w:r>
    </w:p>
    <w:p w14:paraId="45CC612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（6）扣减承包人按照合同约定应向发包人支付的款项；</w:t>
      </w:r>
    </w:p>
    <w:p w14:paraId="766E707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（7）双方商定或确定的其他款项。</w:t>
      </w:r>
    </w:p>
    <w:p w14:paraId="12A07D42">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除专用合同条款另有约定外，合同解除后，发包人应在商定或确定上述款项后28天内完成上述款项的支付。</w:t>
      </w:r>
    </w:p>
    <w:p w14:paraId="47CA83AE">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71" w:name="_Toc351203612"/>
      <w:bookmarkStart w:id="472" w:name="_Toc296346621"/>
      <w:bookmarkStart w:id="473" w:name="_Toc337558828"/>
      <w:bookmarkStart w:id="474" w:name="_Toc296503120"/>
      <w:r>
        <w:rPr>
          <w:rFonts w:hint="eastAsia" w:ascii="宋体" w:hAnsi="宋体" w:eastAsia="宋体" w:cs="宋体"/>
          <w:b w:val="0"/>
          <w:color w:val="000000" w:themeColor="text1"/>
          <w:sz w:val="24"/>
          <w:szCs w:val="24"/>
          <w:highlight w:val="none"/>
          <w14:textFill>
            <w14:solidFill>
              <w14:schemeClr w14:val="tx1"/>
            </w14:solidFill>
          </w14:textFill>
        </w:rPr>
        <w:t>18. 保险</w:t>
      </w:r>
      <w:bookmarkEnd w:id="471"/>
    </w:p>
    <w:bookmarkEnd w:id="472"/>
    <w:bookmarkEnd w:id="473"/>
    <w:bookmarkEnd w:id="474"/>
    <w:p w14:paraId="29CF367C">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75" w:name="_Toc351203613"/>
      <w:bookmarkStart w:id="476" w:name="_Toc337558829"/>
      <w:bookmarkStart w:id="477" w:name="_Toc296346622"/>
      <w:bookmarkStart w:id="478" w:name="_Toc296503121"/>
      <w:r>
        <w:rPr>
          <w:rFonts w:hint="eastAsia" w:ascii="宋体" w:hAnsi="宋体" w:eastAsia="宋体" w:cs="宋体"/>
          <w:b w:val="0"/>
          <w:color w:val="000000" w:themeColor="text1"/>
          <w:sz w:val="24"/>
          <w:szCs w:val="24"/>
          <w:highlight w:val="none"/>
          <w14:textFill>
            <w14:solidFill>
              <w14:schemeClr w14:val="tx1"/>
            </w14:solidFill>
          </w14:textFill>
        </w:rPr>
        <w:t>18.1 工程保险</w:t>
      </w:r>
      <w:bookmarkEnd w:id="475"/>
    </w:p>
    <w:bookmarkEnd w:id="476"/>
    <w:bookmarkEnd w:id="477"/>
    <w:bookmarkEnd w:id="478"/>
    <w:p w14:paraId="33BA393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75C16B5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79" w:name="_Toc351203614"/>
      <w:bookmarkStart w:id="480" w:name="_Toc296503122"/>
      <w:bookmarkStart w:id="481" w:name="_Toc296346623"/>
      <w:bookmarkStart w:id="482" w:name="_Toc337558830"/>
      <w:r>
        <w:rPr>
          <w:rFonts w:hint="eastAsia" w:ascii="宋体" w:hAnsi="宋体" w:eastAsia="宋体" w:cs="宋体"/>
          <w:b w:val="0"/>
          <w:color w:val="000000" w:themeColor="text1"/>
          <w:sz w:val="24"/>
          <w:szCs w:val="24"/>
          <w:highlight w:val="none"/>
          <w14:textFill>
            <w14:solidFill>
              <w14:schemeClr w14:val="tx1"/>
            </w14:solidFill>
          </w14:textFill>
        </w:rPr>
        <w:t>18.2 工伤保险</w:t>
      </w:r>
      <w:bookmarkEnd w:id="479"/>
    </w:p>
    <w:bookmarkEnd w:id="480"/>
    <w:bookmarkEnd w:id="481"/>
    <w:bookmarkEnd w:id="482"/>
    <w:p w14:paraId="3E01DB5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18.2.1 发包人应依照法律规定参加工伤保险。</w:t>
      </w:r>
    </w:p>
    <w:p w14:paraId="289A6F7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7D7C823B">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83" w:name="_Toc351203615"/>
      <w:bookmarkStart w:id="484" w:name="_Toc337558831"/>
      <w:bookmarkStart w:id="485" w:name="_Toc296503125"/>
      <w:bookmarkStart w:id="486" w:name="_Toc296346626"/>
      <w:r>
        <w:rPr>
          <w:rFonts w:hint="eastAsia" w:ascii="宋体" w:hAnsi="宋体" w:eastAsia="宋体" w:cs="宋体"/>
          <w:b w:val="0"/>
          <w:color w:val="000000" w:themeColor="text1"/>
          <w:sz w:val="24"/>
          <w:szCs w:val="24"/>
          <w:highlight w:val="none"/>
          <w14:textFill>
            <w14:solidFill>
              <w14:schemeClr w14:val="tx1"/>
            </w14:solidFill>
          </w14:textFill>
        </w:rPr>
        <w:t>18.3其他保险</w:t>
      </w:r>
      <w:bookmarkEnd w:id="483"/>
    </w:p>
    <w:bookmarkEnd w:id="484"/>
    <w:bookmarkEnd w:id="485"/>
    <w:bookmarkEnd w:id="486"/>
    <w:p w14:paraId="67A20909">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17DE7E65">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除专用合同条款另有约定外，承包人应为其施工设备等办理财产保险。</w:t>
      </w:r>
    </w:p>
    <w:p w14:paraId="4B3F85F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87" w:name="_Toc351203616"/>
      <w:r>
        <w:rPr>
          <w:rFonts w:hint="eastAsia" w:ascii="宋体" w:hAnsi="宋体" w:eastAsia="宋体" w:cs="宋体"/>
          <w:b w:val="0"/>
          <w:color w:val="000000" w:themeColor="text1"/>
          <w:sz w:val="24"/>
          <w:szCs w:val="24"/>
          <w:highlight w:val="none"/>
          <w14:textFill>
            <w14:solidFill>
              <w14:schemeClr w14:val="tx1"/>
            </w14:solidFill>
          </w14:textFill>
        </w:rPr>
        <w:t>18.4持续保险</w:t>
      </w:r>
      <w:bookmarkEnd w:id="487"/>
    </w:p>
    <w:p w14:paraId="5994A374">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合同当事人应与保险人保持联系，使保险人能够随时了解工程实施中的变动，并确保按保险合同条款要求持续保险。</w:t>
      </w:r>
    </w:p>
    <w:p w14:paraId="4A3EA75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88" w:name="_Toc351203617"/>
      <w:bookmarkStart w:id="489" w:name="_Toc296346627"/>
      <w:bookmarkStart w:id="490" w:name="_Toc337558832"/>
      <w:bookmarkStart w:id="491" w:name="_Toc296503126"/>
      <w:r>
        <w:rPr>
          <w:rFonts w:hint="eastAsia" w:ascii="宋体" w:hAnsi="宋体" w:eastAsia="宋体" w:cs="宋体"/>
          <w:b w:val="0"/>
          <w:color w:val="000000" w:themeColor="text1"/>
          <w:sz w:val="24"/>
          <w:szCs w:val="24"/>
          <w:highlight w:val="none"/>
          <w14:textFill>
            <w14:solidFill>
              <w14:schemeClr w14:val="tx1"/>
            </w14:solidFill>
          </w14:textFill>
        </w:rPr>
        <w:t>18.5 保险凭证</w:t>
      </w:r>
      <w:bookmarkEnd w:id="488"/>
    </w:p>
    <w:bookmarkEnd w:id="489"/>
    <w:bookmarkEnd w:id="490"/>
    <w:bookmarkEnd w:id="491"/>
    <w:p w14:paraId="3D887483">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合同当事人应及时向另一方当事人提交其已投保的各项保险的凭证和保险单复印件。</w:t>
      </w:r>
    </w:p>
    <w:p w14:paraId="04134517">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92" w:name="_Toc351203618"/>
      <w:bookmarkStart w:id="493" w:name="_Toc296346628"/>
      <w:bookmarkStart w:id="494" w:name="_Toc296503127"/>
      <w:bookmarkStart w:id="495" w:name="_Toc337558833"/>
      <w:r>
        <w:rPr>
          <w:rFonts w:hint="eastAsia" w:ascii="宋体" w:hAnsi="宋体" w:eastAsia="宋体" w:cs="宋体"/>
          <w:b w:val="0"/>
          <w:color w:val="000000" w:themeColor="text1"/>
          <w:sz w:val="24"/>
          <w:szCs w:val="24"/>
          <w:highlight w:val="none"/>
          <w14:textFill>
            <w14:solidFill>
              <w14:schemeClr w14:val="tx1"/>
            </w14:solidFill>
          </w14:textFill>
        </w:rPr>
        <w:t>18.6 未按约定投保的补救</w:t>
      </w:r>
      <w:bookmarkEnd w:id="492"/>
    </w:p>
    <w:bookmarkEnd w:id="493"/>
    <w:bookmarkEnd w:id="494"/>
    <w:bookmarkEnd w:id="495"/>
    <w:p w14:paraId="749FD7F9">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5EDBDF7A">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116DDDA4">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496" w:name="_Toc351203619"/>
      <w:bookmarkStart w:id="497" w:name="_Toc337558834"/>
      <w:r>
        <w:rPr>
          <w:rFonts w:hint="eastAsia" w:ascii="宋体" w:hAnsi="宋体" w:eastAsia="宋体" w:cs="宋体"/>
          <w:b w:val="0"/>
          <w:color w:val="000000" w:themeColor="text1"/>
          <w:sz w:val="24"/>
          <w:szCs w:val="24"/>
          <w:highlight w:val="none"/>
          <w14:textFill>
            <w14:solidFill>
              <w14:schemeClr w14:val="tx1"/>
            </w14:solidFill>
          </w14:textFill>
        </w:rPr>
        <w:t>18.7 通知义务</w:t>
      </w:r>
      <w:bookmarkEnd w:id="496"/>
    </w:p>
    <w:bookmarkEnd w:id="497"/>
    <w:p w14:paraId="3879813D">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40D0FBD6">
      <w:pPr>
        <w:shd w:val="clear"/>
        <w:spacing w:line="312" w:lineRule="auto"/>
        <w:ind w:firstLine="480" w:firstLineChars="20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14:paraId="092623C0">
      <w:pPr>
        <w:pStyle w:val="5"/>
        <w:shd w:val="clear"/>
        <w:spacing w:before="120" w:after="120" w:line="312" w:lineRule="auto"/>
        <w:rPr>
          <w:rFonts w:ascii="宋体" w:hAnsi="宋体" w:eastAsia="宋体" w:cs="宋体"/>
          <w:b w:val="0"/>
          <w:color w:val="000000" w:themeColor="text1"/>
          <w:sz w:val="24"/>
          <w:szCs w:val="24"/>
          <w:highlight w:val="none"/>
          <w14:textFill>
            <w14:solidFill>
              <w14:schemeClr w14:val="tx1"/>
            </w14:solidFill>
          </w14:textFill>
        </w:rPr>
      </w:pPr>
      <w:bookmarkStart w:id="498" w:name="_Toc351203620"/>
      <w:bookmarkStart w:id="499" w:name="_Toc296346641"/>
      <w:bookmarkStart w:id="500" w:name="_Toc296503140"/>
      <w:bookmarkStart w:id="501" w:name="_Toc337558835"/>
      <w:r>
        <w:rPr>
          <w:rFonts w:hint="eastAsia" w:ascii="宋体" w:hAnsi="宋体" w:eastAsia="宋体" w:cs="宋体"/>
          <w:b w:val="0"/>
          <w:color w:val="000000" w:themeColor="text1"/>
          <w:sz w:val="24"/>
          <w:szCs w:val="24"/>
          <w:highlight w:val="none"/>
          <w14:textFill>
            <w14:solidFill>
              <w14:schemeClr w14:val="tx1"/>
            </w14:solidFill>
          </w14:textFill>
        </w:rPr>
        <w:t>19. 索赔</w:t>
      </w:r>
      <w:bookmarkEnd w:id="498"/>
    </w:p>
    <w:bookmarkEnd w:id="499"/>
    <w:bookmarkEnd w:id="500"/>
    <w:bookmarkEnd w:id="501"/>
    <w:p w14:paraId="16F72A75">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02" w:name="_Toc351203621"/>
      <w:bookmarkStart w:id="503" w:name="_Toc296346642"/>
      <w:bookmarkStart w:id="504" w:name="_Toc337558836"/>
      <w:bookmarkStart w:id="505" w:name="_Toc296503141"/>
      <w:r>
        <w:rPr>
          <w:rFonts w:hint="eastAsia" w:ascii="宋体" w:hAnsi="宋体" w:eastAsia="宋体" w:cs="宋体"/>
          <w:b w:val="0"/>
          <w:color w:val="000000" w:themeColor="text1"/>
          <w:sz w:val="24"/>
          <w:szCs w:val="24"/>
          <w:highlight w:val="none"/>
          <w14:textFill>
            <w14:solidFill>
              <w14:schemeClr w14:val="tx1"/>
            </w14:solidFill>
          </w14:textFill>
        </w:rPr>
        <w:t>19.1承包人的索赔</w:t>
      </w:r>
      <w:bookmarkEnd w:id="502"/>
    </w:p>
    <w:bookmarkEnd w:id="503"/>
    <w:bookmarkEnd w:id="504"/>
    <w:bookmarkEnd w:id="505"/>
    <w:p w14:paraId="168C765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根据合同约定，承包人认为有权得到追加付款和（或）延长工期的，应按以下程序向发包人提出索赔：</w:t>
      </w:r>
    </w:p>
    <w:p w14:paraId="51021A5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8FC9122">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6B8296B8">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786B7AD3">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24407B6D">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06" w:name="_Toc351203622"/>
      <w:bookmarkStart w:id="507" w:name="_Toc337558837"/>
      <w:bookmarkStart w:id="508" w:name="_Toc296503142"/>
      <w:bookmarkStart w:id="509" w:name="_Toc296346643"/>
      <w:r>
        <w:rPr>
          <w:rFonts w:hint="eastAsia" w:ascii="宋体" w:hAnsi="宋体" w:eastAsia="宋体" w:cs="宋体"/>
          <w:b w:val="0"/>
          <w:color w:val="000000" w:themeColor="text1"/>
          <w:sz w:val="24"/>
          <w:szCs w:val="24"/>
          <w:highlight w:val="none"/>
          <w14:textFill>
            <w14:solidFill>
              <w14:schemeClr w14:val="tx1"/>
            </w14:solidFill>
          </w14:textFill>
        </w:rPr>
        <w:t>19.2 对承包人索赔的处理</w:t>
      </w:r>
      <w:bookmarkEnd w:id="506"/>
    </w:p>
    <w:bookmarkEnd w:id="507"/>
    <w:bookmarkEnd w:id="508"/>
    <w:bookmarkEnd w:id="509"/>
    <w:p w14:paraId="727C565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对承包人索赔的处理如下：</w:t>
      </w:r>
    </w:p>
    <w:p w14:paraId="6C2EB165">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（1）监理人应在收到索赔报告后14天内完成审查并报送发包人。监理人对索赔报告存在异议的，有权要求承包人提交全部原始记录副本；</w:t>
      </w:r>
    </w:p>
    <w:p w14:paraId="286E773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35D2F1A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（3）承包人接受索赔处理结果的，索赔款项在当期进度款中进行支付；承包人不接受索赔处理结果的，按照第20条〔争议解决〕约定处理。</w:t>
      </w:r>
    </w:p>
    <w:p w14:paraId="4344E93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10" w:name="_Toc351203623"/>
      <w:bookmarkStart w:id="511" w:name="_Toc296503143"/>
      <w:bookmarkStart w:id="512" w:name="_Toc296346644"/>
      <w:bookmarkStart w:id="513" w:name="_Toc337558838"/>
      <w:r>
        <w:rPr>
          <w:rFonts w:hint="eastAsia" w:ascii="宋体" w:hAnsi="宋体" w:eastAsia="宋体" w:cs="宋体"/>
          <w:b w:val="0"/>
          <w:color w:val="000000" w:themeColor="text1"/>
          <w:sz w:val="24"/>
          <w:szCs w:val="24"/>
          <w:highlight w:val="none"/>
          <w14:textFill>
            <w14:solidFill>
              <w14:schemeClr w14:val="tx1"/>
            </w14:solidFill>
          </w14:textFill>
        </w:rPr>
        <w:t>19.3发包人的索赔</w:t>
      </w:r>
      <w:bookmarkEnd w:id="510"/>
    </w:p>
    <w:bookmarkEnd w:id="511"/>
    <w:bookmarkEnd w:id="512"/>
    <w:bookmarkEnd w:id="513"/>
    <w:p w14:paraId="27523EA0">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根据合同约定，发包人认为有权得到赔付金额和（或）延长缺陷责任期的，监理人应向承包人发出通知并附有详细的证明。</w:t>
      </w:r>
    </w:p>
    <w:p w14:paraId="72AC47B4">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3DD75F1">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14" w:name="_Toc351203624"/>
      <w:bookmarkStart w:id="515" w:name="_Toc296346645"/>
      <w:bookmarkStart w:id="516" w:name="_Toc296503144"/>
      <w:bookmarkStart w:id="517" w:name="_Toc337558839"/>
      <w:r>
        <w:rPr>
          <w:rFonts w:hint="eastAsia" w:ascii="宋体" w:hAnsi="宋体" w:eastAsia="宋体" w:cs="宋体"/>
          <w:b w:val="0"/>
          <w:color w:val="000000" w:themeColor="text1"/>
          <w:sz w:val="24"/>
          <w:szCs w:val="24"/>
          <w:highlight w:val="none"/>
          <w14:textFill>
            <w14:solidFill>
              <w14:schemeClr w14:val="tx1"/>
            </w14:solidFill>
          </w14:textFill>
        </w:rPr>
        <w:t>19.4 对发包人索赔的处理</w:t>
      </w:r>
      <w:bookmarkEnd w:id="514"/>
    </w:p>
    <w:bookmarkEnd w:id="515"/>
    <w:bookmarkEnd w:id="516"/>
    <w:bookmarkEnd w:id="517"/>
    <w:p w14:paraId="737CC09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对发包人索赔的处理如下：</w:t>
      </w:r>
    </w:p>
    <w:p w14:paraId="432FEF71">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（1）承包人收到发包人提交的索赔报告后，应及时审查索赔报告的内容、查验发包人证明材料；</w:t>
      </w:r>
    </w:p>
    <w:p w14:paraId="381AD106">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7FDF8FE9">
      <w:pPr>
        <w:shd w:val="clear"/>
        <w:autoSpaceDE w:val="0"/>
        <w:autoSpaceDN w:val="0"/>
        <w:adjustRightInd w:val="0"/>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2C96B3AA">
      <w:pPr>
        <w:pStyle w:val="6"/>
        <w:shd w:val="clear"/>
        <w:spacing w:before="120" w:after="120" w:line="312"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18" w:name="_Toc351203625"/>
      <w:r>
        <w:rPr>
          <w:rFonts w:hint="eastAsia" w:ascii="宋体" w:hAnsi="宋体" w:eastAsia="宋体" w:cs="宋体"/>
          <w:b w:val="0"/>
          <w:color w:val="000000" w:themeColor="text1"/>
          <w:sz w:val="24"/>
          <w:szCs w:val="24"/>
          <w:highlight w:val="none"/>
          <w14:textFill>
            <w14:solidFill>
              <w14:schemeClr w14:val="tx1"/>
            </w14:solidFill>
          </w14:textFill>
        </w:rPr>
        <w:t>19.5 提出索赔的期限</w:t>
      </w:r>
      <w:bookmarkEnd w:id="518"/>
    </w:p>
    <w:p w14:paraId="1492A86E">
      <w:pPr>
        <w:shd w:val="clear"/>
        <w:spacing w:line="312"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（1）承包人按第14.2款〔竣工结算审核〕约定接收竣工付款证书后，应被视为已无权再提出在工程接收证书颁发前所发生的任何索赔。</w:t>
      </w:r>
    </w:p>
    <w:p w14:paraId="78A1DACC">
      <w:pPr>
        <w:shd w:val="clear"/>
        <w:spacing w:line="312"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69E5C3A9">
      <w:pPr>
        <w:pStyle w:val="5"/>
        <w:shd w:val="clear"/>
        <w:spacing w:before="120" w:after="120" w:line="288" w:lineRule="auto"/>
        <w:rPr>
          <w:rFonts w:ascii="宋体" w:hAnsi="宋体" w:eastAsia="宋体" w:cs="宋体"/>
          <w:b w:val="0"/>
          <w:color w:val="000000" w:themeColor="text1"/>
          <w:sz w:val="24"/>
          <w:szCs w:val="24"/>
          <w:highlight w:val="none"/>
          <w14:textFill>
            <w14:solidFill>
              <w14:schemeClr w14:val="tx1"/>
            </w14:solidFill>
          </w14:textFill>
        </w:rPr>
      </w:pPr>
      <w:bookmarkStart w:id="519" w:name="_Toc351203626"/>
      <w:r>
        <w:rPr>
          <w:rFonts w:hint="eastAsia" w:ascii="宋体" w:hAnsi="宋体" w:eastAsia="宋体" w:cs="宋体"/>
          <w:b w:val="0"/>
          <w:color w:val="000000" w:themeColor="text1"/>
          <w:sz w:val="24"/>
          <w:szCs w:val="24"/>
          <w:highlight w:val="none"/>
          <w14:textFill>
            <w14:solidFill>
              <w14:schemeClr w14:val="tx1"/>
            </w14:solidFill>
          </w14:textFill>
        </w:rPr>
        <w:t>20</w:t>
      </w:r>
      <w:bookmarkStart w:id="520" w:name="_Toc296503146"/>
      <w:bookmarkStart w:id="521" w:name="_Toc337558840"/>
      <w:bookmarkStart w:id="522" w:name="_Toc296346647"/>
      <w:r>
        <w:rPr>
          <w:rFonts w:hint="eastAsia" w:ascii="宋体" w:hAnsi="宋体" w:eastAsia="宋体" w:cs="宋体"/>
          <w:b w:val="0"/>
          <w:color w:val="000000" w:themeColor="text1"/>
          <w:sz w:val="24"/>
          <w:szCs w:val="24"/>
          <w:highlight w:val="none"/>
          <w14:textFill>
            <w14:solidFill>
              <w14:schemeClr w14:val="tx1"/>
            </w14:solidFill>
          </w14:textFill>
        </w:rPr>
        <w:t>. 争议解决</w:t>
      </w:r>
      <w:bookmarkEnd w:id="519"/>
    </w:p>
    <w:bookmarkEnd w:id="520"/>
    <w:bookmarkEnd w:id="521"/>
    <w:bookmarkEnd w:id="522"/>
    <w:p w14:paraId="08E934DB">
      <w:pPr>
        <w:pStyle w:val="6"/>
        <w:shd w:val="clear"/>
        <w:spacing w:before="120" w:after="120" w:line="288"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23" w:name="_Toc351203627"/>
      <w:bookmarkStart w:id="524" w:name="_Toc296503147"/>
      <w:bookmarkStart w:id="525" w:name="_Toc296346648"/>
      <w:bookmarkStart w:id="526" w:name="_Toc337558841"/>
      <w:r>
        <w:rPr>
          <w:rFonts w:hint="eastAsia" w:ascii="宋体" w:hAnsi="宋体" w:eastAsia="宋体" w:cs="宋体"/>
          <w:b w:val="0"/>
          <w:color w:val="000000" w:themeColor="text1"/>
          <w:sz w:val="24"/>
          <w:szCs w:val="24"/>
          <w:highlight w:val="none"/>
          <w14:textFill>
            <w14:solidFill>
              <w14:schemeClr w14:val="tx1"/>
            </w14:solidFill>
          </w14:textFill>
        </w:rPr>
        <w:t>20.1和解</w:t>
      </w:r>
      <w:bookmarkEnd w:id="523"/>
    </w:p>
    <w:bookmarkEnd w:id="524"/>
    <w:bookmarkEnd w:id="525"/>
    <w:bookmarkEnd w:id="526"/>
    <w:p w14:paraId="31F59B70">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合同当事人可以就争议自行和解，自行和解达成协议的经双方签字并盖章后作为合同补充文件，双方均应遵照执行。</w:t>
      </w:r>
    </w:p>
    <w:p w14:paraId="0671A16F">
      <w:pPr>
        <w:pStyle w:val="6"/>
        <w:shd w:val="clear"/>
        <w:spacing w:before="120" w:after="120" w:line="288"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27" w:name="_Toc351203628"/>
      <w:r>
        <w:rPr>
          <w:rFonts w:hint="eastAsia" w:ascii="宋体" w:hAnsi="宋体" w:eastAsia="宋体" w:cs="宋体"/>
          <w:b w:val="0"/>
          <w:color w:val="000000" w:themeColor="text1"/>
          <w:sz w:val="24"/>
          <w:szCs w:val="24"/>
          <w:highlight w:val="none"/>
          <w14:textFill>
            <w14:solidFill>
              <w14:schemeClr w14:val="tx1"/>
            </w14:solidFill>
          </w14:textFill>
        </w:rPr>
        <w:t>20</w:t>
      </w:r>
      <w:bookmarkStart w:id="528" w:name="_Toc296346649"/>
      <w:bookmarkStart w:id="529" w:name="_Toc337558842"/>
      <w:bookmarkStart w:id="530" w:name="_Toc296503148"/>
      <w:r>
        <w:rPr>
          <w:rFonts w:hint="eastAsia" w:ascii="宋体" w:hAnsi="宋体" w:eastAsia="宋体" w:cs="宋体"/>
          <w:b w:val="0"/>
          <w:color w:val="000000" w:themeColor="text1"/>
          <w:sz w:val="24"/>
          <w:szCs w:val="24"/>
          <w:highlight w:val="none"/>
          <w14:textFill>
            <w14:solidFill>
              <w14:schemeClr w14:val="tx1"/>
            </w14:solidFill>
          </w14:textFill>
        </w:rPr>
        <w:t>.2调解</w:t>
      </w:r>
      <w:bookmarkEnd w:id="527"/>
    </w:p>
    <w:bookmarkEnd w:id="528"/>
    <w:bookmarkEnd w:id="529"/>
    <w:bookmarkEnd w:id="530"/>
    <w:p w14:paraId="62F7EB10">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337B26EA">
      <w:pPr>
        <w:pStyle w:val="6"/>
        <w:shd w:val="clear"/>
        <w:spacing w:before="120" w:after="120" w:line="288"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31" w:name="_Toc351203629"/>
      <w:bookmarkStart w:id="532" w:name="_Toc337558843"/>
      <w:bookmarkStart w:id="533" w:name="_Toc296503149"/>
      <w:bookmarkStart w:id="534" w:name="_Toc296346650"/>
      <w:r>
        <w:rPr>
          <w:rFonts w:hint="eastAsia" w:ascii="宋体" w:hAnsi="宋体" w:eastAsia="宋体" w:cs="宋体"/>
          <w:b w:val="0"/>
          <w:color w:val="000000" w:themeColor="text1"/>
          <w:sz w:val="24"/>
          <w:szCs w:val="24"/>
          <w:highlight w:val="none"/>
          <w14:textFill>
            <w14:solidFill>
              <w14:schemeClr w14:val="tx1"/>
            </w14:solidFill>
          </w14:textFill>
        </w:rPr>
        <w:t>20.3争议评审</w:t>
      </w:r>
      <w:bookmarkEnd w:id="531"/>
    </w:p>
    <w:bookmarkEnd w:id="532"/>
    <w:bookmarkEnd w:id="533"/>
    <w:bookmarkEnd w:id="534"/>
    <w:p w14:paraId="0DCA0F2D">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合同当事人在专用合同条款中约定采取争议评审方式解决争议以及评审规则，并按下列约定执行： </w:t>
      </w:r>
    </w:p>
    <w:p w14:paraId="4FE1DCBF">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20.3.1 争议评审小组的确定</w:t>
      </w:r>
    </w:p>
    <w:p w14:paraId="4CB46AE8">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3903E51F">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166A241">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除专用合同条款另有约定外，评审员报酬由发包人和承包人各承担一半。</w:t>
      </w:r>
    </w:p>
    <w:p w14:paraId="2055A196">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20.3.2 争议评审小组的决定</w:t>
      </w:r>
    </w:p>
    <w:p w14:paraId="473830C5">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95AB8E4">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20.3.3 争议评审小组决定的效力</w:t>
      </w:r>
    </w:p>
    <w:p w14:paraId="21F70C02">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争议评审小组作出的书面决定经合同当事人签字确认后，对双方具有约束力，双方应遵照执行。</w:t>
      </w:r>
    </w:p>
    <w:p w14:paraId="74A30803">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任何一方当事人不接受争议评审小组决定或不履行争议评审小组决定的，双方可选择采用其他争议解决方式。</w:t>
      </w:r>
    </w:p>
    <w:p w14:paraId="0DDDADA2">
      <w:pPr>
        <w:pStyle w:val="6"/>
        <w:shd w:val="clear"/>
        <w:spacing w:before="120" w:after="120" w:line="288"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35" w:name="_Toc351203630"/>
      <w:bookmarkStart w:id="536" w:name="_Toc296503150"/>
      <w:bookmarkStart w:id="537" w:name="_Toc337558844"/>
      <w:bookmarkStart w:id="538" w:name="_Toc296346651"/>
      <w:r>
        <w:rPr>
          <w:rFonts w:hint="eastAsia" w:ascii="宋体" w:hAnsi="宋体" w:eastAsia="宋体" w:cs="宋体"/>
          <w:b w:val="0"/>
          <w:color w:val="000000" w:themeColor="text1"/>
          <w:sz w:val="24"/>
          <w:szCs w:val="24"/>
          <w:highlight w:val="none"/>
          <w14:textFill>
            <w14:solidFill>
              <w14:schemeClr w14:val="tx1"/>
            </w14:solidFill>
          </w14:textFill>
        </w:rPr>
        <w:t>20.4仲裁或诉讼</w:t>
      </w:r>
      <w:bookmarkEnd w:id="535"/>
    </w:p>
    <w:bookmarkEnd w:id="536"/>
    <w:bookmarkEnd w:id="537"/>
    <w:bookmarkEnd w:id="538"/>
    <w:p w14:paraId="5098E98D">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因合同及合同有关事项产生的争议，合同当事人可以在专用合同条款中约定以下一种方式解决争议：</w:t>
      </w:r>
    </w:p>
    <w:p w14:paraId="4E3C34EE">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（1）向约定的仲裁委员会申请仲裁；</w:t>
      </w:r>
    </w:p>
    <w:p w14:paraId="166258F9">
      <w:pPr>
        <w:shd w:val="clear"/>
        <w:autoSpaceDE w:val="0"/>
        <w:autoSpaceDN w:val="0"/>
        <w:adjustRightInd w:val="0"/>
        <w:spacing w:line="288"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（2）向有管辖权的人民法院起诉。</w:t>
      </w:r>
    </w:p>
    <w:p w14:paraId="2C48BA73">
      <w:pPr>
        <w:pStyle w:val="6"/>
        <w:shd w:val="clear"/>
        <w:spacing w:before="120" w:after="120" w:line="288" w:lineRule="auto"/>
        <w:ind w:firstLine="480" w:firstLineChars="200"/>
        <w:rPr>
          <w:rFonts w:ascii="宋体" w:hAnsi="宋体" w:eastAsia="宋体" w:cs="宋体"/>
          <w:b w:val="0"/>
          <w:color w:val="000000" w:themeColor="text1"/>
          <w:sz w:val="24"/>
          <w:szCs w:val="24"/>
          <w:highlight w:val="none"/>
          <w14:textFill>
            <w14:solidFill>
              <w14:schemeClr w14:val="tx1"/>
            </w14:solidFill>
          </w14:textFill>
        </w:rPr>
      </w:pPr>
      <w:bookmarkStart w:id="539" w:name="_Toc351203631"/>
      <w:bookmarkStart w:id="540" w:name="_Toc296503152"/>
      <w:bookmarkStart w:id="541" w:name="_Toc337558845"/>
      <w:bookmarkStart w:id="542" w:name="_Toc296346653"/>
      <w:r>
        <w:rPr>
          <w:rFonts w:hint="eastAsia" w:ascii="宋体" w:hAnsi="宋体" w:eastAsia="宋体" w:cs="宋体"/>
          <w:b w:val="0"/>
          <w:color w:val="000000" w:themeColor="text1"/>
          <w:sz w:val="24"/>
          <w:szCs w:val="24"/>
          <w:highlight w:val="none"/>
          <w14:textFill>
            <w14:solidFill>
              <w14:schemeClr w14:val="tx1"/>
            </w14:solidFill>
          </w14:textFill>
        </w:rPr>
        <w:t>20.5争议解决条款效力</w:t>
      </w:r>
      <w:bookmarkEnd w:id="539"/>
    </w:p>
    <w:bookmarkEnd w:id="540"/>
    <w:bookmarkEnd w:id="541"/>
    <w:bookmarkEnd w:id="542"/>
    <w:p w14:paraId="17421E98">
      <w:pPr>
        <w:shd w:val="clear"/>
        <w:autoSpaceDE w:val="0"/>
        <w:autoSpaceDN w:val="0"/>
        <w:adjustRightInd w:val="0"/>
        <w:spacing w:line="288"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合同有关争议解决的条款独立存在，合同的变更、解除、终止、无效或者被撤销均不影响其效力。 </w:t>
      </w:r>
    </w:p>
    <w:p w14:paraId="7F259E0A">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45F67BFB">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0AC851E6">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4FC4C7A8">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4D5802E7">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4D89C6F1">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7FAC8253">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5C11FE56">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33E2317C">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020548DF">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1DF25764">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47BB3A81">
      <w:pPr>
        <w:pStyle w:val="15"/>
        <w:shd w:val="clear"/>
        <w:rPr>
          <w:rFonts w:hint="eastAsia" w:ascii="宋体" w:hAnsi="宋体" w:eastAsia="宋体" w:cs="宋体"/>
          <w:color w:val="000000" w:themeColor="text1"/>
          <w:kern w:val="0"/>
          <w:sz w:val="24"/>
          <w:highlight w:val="none"/>
          <w14:textFill>
            <w14:solidFill>
              <w14:schemeClr w14:val="tx1"/>
            </w14:solidFill>
          </w14:textFill>
        </w:rPr>
      </w:pPr>
    </w:p>
    <w:p w14:paraId="01A9E975">
      <w:pPr>
        <w:pStyle w:val="2"/>
        <w:keepNext w:val="0"/>
        <w:keepLines w:val="0"/>
        <w:shd w:val="clear"/>
        <w:spacing w:line="312" w:lineRule="auto"/>
        <w:jc w:val="center"/>
        <w:rPr>
          <w:rFonts w:ascii="宋体" w:hAnsi="宋体" w:eastAsia="宋体" w:cs="宋体"/>
          <w:color w:val="000000" w:themeColor="text1"/>
          <w:spacing w:val="20"/>
          <w:sz w:val="30"/>
          <w:szCs w:val="30"/>
          <w:highlight w:val="none"/>
          <w14:textFill>
            <w14:solidFill>
              <w14:schemeClr w14:val="tx1"/>
            </w14:solidFill>
          </w14:textFill>
        </w:rPr>
      </w:pPr>
      <w:r>
        <w:rPr>
          <w:rFonts w:hint="eastAsia" w:ascii="宋体" w:hAnsi="宋体" w:eastAsia="宋体" w:cs="宋体"/>
          <w:color w:val="000000" w:themeColor="text1"/>
          <w:spacing w:val="20"/>
          <w:sz w:val="30"/>
          <w:szCs w:val="30"/>
          <w:highlight w:val="none"/>
          <w14:textFill>
            <w14:solidFill>
              <w14:schemeClr w14:val="tx1"/>
            </w14:solidFill>
          </w14:textFill>
        </w:rPr>
        <w:t>第三部分 专用合同条款</w:t>
      </w:r>
      <w:bookmarkEnd w:id="106"/>
      <w:bookmarkEnd w:id="107"/>
      <w:bookmarkEnd w:id="108"/>
      <w:bookmarkEnd w:id="110"/>
      <w:bookmarkEnd w:id="111"/>
      <w:bookmarkEnd w:id="112"/>
      <w:bookmarkEnd w:id="113"/>
      <w:bookmarkEnd w:id="114"/>
      <w:bookmarkEnd w:id="115"/>
    </w:p>
    <w:p w14:paraId="15A5ECED">
      <w:pPr>
        <w:shd w:val="clear"/>
        <w:spacing w:line="312" w:lineRule="auto"/>
        <w:rPr>
          <w:color w:val="000000" w:themeColor="text1"/>
          <w:highlight w:val="none"/>
          <w14:textFill>
            <w14:solidFill>
              <w14:schemeClr w14:val="tx1"/>
            </w14:solidFill>
          </w14:textFill>
        </w:rPr>
      </w:pPr>
    </w:p>
    <w:p w14:paraId="3FF41D67">
      <w:pPr>
        <w:pStyle w:val="3"/>
        <w:shd w:val="clear"/>
        <w:adjustRightInd w:val="0"/>
        <w:snapToGrid w:val="0"/>
        <w:spacing w:line="360" w:lineRule="auto"/>
        <w:rPr>
          <w:rFonts w:ascii="宋体" w:hAnsi="宋体" w:eastAsia="宋体" w:cs="宋体"/>
          <w:color w:val="000000" w:themeColor="text1"/>
          <w:spacing w:val="20"/>
          <w:sz w:val="24"/>
          <w:szCs w:val="40"/>
          <w:highlight w:val="none"/>
          <w14:textFill>
            <w14:solidFill>
              <w14:schemeClr w14:val="tx1"/>
            </w14:solidFill>
          </w14:textFill>
        </w:rPr>
      </w:pPr>
      <w:bookmarkStart w:id="543" w:name="_Toc439779031"/>
      <w:bookmarkStart w:id="544" w:name="_Toc351203633"/>
      <w:bookmarkStart w:id="545" w:name="_Toc461982826"/>
      <w:bookmarkStart w:id="546" w:name="_Toc14784"/>
      <w:bookmarkStart w:id="547" w:name="_Toc373478339"/>
      <w:bookmarkStart w:id="548" w:name="_Toc389065258"/>
      <w:bookmarkStart w:id="549" w:name="_Toc14791"/>
      <w:bookmarkStart w:id="550" w:name="_Toc373227692"/>
      <w:bookmarkStart w:id="551" w:name="_Toc296346657"/>
      <w:bookmarkStart w:id="552" w:name="_Toc296347155"/>
      <w:bookmarkStart w:id="553" w:name="_Toc292559866"/>
      <w:bookmarkStart w:id="554" w:name="_Toc292559361"/>
      <w:bookmarkStart w:id="555" w:name="_Toc296890984"/>
      <w:bookmarkStart w:id="556" w:name="_Toc296503156"/>
      <w:bookmarkStart w:id="557" w:name="_Toc297120456"/>
      <w:bookmarkStart w:id="558" w:name="_Toc296891196"/>
      <w:bookmarkStart w:id="559" w:name="_Toc297048342"/>
      <w:bookmarkStart w:id="560" w:name="_Toc296944495"/>
      <w:r>
        <w:rPr>
          <w:rFonts w:hint="eastAsia" w:ascii="宋体" w:hAnsi="宋体" w:eastAsia="宋体" w:cs="宋体"/>
          <w:color w:val="000000" w:themeColor="text1"/>
          <w:spacing w:val="20"/>
          <w:sz w:val="24"/>
          <w:szCs w:val="40"/>
          <w:highlight w:val="none"/>
          <w14:textFill>
            <w14:solidFill>
              <w14:schemeClr w14:val="tx1"/>
            </w14:solidFill>
          </w14:textFill>
        </w:rPr>
        <w:t>一. 一般约定</w:t>
      </w:r>
      <w:bookmarkEnd w:id="543"/>
      <w:bookmarkEnd w:id="544"/>
      <w:bookmarkEnd w:id="545"/>
      <w:bookmarkEnd w:id="546"/>
      <w:bookmarkEnd w:id="547"/>
      <w:bookmarkEnd w:id="548"/>
      <w:bookmarkEnd w:id="549"/>
      <w:bookmarkEnd w:id="550"/>
    </w:p>
    <w:bookmarkEnd w:id="551"/>
    <w:bookmarkEnd w:id="552"/>
    <w:bookmarkEnd w:id="553"/>
    <w:bookmarkEnd w:id="554"/>
    <w:bookmarkEnd w:id="555"/>
    <w:bookmarkEnd w:id="556"/>
    <w:bookmarkEnd w:id="557"/>
    <w:bookmarkEnd w:id="558"/>
    <w:bookmarkEnd w:id="559"/>
    <w:bookmarkEnd w:id="560"/>
    <w:p w14:paraId="67211B24">
      <w:pPr>
        <w:pStyle w:val="4"/>
        <w:shd w:val="clear"/>
        <w:adjustRightInd w:val="0"/>
        <w:snapToGrid w:val="0"/>
        <w:rPr>
          <w:rFonts w:ascii="宋体" w:hAnsi="宋体" w:eastAsia="宋体" w:cs="宋体"/>
          <w:color w:val="000000" w:themeColor="text1"/>
          <w:spacing w:val="20"/>
          <w:sz w:val="24"/>
          <w:szCs w:val="40"/>
          <w:highlight w:val="none"/>
          <w14:textFill>
            <w14:solidFill>
              <w14:schemeClr w14:val="tx1"/>
            </w14:solidFill>
          </w14:textFill>
        </w:rPr>
      </w:pPr>
      <w:bookmarkStart w:id="561" w:name="_Toc16308"/>
      <w:bookmarkStart w:id="562" w:name="_Toc373227693"/>
      <w:bookmarkStart w:id="563" w:name="_Toc20097"/>
      <w:bookmarkStart w:id="564" w:name="_Toc373478340"/>
      <w:bookmarkStart w:id="565" w:name="_Toc389065259"/>
      <w:bookmarkStart w:id="566" w:name="_Toc461982827"/>
      <w:bookmarkStart w:id="567" w:name="_Toc439779032"/>
      <w:r>
        <w:rPr>
          <w:rFonts w:hint="eastAsia" w:ascii="宋体" w:hAnsi="宋体" w:eastAsia="宋体" w:cs="宋体"/>
          <w:color w:val="000000" w:themeColor="text1"/>
          <w:spacing w:val="20"/>
          <w:sz w:val="24"/>
          <w:szCs w:val="40"/>
          <w:highlight w:val="none"/>
          <w14:textFill>
            <w14:solidFill>
              <w14:schemeClr w14:val="tx1"/>
            </w14:solidFill>
          </w14:textFill>
        </w:rPr>
        <w:t>1.1 词语定义</w:t>
      </w:r>
      <w:bookmarkEnd w:id="561"/>
      <w:bookmarkEnd w:id="562"/>
      <w:bookmarkEnd w:id="563"/>
      <w:bookmarkEnd w:id="564"/>
      <w:bookmarkEnd w:id="565"/>
      <w:bookmarkEnd w:id="566"/>
      <w:bookmarkEnd w:id="567"/>
    </w:p>
    <w:p w14:paraId="3203B072">
      <w:pPr>
        <w:shd w:val="clear"/>
        <w:adjustRightInd w:val="0"/>
        <w:snapToGrid w:val="0"/>
        <w:spacing w:line="360" w:lineRule="auto"/>
        <w:ind w:firstLine="560" w:firstLineChars="200"/>
        <w:outlineLvl w:val="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1.1.1 合同</w:t>
      </w:r>
    </w:p>
    <w:p w14:paraId="15792393">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1.1.1.10 其他合同文件包括：</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投标文件及其附件，招标文件（含补充通知和答疑），履约保证经缴纳证明，履约过程中双方法定代表人（或双方工地代表人）书面确认的对合同内容有实质性影响的会议纪要、签证、设计变更等资料 </w:t>
      </w:r>
      <w:r>
        <w:rPr>
          <w:rFonts w:hint="eastAsia" w:ascii="宋体" w:hAnsi="宋体" w:eastAsia="宋体" w:cs="宋体"/>
          <w:color w:val="000000" w:themeColor="text1"/>
          <w:spacing w:val="20"/>
          <w:sz w:val="24"/>
          <w:highlight w:val="none"/>
          <w14:textFill>
            <w14:solidFill>
              <w14:schemeClr w14:val="tx1"/>
            </w14:solidFill>
          </w14:textFill>
        </w:rPr>
        <w:t>。</w:t>
      </w:r>
    </w:p>
    <w:p w14:paraId="17F155C6">
      <w:pPr>
        <w:pStyle w:val="4"/>
        <w:shd w:val="clear"/>
        <w:adjustRightInd w:val="0"/>
        <w:snapToGrid w:val="0"/>
        <w:rPr>
          <w:rFonts w:ascii="宋体" w:hAnsi="宋体" w:eastAsia="宋体" w:cs="宋体"/>
          <w:color w:val="000000" w:themeColor="text1"/>
          <w:spacing w:val="20"/>
          <w:sz w:val="24"/>
          <w:szCs w:val="40"/>
          <w:highlight w:val="none"/>
          <w14:textFill>
            <w14:solidFill>
              <w14:schemeClr w14:val="tx1"/>
            </w14:solidFill>
          </w14:textFill>
        </w:rPr>
      </w:pPr>
      <w:bookmarkStart w:id="568" w:name="_Toc373227696"/>
      <w:bookmarkStart w:id="569" w:name="_Toc373478343"/>
      <w:bookmarkStart w:id="570" w:name="_Toc389065262"/>
      <w:bookmarkStart w:id="571" w:name="_Toc461982830"/>
      <w:bookmarkStart w:id="572" w:name="_Toc26377"/>
      <w:bookmarkStart w:id="573" w:name="_Toc25240"/>
      <w:bookmarkStart w:id="574" w:name="_Toc439779035"/>
      <w:r>
        <w:rPr>
          <w:rFonts w:hint="eastAsia" w:ascii="宋体" w:hAnsi="宋体" w:eastAsia="宋体" w:cs="宋体"/>
          <w:color w:val="000000" w:themeColor="text1"/>
          <w:spacing w:val="20"/>
          <w:sz w:val="24"/>
          <w:szCs w:val="40"/>
          <w:highlight w:val="none"/>
          <w14:textFill>
            <w14:solidFill>
              <w14:schemeClr w14:val="tx1"/>
            </w14:solidFill>
          </w14:textFill>
        </w:rPr>
        <w:t>1.4 合同文件的优先顺序</w:t>
      </w:r>
      <w:bookmarkEnd w:id="568"/>
      <w:bookmarkEnd w:id="569"/>
      <w:bookmarkEnd w:id="570"/>
      <w:bookmarkEnd w:id="571"/>
      <w:bookmarkEnd w:id="572"/>
      <w:bookmarkEnd w:id="573"/>
      <w:bookmarkEnd w:id="574"/>
    </w:p>
    <w:p w14:paraId="14F33228">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合同文件组成及优先顺序为：</w:t>
      </w:r>
    </w:p>
    <w:p w14:paraId="5F61E0A1">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（1）中标通知书；</w:t>
      </w:r>
    </w:p>
    <w:p w14:paraId="67814052">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（2）投标函及其附录；</w:t>
      </w:r>
    </w:p>
    <w:p w14:paraId="0C51C483">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（3）专用合同条款及其附件；</w:t>
      </w:r>
    </w:p>
    <w:p w14:paraId="0AE25B65">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（4）通用合同条款；</w:t>
      </w:r>
    </w:p>
    <w:p w14:paraId="1E066F89">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（5）</w:t>
      </w:r>
      <w:r>
        <w:rPr>
          <w:rFonts w:hint="eastAsia" w:ascii="宋体" w:hAnsi="宋体" w:eastAsia="宋体" w:cs="宋体"/>
          <w:color w:val="000000" w:themeColor="text1"/>
          <w:spacing w:val="20"/>
          <w:kern w:val="0"/>
          <w:sz w:val="24"/>
          <w:highlight w:val="none"/>
          <w:u w:val="single"/>
          <w14:textFill>
            <w14:solidFill>
              <w14:schemeClr w14:val="tx1"/>
            </w14:solidFill>
          </w14:textFill>
        </w:rPr>
        <w:t xml:space="preserve"> 技术标准和要求          </w:t>
      </w:r>
      <w:r>
        <w:rPr>
          <w:rFonts w:hint="eastAsia" w:ascii="宋体" w:hAnsi="宋体" w:eastAsia="宋体" w:cs="宋体"/>
          <w:color w:val="000000" w:themeColor="text1"/>
          <w:spacing w:val="20"/>
          <w:kern w:val="0"/>
          <w:sz w:val="24"/>
          <w:highlight w:val="none"/>
          <w14:textFill>
            <w14:solidFill>
              <w14:schemeClr w14:val="tx1"/>
            </w14:solidFill>
          </w14:textFill>
        </w:rPr>
        <w:t>；</w:t>
      </w:r>
    </w:p>
    <w:p w14:paraId="37B5ED0F">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（6）</w:t>
      </w:r>
      <w:r>
        <w:rPr>
          <w:rFonts w:hint="eastAsia" w:ascii="宋体" w:hAnsi="宋体" w:eastAsia="宋体" w:cs="宋体"/>
          <w:color w:val="000000" w:themeColor="text1"/>
          <w:spacing w:val="20"/>
          <w:kern w:val="0"/>
          <w:sz w:val="24"/>
          <w:highlight w:val="none"/>
          <w:u w:val="single"/>
          <w14:textFill>
            <w14:solidFill>
              <w14:schemeClr w14:val="tx1"/>
            </w14:solidFill>
          </w14:textFill>
        </w:rPr>
        <w:t xml:space="preserve"> 施工图纸                </w:t>
      </w:r>
      <w:r>
        <w:rPr>
          <w:rFonts w:hint="eastAsia" w:ascii="宋体" w:hAnsi="宋体" w:eastAsia="宋体" w:cs="宋体"/>
          <w:color w:val="000000" w:themeColor="text1"/>
          <w:spacing w:val="20"/>
          <w:kern w:val="0"/>
          <w:sz w:val="24"/>
          <w:highlight w:val="none"/>
          <w14:textFill>
            <w14:solidFill>
              <w14:schemeClr w14:val="tx1"/>
            </w14:solidFill>
          </w14:textFill>
        </w:rPr>
        <w:t>；</w:t>
      </w:r>
    </w:p>
    <w:p w14:paraId="2848B97C">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（7）</w:t>
      </w:r>
      <w:r>
        <w:rPr>
          <w:rFonts w:hint="eastAsia" w:ascii="宋体" w:hAnsi="宋体" w:eastAsia="宋体" w:cs="宋体"/>
          <w:color w:val="000000" w:themeColor="text1"/>
          <w:spacing w:val="20"/>
          <w:kern w:val="0"/>
          <w:sz w:val="24"/>
          <w:highlight w:val="none"/>
          <w:u w:val="single"/>
          <w14:textFill>
            <w14:solidFill>
              <w14:schemeClr w14:val="tx1"/>
            </w14:solidFill>
          </w14:textFill>
        </w:rPr>
        <w:t xml:space="preserve"> 已标价的工程量清单（投标文件）</w:t>
      </w:r>
      <w:r>
        <w:rPr>
          <w:rFonts w:hint="eastAsia" w:ascii="宋体" w:hAnsi="宋体" w:eastAsia="宋体" w:cs="宋体"/>
          <w:color w:val="000000" w:themeColor="text1"/>
          <w:spacing w:val="20"/>
          <w:kern w:val="0"/>
          <w:sz w:val="24"/>
          <w:highlight w:val="none"/>
          <w14:textFill>
            <w14:solidFill>
              <w14:schemeClr w14:val="tx1"/>
            </w14:solidFill>
          </w14:textFill>
        </w:rPr>
        <w:t>；</w:t>
      </w:r>
    </w:p>
    <w:p w14:paraId="71DD9603">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（8）</w:t>
      </w:r>
      <w:r>
        <w:rPr>
          <w:rFonts w:hint="eastAsia" w:ascii="宋体" w:hAnsi="宋体" w:eastAsia="宋体" w:cs="宋体"/>
          <w:color w:val="000000" w:themeColor="text1"/>
          <w:spacing w:val="20"/>
          <w:kern w:val="0"/>
          <w:sz w:val="24"/>
          <w:highlight w:val="none"/>
          <w:u w:val="single"/>
          <w14:textFill>
            <w14:solidFill>
              <w14:schemeClr w14:val="tx1"/>
            </w14:solidFill>
          </w14:textFill>
        </w:rPr>
        <w:t xml:space="preserve"> 其他合同文件、设计变更等文件  </w:t>
      </w:r>
      <w:r>
        <w:rPr>
          <w:rFonts w:hint="eastAsia" w:ascii="宋体" w:hAnsi="宋体" w:eastAsia="宋体" w:cs="宋体"/>
          <w:color w:val="000000" w:themeColor="text1"/>
          <w:spacing w:val="20"/>
          <w:kern w:val="0"/>
          <w:sz w:val="24"/>
          <w:highlight w:val="none"/>
          <w14:textFill>
            <w14:solidFill>
              <w14:schemeClr w14:val="tx1"/>
            </w14:solidFill>
          </w14:textFill>
        </w:rPr>
        <w:t>。</w:t>
      </w:r>
    </w:p>
    <w:p w14:paraId="5D8850FD">
      <w:pPr>
        <w:shd w:val="clear"/>
        <w:adjustRightInd w:val="0"/>
        <w:snapToGrid w:val="0"/>
        <w:spacing w:line="360" w:lineRule="auto"/>
        <w:ind w:firstLine="560" w:firstLineChars="200"/>
        <w:rPr>
          <w:rFonts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（9）《建设工程工程量清单计价规范（GB5050-2013）》及其广西实施细则、《建设工程工程量清单计算规范（GB5854~50862-2013）》及其广西实施细则。</w:t>
      </w:r>
    </w:p>
    <w:p w14:paraId="3670D35F">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说明：（6）、（7）、（8）填空内容分别限于技术标准和要求、图纸、已标价工程量清单或预算书、其他合同文件四者之一，其优先顺序可根据采取的不同合同方式由双方约定。</w:t>
      </w:r>
    </w:p>
    <w:p w14:paraId="75F29ED3">
      <w:pPr>
        <w:numPr>
          <w:ilvl w:val="0"/>
          <w:numId w:val="7"/>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语言文字和适用法律、标准及规范</w:t>
      </w:r>
    </w:p>
    <w:p w14:paraId="34CFB17C">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3.1本合同除使用汉语外，还使用</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无其他 </w:t>
      </w:r>
      <w:r>
        <w:rPr>
          <w:rFonts w:hint="eastAsia" w:ascii="宋体" w:hAnsi="宋体" w:eastAsia="宋体" w:cs="宋体"/>
          <w:color w:val="000000" w:themeColor="text1"/>
          <w:spacing w:val="20"/>
          <w:sz w:val="24"/>
          <w:szCs w:val="32"/>
          <w:highlight w:val="none"/>
          <w14:textFill>
            <w14:solidFill>
              <w14:schemeClr w14:val="tx1"/>
            </w14:solidFill>
          </w14:textFill>
        </w:rPr>
        <w:t>语言文字</w:t>
      </w:r>
    </w:p>
    <w:p w14:paraId="58548AFD">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3.2法律和法规</w:t>
      </w:r>
    </w:p>
    <w:p w14:paraId="67B28D00">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 xml:space="preserve">  需要明示的法律、行政法规：</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按合同签订时国家现行法律、行政法规及工程所在地政府的有关法规和规章。</w:t>
      </w:r>
    </w:p>
    <w:p w14:paraId="13F6413D">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发包人提供标准、规范时间：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 。</w:t>
      </w:r>
    </w:p>
    <w:p w14:paraId="2A24CAD3">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国内没有相应的标准、规范时的约定：</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w:t>
      </w:r>
    </w:p>
    <w:p w14:paraId="507453E0">
      <w:pPr>
        <w:numPr>
          <w:ilvl w:val="0"/>
          <w:numId w:val="7"/>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图纸</w:t>
      </w:r>
    </w:p>
    <w:p w14:paraId="796260B4">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4.1发包人向承包人提供图纸日期和套数：</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签订合同起5个工作日内提供一式肆份设计图纸。</w:t>
      </w:r>
    </w:p>
    <w:p w14:paraId="07DB0BFD">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4.2发包人对图纸的保密要求：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未经发包人同意，承包人不得将图纸转借给第三人。</w:t>
      </w:r>
    </w:p>
    <w:p w14:paraId="25EB0BAC">
      <w:pPr>
        <w:numPr>
          <w:ilvl w:val="0"/>
          <w:numId w:val="8"/>
        </w:numPr>
        <w:shd w:val="clear"/>
        <w:adjustRightInd w:val="0"/>
        <w:snapToGrid w:val="0"/>
        <w:spacing w:line="360" w:lineRule="auto"/>
        <w:rPr>
          <w:rFonts w:ascii="宋体" w:hAnsi="宋体" w:eastAsia="宋体" w:cs="宋体"/>
          <w:b/>
          <w:bCs/>
          <w:color w:val="000000" w:themeColor="text1"/>
          <w:spacing w:val="20"/>
          <w:sz w:val="24"/>
          <w:szCs w:val="32"/>
          <w:highlight w:val="none"/>
          <w14:textFill>
            <w14:solidFill>
              <w14:schemeClr w14:val="tx1"/>
            </w14:solidFill>
          </w14:textFill>
        </w:rPr>
      </w:pPr>
      <w:r>
        <w:rPr>
          <w:rFonts w:hint="eastAsia" w:ascii="宋体" w:hAnsi="宋体" w:eastAsia="宋体" w:cs="宋体"/>
          <w:b/>
          <w:bCs/>
          <w:color w:val="000000" w:themeColor="text1"/>
          <w:spacing w:val="20"/>
          <w:sz w:val="24"/>
          <w:szCs w:val="32"/>
          <w:highlight w:val="none"/>
          <w14:textFill>
            <w14:solidFill>
              <w14:schemeClr w14:val="tx1"/>
            </w14:solidFill>
          </w14:textFill>
        </w:rPr>
        <w:t>双方一般权利和义务</w:t>
      </w:r>
    </w:p>
    <w:p w14:paraId="2E8CD729">
      <w:pPr>
        <w:numPr>
          <w:ilvl w:val="0"/>
          <w:numId w:val="7"/>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工程师：</w:t>
      </w:r>
    </w:p>
    <w:p w14:paraId="4063132C">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 xml:space="preserve">  5.1监理单位：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p>
    <w:p w14:paraId="30469626">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委派的工程师姓名：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职务：</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电话：</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p>
    <w:p w14:paraId="0E8B7959">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发包人委托是职权：</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按本工程委托监理合同 </w:t>
      </w:r>
    </w:p>
    <w:p w14:paraId="30A6A444">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需要取得发包人批准才能行使的职权：</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按本合同委托监理合同 。</w:t>
      </w:r>
    </w:p>
    <w:p w14:paraId="0C0815AC">
      <w:pPr>
        <w:shd w:val="clear"/>
        <w:adjustRightInd w:val="0"/>
        <w:snapToGrid w:val="0"/>
        <w:spacing w:line="360" w:lineRule="auto"/>
        <w:ind w:firstLine="280" w:firstLineChars="100"/>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5.2发包人派驻的工程师</w:t>
      </w:r>
    </w:p>
    <w:p w14:paraId="6FB7FEB9">
      <w:pPr>
        <w:shd w:val="clear"/>
        <w:adjustRightInd w:val="0"/>
        <w:snapToGrid w:val="0"/>
        <w:spacing w:line="360" w:lineRule="auto"/>
        <w:ind w:firstLine="280" w:firstLineChars="100"/>
        <w:rPr>
          <w:rFonts w:hint="default" w:ascii="宋体" w:hAnsi="宋体" w:eastAsia="宋体" w:cs="宋体"/>
          <w:color w:val="000000" w:themeColor="text1"/>
          <w:spacing w:val="20"/>
          <w:sz w:val="24"/>
          <w:szCs w:val="32"/>
          <w:highlight w:val="none"/>
          <w:lang w:val="en-US" w:eastAsia="zh-CN"/>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姓名：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职位：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电话：</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p>
    <w:p w14:paraId="47D96F38">
      <w:pPr>
        <w:shd w:val="clear"/>
        <w:adjustRightInd w:val="0"/>
        <w:snapToGrid w:val="0"/>
        <w:spacing w:line="360" w:lineRule="auto"/>
        <w:ind w:firstLine="280" w:firstLineChars="100"/>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职权：</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负责工程施工的协调工作，负责施工工程有关验收、签证、结算、工程资料审查等工作。</w:t>
      </w:r>
    </w:p>
    <w:p w14:paraId="79B3F00A">
      <w:pPr>
        <w:shd w:val="clear"/>
        <w:adjustRightInd w:val="0"/>
        <w:snapToGrid w:val="0"/>
        <w:spacing w:line="360" w:lineRule="auto"/>
        <w:ind w:firstLine="280" w:firstLineChars="100"/>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5.3不实行监理的，工程师的职权：</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w:t>
      </w:r>
    </w:p>
    <w:p w14:paraId="454089CB">
      <w:pPr>
        <w:numPr>
          <w:ilvl w:val="0"/>
          <w:numId w:val="7"/>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项目经理</w:t>
      </w:r>
    </w:p>
    <w:p w14:paraId="01DE6A6D">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姓名：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14:textFill>
            <w14:solidFill>
              <w14:schemeClr w14:val="tx1"/>
            </w14:solidFill>
          </w14:textFill>
        </w:rPr>
        <w:t xml:space="preserve">    职务：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w:t>
      </w:r>
    </w:p>
    <w:p w14:paraId="257499BF">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8、发包人工作</w:t>
      </w:r>
    </w:p>
    <w:p w14:paraId="41A61EFF">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8.1发包人应按约定的时间和要求完成以下工作：</w:t>
      </w:r>
    </w:p>
    <w:p w14:paraId="19E5F9D2">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施工场地具备施工条件的要求及完成的时间：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开工前7日，发包人移交施工工地等工作。</w:t>
      </w:r>
    </w:p>
    <w:p w14:paraId="253792E1">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将施工所需的水、电、电讯线路接至施工场地的时间、地点和供应要求：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协调提供水、电接口；电讯线路由承包人自行处理。水、电、通讯费用由承包人支付。</w:t>
      </w:r>
    </w:p>
    <w:p w14:paraId="7F833D25">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施工场地与公共道路的通道开通时间和要求：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开工前7天做到施工现场周围道路畅通，并满足施工运输需要。</w:t>
      </w:r>
    </w:p>
    <w:p w14:paraId="010F421C">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工程地质和地下管线资料的提供时间：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与开工前7天提供一套完整、准确的地质资料（应含有地下管线的走向及所埋深度等内容）。</w:t>
      </w:r>
    </w:p>
    <w:p w14:paraId="7415398C">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由发包人办理的施工所需证件、批件的名称和完成时间：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开工7日前办理好施工许可证和临时用地证等开工所需的全部证件和批件。</w:t>
      </w:r>
    </w:p>
    <w:p w14:paraId="67513722">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水准点与坐标控制点交验要求：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发包人在开工前以书面形式交给承包人，并双方在现场进行交验。</w:t>
      </w:r>
    </w:p>
    <w:p w14:paraId="4E147D76">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图纸会审和设计交底时间：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于开工前7天，组织承包人、设计、地质勘探、监理等相关单位进行图纸会审和设计交底。</w:t>
      </w:r>
    </w:p>
    <w:p w14:paraId="191D6FBF">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协调处理施工场地周围地下管线和邻近建筑物、构筑物（含文物保护建筑）、古树名木的保护工作：</w:t>
      </w:r>
      <w:r>
        <w:rPr>
          <w:rFonts w:hint="eastAsia" w:ascii="宋体" w:hAnsi="宋体" w:eastAsia="宋体" w:cs="宋体"/>
          <w:color w:val="000000" w:themeColor="text1"/>
          <w:spacing w:val="20"/>
          <w:sz w:val="24"/>
          <w:szCs w:val="32"/>
          <w:highlight w:val="none"/>
          <w:u w:val="single"/>
          <w14:textFill>
            <w14:solidFill>
              <w14:schemeClr w14:val="tx1"/>
            </w14:solidFill>
          </w14:textFill>
        </w:rPr>
        <w:t>由发包人负责协调，承包人负责保护，费用由发包人承担。</w:t>
      </w:r>
    </w:p>
    <w:p w14:paraId="403BAAC2">
      <w:pPr>
        <w:numPr>
          <w:ilvl w:val="0"/>
          <w:numId w:val="9"/>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 xml:space="preserve">双方约定发包人应做的其他工作： </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 。</w:t>
      </w:r>
    </w:p>
    <w:p w14:paraId="3C4D9481">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8.2发包人委托承包人办理的工作：</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 。</w:t>
      </w:r>
    </w:p>
    <w:p w14:paraId="1886C00F">
      <w:pPr>
        <w:numPr>
          <w:ilvl w:val="0"/>
          <w:numId w:val="10"/>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承包人工作</w:t>
      </w:r>
    </w:p>
    <w:p w14:paraId="7F2BEA83">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9.1承包人应按约定时间和要求，完成以下工作：</w:t>
      </w:r>
    </w:p>
    <w:p w14:paraId="4C1E527C">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需由设计资质等级和业务范围允许的承包人完成的设计文件提交时间：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w:t>
      </w:r>
    </w:p>
    <w:p w14:paraId="7534B6DF">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应提供计划、报表的名称及完成时间：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每月25日提供当月完成工程量报表、次月计划完成工程量报表各两份。</w:t>
      </w:r>
    </w:p>
    <w:p w14:paraId="15BC1429">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承担施工安全保卫工作及非夜间施工照明的责任和要求：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提供和维修非夜间施工使用的照明、围栏设施，并负责安全保卫。</w:t>
      </w:r>
    </w:p>
    <w:p w14:paraId="1A9F56D2">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已完工程品保护的特殊要求及费用承担：</w:t>
      </w:r>
      <w:r>
        <w:rPr>
          <w:rFonts w:hint="eastAsia" w:ascii="宋体" w:hAnsi="宋体" w:eastAsia="宋体" w:cs="宋体"/>
          <w:color w:val="000000" w:themeColor="text1"/>
          <w:spacing w:val="20"/>
          <w:sz w:val="24"/>
          <w:szCs w:val="32"/>
          <w:highlight w:val="none"/>
          <w:u w:val="single"/>
          <w14:textFill>
            <w14:solidFill>
              <w14:schemeClr w14:val="tx1"/>
            </w14:solidFill>
          </w14:textFill>
        </w:rPr>
        <w:t>在竣工验收移交全部工程前，由承包人负责采取保护措施，并承担费用。</w:t>
      </w:r>
    </w:p>
    <w:p w14:paraId="13393D67">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施工场地设置地下管线和邻近建筑物、构筑物（含文物保护建筑）、古树名木的保护要求及费用承担：</w:t>
      </w:r>
      <w:r>
        <w:rPr>
          <w:rFonts w:hint="eastAsia" w:ascii="宋体" w:hAnsi="宋体" w:eastAsia="宋体" w:cs="宋体"/>
          <w:color w:val="000000" w:themeColor="text1"/>
          <w:spacing w:val="20"/>
          <w:sz w:val="24"/>
          <w:szCs w:val="32"/>
          <w:highlight w:val="none"/>
          <w:u w:val="single"/>
          <w14:textFill>
            <w14:solidFill>
              <w14:schemeClr w14:val="tx1"/>
            </w14:solidFill>
          </w14:textFill>
        </w:rPr>
        <w:t>由发包人负责协调，相关费用由发包人承担，承包人负责保护，施工时如因承包人原因损坏地下管线，邻近建筑物、构筑物，所发生的费用由承包人负责承担。</w:t>
      </w:r>
    </w:p>
    <w:p w14:paraId="0D3727D1">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施工场地清洁卫生的要求：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承包人保证施工场地清洁符合环境卫生管理的有关规定，交工前清理现场做到工完场清，并承担因自身原因违反有关规定造成损失和罚款。</w:t>
      </w:r>
    </w:p>
    <w:p w14:paraId="3E39B16B">
      <w:pPr>
        <w:numPr>
          <w:ilvl w:val="0"/>
          <w:numId w:val="11"/>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双方约定承包人应做的其他工作：</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70D7DEA6">
      <w:pPr>
        <w:numPr>
          <w:ilvl w:val="0"/>
          <w:numId w:val="8"/>
        </w:numPr>
        <w:shd w:val="clear"/>
        <w:adjustRightInd w:val="0"/>
        <w:snapToGrid w:val="0"/>
        <w:spacing w:line="360" w:lineRule="auto"/>
        <w:rPr>
          <w:rFonts w:ascii="宋体" w:hAnsi="宋体" w:eastAsia="宋体" w:cs="宋体"/>
          <w:b/>
          <w:bCs/>
          <w:color w:val="000000" w:themeColor="text1"/>
          <w:spacing w:val="20"/>
          <w:sz w:val="28"/>
          <w:szCs w:val="36"/>
          <w:highlight w:val="none"/>
          <w14:textFill>
            <w14:solidFill>
              <w14:schemeClr w14:val="tx1"/>
            </w14:solidFill>
          </w14:textFill>
        </w:rPr>
      </w:pPr>
      <w:r>
        <w:rPr>
          <w:rFonts w:hint="eastAsia" w:ascii="宋体" w:hAnsi="宋体" w:eastAsia="宋体" w:cs="宋体"/>
          <w:b/>
          <w:bCs/>
          <w:color w:val="000000" w:themeColor="text1"/>
          <w:spacing w:val="20"/>
          <w:sz w:val="28"/>
          <w:szCs w:val="36"/>
          <w:highlight w:val="none"/>
          <w14:textFill>
            <w14:solidFill>
              <w14:schemeClr w14:val="tx1"/>
            </w14:solidFill>
          </w14:textFill>
        </w:rPr>
        <w:t>施工组织设计个工期</w:t>
      </w:r>
    </w:p>
    <w:p w14:paraId="4EF53F53">
      <w:pPr>
        <w:numPr>
          <w:ilvl w:val="0"/>
          <w:numId w:val="10"/>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进度计划</w:t>
      </w:r>
    </w:p>
    <w:p w14:paraId="13C77583">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10.1承包人提供施工组织设计（施工方案）和进度计划的时间：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合同签订之日起15日内，并全面动工建设。</w:t>
      </w:r>
    </w:p>
    <w:p w14:paraId="2E8BAC4C">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工程师确认的时间：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于收到之日起5日内批复。</w:t>
      </w:r>
    </w:p>
    <w:p w14:paraId="049701A0">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10.2群体工程中有关进度计划的要求：</w:t>
      </w:r>
      <w:r>
        <w:rPr>
          <w:rFonts w:hint="eastAsia" w:ascii="宋体" w:hAnsi="宋体" w:eastAsia="宋体" w:cs="宋体"/>
          <w:color w:val="000000" w:themeColor="text1"/>
          <w:spacing w:val="20"/>
          <w:sz w:val="24"/>
          <w:szCs w:val="32"/>
          <w:highlight w:val="none"/>
          <w:u w:val="single"/>
          <w14:textFill>
            <w14:solidFill>
              <w14:schemeClr w14:val="tx1"/>
            </w14:solidFill>
          </w14:textFill>
        </w:rPr>
        <w:t>按投标文件计划。</w:t>
      </w:r>
    </w:p>
    <w:p w14:paraId="17B445A2">
      <w:pPr>
        <w:numPr>
          <w:ilvl w:val="0"/>
          <w:numId w:val="12"/>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工期延误</w:t>
      </w:r>
    </w:p>
    <w:p w14:paraId="5249FCD5">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13.1双方约定工期顺延的其他情况：</w:t>
      </w:r>
      <w:r>
        <w:rPr>
          <w:rFonts w:hint="eastAsia" w:ascii="宋体" w:hAnsi="宋体" w:eastAsia="宋体" w:cs="宋体"/>
          <w:color w:val="000000" w:themeColor="text1"/>
          <w:spacing w:val="20"/>
          <w:sz w:val="24"/>
          <w:szCs w:val="32"/>
          <w:highlight w:val="none"/>
          <w:u w:val="single"/>
          <w14:textFill>
            <w14:solidFill>
              <w14:schemeClr w14:val="tx1"/>
            </w14:solidFill>
          </w14:textFill>
        </w:rPr>
        <w:t>因工程行政主管部门指令性（除因施工方责任外）停工；发包人不能按时支付工程进度款给承包人；非承包人责任而造成的工期延误及发包人同意顺延工期的其他情况。</w:t>
      </w:r>
    </w:p>
    <w:p w14:paraId="78019B33">
      <w:pPr>
        <w:numPr>
          <w:ilvl w:val="0"/>
          <w:numId w:val="8"/>
        </w:numPr>
        <w:shd w:val="clear"/>
        <w:adjustRightInd w:val="0"/>
        <w:snapToGrid w:val="0"/>
        <w:spacing w:line="360" w:lineRule="auto"/>
        <w:rPr>
          <w:rFonts w:ascii="宋体" w:hAnsi="宋体" w:eastAsia="宋体" w:cs="宋体"/>
          <w:b/>
          <w:bCs/>
          <w:color w:val="000000" w:themeColor="text1"/>
          <w:spacing w:val="20"/>
          <w:sz w:val="28"/>
          <w:szCs w:val="36"/>
          <w:highlight w:val="none"/>
          <w14:textFill>
            <w14:solidFill>
              <w14:schemeClr w14:val="tx1"/>
            </w14:solidFill>
          </w14:textFill>
        </w:rPr>
      </w:pPr>
      <w:r>
        <w:rPr>
          <w:rFonts w:hint="eastAsia" w:ascii="宋体" w:hAnsi="宋体" w:eastAsia="宋体" w:cs="宋体"/>
          <w:b/>
          <w:bCs/>
          <w:color w:val="000000" w:themeColor="text1"/>
          <w:spacing w:val="20"/>
          <w:sz w:val="28"/>
          <w:szCs w:val="36"/>
          <w:highlight w:val="none"/>
          <w14:textFill>
            <w14:solidFill>
              <w14:schemeClr w14:val="tx1"/>
            </w14:solidFill>
          </w14:textFill>
        </w:rPr>
        <w:t>质量与验收</w:t>
      </w:r>
    </w:p>
    <w:p w14:paraId="3C18E221">
      <w:pPr>
        <w:numPr>
          <w:ilvl w:val="0"/>
          <w:numId w:val="13"/>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隐蔽工程和中间验收</w:t>
      </w:r>
    </w:p>
    <w:p w14:paraId="085DA3EC">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17.1双方约定中间验收部位：</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    。</w:t>
      </w:r>
    </w:p>
    <w:p w14:paraId="1EBBA118">
      <w:pPr>
        <w:numPr>
          <w:ilvl w:val="0"/>
          <w:numId w:val="13"/>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工程试车</w:t>
      </w:r>
    </w:p>
    <w:p w14:paraId="088DE809">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18.1试车费用的承担：</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5DCEBB81">
      <w:pPr>
        <w:numPr>
          <w:ilvl w:val="0"/>
          <w:numId w:val="8"/>
        </w:numPr>
        <w:shd w:val="clear"/>
        <w:adjustRightInd w:val="0"/>
        <w:snapToGrid w:val="0"/>
        <w:spacing w:line="360" w:lineRule="auto"/>
        <w:rPr>
          <w:rFonts w:ascii="宋体" w:hAnsi="宋体" w:eastAsia="宋体" w:cs="宋体"/>
          <w:b/>
          <w:bCs/>
          <w:color w:val="000000" w:themeColor="text1"/>
          <w:spacing w:val="20"/>
          <w:sz w:val="28"/>
          <w:szCs w:val="36"/>
          <w:highlight w:val="none"/>
          <w14:textFill>
            <w14:solidFill>
              <w14:schemeClr w14:val="tx1"/>
            </w14:solidFill>
          </w14:textFill>
        </w:rPr>
      </w:pPr>
      <w:r>
        <w:rPr>
          <w:rFonts w:hint="eastAsia" w:ascii="宋体" w:hAnsi="宋体" w:eastAsia="宋体" w:cs="宋体"/>
          <w:b/>
          <w:bCs/>
          <w:color w:val="000000" w:themeColor="text1"/>
          <w:spacing w:val="20"/>
          <w:sz w:val="28"/>
          <w:szCs w:val="36"/>
          <w:highlight w:val="none"/>
          <w14:textFill>
            <w14:solidFill>
              <w14:schemeClr w14:val="tx1"/>
            </w14:solidFill>
          </w14:textFill>
        </w:rPr>
        <w:t>变更</w:t>
      </w:r>
    </w:p>
    <w:p w14:paraId="3CCAC04B">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20.1变更的估价原则</w:t>
      </w:r>
    </w:p>
    <w:p w14:paraId="07C90F23">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因变更引起的价格调整按照本款约定处理。</w:t>
      </w:r>
    </w:p>
    <w:p w14:paraId="46B2DE56">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20.1.1已标价工程量清单中有使用于变更工作的子目的，采用该子目的单价。</w:t>
      </w:r>
    </w:p>
    <w:p w14:paraId="6A38EF57">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20.1.2已标价工程量清单中无适用于变更工作的子目的，但有类似子目的，可在合理范围内参照类似子目的单价。</w:t>
      </w:r>
    </w:p>
    <w:p w14:paraId="215A560E">
      <w:p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20.1.3已标价工程量清单中无适用或类似子目的单价，</w:t>
      </w:r>
      <w:r>
        <w:rPr>
          <w:rFonts w:hint="eastAsia" w:ascii="宋体" w:hAnsi="宋体" w:eastAsia="宋体" w:cs="宋体"/>
          <w:color w:val="000000" w:themeColor="text1"/>
          <w:spacing w:val="20"/>
          <w:sz w:val="24"/>
          <w:szCs w:val="32"/>
          <w:highlight w:val="none"/>
          <w:u w:val="single"/>
          <w14:textFill>
            <w14:solidFill>
              <w14:schemeClr w14:val="tx1"/>
            </w14:solidFill>
          </w14:textFill>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629B581">
      <w:pPr>
        <w:numPr>
          <w:ilvl w:val="0"/>
          <w:numId w:val="14"/>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价格调整</w:t>
      </w:r>
    </w:p>
    <w:p w14:paraId="6C9B4254">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21.1物价波动引起价格调整：</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无。</w:t>
      </w:r>
    </w:p>
    <w:p w14:paraId="48E7DFC3">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21.1.1采用价格指数调整价格差额：</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29318E22">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21.1.2采用造价信息调整价格差额：</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719AECC8">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双方约定合同价款的其他调整因素：</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2BEB59DD">
      <w:pPr>
        <w:numPr>
          <w:ilvl w:val="0"/>
          <w:numId w:val="8"/>
        </w:numPr>
        <w:shd w:val="clear"/>
        <w:adjustRightInd w:val="0"/>
        <w:snapToGrid w:val="0"/>
        <w:spacing w:line="360" w:lineRule="auto"/>
        <w:rPr>
          <w:rFonts w:ascii="宋体" w:hAnsi="宋体" w:eastAsia="宋体" w:cs="宋体"/>
          <w:b/>
          <w:bCs/>
          <w:color w:val="000000" w:themeColor="text1"/>
          <w:spacing w:val="20"/>
          <w:sz w:val="28"/>
          <w:szCs w:val="36"/>
          <w:highlight w:val="none"/>
          <w14:textFill>
            <w14:solidFill>
              <w14:schemeClr w14:val="tx1"/>
            </w14:solidFill>
          </w14:textFill>
        </w:rPr>
      </w:pPr>
      <w:r>
        <w:rPr>
          <w:rFonts w:hint="eastAsia" w:ascii="宋体" w:hAnsi="宋体" w:eastAsia="宋体" w:cs="宋体"/>
          <w:b/>
          <w:bCs/>
          <w:color w:val="000000" w:themeColor="text1"/>
          <w:spacing w:val="20"/>
          <w:sz w:val="28"/>
          <w:szCs w:val="36"/>
          <w:highlight w:val="none"/>
          <w14:textFill>
            <w14:solidFill>
              <w14:schemeClr w14:val="tx1"/>
            </w14:solidFill>
          </w14:textFill>
        </w:rPr>
        <w:t>合同价款与支付</w:t>
      </w:r>
    </w:p>
    <w:p w14:paraId="53D1C1E1">
      <w:pPr>
        <w:numPr>
          <w:ilvl w:val="0"/>
          <w:numId w:val="15"/>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合同价款及调整</w:t>
      </w:r>
    </w:p>
    <w:p w14:paraId="4B8FAD98">
      <w:pPr>
        <w:pStyle w:val="6"/>
        <w:shd w:val="clear"/>
        <w:spacing w:before="120" w:after="120" w:line="312" w:lineRule="auto"/>
        <w:ind w:firstLine="562" w:firstLineChars="200"/>
        <w:rPr>
          <w:rFonts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23.</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color w:val="000000" w:themeColor="text1"/>
          <w:sz w:val="24"/>
          <w:szCs w:val="24"/>
          <w:highlight w:val="none"/>
          <w14:textFill>
            <w14:solidFill>
              <w14:schemeClr w14:val="tx1"/>
            </w14:solidFill>
          </w14:textFill>
        </w:rPr>
        <w:t>预付款</w:t>
      </w:r>
    </w:p>
    <w:p w14:paraId="2F5D18E5">
      <w:pPr>
        <w:shd w:val="clear"/>
        <w:spacing w:line="312" w:lineRule="auto"/>
        <w:ind w:firstLine="480" w:firstLineChars="200"/>
        <w:jc w:val="left"/>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预付款的支付</w:t>
      </w:r>
    </w:p>
    <w:p w14:paraId="3A8D37C2">
      <w:pPr>
        <w:shd w:val="clear"/>
        <w:spacing w:line="312" w:lineRule="auto"/>
        <w:ind w:firstLine="480" w:firstLineChars="200"/>
        <w:jc w:val="left"/>
        <w:rPr>
          <w:rFonts w:hint="eastAsia"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签订合同后，</w:t>
      </w:r>
      <w:r>
        <w:rPr>
          <w:rFonts w:hint="eastAsia" w:ascii="宋体" w:hAnsi="宋体" w:cs="宋体"/>
          <w:color w:val="000000" w:themeColor="text1"/>
          <w:kern w:val="0"/>
          <w:sz w:val="24"/>
          <w:highlight w:val="none"/>
          <w:lang w:val="en-US" w:eastAsia="zh-CN"/>
          <w14:textFill>
            <w14:solidFill>
              <w14:schemeClr w14:val="tx1"/>
            </w14:solidFill>
          </w14:textFill>
        </w:rPr>
        <w:t>甲方</w:t>
      </w:r>
      <w:r>
        <w:rPr>
          <w:rFonts w:hint="eastAsia" w:ascii="宋体" w:hAnsi="宋体" w:eastAsia="宋体" w:cs="宋体"/>
          <w:color w:val="000000" w:themeColor="text1"/>
          <w:kern w:val="0"/>
          <w:sz w:val="24"/>
          <w:highlight w:val="none"/>
          <w:lang w:eastAsia="zh-CN"/>
          <w14:textFill>
            <w14:solidFill>
              <w14:schemeClr w14:val="tx1"/>
            </w14:solidFill>
          </w14:textFill>
        </w:rPr>
        <w:t>支付合同金额的30%预付款，</w:t>
      </w:r>
      <w:r>
        <w:rPr>
          <w:rFonts w:hint="eastAsia" w:ascii="宋体" w:hAnsi="宋体" w:eastAsia="宋体" w:cs="宋体"/>
          <w:color w:val="000000" w:themeColor="text1"/>
          <w:kern w:val="0"/>
          <w:sz w:val="24"/>
          <w:highlight w:val="none"/>
          <w14:textFill>
            <w14:solidFill>
              <w14:schemeClr w14:val="tx1"/>
            </w14:solidFill>
          </w14:textFill>
        </w:rPr>
        <w:t>预付款应当用于材料、工程设备、施工设备的采购及修建临时工程、组织施工队伍进场等。预付款在</w:t>
      </w:r>
      <w:r>
        <w:rPr>
          <w:rFonts w:hint="eastAsia" w:ascii="宋体" w:hAnsi="宋体" w:eastAsia="宋体" w:cs="宋体"/>
          <w:color w:val="000000" w:themeColor="text1"/>
          <w:kern w:val="0"/>
          <w:sz w:val="24"/>
          <w:highlight w:val="none"/>
          <w:lang w:eastAsia="zh-CN"/>
          <w14:textFill>
            <w14:solidFill>
              <w14:schemeClr w14:val="tx1"/>
            </w14:solidFill>
          </w14:textFill>
        </w:rPr>
        <w:t>第一次</w:t>
      </w:r>
      <w:r>
        <w:rPr>
          <w:rFonts w:hint="eastAsia" w:ascii="宋体" w:hAnsi="宋体" w:eastAsia="宋体" w:cs="宋体"/>
          <w:color w:val="000000" w:themeColor="text1"/>
          <w:kern w:val="0"/>
          <w:sz w:val="24"/>
          <w:highlight w:val="none"/>
          <w14:textFill>
            <w14:solidFill>
              <w14:schemeClr w14:val="tx1"/>
            </w14:solidFill>
          </w14:textFill>
        </w:rPr>
        <w:t>进度付款中扣回。</w:t>
      </w:r>
    </w:p>
    <w:p w14:paraId="6A412EA9">
      <w:pPr>
        <w:shd w:val="clear"/>
        <w:adjustRightInd w:val="0"/>
        <w:snapToGrid w:val="0"/>
        <w:spacing w:line="360" w:lineRule="auto"/>
        <w:ind w:firstLine="560" w:firstLineChars="200"/>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lang w:val="en-US" w:eastAsia="zh-CN"/>
          <w14:textFill>
            <w14:solidFill>
              <w14:schemeClr w14:val="tx1"/>
            </w14:solidFill>
          </w14:textFill>
        </w:rPr>
        <w:t>23.1.2.</w:t>
      </w:r>
      <w:r>
        <w:rPr>
          <w:rFonts w:hint="eastAsia" w:ascii="宋体" w:hAnsi="宋体" w:eastAsia="宋体" w:cs="宋体"/>
          <w:color w:val="000000" w:themeColor="text1"/>
          <w:spacing w:val="20"/>
          <w:sz w:val="24"/>
          <w:szCs w:val="32"/>
          <w:highlight w:val="none"/>
          <w14:textFill>
            <w14:solidFill>
              <w14:schemeClr w14:val="tx1"/>
            </w14:solidFill>
          </w14:textFill>
        </w:rPr>
        <w:t>本合同价款采用</w:t>
      </w:r>
      <w:r>
        <w:rPr>
          <w:rFonts w:hint="eastAsia" w:ascii="宋体" w:hAnsi="宋体" w:eastAsia="宋体" w:cs="宋体"/>
          <w:color w:val="000000" w:themeColor="text1"/>
          <w:spacing w:val="20"/>
          <w:sz w:val="24"/>
          <w:szCs w:val="32"/>
          <w:highlight w:val="none"/>
          <w:u w:val="single"/>
          <w14:textFill>
            <w14:solidFill>
              <w14:schemeClr w14:val="tx1"/>
            </w14:solidFill>
          </w14:textFill>
        </w:rPr>
        <w:t xml:space="preserve"> 固定综合单价（指工程量清单所包含的内容） </w:t>
      </w:r>
      <w:r>
        <w:rPr>
          <w:rFonts w:hint="eastAsia" w:ascii="宋体" w:hAnsi="宋体" w:eastAsia="宋体" w:cs="宋体"/>
          <w:color w:val="000000" w:themeColor="text1"/>
          <w:spacing w:val="20"/>
          <w:sz w:val="24"/>
          <w:szCs w:val="32"/>
          <w:highlight w:val="none"/>
          <w14:textFill>
            <w14:solidFill>
              <w14:schemeClr w14:val="tx1"/>
            </w14:solidFill>
          </w14:textFill>
        </w:rPr>
        <w:t>合同方式确定。</w:t>
      </w:r>
    </w:p>
    <w:p w14:paraId="23B1F1A1">
      <w:pPr>
        <w:numPr>
          <w:ilvl w:val="0"/>
          <w:numId w:val="16"/>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风险费用的计算方式：</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5F2A9088">
      <w:pPr>
        <w:numPr>
          <w:ilvl w:val="0"/>
          <w:numId w:val="16"/>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采用可调价格合同，合同价款调整方式：</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58C8F4BC">
      <w:pPr>
        <w:numPr>
          <w:ilvl w:val="0"/>
          <w:numId w:val="16"/>
        </w:num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采用成本加酬金合同，有关成本和酬金的约定：</w:t>
      </w:r>
      <w:r>
        <w:rPr>
          <w:rFonts w:hint="eastAsia" w:ascii="宋体" w:hAnsi="宋体" w:eastAsia="宋体" w:cs="宋体"/>
          <w:color w:val="000000" w:themeColor="text1"/>
          <w:spacing w:val="20"/>
          <w:sz w:val="24"/>
          <w:szCs w:val="32"/>
          <w:highlight w:val="none"/>
          <w:u w:val="single"/>
          <w14:textFill>
            <w14:solidFill>
              <w14:schemeClr w14:val="tx1"/>
            </w14:solidFill>
          </w14:textFill>
        </w:rPr>
        <w:t>无。</w:t>
      </w:r>
    </w:p>
    <w:p w14:paraId="5416CCE5">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23.2双方约定合同价款及其他调整因素：</w:t>
      </w:r>
      <w:r>
        <w:rPr>
          <w:rFonts w:hint="eastAsia" w:ascii="宋体" w:hAnsi="宋体" w:eastAsia="宋体" w:cs="宋体"/>
          <w:color w:val="000000" w:themeColor="text1"/>
          <w:spacing w:val="20"/>
          <w:sz w:val="24"/>
          <w:szCs w:val="32"/>
          <w:highlight w:val="none"/>
          <w:u w:val="single"/>
          <w14:textFill>
            <w14:solidFill>
              <w14:schemeClr w14:val="tx1"/>
            </w14:solidFill>
          </w14:textFill>
        </w:rPr>
        <w:t>工程量清单所包含的内容以外部分。</w:t>
      </w:r>
    </w:p>
    <w:p w14:paraId="0197CC4E">
      <w:pPr>
        <w:numPr>
          <w:ilvl w:val="0"/>
          <w:numId w:val="15"/>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工程款付款</w:t>
      </w:r>
    </w:p>
    <w:p w14:paraId="3C6D8560">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发包人向承包人预付工程款的时间和金额或占合同价款总额的比例：</w:t>
      </w:r>
      <w:r>
        <w:rPr>
          <w:rFonts w:hint="eastAsia" w:ascii="宋体" w:hAnsi="宋体" w:eastAsia="宋体" w:cs="宋体"/>
          <w:color w:val="000000" w:themeColor="text1"/>
          <w:spacing w:val="20"/>
          <w:sz w:val="24"/>
          <w:szCs w:val="32"/>
          <w:highlight w:val="none"/>
          <w:u w:val="single"/>
          <w14:textFill>
            <w14:solidFill>
              <w14:schemeClr w14:val="tx1"/>
            </w14:solidFill>
          </w14:textFill>
        </w:rPr>
        <w:t>签订合同后，</w:t>
      </w:r>
      <w:r>
        <w:rPr>
          <w:rFonts w:hint="eastAsia" w:ascii="宋体" w:hAnsi="宋体" w:cs="宋体"/>
          <w:color w:val="000000" w:themeColor="text1"/>
          <w:spacing w:val="20"/>
          <w:sz w:val="24"/>
          <w:szCs w:val="32"/>
          <w:highlight w:val="none"/>
          <w:u w:val="single"/>
          <w:lang w:val="en-US" w:eastAsia="zh-CN"/>
          <w14:textFill>
            <w14:solidFill>
              <w14:schemeClr w14:val="tx1"/>
            </w14:solidFill>
          </w14:textFill>
        </w:rPr>
        <w:t>甲方</w:t>
      </w:r>
      <w:r>
        <w:rPr>
          <w:rFonts w:hint="eastAsia" w:ascii="宋体" w:hAnsi="宋体" w:eastAsia="宋体" w:cs="宋体"/>
          <w:color w:val="000000" w:themeColor="text1"/>
          <w:spacing w:val="20"/>
          <w:sz w:val="24"/>
          <w:szCs w:val="32"/>
          <w:highlight w:val="none"/>
          <w:u w:val="single"/>
          <w14:textFill>
            <w14:solidFill>
              <w14:schemeClr w14:val="tx1"/>
            </w14:solidFill>
          </w14:textFill>
        </w:rPr>
        <w:t>支付合同金额的30%预付款。</w:t>
      </w:r>
    </w:p>
    <w:p w14:paraId="12C7B7AC">
      <w:pPr>
        <w:shd w:val="clear"/>
        <w:adjustRightInd w:val="0"/>
        <w:snapToGrid w:val="0"/>
        <w:spacing w:line="360" w:lineRule="auto"/>
        <w:rPr>
          <w:rFonts w:hint="eastAsia" w:ascii="宋体" w:hAnsi="宋体" w:eastAsia="宋体" w:cs="宋体"/>
          <w:color w:val="000000" w:themeColor="text1"/>
          <w:spacing w:val="20"/>
          <w:sz w:val="24"/>
          <w:szCs w:val="32"/>
          <w:highlight w:val="none"/>
          <w:u w:val="single"/>
          <w:lang w:eastAsia="zh-CN"/>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扣回工程款的时间、比例：</w:t>
      </w:r>
      <w:r>
        <w:rPr>
          <w:rFonts w:hint="eastAsia" w:ascii="宋体" w:hAnsi="宋体" w:cs="宋体"/>
          <w:color w:val="000000" w:themeColor="text1"/>
          <w:spacing w:val="20"/>
          <w:sz w:val="24"/>
          <w:szCs w:val="32"/>
          <w:highlight w:val="none"/>
          <w:u w:val="single"/>
          <w:lang w:val="en-US" w:eastAsia="zh-CN"/>
          <w14:textFill>
            <w14:solidFill>
              <w14:schemeClr w14:val="tx1"/>
            </w14:solidFill>
          </w14:textFill>
        </w:rPr>
        <w:t>/</w:t>
      </w:r>
    </w:p>
    <w:p w14:paraId="5EC300EF">
      <w:pPr>
        <w:numPr>
          <w:ilvl w:val="0"/>
          <w:numId w:val="15"/>
        </w:numPr>
        <w:shd w:val="clear"/>
        <w:adjustRightInd w:val="0"/>
        <w:snapToGrid w:val="0"/>
        <w:spacing w:line="360" w:lineRule="auto"/>
        <w:rPr>
          <w:rFonts w:ascii="宋体" w:hAnsi="宋体" w:eastAsia="宋体" w:cs="宋体"/>
          <w:color w:val="000000" w:themeColor="text1"/>
          <w:spacing w:val="20"/>
          <w:sz w:val="24"/>
          <w:szCs w:val="32"/>
          <w:highlight w:val="non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工程量确认</w:t>
      </w:r>
    </w:p>
    <w:p w14:paraId="1DE8B45F">
      <w:pPr>
        <w:shd w:val="clear"/>
        <w:adjustRightInd w:val="0"/>
        <w:snapToGrid w:val="0"/>
        <w:spacing w:line="360" w:lineRule="auto"/>
        <w:rPr>
          <w:rFonts w:ascii="宋体" w:hAnsi="宋体" w:eastAsia="宋体" w:cs="宋体"/>
          <w:color w:val="000000" w:themeColor="text1"/>
          <w:spacing w:val="20"/>
          <w:sz w:val="24"/>
          <w:szCs w:val="32"/>
          <w:highlight w:val="none"/>
          <w:u w:val="single"/>
          <w14:textFill>
            <w14:solidFill>
              <w14:schemeClr w14:val="tx1"/>
            </w14:solidFill>
          </w14:textFill>
        </w:rPr>
      </w:pPr>
      <w:r>
        <w:rPr>
          <w:rFonts w:hint="eastAsia" w:ascii="宋体" w:hAnsi="宋体" w:eastAsia="宋体" w:cs="宋体"/>
          <w:color w:val="000000" w:themeColor="text1"/>
          <w:spacing w:val="20"/>
          <w:sz w:val="24"/>
          <w:szCs w:val="32"/>
          <w:highlight w:val="none"/>
          <w14:textFill>
            <w14:solidFill>
              <w14:schemeClr w14:val="tx1"/>
            </w14:solidFill>
          </w14:textFill>
        </w:rPr>
        <w:t>25.1承包人向工程师提交已完工程量报告的时间：</w:t>
      </w:r>
      <w:r>
        <w:rPr>
          <w:rFonts w:hint="eastAsia" w:ascii="宋体" w:hAnsi="宋体" w:eastAsia="宋体" w:cs="宋体"/>
          <w:color w:val="000000" w:themeColor="text1"/>
          <w:spacing w:val="20"/>
          <w:sz w:val="24"/>
          <w:szCs w:val="32"/>
          <w:highlight w:val="none"/>
          <w:u w:val="single"/>
          <w14:textFill>
            <w14:solidFill>
              <w14:schemeClr w14:val="tx1"/>
            </w14:solidFill>
          </w14:textFill>
        </w:rPr>
        <w:t>每月25日。</w:t>
      </w:r>
    </w:p>
    <w:p w14:paraId="31BC2F41">
      <w:pPr>
        <w:pStyle w:val="4"/>
        <w:shd w:val="clear"/>
        <w:adjustRightInd w:val="0"/>
        <w:snapToGrid w:val="0"/>
        <w:rPr>
          <w:rFonts w:ascii="宋体" w:hAnsi="宋体" w:eastAsia="宋体" w:cs="宋体"/>
          <w:b w:val="0"/>
          <w:bCs w:val="0"/>
          <w:color w:val="000000" w:themeColor="text1"/>
          <w:spacing w:val="20"/>
          <w:sz w:val="24"/>
          <w:szCs w:val="24"/>
          <w:highlight w:val="none"/>
          <w14:textFill>
            <w14:solidFill>
              <w14:schemeClr w14:val="tx1"/>
            </w14:solidFill>
          </w14:textFill>
        </w:rPr>
      </w:pPr>
      <w:r>
        <w:rPr>
          <w:rFonts w:hint="eastAsia" w:ascii="宋体" w:hAnsi="宋体" w:eastAsia="宋体" w:cs="宋体"/>
          <w:b w:val="0"/>
          <w:bCs w:val="0"/>
          <w:color w:val="000000" w:themeColor="text1"/>
          <w:spacing w:val="20"/>
          <w:sz w:val="24"/>
          <w:szCs w:val="24"/>
          <w:highlight w:val="none"/>
          <w14:textFill>
            <w14:solidFill>
              <w14:schemeClr w14:val="tx1"/>
            </w14:solidFill>
          </w14:textFill>
        </w:rPr>
        <w:t>26、工程款（进度款）支付</w:t>
      </w:r>
    </w:p>
    <w:p w14:paraId="307EC531">
      <w:pPr>
        <w:shd w:val="clear"/>
        <w:adjustRightInd w:val="0"/>
        <w:snapToGrid w:val="0"/>
        <w:spacing w:line="360" w:lineRule="auto"/>
        <w:ind w:firstLine="560" w:firstLineChars="200"/>
        <w:rPr>
          <w:rFonts w:hint="eastAsia" w:ascii="宋体" w:hAnsi="宋体" w:eastAsia="宋体" w:cs="宋体"/>
          <w:b w:val="0"/>
          <w:bCs w:val="0"/>
          <w:color w:val="000000" w:themeColor="text1"/>
          <w:spacing w:val="20"/>
          <w:sz w:val="24"/>
          <w:highlight w:val="none"/>
          <w14:textFill>
            <w14:solidFill>
              <w14:schemeClr w14:val="tx1"/>
            </w14:solidFill>
          </w14:textFill>
        </w:rPr>
      </w:pPr>
      <w:r>
        <w:rPr>
          <w:rFonts w:hint="eastAsia" w:ascii="宋体" w:hAnsi="宋体" w:eastAsia="宋体" w:cs="宋体"/>
          <w:b w:val="0"/>
          <w:bCs w:val="0"/>
          <w:color w:val="000000" w:themeColor="text1"/>
          <w:spacing w:val="20"/>
          <w:sz w:val="24"/>
          <w:highlight w:val="none"/>
          <w14:textFill>
            <w14:solidFill>
              <w14:schemeClr w14:val="tx1"/>
            </w14:solidFill>
          </w14:textFill>
        </w:rPr>
        <w:t>双方约定的工程款（进度款）的支付方式和时间：①签订合同后，</w:t>
      </w:r>
      <w:r>
        <w:rPr>
          <w:rFonts w:hint="eastAsia" w:ascii="宋体" w:hAnsi="宋体" w:cs="宋体"/>
          <w:b w:val="0"/>
          <w:bCs w:val="0"/>
          <w:color w:val="000000" w:themeColor="text1"/>
          <w:spacing w:val="20"/>
          <w:sz w:val="24"/>
          <w:highlight w:val="none"/>
          <w:lang w:val="en-US" w:eastAsia="zh-CN"/>
          <w14:textFill>
            <w14:solidFill>
              <w14:schemeClr w14:val="tx1"/>
            </w14:solidFill>
          </w14:textFill>
        </w:rPr>
        <w:t>甲方</w:t>
      </w:r>
      <w:r>
        <w:rPr>
          <w:rFonts w:hint="eastAsia" w:ascii="宋体" w:hAnsi="宋体" w:eastAsia="宋体" w:cs="宋体"/>
          <w:b w:val="0"/>
          <w:bCs w:val="0"/>
          <w:color w:val="000000" w:themeColor="text1"/>
          <w:spacing w:val="20"/>
          <w:sz w:val="24"/>
          <w:highlight w:val="none"/>
          <w14:textFill>
            <w14:solidFill>
              <w14:schemeClr w14:val="tx1"/>
            </w14:solidFill>
          </w14:textFill>
        </w:rPr>
        <w:t>支付合同金额的30%预付款，预付款应当用于材料、工程设备、施工设备的采购及修建临时工程、组织施工队伍进场等。</w:t>
      </w:r>
    </w:p>
    <w:p w14:paraId="28C89E11">
      <w:pPr>
        <w:shd w:val="clear"/>
        <w:adjustRightInd w:val="0"/>
        <w:snapToGrid w:val="0"/>
        <w:spacing w:line="360" w:lineRule="auto"/>
        <w:ind w:firstLine="560" w:firstLineChars="200"/>
        <w:rPr>
          <w:rFonts w:hint="eastAsia" w:ascii="宋体" w:hAnsi="宋体" w:eastAsia="宋体" w:cs="宋体"/>
          <w:b w:val="0"/>
          <w:bCs w:val="0"/>
          <w:color w:val="000000" w:themeColor="text1"/>
          <w:spacing w:val="20"/>
          <w:sz w:val="24"/>
          <w:highlight w:val="none"/>
          <w:u w:val="single"/>
          <w14:textFill>
            <w14:solidFill>
              <w14:schemeClr w14:val="tx1"/>
            </w14:solidFill>
          </w14:textFill>
        </w:rPr>
      </w:pPr>
      <w:r>
        <w:rPr>
          <w:rFonts w:hint="eastAsia" w:ascii="宋体" w:hAnsi="宋体" w:eastAsia="宋体" w:cs="宋体"/>
          <w:b w:val="0"/>
          <w:bCs w:val="0"/>
          <w:color w:val="000000" w:themeColor="text1"/>
          <w:spacing w:val="20"/>
          <w:sz w:val="24"/>
          <w:highlight w:val="none"/>
          <w14:textFill>
            <w14:solidFill>
              <w14:schemeClr w14:val="tx1"/>
            </w14:solidFill>
          </w14:textFill>
        </w:rPr>
        <w:t>②工程完工验收达到质量要求可支付至合同价90%,结算经浦北县有资审计机构审定后，工程款支付至结算总价的97%，质保期后支付结算总价的100%</w:t>
      </w:r>
    </w:p>
    <w:p w14:paraId="4575A86E">
      <w:pPr>
        <w:pStyle w:val="3"/>
        <w:shd w:val="clear"/>
        <w:adjustRightInd w:val="0"/>
        <w:snapToGrid w:val="0"/>
        <w:spacing w:line="360" w:lineRule="auto"/>
        <w:rPr>
          <w:rFonts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七、材料设备供应</w:t>
      </w:r>
    </w:p>
    <w:p w14:paraId="70066FBB">
      <w:pPr>
        <w:pStyle w:val="3"/>
        <w:shd w:val="clear"/>
        <w:adjustRightInd w:val="0"/>
        <w:snapToGrid w:val="0"/>
        <w:spacing w:line="360" w:lineRule="auto"/>
        <w:rPr>
          <w:rFonts w:ascii="宋体" w:hAnsi="宋体" w:eastAsia="宋体" w:cs="宋体"/>
          <w:b w:val="0"/>
          <w:bCs w:val="0"/>
          <w:color w:val="000000" w:themeColor="text1"/>
          <w:spacing w:val="20"/>
          <w:sz w:val="24"/>
          <w:szCs w:val="24"/>
          <w:highlight w:val="none"/>
          <w14:textFill>
            <w14:solidFill>
              <w14:schemeClr w14:val="tx1"/>
            </w14:solidFill>
          </w14:textFill>
        </w:rPr>
      </w:pPr>
      <w:r>
        <w:rPr>
          <w:rFonts w:hint="eastAsia" w:ascii="宋体" w:hAnsi="宋体" w:eastAsia="宋体" w:cs="宋体"/>
          <w:b w:val="0"/>
          <w:bCs w:val="0"/>
          <w:color w:val="000000" w:themeColor="text1"/>
          <w:spacing w:val="20"/>
          <w:sz w:val="24"/>
          <w:szCs w:val="24"/>
          <w:highlight w:val="none"/>
          <w14:textFill>
            <w14:solidFill>
              <w14:schemeClr w14:val="tx1"/>
            </w14:solidFill>
          </w14:textFill>
        </w:rPr>
        <w:t>27、发包人供应材料设备：</w:t>
      </w:r>
      <w:r>
        <w:rPr>
          <w:rFonts w:hint="eastAsia" w:ascii="宋体" w:hAnsi="宋体" w:eastAsia="宋体" w:cs="宋体"/>
          <w:color w:val="000000" w:themeColor="text1"/>
          <w:spacing w:val="20"/>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pacing w:val="20"/>
          <w:sz w:val="24"/>
          <w:szCs w:val="24"/>
          <w:highlight w:val="none"/>
          <w:u w:val="single"/>
          <w14:textFill>
            <w14:solidFill>
              <w14:schemeClr w14:val="tx1"/>
            </w14:solidFill>
          </w14:textFill>
        </w:rPr>
        <w:t xml:space="preserve"> 无  </w:t>
      </w:r>
      <w:r>
        <w:rPr>
          <w:rFonts w:hint="eastAsia" w:ascii="宋体" w:hAnsi="宋体" w:eastAsia="宋体" w:cs="宋体"/>
          <w:b w:val="0"/>
          <w:bCs w:val="0"/>
          <w:color w:val="000000" w:themeColor="text1"/>
          <w:spacing w:val="20"/>
          <w:sz w:val="24"/>
          <w:szCs w:val="24"/>
          <w:highlight w:val="none"/>
          <w14:textFill>
            <w14:solidFill>
              <w14:schemeClr w14:val="tx1"/>
            </w14:solidFill>
          </w14:textFill>
        </w:rPr>
        <w:t xml:space="preserve"> 。</w:t>
      </w:r>
    </w:p>
    <w:p w14:paraId="677BD0D9">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27.4发包人供应的材料设备与一览表不符时，双方约定发包人承担责任如下：</w:t>
      </w:r>
    </w:p>
    <w:p w14:paraId="53B4BF1A">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材料设备单价与一览表不符：</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59E76C50">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材料设备的品种、规格、型号、质量等级与一览表不符：</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35626B18">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承包人可代为调剂串换的材料：</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0569B334">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到货地点与一览表不符：</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24E9A1E9">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供应数量与一览表不符：</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271BD21A">
      <w:pPr>
        <w:numPr>
          <w:ilvl w:val="0"/>
          <w:numId w:val="17"/>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到货时间与一览表不符：</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6505C7B1">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27.6发包人供应材料设备的</w:t>
      </w:r>
      <w:r>
        <w:rPr>
          <w:rFonts w:hint="eastAsia" w:ascii="宋体" w:hAnsi="宋体" w:eastAsia="宋体" w:cs="宋体"/>
          <w:bCs/>
          <w:color w:val="000000" w:themeColor="text1"/>
          <w:spacing w:val="20"/>
          <w:sz w:val="24"/>
          <w:highlight w:val="none"/>
          <w14:textFill>
            <w14:solidFill>
              <w14:schemeClr w14:val="tx1"/>
            </w14:solidFill>
          </w14:textFill>
        </w:rPr>
        <w:t>结算方法：</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38A3C943">
      <w:pPr>
        <w:numPr>
          <w:ilvl w:val="0"/>
          <w:numId w:val="18"/>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承包人采购</w:t>
      </w:r>
      <w:r>
        <w:rPr>
          <w:rFonts w:hint="eastAsia" w:ascii="宋体" w:hAnsi="宋体" w:eastAsia="宋体" w:cs="宋体"/>
          <w:color w:val="000000" w:themeColor="text1"/>
          <w:spacing w:val="20"/>
          <w:sz w:val="24"/>
          <w:highlight w:val="none"/>
          <w14:textFill>
            <w14:solidFill>
              <w14:schemeClr w14:val="tx1"/>
            </w14:solidFill>
          </w14:textFill>
        </w:rPr>
        <w:t>材料设备</w:t>
      </w:r>
    </w:p>
    <w:p w14:paraId="3FF45BC2">
      <w:pPr>
        <w:shd w:val="clear"/>
        <w:tabs>
          <w:tab w:val="left" w:pos="463"/>
        </w:tabs>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 xml:space="preserve">28.1 </w:t>
      </w:r>
      <w:r>
        <w:rPr>
          <w:rFonts w:hint="eastAsia" w:ascii="宋体" w:hAnsi="宋体" w:eastAsia="宋体" w:cs="宋体"/>
          <w:color w:val="000000" w:themeColor="text1"/>
          <w:spacing w:val="20"/>
          <w:kern w:val="0"/>
          <w:sz w:val="24"/>
          <w:highlight w:val="none"/>
          <w14:textFill>
            <w14:solidFill>
              <w14:schemeClr w14:val="tx1"/>
            </w14:solidFill>
          </w14:textFill>
        </w:rPr>
        <w:t>承包人采购</w:t>
      </w:r>
      <w:r>
        <w:rPr>
          <w:rFonts w:hint="eastAsia" w:ascii="宋体" w:hAnsi="宋体" w:eastAsia="宋体" w:cs="宋体"/>
          <w:color w:val="000000" w:themeColor="text1"/>
          <w:spacing w:val="20"/>
          <w:sz w:val="24"/>
          <w:highlight w:val="none"/>
          <w14:textFill>
            <w14:solidFill>
              <w14:schemeClr w14:val="tx1"/>
            </w14:solidFill>
          </w14:textFill>
        </w:rPr>
        <w:t>材料设备的约定：</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本合同工程实行承包人包工包料方式，由承包人自购。所购材料必须有产品合格证，试验或检验报告，并由监理工程师和发包人工地代表验证后才能进场及投入施工。  </w:t>
      </w:r>
    </w:p>
    <w:p w14:paraId="609EF741">
      <w:pPr>
        <w:shd w:val="clear"/>
        <w:tabs>
          <w:tab w:val="left" w:pos="463"/>
        </w:tabs>
        <w:adjustRightInd w:val="0"/>
        <w:snapToGrid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b/>
          <w:bCs/>
          <w:color w:val="000000" w:themeColor="text1"/>
          <w:spacing w:val="20"/>
          <w:sz w:val="28"/>
          <w:szCs w:val="28"/>
          <w:highlight w:val="none"/>
          <w14:textFill>
            <w14:solidFill>
              <w14:schemeClr w14:val="tx1"/>
            </w14:solidFill>
          </w14:textFill>
        </w:rPr>
        <w:t>八、工程变更</w:t>
      </w:r>
    </w:p>
    <w:p w14:paraId="3CE619A1">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按《通用条款》10.1、10.2、10.3、10.4款执行。</w:t>
      </w:r>
    </w:p>
    <w:p w14:paraId="7715CFDC">
      <w:pPr>
        <w:numPr>
          <w:ilvl w:val="0"/>
          <w:numId w:val="19"/>
        </w:numPr>
        <w:shd w:val="clear"/>
        <w:tabs>
          <w:tab w:val="left" w:pos="463"/>
        </w:tabs>
        <w:adjustRightInd w:val="0"/>
        <w:snapToGrid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b/>
          <w:bCs/>
          <w:color w:val="000000" w:themeColor="text1"/>
          <w:spacing w:val="20"/>
          <w:sz w:val="28"/>
          <w:szCs w:val="28"/>
          <w:highlight w:val="none"/>
          <w14:textFill>
            <w14:solidFill>
              <w14:schemeClr w14:val="tx1"/>
            </w14:solidFill>
          </w14:textFill>
        </w:rPr>
        <w:t>竣工验收与结算</w:t>
      </w:r>
    </w:p>
    <w:p w14:paraId="73FCD7D1">
      <w:pPr>
        <w:numPr>
          <w:ilvl w:val="0"/>
          <w:numId w:val="20"/>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竣工验收</w:t>
      </w:r>
    </w:p>
    <w:p w14:paraId="4D61029A">
      <w:pPr>
        <w:shd w:val="clear"/>
        <w:tabs>
          <w:tab w:val="left" w:pos="463"/>
        </w:tabs>
        <w:adjustRightInd w:val="0"/>
        <w:snapToGrid w:val="0"/>
        <w:spacing w:line="360" w:lineRule="auto"/>
        <w:rPr>
          <w:rFonts w:ascii="宋体" w:hAnsi="宋体" w:eastAsia="宋体" w:cs="宋体"/>
          <w:bCs/>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32.1承包人</w:t>
      </w:r>
      <w:r>
        <w:rPr>
          <w:rFonts w:hint="eastAsia" w:ascii="宋体" w:hAnsi="宋体" w:eastAsia="宋体" w:cs="宋体"/>
          <w:bCs/>
          <w:color w:val="000000" w:themeColor="text1"/>
          <w:spacing w:val="20"/>
          <w:sz w:val="24"/>
          <w:highlight w:val="none"/>
          <w14:textFill>
            <w14:solidFill>
              <w14:schemeClr w14:val="tx1"/>
            </w14:solidFill>
          </w14:textFill>
        </w:rPr>
        <w:t>提供竣工图的约定：</w:t>
      </w:r>
      <w:r>
        <w:rPr>
          <w:rFonts w:hint="eastAsia" w:ascii="宋体" w:hAnsi="宋体" w:eastAsia="宋体" w:cs="宋体"/>
          <w:bCs/>
          <w:color w:val="000000" w:themeColor="text1"/>
          <w:spacing w:val="20"/>
          <w:sz w:val="24"/>
          <w:highlight w:val="none"/>
          <w:u w:val="single"/>
          <w14:textFill>
            <w14:solidFill>
              <w14:schemeClr w14:val="tx1"/>
            </w14:solidFill>
          </w14:textFill>
        </w:rPr>
        <w:t>项目完工后，承包人按工程竣工验收有关规定要先进行自验，并在合同期后6个月内向发包人提交完整竣工资料、自验报告和申请初验。</w:t>
      </w:r>
    </w:p>
    <w:p w14:paraId="2D5EC649">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bCs/>
          <w:color w:val="000000" w:themeColor="text1"/>
          <w:spacing w:val="20"/>
          <w:sz w:val="24"/>
          <w:highlight w:val="none"/>
          <w14:textFill>
            <w14:solidFill>
              <w14:schemeClr w14:val="tx1"/>
            </w14:solidFill>
          </w14:textFill>
        </w:rPr>
        <w:t>32.6中间交工工程的范围和竣工时间：</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68A1001E">
      <w:pPr>
        <w:numPr>
          <w:ilvl w:val="0"/>
          <w:numId w:val="20"/>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竣工结算</w:t>
      </w:r>
    </w:p>
    <w:p w14:paraId="4FBE793F">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u w:val="single"/>
          <w14:textFill>
            <w14:solidFill>
              <w14:schemeClr w14:val="tx1"/>
            </w14:solidFill>
          </w14:textFill>
        </w:rPr>
        <w:t>结算经浦北县有资审计机构审定后，工程款支付至结算总价的97%，质保期后支付结算总价的100%</w:t>
      </w:r>
    </w:p>
    <w:p w14:paraId="25778543">
      <w:pPr>
        <w:numPr>
          <w:ilvl w:val="0"/>
          <w:numId w:val="20"/>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质量保修</w:t>
      </w:r>
    </w:p>
    <w:p w14:paraId="572D3EE9">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质量保修书的主要内容包括：</w:t>
      </w:r>
    </w:p>
    <w:p w14:paraId="659B8801">
      <w:pPr>
        <w:numPr>
          <w:ilvl w:val="0"/>
          <w:numId w:val="21"/>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质量保修金的支付方法：</w:t>
      </w:r>
    </w:p>
    <w:p w14:paraId="24EDD685">
      <w:pPr>
        <w:shd w:val="clear"/>
        <w:tabs>
          <w:tab w:val="left" w:pos="463"/>
        </w:tabs>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在工程保修期在内，发包人可以根据国家有关规定和合同规定的金额，在支付承包人的工程款内预留保修金。保修金为：</w:t>
      </w:r>
      <w:r>
        <w:rPr>
          <w:rFonts w:hint="eastAsia" w:ascii="宋体" w:hAnsi="宋体" w:eastAsia="宋体" w:cs="宋体"/>
          <w:color w:val="000000" w:themeColor="text1"/>
          <w:spacing w:val="20"/>
          <w:sz w:val="24"/>
          <w:highlight w:val="none"/>
          <w:u w:val="single"/>
          <w14:textFill>
            <w14:solidFill>
              <w14:schemeClr w14:val="tx1"/>
            </w14:solidFill>
          </w14:textFill>
        </w:rPr>
        <w:t>结算总价款的3％</w:t>
      </w:r>
      <w:r>
        <w:rPr>
          <w:rFonts w:hint="eastAsia" w:ascii="宋体" w:hAnsi="宋体" w:eastAsia="宋体" w:cs="宋体"/>
          <w:color w:val="000000" w:themeColor="text1"/>
          <w:spacing w:val="20"/>
          <w:sz w:val="24"/>
          <w:highlight w:val="none"/>
          <w14:textFill>
            <w14:solidFill>
              <w14:schemeClr w14:val="tx1"/>
            </w14:solidFill>
          </w14:textFill>
        </w:rPr>
        <w:t>。发包人在工程质量保修</w:t>
      </w:r>
      <w:r>
        <w:rPr>
          <w:rFonts w:hint="eastAsia" w:ascii="宋体" w:hAnsi="宋体" w:eastAsia="宋体" w:cs="宋体"/>
          <w:color w:val="000000" w:themeColor="text1"/>
          <w:spacing w:val="20"/>
          <w:sz w:val="24"/>
          <w:highlight w:val="none"/>
          <w:u w:val="single"/>
          <w14:textFill>
            <w14:solidFill>
              <w14:schemeClr w14:val="tx1"/>
            </w14:solidFill>
          </w14:textFill>
        </w:rPr>
        <w:t>满壹年之日起15个工作日内全部退回</w:t>
      </w:r>
      <w:r>
        <w:rPr>
          <w:rFonts w:hint="eastAsia" w:ascii="宋体" w:hAnsi="宋体" w:eastAsia="宋体" w:cs="宋体"/>
          <w:color w:val="000000" w:themeColor="text1"/>
          <w:spacing w:val="20"/>
          <w:sz w:val="24"/>
          <w:highlight w:val="none"/>
          <w14:textFill>
            <w14:solidFill>
              <w14:schemeClr w14:val="tx1"/>
            </w14:solidFill>
          </w14:textFill>
        </w:rPr>
        <w:t>的保修金给承包人（无息）。</w:t>
      </w:r>
    </w:p>
    <w:p w14:paraId="58C208D6">
      <w:pPr>
        <w:numPr>
          <w:ilvl w:val="0"/>
          <w:numId w:val="19"/>
        </w:numPr>
        <w:shd w:val="clear"/>
        <w:tabs>
          <w:tab w:val="left" w:pos="463"/>
        </w:tabs>
        <w:adjustRightInd w:val="0"/>
        <w:snapToGrid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b/>
          <w:bCs/>
          <w:color w:val="000000" w:themeColor="text1"/>
          <w:spacing w:val="20"/>
          <w:sz w:val="28"/>
          <w:szCs w:val="28"/>
          <w:highlight w:val="none"/>
          <w14:textFill>
            <w14:solidFill>
              <w14:schemeClr w14:val="tx1"/>
            </w14:solidFill>
          </w14:textFill>
        </w:rPr>
        <w:t>违约、索赔和争议</w:t>
      </w:r>
    </w:p>
    <w:p w14:paraId="5AF50CC4">
      <w:pPr>
        <w:numPr>
          <w:ilvl w:val="0"/>
          <w:numId w:val="20"/>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违约</w:t>
      </w:r>
    </w:p>
    <w:p w14:paraId="0CC1C4A6">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35.1本合同中关于发包人违约的具体责任如下：</w:t>
      </w:r>
    </w:p>
    <w:p w14:paraId="5D26E8E0">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本合同通用条款第24条约定发包人违约应承担的违约责任：</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3EF1855F">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本合同通用条款第26.4款约定发包人违约应承担的违约责任：</w:t>
      </w:r>
      <w:r>
        <w:rPr>
          <w:rFonts w:hint="eastAsia" w:ascii="宋体" w:hAnsi="宋体" w:eastAsia="宋体" w:cs="宋体"/>
          <w:color w:val="000000" w:themeColor="text1"/>
          <w:spacing w:val="20"/>
          <w:sz w:val="24"/>
          <w:highlight w:val="none"/>
          <w:u w:val="single"/>
          <w14:textFill>
            <w14:solidFill>
              <w14:schemeClr w14:val="tx1"/>
            </w14:solidFill>
          </w14:textFill>
        </w:rPr>
        <w:t>按通用条款第26.4款执行。</w:t>
      </w:r>
    </w:p>
    <w:p w14:paraId="21DB6CF0">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本合同通用条款第33.3款约定发包人违约应承担的违约责任：</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51CC1A9F">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双方约定的发包人其他违约责任：</w:t>
      </w:r>
      <w:r>
        <w:rPr>
          <w:rFonts w:hint="eastAsia" w:ascii="宋体" w:hAnsi="宋体" w:eastAsia="宋体" w:cs="宋体"/>
          <w:color w:val="000000" w:themeColor="text1"/>
          <w:spacing w:val="20"/>
          <w:sz w:val="24"/>
          <w:highlight w:val="none"/>
          <w:u w:val="single"/>
          <w14:textFill>
            <w14:solidFill>
              <w14:schemeClr w14:val="tx1"/>
            </w14:solidFill>
          </w14:textFill>
        </w:rPr>
        <w:t>按通用条款执行。</w:t>
      </w:r>
    </w:p>
    <w:p w14:paraId="6DAEAF63">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35.2本合同中关于承包人违约的具体责任如下：</w:t>
      </w:r>
    </w:p>
    <w:p w14:paraId="77CC7757">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双方约定的承包人其他违约责任：</w:t>
      </w:r>
      <w:r>
        <w:rPr>
          <w:rFonts w:hint="eastAsia" w:ascii="宋体" w:hAnsi="宋体" w:eastAsia="宋体" w:cs="宋体"/>
          <w:color w:val="000000" w:themeColor="text1"/>
          <w:spacing w:val="20"/>
          <w:sz w:val="24"/>
          <w:highlight w:val="none"/>
          <w:u w:val="single"/>
          <w14:textFill>
            <w14:solidFill>
              <w14:schemeClr w14:val="tx1"/>
            </w14:solidFill>
          </w14:textFill>
        </w:rPr>
        <w:t>按通用条款执行。</w:t>
      </w:r>
    </w:p>
    <w:p w14:paraId="0313639C">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在工程项目实施过程中不得无故更换投标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1E01423F">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37、争议</w:t>
      </w:r>
    </w:p>
    <w:p w14:paraId="0491658E">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37.1本合同在履行过程中发生的争议，由双方当事人协商解决，协商不成的按下列</w:t>
      </w:r>
      <w:r>
        <w:rPr>
          <w:rFonts w:hint="eastAsia" w:ascii="宋体" w:hAnsi="宋体" w:eastAsia="宋体" w:cs="宋体"/>
          <w:color w:val="000000" w:themeColor="text1"/>
          <w:spacing w:val="20"/>
          <w:sz w:val="24"/>
          <w:highlight w:val="none"/>
          <w:u w:val="single"/>
          <w14:textFill>
            <w14:solidFill>
              <w14:schemeClr w14:val="tx1"/>
            </w14:solidFill>
          </w14:textFill>
        </w:rPr>
        <w:t>第（二）</w:t>
      </w:r>
      <w:r>
        <w:rPr>
          <w:rFonts w:hint="eastAsia" w:ascii="宋体" w:hAnsi="宋体" w:eastAsia="宋体" w:cs="宋体"/>
          <w:color w:val="000000" w:themeColor="text1"/>
          <w:spacing w:val="20"/>
          <w:sz w:val="24"/>
          <w:highlight w:val="none"/>
          <w14:textFill>
            <w14:solidFill>
              <w14:schemeClr w14:val="tx1"/>
            </w14:solidFill>
          </w14:textFill>
        </w:rPr>
        <w:t>种方式解决：</w:t>
      </w:r>
    </w:p>
    <w:p w14:paraId="7805C9A3">
      <w:pPr>
        <w:numPr>
          <w:ilvl w:val="0"/>
          <w:numId w:val="22"/>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向</w:t>
      </w:r>
      <w:r>
        <w:rPr>
          <w:rFonts w:hint="eastAsia" w:ascii="宋体" w:hAnsi="宋体" w:eastAsia="宋体" w:cs="宋体"/>
          <w:color w:val="000000" w:themeColor="text1"/>
          <w:spacing w:val="20"/>
          <w:sz w:val="24"/>
          <w:highlight w:val="none"/>
          <w:u w:val="single"/>
          <w14:textFill>
            <w14:solidFill>
              <w14:schemeClr w14:val="tx1"/>
            </w14:solidFill>
          </w14:textFill>
        </w:rPr>
        <w:t>约定的</w:t>
      </w:r>
      <w:r>
        <w:rPr>
          <w:rFonts w:hint="eastAsia" w:ascii="宋体" w:hAnsi="宋体" w:eastAsia="宋体" w:cs="宋体"/>
          <w:color w:val="000000" w:themeColor="text1"/>
          <w:spacing w:val="20"/>
          <w:sz w:val="24"/>
          <w:highlight w:val="none"/>
          <w14:textFill>
            <w14:solidFill>
              <w14:schemeClr w14:val="tx1"/>
            </w14:solidFill>
          </w14:textFill>
        </w:rPr>
        <w:t>仲裁委员会申请仲裁：</w:t>
      </w:r>
    </w:p>
    <w:p w14:paraId="5AE9F1C3">
      <w:pPr>
        <w:numPr>
          <w:ilvl w:val="0"/>
          <w:numId w:val="22"/>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依法向发包人所在地人民法院起诉。</w:t>
      </w:r>
    </w:p>
    <w:p w14:paraId="7AC75D55">
      <w:pPr>
        <w:numPr>
          <w:ilvl w:val="0"/>
          <w:numId w:val="19"/>
        </w:numPr>
        <w:shd w:val="clear"/>
        <w:adjustRightInd w:val="0"/>
        <w:snapToGrid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b/>
          <w:bCs/>
          <w:color w:val="000000" w:themeColor="text1"/>
          <w:spacing w:val="20"/>
          <w:sz w:val="28"/>
          <w:szCs w:val="28"/>
          <w:highlight w:val="none"/>
          <w14:textFill>
            <w14:solidFill>
              <w14:schemeClr w14:val="tx1"/>
            </w14:solidFill>
          </w14:textFill>
        </w:rPr>
        <w:t>其他</w:t>
      </w:r>
    </w:p>
    <w:p w14:paraId="3C582C66">
      <w:pPr>
        <w:numPr>
          <w:ilvl w:val="0"/>
          <w:numId w:val="23"/>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工程分包</w:t>
      </w:r>
    </w:p>
    <w:p w14:paraId="408CDD89">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38.1本工程发包人同意承包人分包的工程：</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4C1F72D9">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分包施工单位为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31132275">
      <w:pPr>
        <w:numPr>
          <w:ilvl w:val="0"/>
          <w:numId w:val="23"/>
        </w:num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不可抗力</w:t>
      </w:r>
    </w:p>
    <w:p w14:paraId="50EB4B4C">
      <w:pPr>
        <w:shd w:val="clear"/>
        <w:tabs>
          <w:tab w:val="left" w:pos="463"/>
        </w:tabs>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39.1双方关于不可抗力的约定：</w:t>
      </w:r>
    </w:p>
    <w:p w14:paraId="39AC519E">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按《通用条款》第39款执行。</w:t>
      </w:r>
    </w:p>
    <w:p w14:paraId="6AA7540D">
      <w:pPr>
        <w:numPr>
          <w:ilvl w:val="0"/>
          <w:numId w:val="23"/>
        </w:num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保险</w:t>
      </w:r>
    </w:p>
    <w:p w14:paraId="36F3F332">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40.6本工程双方约定投保内容如下：</w:t>
      </w:r>
    </w:p>
    <w:p w14:paraId="1C01BD9C">
      <w:pPr>
        <w:numPr>
          <w:ilvl w:val="0"/>
          <w:numId w:val="24"/>
        </w:num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发包人投保内容：</w:t>
      </w:r>
      <w:r>
        <w:rPr>
          <w:rFonts w:hint="eastAsia" w:ascii="宋体" w:hAnsi="宋体" w:eastAsia="宋体" w:cs="宋体"/>
          <w:color w:val="000000" w:themeColor="text1"/>
          <w:spacing w:val="20"/>
          <w:sz w:val="24"/>
          <w:highlight w:val="none"/>
          <w:u w:val="single"/>
          <w14:textFill>
            <w14:solidFill>
              <w14:schemeClr w14:val="tx1"/>
            </w14:solidFill>
          </w14:textFill>
        </w:rPr>
        <w:t>按国家政策自行办理。</w:t>
      </w:r>
    </w:p>
    <w:p w14:paraId="103B0881">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发包人委托承包人办理的保险事项：</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p>
    <w:p w14:paraId="30569578">
      <w:pPr>
        <w:numPr>
          <w:ilvl w:val="0"/>
          <w:numId w:val="24"/>
        </w:num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承包人投保内容：</w:t>
      </w:r>
      <w:r>
        <w:rPr>
          <w:rFonts w:hint="eastAsia" w:ascii="宋体" w:hAnsi="宋体" w:eastAsia="宋体" w:cs="宋体"/>
          <w:color w:val="000000" w:themeColor="text1"/>
          <w:spacing w:val="20"/>
          <w:sz w:val="24"/>
          <w:highlight w:val="none"/>
          <w:u w:val="single"/>
          <w14:textFill>
            <w14:solidFill>
              <w14:schemeClr w14:val="tx1"/>
            </w14:solidFill>
          </w14:textFill>
        </w:rPr>
        <w:t>承包人应按有关规定自行投保施工人员的人身事故保险，该保险应不属于储蓄险等。承包人应于签订全同之日起10日内按有关规定自行办理。</w:t>
      </w:r>
    </w:p>
    <w:p w14:paraId="07B17B43">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41、担保</w:t>
      </w:r>
    </w:p>
    <w:p w14:paraId="7CC51445">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41.3本工程双方约定担保内容如下：</w:t>
      </w:r>
    </w:p>
    <w:p w14:paraId="64B67D37">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（1）发包人向承包人提供支付担保，担保方式为：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无 。</w:t>
      </w:r>
    </w:p>
    <w:p w14:paraId="49253BD8">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（2）承包人向发包人提供履约担保，担保方式为：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20"/>
          <w:sz w:val="24"/>
          <w:highlight w:val="none"/>
          <w:u w:val="single"/>
          <w14:textFill>
            <w14:solidFill>
              <w14:schemeClr w14:val="tx1"/>
            </w14:solidFill>
          </w14:textFill>
        </w:rPr>
        <w:t>。</w:t>
      </w:r>
    </w:p>
    <w:p w14:paraId="54916111">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46、合同份数</w:t>
      </w:r>
    </w:p>
    <w:p w14:paraId="1222A4EB">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46.1双方约定合同份数：</w:t>
      </w:r>
      <w:r>
        <w:rPr>
          <w:rFonts w:hint="eastAsia" w:ascii="宋体" w:hAnsi="宋体" w:eastAsia="宋体" w:cs="宋体"/>
          <w:color w:val="000000" w:themeColor="text1"/>
          <w:spacing w:val="20"/>
          <w:sz w:val="24"/>
          <w:highlight w:val="none"/>
          <w:u w:val="single"/>
          <w14:textFill>
            <w14:solidFill>
              <w14:schemeClr w14:val="tx1"/>
            </w14:solidFill>
          </w14:textFill>
        </w:rPr>
        <w:t>正本贰份，副本陆份，双方各执壹份正本，叁份副本。</w:t>
      </w:r>
    </w:p>
    <w:p w14:paraId="7283FF57">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47、本合同工程签证事项双方同意按《浦北县国有资金投资建设项目签证管理暂行办法》的规定执行。</w:t>
      </w:r>
    </w:p>
    <w:p w14:paraId="0F791BF8">
      <w:pPr>
        <w:shd w:val="clear"/>
        <w:tabs>
          <w:tab w:val="left" w:pos="463"/>
        </w:tabs>
        <w:spacing w:line="360" w:lineRule="auto"/>
        <w:rPr>
          <w:rFonts w:ascii="宋体" w:hAnsi="宋体" w:eastAsia="宋体" w:cs="宋体"/>
          <w:color w:val="000000" w:themeColor="text1"/>
          <w:spacing w:val="20"/>
          <w:sz w:val="24"/>
          <w:highlight w:val="none"/>
          <w14:textFill>
            <w14:solidFill>
              <w14:schemeClr w14:val="tx1"/>
            </w14:solidFill>
          </w14:textFill>
        </w:rPr>
      </w:pPr>
    </w:p>
    <w:p w14:paraId="72612F47">
      <w:pPr>
        <w:shd w:val="clear"/>
        <w:tabs>
          <w:tab w:val="left" w:pos="463"/>
        </w:tabs>
        <w:spacing w:line="360" w:lineRule="auto"/>
        <w:rPr>
          <w:rFonts w:ascii="宋体" w:hAnsi="宋体" w:eastAsia="宋体" w:cs="宋体"/>
          <w:color w:val="000000" w:themeColor="text1"/>
          <w:spacing w:val="20"/>
          <w:sz w:val="30"/>
          <w:szCs w:val="30"/>
          <w:highlight w:val="none"/>
          <w14:textFill>
            <w14:solidFill>
              <w14:schemeClr w14:val="tx1"/>
            </w14:solidFill>
          </w14:textFill>
        </w:rPr>
      </w:pPr>
    </w:p>
    <w:p w14:paraId="0D34D325">
      <w:pPr>
        <w:shd w:val="clear"/>
        <w:tabs>
          <w:tab w:val="left" w:pos="463"/>
        </w:tabs>
        <w:spacing w:line="360" w:lineRule="auto"/>
        <w:rPr>
          <w:rFonts w:ascii="宋体" w:hAnsi="宋体" w:eastAsia="宋体" w:cs="宋体"/>
          <w:color w:val="000000" w:themeColor="text1"/>
          <w:spacing w:val="20"/>
          <w:sz w:val="30"/>
          <w:szCs w:val="30"/>
          <w:highlight w:val="none"/>
          <w14:textFill>
            <w14:solidFill>
              <w14:schemeClr w14:val="tx1"/>
            </w14:solidFill>
          </w14:textFill>
        </w:rPr>
      </w:pPr>
    </w:p>
    <w:p w14:paraId="6266B09A">
      <w:pPr>
        <w:pStyle w:val="15"/>
        <w:shd w:val="clear"/>
        <w:rPr>
          <w:rFonts w:ascii="宋体" w:hAnsi="宋体" w:eastAsia="宋体" w:cs="宋体"/>
          <w:color w:val="000000" w:themeColor="text1"/>
          <w:spacing w:val="20"/>
          <w:sz w:val="30"/>
          <w:szCs w:val="30"/>
          <w:highlight w:val="none"/>
          <w14:textFill>
            <w14:solidFill>
              <w14:schemeClr w14:val="tx1"/>
            </w14:solidFill>
          </w14:textFill>
        </w:rPr>
      </w:pPr>
    </w:p>
    <w:p w14:paraId="5DD0C891">
      <w:pPr>
        <w:pStyle w:val="15"/>
        <w:shd w:val="clear"/>
        <w:rPr>
          <w:rFonts w:ascii="宋体" w:hAnsi="宋体" w:eastAsia="宋体" w:cs="宋体"/>
          <w:color w:val="000000" w:themeColor="text1"/>
          <w:spacing w:val="20"/>
          <w:sz w:val="30"/>
          <w:szCs w:val="30"/>
          <w:highlight w:val="none"/>
          <w14:textFill>
            <w14:solidFill>
              <w14:schemeClr w14:val="tx1"/>
            </w14:solidFill>
          </w14:textFill>
        </w:rPr>
      </w:pPr>
    </w:p>
    <w:p w14:paraId="550AA37E">
      <w:pPr>
        <w:pStyle w:val="15"/>
        <w:shd w:val="clear"/>
        <w:rPr>
          <w:rFonts w:ascii="宋体" w:hAnsi="宋体" w:eastAsia="宋体" w:cs="宋体"/>
          <w:color w:val="000000" w:themeColor="text1"/>
          <w:spacing w:val="20"/>
          <w:sz w:val="30"/>
          <w:szCs w:val="30"/>
          <w:highlight w:val="none"/>
          <w14:textFill>
            <w14:solidFill>
              <w14:schemeClr w14:val="tx1"/>
            </w14:solidFill>
          </w14:textFill>
        </w:rPr>
      </w:pPr>
    </w:p>
    <w:p w14:paraId="5FC84FEF">
      <w:pPr>
        <w:pStyle w:val="15"/>
        <w:shd w:val="clear"/>
        <w:rPr>
          <w:rFonts w:ascii="宋体" w:hAnsi="宋体" w:eastAsia="宋体" w:cs="宋体"/>
          <w:color w:val="000000" w:themeColor="text1"/>
          <w:spacing w:val="20"/>
          <w:sz w:val="30"/>
          <w:szCs w:val="30"/>
          <w:highlight w:val="none"/>
          <w14:textFill>
            <w14:solidFill>
              <w14:schemeClr w14:val="tx1"/>
            </w14:solidFill>
          </w14:textFill>
        </w:rPr>
      </w:pPr>
    </w:p>
    <w:p w14:paraId="0C13A622">
      <w:pPr>
        <w:pStyle w:val="15"/>
        <w:shd w:val="clear"/>
        <w:rPr>
          <w:rFonts w:ascii="宋体" w:hAnsi="宋体" w:eastAsia="宋体" w:cs="宋体"/>
          <w:color w:val="000000" w:themeColor="text1"/>
          <w:spacing w:val="20"/>
          <w:sz w:val="30"/>
          <w:szCs w:val="30"/>
          <w:highlight w:val="none"/>
          <w14:textFill>
            <w14:solidFill>
              <w14:schemeClr w14:val="tx1"/>
            </w14:solidFill>
          </w14:textFill>
        </w:rPr>
      </w:pPr>
    </w:p>
    <w:p w14:paraId="64600BC9">
      <w:pPr>
        <w:shd w:val="clear"/>
        <w:tabs>
          <w:tab w:val="left" w:pos="463"/>
        </w:tabs>
        <w:spacing w:line="360" w:lineRule="auto"/>
        <w:rPr>
          <w:rFonts w:ascii="宋体" w:hAnsi="宋体" w:eastAsia="宋体" w:cs="宋体"/>
          <w:color w:val="000000" w:themeColor="text1"/>
          <w:spacing w:val="20"/>
          <w:sz w:val="30"/>
          <w:szCs w:val="30"/>
          <w:highlight w:val="none"/>
          <w14:textFill>
            <w14:solidFill>
              <w14:schemeClr w14:val="tx1"/>
            </w14:solidFill>
          </w14:textFill>
        </w:rPr>
      </w:pPr>
    </w:p>
    <w:p w14:paraId="4B6B942E">
      <w:pPr>
        <w:shd w:val="clear"/>
        <w:spacing w:beforeLines="50" w:afterLines="50"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附件1</w:t>
      </w:r>
    </w:p>
    <w:p w14:paraId="78102F86">
      <w:pPr>
        <w:shd w:val="clear"/>
        <w:spacing w:beforeLines="50" w:afterLines="50" w:line="360" w:lineRule="auto"/>
        <w:jc w:val="center"/>
        <w:rPr>
          <w:rFonts w:ascii="宋体" w:hAnsi="宋体" w:eastAsia="宋体" w:cs="宋体"/>
          <w:b/>
          <w:bCs/>
          <w:color w:val="000000" w:themeColor="text1"/>
          <w:spacing w:val="20"/>
          <w:sz w:val="36"/>
          <w:szCs w:val="36"/>
          <w:highlight w:val="none"/>
          <w14:textFill>
            <w14:solidFill>
              <w14:schemeClr w14:val="tx1"/>
            </w14:solidFill>
          </w14:textFill>
        </w:rPr>
      </w:pPr>
      <w:r>
        <w:rPr>
          <w:rFonts w:hint="eastAsia" w:ascii="宋体" w:hAnsi="宋体" w:eastAsia="宋体" w:cs="宋体"/>
          <w:b/>
          <w:bCs/>
          <w:color w:val="000000" w:themeColor="text1"/>
          <w:spacing w:val="20"/>
          <w:sz w:val="40"/>
          <w:szCs w:val="40"/>
          <w:highlight w:val="none"/>
          <w14:textFill>
            <w14:solidFill>
              <w14:schemeClr w14:val="tx1"/>
            </w14:solidFill>
          </w14:textFill>
        </w:rPr>
        <w:t>工程质量保修书</w:t>
      </w:r>
    </w:p>
    <w:p w14:paraId="26D6FBCE">
      <w:pPr>
        <w:shd w:val="clear"/>
        <w:spacing w:beforeLines="50" w:afterLines="50" w:line="360" w:lineRule="auto"/>
        <w:jc w:val="center"/>
        <w:rPr>
          <w:rFonts w:ascii="宋体" w:hAnsi="宋体" w:eastAsia="宋体" w:cs="宋体"/>
          <w:b/>
          <w:bCs/>
          <w:color w:val="000000" w:themeColor="text1"/>
          <w:spacing w:val="20"/>
          <w:sz w:val="36"/>
          <w:szCs w:val="36"/>
          <w:highlight w:val="none"/>
          <w14:textFill>
            <w14:solidFill>
              <w14:schemeClr w14:val="tx1"/>
            </w14:solidFill>
          </w14:textFill>
        </w:rPr>
      </w:pPr>
    </w:p>
    <w:p w14:paraId="374B021D">
      <w:pPr>
        <w:shd w:val="clear"/>
        <w:adjustRightInd w:val="0"/>
        <w:snapToGrid w:val="0"/>
        <w:spacing w:beforeLines="50" w:afterLines="50"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发包人（全称）：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eastAsia="zh-CN"/>
          <w14:textFill>
            <w14:solidFill>
              <w14:schemeClr w14:val="tx1"/>
            </w14:solidFill>
          </w14:textFill>
        </w:rPr>
        <w:t>浦北县六硍镇人民政府</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556BCB9C">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承包人（全称）：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w:t>
      </w:r>
    </w:p>
    <w:p w14:paraId="2A6B3113">
      <w:pPr>
        <w:shd w:val="clear"/>
        <w:adjustRightInd w:val="0"/>
        <w:snapToGrid w:val="0"/>
        <w:spacing w:line="360" w:lineRule="auto"/>
        <w:ind w:firstLine="42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发包人和承包人根据《中华人民共和国建筑法》、《建设工程质量管理条例》和《房屋建筑工程质量保修办法》，经协商一致，对</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eastAsia="zh-CN"/>
          <w14:textFill>
            <w14:solidFill>
              <w14:schemeClr w14:val="tx1"/>
            </w14:solidFill>
          </w14:textFill>
        </w:rPr>
        <w:t>（工程名称）</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签订工程质量保修书。</w:t>
      </w:r>
    </w:p>
    <w:p w14:paraId="4D6021DD">
      <w:pPr>
        <w:shd w:val="clear"/>
        <w:adjustRightInd w:val="0"/>
        <w:snapToGrid w:val="0"/>
        <w:spacing w:line="360" w:lineRule="auto"/>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1、工程质量保修范围和内容</w:t>
      </w:r>
    </w:p>
    <w:p w14:paraId="6398DAD4">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承包人在质量保修期内，按照有关法律、法规、规章的管理规定和双方约定，承担工程质量保修责任。</w:t>
      </w:r>
    </w:p>
    <w:p w14:paraId="5C58720E">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DED4D33">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u w:val="single"/>
          <w14:textFill>
            <w14:solidFill>
              <w14:schemeClr w14:val="tx1"/>
            </w14:solidFill>
          </w14:textFill>
        </w:rPr>
        <w:t xml:space="preserve"> 质量保修范围包括</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0"/>
          <w:sz w:val="24"/>
          <w:highlight w:val="none"/>
          <w:u w:val="single"/>
          <w:lang w:val="en-US" w:eastAsia="zh-CN"/>
          <w14:textFill>
            <w14:solidFill>
              <w14:schemeClr w14:val="tx1"/>
            </w14:solidFill>
          </w14:textFill>
        </w:rPr>
        <w:t>挡土墙</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工程等承包人施工的项目  </w:t>
      </w:r>
      <w:r>
        <w:rPr>
          <w:rFonts w:hint="eastAsia" w:ascii="宋体" w:hAnsi="宋体" w:eastAsia="宋体" w:cs="宋体"/>
          <w:color w:val="000000" w:themeColor="text1"/>
          <w:spacing w:val="20"/>
          <w:sz w:val="24"/>
          <w:highlight w:val="none"/>
          <w14:textFill>
            <w14:solidFill>
              <w14:schemeClr w14:val="tx1"/>
            </w14:solidFill>
          </w14:textFill>
        </w:rPr>
        <w:t>。</w:t>
      </w:r>
    </w:p>
    <w:p w14:paraId="5D2F8519">
      <w:pPr>
        <w:shd w:val="clear"/>
        <w:adjustRightInd w:val="0"/>
        <w:snapToGrid w:val="0"/>
        <w:spacing w:line="360" w:lineRule="auto"/>
        <w:ind w:firstLine="560" w:firstLineChars="200"/>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u w:val="single"/>
          <w14:textFill>
            <w14:solidFill>
              <w14:schemeClr w14:val="tx1"/>
            </w14:solidFill>
          </w14:textFill>
        </w:rPr>
        <w:t xml:space="preserve">非承包人施工的项目或非承包人购买的材料、设备，不在保修范围内；因承包人之外的原因造成该部分材料、设备返修的经济支出，不由承包人承担。 </w:t>
      </w:r>
    </w:p>
    <w:p w14:paraId="40078FA3">
      <w:pPr>
        <w:shd w:val="clear"/>
        <w:adjustRightInd w:val="0"/>
        <w:snapToGrid w:val="0"/>
        <w:spacing w:line="360" w:lineRule="auto"/>
        <w:ind w:firstLine="560" w:firstLineChars="200"/>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u w:val="single"/>
          <w14:textFill>
            <w14:solidFill>
              <w14:schemeClr w14:val="tx1"/>
            </w14:solidFill>
          </w14:textFill>
        </w:rPr>
        <w:t xml:space="preserve">因使用不当或者第三方造成质量缺陷的，承包人不负担责任 。 </w:t>
      </w:r>
    </w:p>
    <w:p w14:paraId="006A21F0">
      <w:pPr>
        <w:shd w:val="clear"/>
        <w:adjustRightInd w:val="0"/>
        <w:snapToGrid w:val="0"/>
        <w:spacing w:line="360" w:lineRule="auto"/>
        <w:ind w:firstLine="560" w:firstLineChars="200"/>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u w:val="single"/>
          <w14:textFill>
            <w14:solidFill>
              <w14:schemeClr w14:val="tx1"/>
            </w14:solidFill>
          </w14:textFill>
        </w:rPr>
        <w:t xml:space="preserve">因不可抗力造成质量缺陷的，承包人不负担责任 。 </w:t>
      </w:r>
    </w:p>
    <w:p w14:paraId="7133F5CA">
      <w:pPr>
        <w:shd w:val="clear"/>
        <w:adjustRightInd w:val="0"/>
        <w:snapToGrid w:val="0"/>
        <w:spacing w:line="360" w:lineRule="auto"/>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2、质量保修期</w:t>
      </w:r>
    </w:p>
    <w:p w14:paraId="094B2F1C">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根据《建设工程质量管理条例》及有关规定，约定本工程的质量保修期如下：</w:t>
      </w:r>
    </w:p>
    <w:p w14:paraId="0C5C9026">
      <w:pPr>
        <w:numPr>
          <w:ilvl w:val="0"/>
          <w:numId w:val="25"/>
        </w:numPr>
        <w:shd w:val="clear"/>
        <w:adjustRightInd w:val="0"/>
        <w:snapToGrid w:val="0"/>
        <w:spacing w:line="360" w:lineRule="auto"/>
        <w:ind w:firstLine="560" w:firstLineChars="200"/>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主本工程为设计文件规定的该工程合理使用年限。</w:t>
      </w:r>
    </w:p>
    <w:p w14:paraId="0D614FDE">
      <w:pPr>
        <w:numPr>
          <w:ilvl w:val="0"/>
          <w:numId w:val="25"/>
        </w:numPr>
        <w:shd w:val="clear"/>
        <w:adjustRightInd w:val="0"/>
        <w:snapToGrid w:val="0"/>
        <w:spacing w:line="360" w:lineRule="auto"/>
        <w:ind w:firstLine="560" w:firstLineChars="200"/>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其他工程项目保修期</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1  </w:t>
      </w:r>
      <w:r>
        <w:rPr>
          <w:rFonts w:hint="eastAsia" w:ascii="宋体" w:hAnsi="宋体" w:eastAsia="宋体" w:cs="宋体"/>
          <w:color w:val="000000" w:themeColor="text1"/>
          <w:spacing w:val="20"/>
          <w:sz w:val="24"/>
          <w:highlight w:val="none"/>
          <w14:textFill>
            <w14:solidFill>
              <w14:schemeClr w14:val="tx1"/>
            </w14:solidFill>
          </w14:textFill>
        </w:rPr>
        <w:t>年。</w:t>
      </w:r>
    </w:p>
    <w:p w14:paraId="4684CCDD">
      <w:pPr>
        <w:numPr>
          <w:ilvl w:val="0"/>
          <w:numId w:val="25"/>
        </w:numPr>
        <w:shd w:val="clear"/>
        <w:adjustRightInd w:val="0"/>
        <w:snapToGrid w:val="0"/>
        <w:spacing w:line="360" w:lineRule="auto"/>
        <w:ind w:firstLine="560" w:firstLineChars="200"/>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质量保修期自工程竣工验收合格之日起计算器。</w:t>
      </w:r>
    </w:p>
    <w:p w14:paraId="052E2879">
      <w:pPr>
        <w:shd w:val="clear"/>
        <w:adjustRightInd w:val="0"/>
        <w:snapToGrid w:val="0"/>
        <w:spacing w:line="360" w:lineRule="auto"/>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3、质量保修责任</w:t>
      </w:r>
    </w:p>
    <w:p w14:paraId="1FA923E2">
      <w:pPr>
        <w:shd w:val="clear"/>
        <w:adjustRightInd w:val="0"/>
        <w:snapToGrid w:val="0"/>
        <w:spacing w:line="360" w:lineRule="auto"/>
        <w:ind w:firstLine="560" w:firstLineChars="200"/>
        <w:rPr>
          <w:rFonts w:hint="eastAsia"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1．属于保修范围、内容的项目，承包人应当在接到保修通知之日起</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7    </w:t>
      </w:r>
      <w:r>
        <w:rPr>
          <w:rFonts w:hint="eastAsia" w:ascii="宋体" w:hAnsi="宋体" w:eastAsia="宋体" w:cs="宋体"/>
          <w:color w:val="000000" w:themeColor="text1"/>
          <w:spacing w:val="20"/>
          <w:sz w:val="24"/>
          <w:highlight w:val="none"/>
          <w14:textFill>
            <w14:solidFill>
              <w14:schemeClr w14:val="tx1"/>
            </w14:solidFill>
          </w14:textFill>
        </w:rPr>
        <w:t>天内派人保修。承包人不在约定期限内派人保修的，发包人可以委托他人修理，发生费用由承包人承担。</w:t>
      </w:r>
    </w:p>
    <w:p w14:paraId="67788207">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2．发生须紧急抢修事故的，承包人在接到事故通知后，应当立即到达事故现场抢修。</w:t>
      </w:r>
    </w:p>
    <w:p w14:paraId="68F9D0CE">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932E894">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4．质量保修完成后，由发包人组织验收。</w:t>
      </w:r>
    </w:p>
    <w:p w14:paraId="2F272F20">
      <w:pPr>
        <w:shd w:val="clear"/>
        <w:adjustRightInd w:val="0"/>
        <w:snapToGrid w:val="0"/>
        <w:spacing w:line="360" w:lineRule="auto"/>
        <w:outlineLvl w:val="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4、保修费用</w:t>
      </w:r>
    </w:p>
    <w:p w14:paraId="470C9354">
      <w:pPr>
        <w:shd w:val="clear"/>
        <w:adjustRightInd w:val="0"/>
        <w:snapToGrid w:val="0"/>
        <w:spacing w:line="360" w:lineRule="auto"/>
        <w:ind w:firstLine="560" w:firstLineChars="2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保修费用由造成质量缺陷的责任方承担。</w:t>
      </w:r>
    </w:p>
    <w:p w14:paraId="1E843B53">
      <w:pPr>
        <w:numPr>
          <w:ilvl w:val="0"/>
          <w:numId w:val="26"/>
        </w:numPr>
        <w:shd w:val="clear"/>
        <w:adjustRightInd w:val="0"/>
        <w:snapToGrid w:val="0"/>
        <w:spacing w:line="360" w:lineRule="auto"/>
        <w:jc w:val="left"/>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其他</w:t>
      </w:r>
    </w:p>
    <w:p w14:paraId="1E9C95DD">
      <w:pPr>
        <w:shd w:val="clear"/>
        <w:adjustRightInd w:val="0"/>
        <w:snapToGrid w:val="0"/>
        <w:spacing w:line="360" w:lineRule="auto"/>
        <w:jc w:val="left"/>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双方约定的其他工程质量保修事项：</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在工程保修期内，发包人根据合同规定的金额，在支付承包人的工程款内预留保修金。保修金为：结算总价款的3%，质量保修金银行利率为：0。发包人在工程质量保修期满壹年之日起15个工作日内返还（无息）</w:t>
      </w:r>
      <w:r>
        <w:rPr>
          <w:rFonts w:hint="eastAsia" w:ascii="宋体" w:hAnsi="宋体" w:eastAsia="宋体" w:cs="宋体"/>
          <w:color w:val="000000" w:themeColor="text1"/>
          <w:spacing w:val="20"/>
          <w:sz w:val="24"/>
          <w:highlight w:val="none"/>
          <w14:textFill>
            <w14:solidFill>
              <w14:schemeClr w14:val="tx1"/>
            </w14:solidFill>
          </w14:textFill>
        </w:rPr>
        <w:t>。</w:t>
      </w:r>
    </w:p>
    <w:p w14:paraId="0A85D428">
      <w:pPr>
        <w:shd w:val="clear"/>
        <w:adjustRightInd w:val="0"/>
        <w:snapToGrid w:val="0"/>
        <w:spacing w:line="360" w:lineRule="auto"/>
        <w:ind w:firstLine="532" w:firstLineChars="19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本工程质量保修书，由施工合同发包人、承包人双方在竣工验收前共同签署，作为施工合同附件，其有效期限至保修期满。</w:t>
      </w:r>
    </w:p>
    <w:p w14:paraId="2A78725E">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p>
    <w:p w14:paraId="747D436B">
      <w:pPr>
        <w:shd w:val="clear"/>
        <w:adjustRightInd w:val="0"/>
        <w:snapToGrid w:val="0"/>
        <w:spacing w:line="360" w:lineRule="auto"/>
        <w:ind w:firstLine="840" w:firstLineChars="300"/>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发包人（公章）                        承包人（公章）</w:t>
      </w:r>
    </w:p>
    <w:p w14:paraId="71DBD3C3">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p>
    <w:p w14:paraId="2B137C63">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法定代表人：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法定代表人：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7501744D">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p>
    <w:p w14:paraId="2938A31B">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电  话：</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电  话：</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3CF1762B">
      <w:pPr>
        <w:shd w:val="clear"/>
        <w:spacing w:beforeLines="50" w:afterLines="50" w:line="360" w:lineRule="auto"/>
        <w:rPr>
          <w:rFonts w:hint="default" w:ascii="宋体" w:hAnsi="宋体" w:eastAsia="宋体" w:cs="宋体"/>
          <w:color w:val="000000" w:themeColor="text1"/>
          <w:spacing w:val="20"/>
          <w:sz w:val="24"/>
          <w:highlight w:val="none"/>
          <w:lang w:val="en-US" w:eastAsia="zh-CN"/>
          <w14:textFill>
            <w14:solidFill>
              <w14:schemeClr w14:val="tx1"/>
            </w14:solidFill>
          </w14:textFill>
        </w:rPr>
      </w:pPr>
      <w:r>
        <w:rPr>
          <w:rFonts w:hint="eastAsia" w:ascii="宋体" w:hAnsi="宋体" w:eastAsia="宋体" w:cs="宋体"/>
          <w:color w:val="000000" w:themeColor="text1"/>
          <w:spacing w:val="20"/>
          <w:sz w:val="24"/>
          <w:highlight w:val="none"/>
          <w:lang w:val="en-US" w:eastAsia="zh-CN"/>
          <w14:textFill>
            <w14:solidFill>
              <w14:schemeClr w14:val="tx1"/>
            </w14:solidFill>
          </w14:textFill>
        </w:rPr>
        <w:t>附件2</w:t>
      </w:r>
    </w:p>
    <w:p w14:paraId="0E7978BB">
      <w:pPr>
        <w:shd w:val="clear"/>
        <w:spacing w:line="480" w:lineRule="auto"/>
        <w:jc w:val="center"/>
        <w:outlineLvl w:val="3"/>
        <w:rPr>
          <w:rFonts w:hint="eastAsia" w:ascii="宋体" w:hAnsi="宋体" w:eastAsia="宋体" w:cs="宋体"/>
          <w:b/>
          <w:bCs/>
          <w:color w:val="000000" w:themeColor="text1"/>
          <w:kern w:val="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安全生产合同</w:t>
      </w:r>
    </w:p>
    <w:p w14:paraId="10389561">
      <w:pPr>
        <w:shd w:val="clear"/>
        <w:rPr>
          <w:rFonts w:hint="eastAsia" w:ascii="宋体" w:hAnsi="宋体" w:eastAsia="宋体" w:cs="宋体"/>
          <w:color w:val="000000" w:themeColor="text1"/>
          <w:kern w:val="1"/>
          <w:sz w:val="24"/>
          <w:szCs w:val="24"/>
          <w:highlight w:val="none"/>
          <w14:textFill>
            <w14:solidFill>
              <w14:schemeClr w14:val="tx1"/>
            </w14:solidFill>
          </w14:textFill>
        </w:rPr>
      </w:pPr>
    </w:p>
    <w:p w14:paraId="44A36E48">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为在</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（工程名称）  </w:t>
      </w:r>
      <w:r>
        <w:rPr>
          <w:rFonts w:hint="eastAsia" w:ascii="宋体" w:hAnsi="宋体" w:eastAsia="宋体" w:cs="宋体"/>
          <w:color w:val="000000" w:themeColor="text1"/>
          <w:kern w:val="1"/>
          <w:sz w:val="24"/>
          <w:szCs w:val="24"/>
          <w:highlight w:val="none"/>
          <w14:textFill>
            <w14:solidFill>
              <w14:schemeClr w14:val="tx1"/>
            </w14:solidFill>
          </w14:textFill>
        </w:rPr>
        <w:t>的实施过程中创造安全、高效的施工环境，切实搞好本项目的安全管理工作，本项目业主</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cs="宋体"/>
          <w:color w:val="000000" w:themeColor="text1"/>
          <w:spacing w:val="20"/>
          <w:sz w:val="24"/>
          <w:highlight w:val="none"/>
          <w:u w:val="single"/>
          <w:lang w:eastAsia="zh-CN"/>
          <w14:textFill>
            <w14:solidFill>
              <w14:schemeClr w14:val="tx1"/>
            </w14:solidFill>
          </w14:textFill>
        </w:rPr>
        <w:t>浦北县六硍镇人民政府</w:t>
      </w:r>
      <w:r>
        <w:rPr>
          <w:rFonts w:hint="eastAsia" w:ascii="宋体" w:hAnsi="宋体" w:eastAsia="宋体" w:cs="宋体"/>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（以下简称“甲方”）与承包人</w:t>
      </w:r>
      <w:r>
        <w:rPr>
          <w:rFonts w:hint="eastAsia" w:ascii="宋体" w:hAnsi="宋体" w:eastAsia="宋体" w:cs="宋体"/>
          <w:b/>
          <w:bCs/>
          <w:color w:val="000000" w:themeColor="text1"/>
          <w:kern w:val="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1"/>
          <w:sz w:val="24"/>
          <w:szCs w:val="24"/>
          <w:highlight w:val="none"/>
          <w14:textFill>
            <w14:solidFill>
              <w14:schemeClr w14:val="tx1"/>
            </w14:solidFill>
          </w14:textFill>
        </w:rPr>
        <w:t>（以下简称“乙方”）特此签订安全生产合同：</w:t>
      </w:r>
    </w:p>
    <w:p w14:paraId="04E3822E">
      <w:pPr>
        <w:shd w:val="clear"/>
        <w:spacing w:line="360" w:lineRule="auto"/>
        <w:rPr>
          <w:rFonts w:hint="eastAsia" w:ascii="宋体" w:hAnsi="宋体" w:eastAsia="宋体" w:cs="宋体"/>
          <w:b/>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w:t>
      </w:r>
      <w:r>
        <w:rPr>
          <w:rFonts w:hint="eastAsia" w:ascii="宋体" w:hAnsi="宋体" w:eastAsia="宋体" w:cs="宋体"/>
          <w:b/>
          <w:color w:val="000000" w:themeColor="text1"/>
          <w:kern w:val="1"/>
          <w:sz w:val="24"/>
          <w:szCs w:val="24"/>
          <w:highlight w:val="none"/>
          <w14:textFill>
            <w14:solidFill>
              <w14:schemeClr w14:val="tx1"/>
            </w14:solidFill>
          </w14:textFill>
        </w:rPr>
        <w:t>一、甲方职责</w:t>
      </w:r>
    </w:p>
    <w:p w14:paraId="1BEEE046">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1. 严格遵守国家有关安全生产的法律法规，认真执行工程承包合同中的有关安全要求。</w:t>
      </w:r>
    </w:p>
    <w:p w14:paraId="14E6B429">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2. 按照“安全第一、预防为主”和坚持“管生产必须管安全”的原则进行安全生产管理，做到生产与安全工作同时计划、布置、检查、总结和评比。</w:t>
      </w:r>
    </w:p>
    <w:p w14:paraId="046BC2C2">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3. 重要的安全设施必须坚持与主体工程“三同时”的原则，即：同时设计、审批，同时施工，同时验收，投入使用。</w:t>
      </w:r>
    </w:p>
    <w:p w14:paraId="7949AD66">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4. 定期召开安全生产调度会，及时传达中央及地方有关安全生产的精神。</w:t>
      </w:r>
    </w:p>
    <w:p w14:paraId="14AB0622">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5. 组织对乙方施工现场安全生产检查，监督乙方及时处理发现的各种安全隐患。</w:t>
      </w:r>
    </w:p>
    <w:p w14:paraId="7CFFF87D">
      <w:pPr>
        <w:shd w:val="clear"/>
        <w:spacing w:line="360" w:lineRule="auto"/>
        <w:rPr>
          <w:rFonts w:hint="eastAsia" w:ascii="宋体" w:hAnsi="宋体" w:eastAsia="宋体" w:cs="宋体"/>
          <w:b/>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w:t>
      </w:r>
      <w:r>
        <w:rPr>
          <w:rFonts w:hint="eastAsia" w:ascii="宋体" w:hAnsi="宋体" w:eastAsia="宋体" w:cs="宋体"/>
          <w:b/>
          <w:color w:val="000000" w:themeColor="text1"/>
          <w:kern w:val="1"/>
          <w:sz w:val="24"/>
          <w:szCs w:val="24"/>
          <w:highlight w:val="none"/>
          <w14:textFill>
            <w14:solidFill>
              <w14:schemeClr w14:val="tx1"/>
            </w14:solidFill>
          </w14:textFill>
        </w:rPr>
        <w:t>二、乙方职责</w:t>
      </w:r>
    </w:p>
    <w:p w14:paraId="5C9C2F68">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1. 严格遵守国家有关安全生产的法律法规、农业农村部、水利部颁发的有关安全生产的规定，认真执行工程承包合同中的有关安全要求。</w:t>
      </w:r>
    </w:p>
    <w:p w14:paraId="11BD9CD5">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62410F5">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6871E07">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4. 乙方在任何时候都应采取各种合理的预防措施，防止其员工发生任何违法、违禁、暴力或妨碍治安的行为。</w:t>
      </w:r>
    </w:p>
    <w:p w14:paraId="48D81C1D">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102E6E51">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350641C">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7. 操作人员上岗，必须按规定穿戴防护用品。施工负责人和安全检查员应随时检查劳动防护用品的穿戴情况，不按规定穿戴防护用品的人员不得上岗。</w:t>
      </w:r>
    </w:p>
    <w:p w14:paraId="5478EB7D">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8. 所有施工机具设备和高空作业的设备均应定期检查，并有安全员的签字记录，保证其经常处于完好状态；不合格的机具、设备和劳动保护用品严禁使用。</w:t>
      </w:r>
    </w:p>
    <w:p w14:paraId="1B3D8CAD">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9. 施工中采用新技术、新工艺、新设备、新材料时，必须制定相应的安全技术措施，施工现场必须具有相关的安全标志牌。</w:t>
      </w:r>
    </w:p>
    <w:p w14:paraId="48ECED14">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2FC8617">
      <w:pPr>
        <w:shd w:val="clear"/>
        <w:spacing w:line="360" w:lineRule="auto"/>
        <w:rPr>
          <w:rFonts w:hint="eastAsia" w:ascii="宋体" w:hAnsi="宋体" w:eastAsia="宋体" w:cs="宋体"/>
          <w:b/>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w:t>
      </w:r>
      <w:r>
        <w:rPr>
          <w:rFonts w:hint="eastAsia" w:ascii="宋体" w:hAnsi="宋体" w:eastAsia="宋体" w:cs="宋体"/>
          <w:b/>
          <w:color w:val="000000" w:themeColor="text1"/>
          <w:kern w:val="1"/>
          <w:sz w:val="24"/>
          <w:szCs w:val="24"/>
          <w:highlight w:val="none"/>
          <w14:textFill>
            <w14:solidFill>
              <w14:schemeClr w14:val="tx1"/>
            </w14:solidFill>
          </w14:textFill>
        </w:rPr>
        <w:t>三、违约责任</w:t>
      </w:r>
    </w:p>
    <w:p w14:paraId="2362D927">
      <w:pPr>
        <w:shd w:val="clear"/>
        <w:spacing w:line="360" w:lineRule="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    如因甲方或乙方违约造成安全事故，将依法追究责任。</w:t>
      </w:r>
    </w:p>
    <w:p w14:paraId="318FC60E">
      <w:pPr>
        <w:shd w:val="clear"/>
        <w:adjustRightInd w:val="0"/>
        <w:snapToGrid w:val="0"/>
        <w:spacing w:line="360" w:lineRule="auto"/>
        <w:ind w:firstLine="840" w:firstLineChars="300"/>
        <w:rPr>
          <w:rFonts w:hint="eastAsia" w:ascii="宋体" w:hAnsi="宋体" w:eastAsia="宋体" w:cs="宋体"/>
          <w:color w:val="000000" w:themeColor="text1"/>
          <w:spacing w:val="20"/>
          <w:sz w:val="24"/>
          <w:highlight w:val="none"/>
          <w14:textFill>
            <w14:solidFill>
              <w14:schemeClr w14:val="tx1"/>
            </w14:solidFill>
          </w14:textFill>
        </w:rPr>
      </w:pPr>
    </w:p>
    <w:p w14:paraId="549EE1A5">
      <w:pPr>
        <w:shd w:val="clear"/>
        <w:adjustRightInd w:val="0"/>
        <w:snapToGrid w:val="0"/>
        <w:spacing w:line="360" w:lineRule="auto"/>
        <w:rPr>
          <w:rFonts w:ascii="宋体" w:hAnsi="宋体" w:eastAsia="宋体" w:cs="宋体"/>
          <w:color w:val="000000" w:themeColor="text1"/>
          <w:spacing w:val="20"/>
          <w:sz w:val="24"/>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发包人（公章）                        承包人（公章）</w:t>
      </w:r>
    </w:p>
    <w:p w14:paraId="6A82981D">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p>
    <w:p w14:paraId="5C5C38EF">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法定代表人：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法定代表人：</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p>
    <w:p w14:paraId="46EA6729">
      <w:pPr>
        <w:shd w:val="clear"/>
        <w:adjustRightInd w:val="0"/>
        <w:snapToGrid w:val="0"/>
        <w:spacing w:line="360" w:lineRule="auto"/>
        <w:rPr>
          <w:rFonts w:ascii="宋体" w:hAnsi="宋体" w:eastAsia="宋体" w:cs="宋体"/>
          <w:color w:val="000000" w:themeColor="text1"/>
          <w:spacing w:val="20"/>
          <w:sz w:val="24"/>
          <w:highlight w:val="none"/>
          <w:u w:val="single"/>
          <w14:textFill>
            <w14:solidFill>
              <w14:schemeClr w14:val="tx1"/>
            </w14:solidFill>
          </w14:textFill>
        </w:rPr>
      </w:pPr>
    </w:p>
    <w:p w14:paraId="5F80D767">
      <w:pPr>
        <w:shd w:val="clea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电  话：</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14:textFill>
            <w14:solidFill>
              <w14:schemeClr w14:val="tx1"/>
            </w14:solidFill>
          </w14:textFill>
        </w:rPr>
        <w:t xml:space="preserve">             电  话：</w:t>
      </w:r>
      <w:r>
        <w:rPr>
          <w:rFonts w:hint="eastAsia" w:ascii="宋体" w:hAnsi="宋体" w:eastAsia="宋体" w:cs="宋体"/>
          <w:color w:val="000000" w:themeColor="text1"/>
          <w:spacing w:val="20"/>
          <w:sz w:val="24"/>
          <w:highlight w:val="none"/>
          <w:u w:val="single"/>
          <w14:textFill>
            <w14:solidFill>
              <w14:schemeClr w14:val="tx1"/>
            </w14:solidFill>
          </w14:textFill>
        </w:rPr>
        <w:t xml:space="preserve"> </w:t>
      </w:r>
      <w:r>
        <w:rPr>
          <w:rFonts w:hint="eastAsia" w:ascii="宋体" w:hAnsi="宋体" w:eastAsia="宋体" w:cs="宋体"/>
          <w:color w:val="000000" w:themeColor="text1"/>
          <w:spacing w:val="20"/>
          <w:sz w:val="24"/>
          <w:highlight w:val="none"/>
          <w:u w:val="single"/>
          <w:lang w:val="en-US" w:eastAsia="zh-CN"/>
          <w14:textFill>
            <w14:solidFill>
              <w14:schemeClr w14:val="tx1"/>
            </w14:solidFill>
          </w14:textFill>
        </w:rPr>
        <w:t xml:space="preserve">            </w:t>
      </w:r>
    </w:p>
    <w:p w14:paraId="1810B918">
      <w:pPr>
        <w:shd w:val="clear"/>
        <w:spacing w:line="360" w:lineRule="auto"/>
        <w:jc w:val="center"/>
        <w:rPr>
          <w:rFonts w:hint="eastAsia" w:asciiTheme="minorEastAsia" w:hAnsiTheme="minorEastAsia" w:cstheme="minorEastAsia"/>
          <w:b/>
          <w:bCs/>
          <w:color w:val="000000" w:themeColor="text1"/>
          <w:sz w:val="36"/>
          <w:szCs w:val="36"/>
          <w:highlight w:val="none"/>
          <w14:textFill>
            <w14:solidFill>
              <w14:schemeClr w14:val="tx1"/>
            </w14:solidFill>
          </w14:textFill>
        </w:rPr>
      </w:pPr>
    </w:p>
    <w:p w14:paraId="703C52B0">
      <w:pPr>
        <w:shd w:val="clear"/>
        <w:spacing w:line="360" w:lineRule="auto"/>
        <w:jc w:val="center"/>
        <w:rPr>
          <w:rFonts w:asciiTheme="minorEastAsia" w:hAnsi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cstheme="minorEastAsia"/>
          <w:b/>
          <w:bCs/>
          <w:color w:val="000000" w:themeColor="text1"/>
          <w:sz w:val="36"/>
          <w:szCs w:val="36"/>
          <w:highlight w:val="none"/>
          <w14:textFill>
            <w14:solidFill>
              <w14:schemeClr w14:val="tx1"/>
            </w14:solidFill>
          </w14:textFill>
        </w:rPr>
        <w:t>施工合同补充协议书</w:t>
      </w:r>
    </w:p>
    <w:p w14:paraId="0A8C57CF">
      <w:pPr>
        <w:shd w:val="clear"/>
        <w:spacing w:line="360" w:lineRule="auto"/>
        <w:rPr>
          <w:rFonts w:hint="eastAsia" w:eastAsia="宋体" w:asciiTheme="minorEastAsia" w:hAnsi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甲方：</w:t>
      </w:r>
      <w:r>
        <w:rPr>
          <w:rFonts w:hint="eastAsia" w:asciiTheme="minorEastAsia" w:hAnsiTheme="minorEastAsia" w:cstheme="minorEastAsia"/>
          <w:color w:val="000000" w:themeColor="text1"/>
          <w:sz w:val="28"/>
          <w:szCs w:val="28"/>
          <w:highlight w:val="none"/>
          <w:lang w:eastAsia="zh-CN"/>
          <w14:textFill>
            <w14:solidFill>
              <w14:schemeClr w14:val="tx1"/>
            </w14:solidFill>
          </w14:textFill>
        </w:rPr>
        <w:t>浦北县六硍镇人民政府</w:t>
      </w:r>
    </w:p>
    <w:p w14:paraId="25D8CB02">
      <w:pPr>
        <w:shd w:val="clear"/>
        <w:spacing w:line="360" w:lineRule="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乙方:</w:t>
      </w:r>
    </w:p>
    <w:p w14:paraId="1EE9DC7C">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58B2FC2D">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1、乙方必须按规定到国有专业银行开设工人工资支付专用账户。</w:t>
      </w:r>
    </w:p>
    <w:p w14:paraId="5CD57587">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2、双方约定该项目工资占工程款的比例是30%。</w:t>
      </w:r>
    </w:p>
    <w:p w14:paraId="7842D148">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3、乙方</w:t>
      </w:r>
      <w:r>
        <w:rPr>
          <w:rFonts w:hint="eastAsia" w:ascii="宋体" w:hAnsi="宋体" w:eastAsia="宋体" w:cs="宋体"/>
          <w:color w:val="000000" w:themeColor="text1"/>
          <w:sz w:val="28"/>
          <w:szCs w:val="28"/>
          <w:highlight w:val="none"/>
          <w14:textFill>
            <w14:solidFill>
              <w14:schemeClr w14:val="tx1"/>
            </w14:solidFill>
          </w14:textFill>
        </w:rPr>
        <w:t>按规程办理工程进度款手续后，向甲方申请工程进度款时，甲方按约定工资比例将工程款部分划入乙方提供的工人工资支付专用账户（账户名称：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eastAsia="zh-CN"/>
          <w14:textFill>
            <w14:solidFill>
              <w14:schemeClr w14:val="tx1"/>
            </w14:solidFill>
          </w14:textFill>
        </w:rPr>
        <w:t>农民工工资支付专用账户</w:t>
      </w:r>
      <w:r>
        <w:rPr>
          <w:rFonts w:hint="eastAsia" w:ascii="宋体" w:hAnsi="宋体" w:eastAsia="宋体" w:cs="宋体"/>
          <w:color w:val="000000" w:themeColor="text1"/>
          <w:sz w:val="28"/>
          <w:szCs w:val="28"/>
          <w:highlight w:val="none"/>
          <w14:textFill>
            <w14:solidFill>
              <w14:schemeClr w14:val="tx1"/>
            </w14:solidFill>
          </w14:textFill>
        </w:rPr>
        <w:t>、开户银行：</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账号：</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）用于支付工人工资，余款划入乙方提供的账户（账户名称：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开户银行：账号：</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）用</w:t>
      </w:r>
      <w:r>
        <w:rPr>
          <w:rFonts w:hint="eastAsia" w:asciiTheme="minorEastAsia" w:hAnsiTheme="minorEastAsia" w:cstheme="minorEastAsia"/>
          <w:color w:val="000000" w:themeColor="text1"/>
          <w:sz w:val="28"/>
          <w:szCs w:val="28"/>
          <w:highlight w:val="none"/>
          <w14:textFill>
            <w14:solidFill>
              <w14:schemeClr w14:val="tx1"/>
            </w14:solidFill>
          </w14:textFill>
        </w:rPr>
        <w:t>于该工程的建设费用。</w:t>
      </w:r>
    </w:p>
    <w:p w14:paraId="2BA8C2E2">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4、乙方没提交工人工资支付专用账户的，甲方有权不拨付工程进度款。</w:t>
      </w:r>
    </w:p>
    <w:p w14:paraId="7D4F2C65">
      <w:pPr>
        <w:shd w:val="clear"/>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本合同一式</w:t>
      </w:r>
      <w:r>
        <w:rPr>
          <w:rFonts w:hint="eastAsia" w:asciiTheme="minorEastAsia" w:hAnsiTheme="minorEastAsia" w:cstheme="minorEastAsia"/>
          <w:color w:val="000000" w:themeColor="text1"/>
          <w:sz w:val="28"/>
          <w:szCs w:val="28"/>
          <w:highlight w:val="none"/>
          <w14:textFill>
            <w14:solidFill>
              <w14:schemeClr w14:val="tx1"/>
            </w14:solidFill>
          </w14:textFill>
        </w:rPr>
        <w:tab/>
      </w:r>
      <w:r>
        <w:rPr>
          <w:rFonts w:hint="eastAsia" w:asciiTheme="minorEastAsia" w:hAnsiTheme="minorEastAsia" w:cstheme="minorEastAsia"/>
          <w:color w:val="000000" w:themeColor="text1"/>
          <w:sz w:val="28"/>
          <w:szCs w:val="28"/>
          <w:highlight w:val="none"/>
          <w14:textFill>
            <w14:solidFill>
              <w14:schemeClr w14:val="tx1"/>
            </w14:solidFill>
          </w14:textFill>
        </w:rPr>
        <w:t>捌份，甲乙双方各执肆份，并与原合同共同执行。</w:t>
      </w:r>
    </w:p>
    <w:p w14:paraId="67A0EEA5">
      <w:pPr>
        <w:shd w:val="clear"/>
        <w:spacing w:line="360" w:lineRule="auto"/>
        <w:rPr>
          <w:rFonts w:asciiTheme="minorEastAsia" w:hAnsiTheme="minorEastAsia" w:cstheme="minorEastAsia"/>
          <w:color w:val="000000" w:themeColor="text1"/>
          <w:sz w:val="28"/>
          <w:szCs w:val="28"/>
          <w:highlight w:val="none"/>
          <w14:textFill>
            <w14:solidFill>
              <w14:schemeClr w14:val="tx1"/>
            </w14:solidFill>
          </w14:textFill>
        </w:rPr>
      </w:pPr>
    </w:p>
    <w:p w14:paraId="1389C948">
      <w:pPr>
        <w:shd w:val="clear"/>
        <w:spacing w:line="360" w:lineRule="auto"/>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甲方：                            乙方：</w:t>
      </w:r>
    </w:p>
    <w:p w14:paraId="5805BEB5">
      <w:pPr>
        <w:shd w:val="clear"/>
        <w:spacing w:line="360" w:lineRule="auto"/>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代表签名：                        代表签名：</w:t>
      </w:r>
    </w:p>
    <w:p w14:paraId="123091F5">
      <w:pPr>
        <w:spacing w:line="360" w:lineRule="auto"/>
        <w:rPr>
          <w:rFonts w:hint="eastAsia" w:ascii="宋体" w:hAnsi="宋体"/>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 w:val="28"/>
          <w:szCs w:val="28"/>
          <w:highlight w:val="none"/>
          <w14:textFill>
            <w14:solidFill>
              <w14:schemeClr w14:val="tx1"/>
            </w14:solidFill>
          </w14:textFill>
        </w:rPr>
        <w:t>签订日期：                        签订日期：</w:t>
      </w:r>
    </w:p>
    <w:p w14:paraId="5113F741">
      <w:pPr>
        <w:spacing w:before="156" w:beforeLines="50" w:after="156" w:afterLines="50" w:line="440" w:lineRule="exact"/>
        <w:jc w:val="left"/>
        <w:rPr>
          <w:color w:val="000000" w:themeColor="text1"/>
          <w:highlight w:val="none"/>
          <w14:textFill>
            <w14:solidFill>
              <w14:schemeClr w14:val="tx1"/>
            </w14:solidFill>
          </w14:textFill>
        </w:rPr>
      </w:pPr>
    </w:p>
    <w:p w14:paraId="1F351252">
      <w:pPr>
        <w:pStyle w:val="10"/>
        <w:rPr>
          <w:color w:val="000000" w:themeColor="text1"/>
          <w:sz w:val="21"/>
          <w:szCs w:val="21"/>
          <w:highlight w:val="none"/>
          <w14:textFill>
            <w14:solidFill>
              <w14:schemeClr w14:val="tx1"/>
            </w14:solidFill>
          </w14:textFill>
        </w:rPr>
      </w:pPr>
    </w:p>
    <w:bookmarkEnd w:id="575"/>
    <w:sectPr>
      <w:headerReference r:id="rId6" w:type="default"/>
      <w:footerReference r:id="rId7" w:type="default"/>
      <w:pgSz w:w="11906" w:h="16838"/>
      <w:pgMar w:top="1440" w:right="1080" w:bottom="1440" w:left="1080" w:header="567" w:footer="567" w:gutter="567"/>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DC6D42-0378-47AC-8C57-96531F09B10D}"/>
  </w:font>
  <w:font w:name="Arial">
    <w:panose1 w:val="020B0604020202020204"/>
    <w:charset w:val="01"/>
    <w:family w:val="swiss"/>
    <w:pitch w:val="default"/>
    <w:sig w:usb0="E0002EFF" w:usb1="C000785B" w:usb2="00000009" w:usb3="00000000" w:csb0="400001FF" w:csb1="FFFF0000"/>
    <w:embedRegular r:id="rId2" w:fontKey="{D2719147-72E8-45C8-8BD1-D2ADD047FEF5}"/>
  </w:font>
  <w:font w:name="黑体">
    <w:panose1 w:val="02010609060101010101"/>
    <w:charset w:val="86"/>
    <w:family w:val="auto"/>
    <w:pitch w:val="default"/>
    <w:sig w:usb0="800002BF" w:usb1="38CF7CFA" w:usb2="00000016" w:usb3="00000000" w:csb0="00040001" w:csb1="00000000"/>
    <w:embedRegular r:id="rId3" w:fontKey="{3F6EA039-AA3A-429A-A6C6-372FFD7EF406}"/>
  </w:font>
  <w:font w:name="Courier New">
    <w:panose1 w:val="02070309020205020404"/>
    <w:charset w:val="01"/>
    <w:family w:val="modern"/>
    <w:pitch w:val="default"/>
    <w:sig w:usb0="E0002EFF" w:usb1="C0007843" w:usb2="00000009" w:usb3="00000000" w:csb0="400001FF" w:csb1="FFFF0000"/>
    <w:embedRegular r:id="rId4" w:fontKey="{0A745FA1-99BD-47F7-B089-ED9FE3E1222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5" w:fontKey="{B4D446F0-3365-4BD1-8678-E08983EDFFF2}"/>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embedRegular r:id="rId6" w:fontKey="{AE9EBC05-A854-46DE-947C-3FB86F5AEE27}"/>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panose1 w:val="02010600000101010101"/>
    <w:charset w:val="86"/>
    <w:family w:val="modern"/>
    <w:pitch w:val="default"/>
    <w:sig w:usb0="800002BF" w:usb1="184F6CF8" w:usb2="00000012" w:usb3="00000000" w:csb0="00020001" w:csb1="00000000"/>
  </w:font>
  <w:font w:name="汉仪字典宋简">
    <w:altName w:val="宋体"/>
    <w:panose1 w:val="02010609000101010101"/>
    <w:charset w:val="86"/>
    <w:family w:val="modern"/>
    <w:pitch w:val="default"/>
    <w:sig w:usb0="00000000" w:usb1="00000000" w:usb2="00000012" w:usb3="00000000" w:csb0="00040000" w:csb1="00000000"/>
  </w:font>
  <w:font w:name="Helvetica">
    <w:altName w:val="Arial"/>
    <w:panose1 w:val="020B0504020202030204"/>
    <w:charset w:val="00"/>
    <w:family w:val="swiss"/>
    <w:pitch w:val="default"/>
    <w:sig w:usb0="00000000" w:usb1="00000000" w:usb2="00000000" w:usb3="00000000" w:csb0="00000093" w:csb1="00000000"/>
    <w:embedRegular r:id="rId7" w:fontKey="{745320BC-7635-4F21-9253-663E99B86D4A}"/>
  </w:font>
  <w:font w:name="Tahoma">
    <w:panose1 w:val="020B0604030504040204"/>
    <w:charset w:val="00"/>
    <w:family w:val="auto"/>
    <w:pitch w:val="default"/>
    <w:sig w:usb0="E1002EFF" w:usb1="C000605B" w:usb2="00000029" w:usb3="00000000" w:csb0="200101FF" w:csb1="20280000"/>
    <w:embedRegular r:id="rId8" w:fontKey="{016BED8B-09AC-4445-8688-4EBBD230D846}"/>
  </w:font>
  <w:font w:name="方正小标宋简体">
    <w:panose1 w:val="02000000000000000000"/>
    <w:charset w:val="86"/>
    <w:family w:val="auto"/>
    <w:pitch w:val="default"/>
    <w:sig w:usb0="00000001" w:usb1="08000000" w:usb2="00000000" w:usb3="00000000" w:csb0="00040000" w:csb1="00000000"/>
    <w:embedRegular r:id="rId9" w:fontKey="{FE8F47DC-9373-4E44-AA39-61C57E84F86F}"/>
  </w:font>
  <w:font w:name="Arial Unicode MS">
    <w:panose1 w:val="020B0604020202020204"/>
    <w:charset w:val="86"/>
    <w:family w:val="swiss"/>
    <w:pitch w:val="default"/>
    <w:sig w:usb0="FFFFFFFF" w:usb1="E9FFFFFF" w:usb2="0000003F" w:usb3="00000000" w:csb0="603F01FF" w:csb1="FFFF0000"/>
    <w:embedRegular r:id="rId10" w:fontKey="{3FEF6FEB-35E8-4B0E-887A-BFF0F056FAD2}"/>
  </w:font>
  <w:font w:name="微软雅黑">
    <w:panose1 w:val="020B0503020204020204"/>
    <w:charset w:val="86"/>
    <w:family w:val="auto"/>
    <w:pitch w:val="default"/>
    <w:sig w:usb0="80000287" w:usb1="2ACF3C50" w:usb2="00000016" w:usb3="00000000" w:csb0="0004001F" w:csb1="00000000"/>
    <w:embedRegular r:id="rId11" w:fontKey="{FE054EED-E518-47CF-BBEB-B3509428AD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A43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794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9D794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6A1B">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3B64B">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B3B64B">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6247">
    <w:pPr>
      <w:pStyle w:val="19"/>
      <w:jc w:val="right"/>
      <w:rPr>
        <w:rFonts w:hint="eastAsia" w:eastAsia="宋体"/>
        <w:color w:val="000000" w:themeColor="text1"/>
        <w:lang w:eastAsia="zh-CN"/>
        <w14:textFill>
          <w14:solidFill>
            <w14:schemeClr w14:val="tx1"/>
          </w14:solidFill>
        </w14:textFill>
      </w:rPr>
    </w:pPr>
    <w:r>
      <w:rPr>
        <w:rFonts w:hint="eastAsia"/>
      </w:rPr>
      <w:t>浦北县六硍镇南进城路口扩宽建设挡土墙工程项目(二期）</w:t>
    </w:r>
    <w:r>
      <w:rPr>
        <w:rFonts w:hint="eastAsia"/>
        <w:color w:val="000000" w:themeColor="text1"/>
        <w:lang w:eastAsia="zh-CN"/>
        <w14:textFill>
          <w14:solidFill>
            <w14:schemeClr w14:val="tx1"/>
          </w14:solidFill>
        </w14:textFill>
      </w:rPr>
      <w:t>（QZZC2026-C2-220034-GXZB）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6A9F">
    <w:pPr>
      <w:pStyle w:val="19"/>
      <w:pBdr>
        <w:bottom w:val="single" w:color="auto" w:sz="4" w:space="0"/>
      </w:pBdr>
      <w:jc w:val="right"/>
    </w:pPr>
    <w:r>
      <w:rPr>
        <w:rFonts w:hint="eastAsia"/>
      </w:rPr>
      <w:t>浦北县六硍镇南进城路口扩宽建设挡土墙工程项</w:t>
    </w:r>
    <w:r>
      <w:rPr>
        <w:rFonts w:hint="eastAsia"/>
        <w:color w:val="000000" w:themeColor="text1"/>
        <w14:textFill>
          <w14:solidFill>
            <w14:schemeClr w14:val="tx1"/>
          </w14:solidFill>
        </w14:textFill>
      </w:rPr>
      <w:t>目(二期）</w:t>
    </w:r>
    <w:r>
      <w:rPr>
        <w:rFonts w:hint="eastAsia"/>
        <w:color w:val="000000" w:themeColor="text1"/>
        <w:lang w:eastAsia="zh-CN"/>
        <w14:textFill>
          <w14:solidFill>
            <w14:schemeClr w14:val="tx1"/>
          </w14:solidFill>
        </w14:textFill>
      </w:rPr>
      <w:t>（QZZC2026-C2-220034-GXZB）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8DB3">
    <w:pPr>
      <w:pBdr>
        <w:bottom w:val="single" w:color="auto" w:sz="4" w:space="0"/>
      </w:pBdr>
      <w:spacing w:line="400" w:lineRule="exact"/>
      <w:jc w:val="right"/>
      <w:rPr>
        <w:rFonts w:hint="eastAsia" w:eastAsia="宋体"/>
        <w:lang w:eastAsia="zh-CN"/>
      </w:rPr>
    </w:pPr>
    <w:r>
      <w:rPr>
        <w:rFonts w:hint="eastAsia"/>
        <w:lang w:val="en-US" w:eastAsia="zh-CN"/>
      </w:rPr>
      <w:t>浦北县六硍镇南进城路口扩宽建设挡土墙工程项目(二期</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QZZC2026-C2-220034-GXZB）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D57BD"/>
    <w:multiLevelType w:val="singleLevel"/>
    <w:tmpl w:val="80AD57BD"/>
    <w:lvl w:ilvl="0" w:tentative="0">
      <w:start w:val="3"/>
      <w:numFmt w:val="decimal"/>
      <w:suff w:val="nothing"/>
      <w:lvlText w:val="%1、"/>
      <w:lvlJc w:val="left"/>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EBFE40C"/>
    <w:multiLevelType w:val="singleLevel"/>
    <w:tmpl w:val="8EBFE40C"/>
    <w:lvl w:ilvl="0" w:tentative="0">
      <w:start w:val="1"/>
      <w:numFmt w:val="decimal"/>
      <w:suff w:val="nothing"/>
      <w:lvlText w:val="（%1）"/>
      <w:lvlJc w:val="left"/>
    </w:lvl>
  </w:abstractNum>
  <w:abstractNum w:abstractNumId="3">
    <w:nsid w:val="A052171C"/>
    <w:multiLevelType w:val="singleLevel"/>
    <w:tmpl w:val="A052171C"/>
    <w:lvl w:ilvl="0" w:tentative="0">
      <w:start w:val="28"/>
      <w:numFmt w:val="decimal"/>
      <w:suff w:val="nothing"/>
      <w:lvlText w:val="%1、"/>
      <w:lvlJc w:val="left"/>
    </w:lvl>
  </w:abstractNum>
  <w:abstractNum w:abstractNumId="4">
    <w:nsid w:val="A8BB11CC"/>
    <w:multiLevelType w:val="singleLevel"/>
    <w:tmpl w:val="A8BB11CC"/>
    <w:lvl w:ilvl="0" w:tentative="0">
      <w:start w:val="5"/>
      <w:numFmt w:val="decimal"/>
      <w:suff w:val="nothing"/>
      <w:lvlText w:val="%1、"/>
      <w:lvlJc w:val="left"/>
    </w:lvl>
  </w:abstractNum>
  <w:abstractNum w:abstractNumId="5">
    <w:nsid w:val="CD797C19"/>
    <w:multiLevelType w:val="singleLevel"/>
    <w:tmpl w:val="CD797C19"/>
    <w:lvl w:ilvl="0" w:tentative="0">
      <w:start w:val="2"/>
      <w:numFmt w:val="chineseCounting"/>
      <w:suff w:val="nothing"/>
      <w:lvlText w:val="%1、"/>
      <w:lvlJc w:val="left"/>
      <w:rPr>
        <w:rFonts w:hint="eastAsia"/>
      </w:rPr>
    </w:lvl>
  </w:abstractNum>
  <w:abstractNum w:abstractNumId="6">
    <w:nsid w:val="D0A1F2BB"/>
    <w:multiLevelType w:val="singleLevel"/>
    <w:tmpl w:val="D0A1F2BB"/>
    <w:lvl w:ilvl="0" w:tentative="0">
      <w:start w:val="21"/>
      <w:numFmt w:val="decimal"/>
      <w:lvlText w:val="%1."/>
      <w:lvlJc w:val="left"/>
      <w:pPr>
        <w:tabs>
          <w:tab w:val="left" w:pos="312"/>
        </w:tabs>
      </w:pPr>
    </w:lvl>
  </w:abstractNum>
  <w:abstractNum w:abstractNumId="7">
    <w:nsid w:val="D370C4B2"/>
    <w:multiLevelType w:val="singleLevel"/>
    <w:tmpl w:val="D370C4B2"/>
    <w:lvl w:ilvl="0" w:tentative="0">
      <w:start w:val="1"/>
      <w:numFmt w:val="decimal"/>
      <w:suff w:val="nothing"/>
      <w:lvlText w:val="（%1）"/>
      <w:lvlJc w:val="left"/>
    </w:lvl>
  </w:abstractNum>
  <w:abstractNum w:abstractNumId="8">
    <w:nsid w:val="D44731D0"/>
    <w:multiLevelType w:val="singleLevel"/>
    <w:tmpl w:val="D44731D0"/>
    <w:lvl w:ilvl="0" w:tentative="0">
      <w:start w:val="17"/>
      <w:numFmt w:val="decimal"/>
      <w:suff w:val="nothing"/>
      <w:lvlText w:val="%1、"/>
      <w:lvlJc w:val="left"/>
    </w:lvl>
  </w:abstractNum>
  <w:abstractNum w:abstractNumId="9">
    <w:nsid w:val="E00284FE"/>
    <w:multiLevelType w:val="singleLevel"/>
    <w:tmpl w:val="E00284FE"/>
    <w:lvl w:ilvl="0" w:tentative="0">
      <w:start w:val="23"/>
      <w:numFmt w:val="decimal"/>
      <w:suff w:val="nothing"/>
      <w:lvlText w:val="%1、"/>
      <w:lvlJc w:val="left"/>
    </w:lvl>
  </w:abstractNum>
  <w:abstractNum w:abstractNumId="10">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11">
    <w:nsid w:val="F8BDD49A"/>
    <w:multiLevelType w:val="singleLevel"/>
    <w:tmpl w:val="F8BDD49A"/>
    <w:lvl w:ilvl="0" w:tentative="0">
      <w:start w:val="4"/>
      <w:numFmt w:val="decimal"/>
      <w:suff w:val="nothing"/>
      <w:lvlText w:val="（%1）"/>
      <w:lvlJc w:val="left"/>
    </w:lvl>
  </w:abstractNum>
  <w:abstractNum w:abstractNumId="12">
    <w:nsid w:val="00000006"/>
    <w:multiLevelType w:val="singleLevel"/>
    <w:tmpl w:val="00000006"/>
    <w:lvl w:ilvl="0" w:tentative="0">
      <w:start w:val="1"/>
      <w:numFmt w:val="decimal"/>
      <w:suff w:val="nothing"/>
      <w:lvlText w:val="（%1）"/>
      <w:lvlJc w:val="left"/>
    </w:lvl>
  </w:abstractNum>
  <w:abstractNum w:abstractNumId="13">
    <w:nsid w:val="006F8B25"/>
    <w:multiLevelType w:val="singleLevel"/>
    <w:tmpl w:val="006F8B25"/>
    <w:lvl w:ilvl="0" w:tentative="0">
      <w:start w:val="9"/>
      <w:numFmt w:val="decimal"/>
      <w:suff w:val="nothing"/>
      <w:lvlText w:val="%1、"/>
      <w:lvlJc w:val="left"/>
    </w:lvl>
  </w:abstractNum>
  <w:abstractNum w:abstractNumId="14">
    <w:nsid w:val="0A8D7890"/>
    <w:multiLevelType w:val="singleLevel"/>
    <w:tmpl w:val="0A8D7890"/>
    <w:lvl w:ilvl="0" w:tentative="0">
      <w:start w:val="1"/>
      <w:numFmt w:val="decimal"/>
      <w:lvlText w:val="%1."/>
      <w:lvlJc w:val="left"/>
      <w:pPr>
        <w:tabs>
          <w:tab w:val="left" w:pos="312"/>
        </w:tabs>
      </w:pPr>
    </w:lvl>
  </w:abstractNum>
  <w:abstractNum w:abstractNumId="15">
    <w:nsid w:val="21A205B0"/>
    <w:multiLevelType w:val="singleLevel"/>
    <w:tmpl w:val="21A205B0"/>
    <w:lvl w:ilvl="0" w:tentative="0">
      <w:start w:val="2"/>
      <w:numFmt w:val="chineseCounting"/>
      <w:suff w:val="space"/>
      <w:lvlText w:val="第%1章"/>
      <w:lvlJc w:val="left"/>
      <w:rPr>
        <w:rFonts w:hint="eastAsia"/>
      </w:rPr>
    </w:lvl>
  </w:abstractNum>
  <w:abstractNum w:abstractNumId="16">
    <w:nsid w:val="27E2D8D2"/>
    <w:multiLevelType w:val="singleLevel"/>
    <w:tmpl w:val="27E2D8D2"/>
    <w:lvl w:ilvl="0" w:tentative="0">
      <w:start w:val="1"/>
      <w:numFmt w:val="decimal"/>
      <w:suff w:val="nothing"/>
      <w:lvlText w:val="（%1）"/>
      <w:lvlJc w:val="left"/>
    </w:lvl>
  </w:abstractNum>
  <w:abstractNum w:abstractNumId="17">
    <w:nsid w:val="3B3D739F"/>
    <w:multiLevelType w:val="singleLevel"/>
    <w:tmpl w:val="3B3D739F"/>
    <w:lvl w:ilvl="0" w:tentative="0">
      <w:start w:val="1"/>
      <w:numFmt w:val="decimal"/>
      <w:suff w:val="nothing"/>
      <w:lvlText w:val="（%1）"/>
      <w:lvlJc w:val="left"/>
    </w:lvl>
  </w:abstractNum>
  <w:abstractNum w:abstractNumId="18">
    <w:nsid w:val="3C2A2CEB"/>
    <w:multiLevelType w:val="singleLevel"/>
    <w:tmpl w:val="3C2A2CEB"/>
    <w:lvl w:ilvl="0" w:tentative="0">
      <w:start w:val="32"/>
      <w:numFmt w:val="decimal"/>
      <w:suff w:val="nothing"/>
      <w:lvlText w:val="%1、"/>
      <w:lvlJc w:val="left"/>
    </w:lvl>
  </w:abstractNum>
  <w:abstractNum w:abstractNumId="19">
    <w:nsid w:val="4FC6D619"/>
    <w:multiLevelType w:val="singleLevel"/>
    <w:tmpl w:val="4FC6D619"/>
    <w:lvl w:ilvl="0" w:tentative="0">
      <w:start w:val="1"/>
      <w:numFmt w:val="chineseCounting"/>
      <w:suff w:val="nothing"/>
      <w:lvlText w:val="（%1）"/>
      <w:lvlJc w:val="left"/>
      <w:rPr>
        <w:rFonts w:hint="eastAsia"/>
      </w:rPr>
    </w:lvl>
  </w:abstractNum>
  <w:abstractNum w:abstractNumId="20">
    <w:nsid w:val="56AE54E7"/>
    <w:multiLevelType w:val="singleLevel"/>
    <w:tmpl w:val="56AE54E7"/>
    <w:lvl w:ilvl="0" w:tentative="0">
      <w:start w:val="1"/>
      <w:numFmt w:val="decimal"/>
      <w:suff w:val="nothing"/>
      <w:lvlText w:val="（%1）"/>
      <w:lvlJc w:val="left"/>
    </w:lvl>
  </w:abstractNum>
  <w:abstractNum w:abstractNumId="21">
    <w:nsid w:val="595F8F47"/>
    <w:multiLevelType w:val="singleLevel"/>
    <w:tmpl w:val="595F8F47"/>
    <w:lvl w:ilvl="0" w:tentative="0">
      <w:start w:val="9"/>
      <w:numFmt w:val="chineseCounting"/>
      <w:suff w:val="nothing"/>
      <w:lvlText w:val="%1、"/>
      <w:lvlJc w:val="left"/>
      <w:rPr>
        <w:rFonts w:hint="eastAsia"/>
      </w:rPr>
    </w:lvl>
  </w:abstractNum>
  <w:abstractNum w:abstractNumId="22">
    <w:nsid w:val="5F06B9E5"/>
    <w:multiLevelType w:val="singleLevel"/>
    <w:tmpl w:val="5F06B9E5"/>
    <w:lvl w:ilvl="0" w:tentative="0">
      <w:start w:val="13"/>
      <w:numFmt w:val="decimal"/>
      <w:suff w:val="nothing"/>
      <w:lvlText w:val="%1、"/>
      <w:lvlJc w:val="left"/>
    </w:lvl>
  </w:abstractNum>
  <w:abstractNum w:abstractNumId="23">
    <w:nsid w:val="6A53F4EB"/>
    <w:multiLevelType w:val="singleLevel"/>
    <w:tmpl w:val="6A53F4EB"/>
    <w:lvl w:ilvl="0" w:tentative="0">
      <w:start w:val="11"/>
      <w:numFmt w:val="decimal"/>
      <w:suff w:val="space"/>
      <w:lvlText w:val="%1."/>
      <w:lvlJc w:val="left"/>
    </w:lvl>
  </w:abstractNum>
  <w:abstractNum w:abstractNumId="24">
    <w:nsid w:val="6BE70856"/>
    <w:multiLevelType w:val="singleLevel"/>
    <w:tmpl w:val="6BE70856"/>
    <w:lvl w:ilvl="0" w:tentative="0">
      <w:start w:val="38"/>
      <w:numFmt w:val="decimal"/>
      <w:suff w:val="nothing"/>
      <w:lvlText w:val="%1、"/>
      <w:lvlJc w:val="left"/>
    </w:lvl>
  </w:abstractNum>
  <w:abstractNum w:abstractNumId="25">
    <w:nsid w:val="6C688773"/>
    <w:multiLevelType w:val="singleLevel"/>
    <w:tmpl w:val="6C688773"/>
    <w:lvl w:ilvl="0" w:tentative="0">
      <w:start w:val="1"/>
      <w:numFmt w:val="decimal"/>
      <w:suff w:val="nothing"/>
      <w:lvlText w:val="（%1）"/>
      <w:lvlJc w:val="left"/>
    </w:lvl>
  </w:abstractNum>
  <w:num w:numId="1">
    <w:abstractNumId w:val="15"/>
  </w:num>
  <w:num w:numId="2">
    <w:abstractNumId w:val="20"/>
  </w:num>
  <w:num w:numId="3">
    <w:abstractNumId w:val="1"/>
  </w:num>
  <w:num w:numId="4">
    <w:abstractNumId w:val="10"/>
  </w:num>
  <w:num w:numId="5">
    <w:abstractNumId w:val="12"/>
  </w:num>
  <w:num w:numId="6">
    <w:abstractNumId w:val="23"/>
  </w:num>
  <w:num w:numId="7">
    <w:abstractNumId w:val="0"/>
  </w:num>
  <w:num w:numId="8">
    <w:abstractNumId w:val="5"/>
  </w:num>
  <w:num w:numId="9">
    <w:abstractNumId w:val="2"/>
  </w:num>
  <w:num w:numId="10">
    <w:abstractNumId w:val="13"/>
  </w:num>
  <w:num w:numId="11">
    <w:abstractNumId w:val="16"/>
  </w:num>
  <w:num w:numId="12">
    <w:abstractNumId w:val="22"/>
  </w:num>
  <w:num w:numId="13">
    <w:abstractNumId w:val="8"/>
  </w:num>
  <w:num w:numId="14">
    <w:abstractNumId w:val="6"/>
  </w:num>
  <w:num w:numId="15">
    <w:abstractNumId w:val="9"/>
  </w:num>
  <w:num w:numId="16">
    <w:abstractNumId w:val="25"/>
  </w:num>
  <w:num w:numId="17">
    <w:abstractNumId w:val="17"/>
  </w:num>
  <w:num w:numId="18">
    <w:abstractNumId w:val="3"/>
  </w:num>
  <w:num w:numId="19">
    <w:abstractNumId w:val="21"/>
  </w:num>
  <w:num w:numId="20">
    <w:abstractNumId w:val="18"/>
  </w:num>
  <w:num w:numId="21">
    <w:abstractNumId w:val="11"/>
  </w:num>
  <w:num w:numId="22">
    <w:abstractNumId w:val="19"/>
  </w:num>
  <w:num w:numId="23">
    <w:abstractNumId w:val="24"/>
  </w:num>
  <w:num w:numId="24">
    <w:abstractNumId w:val="7"/>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mVhOGY5YTAzNmY2ZTc2NzU5MjIyMDk5MjQ2NGM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932757"/>
    <w:rsid w:val="02A96E36"/>
    <w:rsid w:val="02B1230C"/>
    <w:rsid w:val="02B62811"/>
    <w:rsid w:val="02C47A2B"/>
    <w:rsid w:val="02DC227F"/>
    <w:rsid w:val="02E80E6A"/>
    <w:rsid w:val="02E93C7C"/>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24FE3"/>
    <w:rsid w:val="04A24CDA"/>
    <w:rsid w:val="04AF1326"/>
    <w:rsid w:val="04FD0E31"/>
    <w:rsid w:val="050637A5"/>
    <w:rsid w:val="054769B3"/>
    <w:rsid w:val="05480B39"/>
    <w:rsid w:val="05571F68"/>
    <w:rsid w:val="05A0262C"/>
    <w:rsid w:val="05F46366"/>
    <w:rsid w:val="06021BFE"/>
    <w:rsid w:val="061631B2"/>
    <w:rsid w:val="06191E33"/>
    <w:rsid w:val="061C3D5B"/>
    <w:rsid w:val="06352C8D"/>
    <w:rsid w:val="06376F97"/>
    <w:rsid w:val="065A3ABE"/>
    <w:rsid w:val="06836237"/>
    <w:rsid w:val="06A7419D"/>
    <w:rsid w:val="06E35353"/>
    <w:rsid w:val="06E81EF3"/>
    <w:rsid w:val="07245A59"/>
    <w:rsid w:val="0745028B"/>
    <w:rsid w:val="075A22F1"/>
    <w:rsid w:val="07AD2721"/>
    <w:rsid w:val="07AF6F49"/>
    <w:rsid w:val="07BB664B"/>
    <w:rsid w:val="082006F3"/>
    <w:rsid w:val="083C3003"/>
    <w:rsid w:val="08406DEA"/>
    <w:rsid w:val="086871CD"/>
    <w:rsid w:val="086E336F"/>
    <w:rsid w:val="087B43C8"/>
    <w:rsid w:val="08B531C4"/>
    <w:rsid w:val="08B74801"/>
    <w:rsid w:val="08E06F07"/>
    <w:rsid w:val="0903492F"/>
    <w:rsid w:val="09093579"/>
    <w:rsid w:val="090A71E9"/>
    <w:rsid w:val="0916122C"/>
    <w:rsid w:val="094B34E5"/>
    <w:rsid w:val="0950282C"/>
    <w:rsid w:val="099D12AF"/>
    <w:rsid w:val="09AD5E3C"/>
    <w:rsid w:val="09B12057"/>
    <w:rsid w:val="09C735AB"/>
    <w:rsid w:val="09C86108"/>
    <w:rsid w:val="09D41DD9"/>
    <w:rsid w:val="09FB0360"/>
    <w:rsid w:val="0A312D88"/>
    <w:rsid w:val="0A443EE4"/>
    <w:rsid w:val="0A9C7D1B"/>
    <w:rsid w:val="0ADB0DD6"/>
    <w:rsid w:val="0AF95B2E"/>
    <w:rsid w:val="0AFA3F41"/>
    <w:rsid w:val="0B163B89"/>
    <w:rsid w:val="0B1A6F5A"/>
    <w:rsid w:val="0B311F83"/>
    <w:rsid w:val="0B5934C2"/>
    <w:rsid w:val="0B7023F3"/>
    <w:rsid w:val="0B9665C6"/>
    <w:rsid w:val="0BC2585F"/>
    <w:rsid w:val="0BC4602F"/>
    <w:rsid w:val="0BC50665"/>
    <w:rsid w:val="0BE0389B"/>
    <w:rsid w:val="0C03028C"/>
    <w:rsid w:val="0C2077FF"/>
    <w:rsid w:val="0C5636E2"/>
    <w:rsid w:val="0C770701"/>
    <w:rsid w:val="0C816B43"/>
    <w:rsid w:val="0CB060DE"/>
    <w:rsid w:val="0CB43D56"/>
    <w:rsid w:val="0CBA47E6"/>
    <w:rsid w:val="0CBF41E0"/>
    <w:rsid w:val="0D001946"/>
    <w:rsid w:val="0D006A41"/>
    <w:rsid w:val="0D1A6DAB"/>
    <w:rsid w:val="0D236286"/>
    <w:rsid w:val="0D4357F1"/>
    <w:rsid w:val="0D98311E"/>
    <w:rsid w:val="0DB92613"/>
    <w:rsid w:val="0DC3449B"/>
    <w:rsid w:val="0DF13383"/>
    <w:rsid w:val="0E1D31AF"/>
    <w:rsid w:val="0E2E5189"/>
    <w:rsid w:val="0E4531F0"/>
    <w:rsid w:val="0E5114F5"/>
    <w:rsid w:val="0E8A703D"/>
    <w:rsid w:val="0EB12B04"/>
    <w:rsid w:val="0EB8284C"/>
    <w:rsid w:val="0EBF4D9D"/>
    <w:rsid w:val="0F2E26DA"/>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061428"/>
    <w:rsid w:val="11170ED8"/>
    <w:rsid w:val="11347157"/>
    <w:rsid w:val="113E6363"/>
    <w:rsid w:val="11467149"/>
    <w:rsid w:val="114E2AEE"/>
    <w:rsid w:val="115B567E"/>
    <w:rsid w:val="11A823B3"/>
    <w:rsid w:val="11BF6701"/>
    <w:rsid w:val="11C24F05"/>
    <w:rsid w:val="11C436DA"/>
    <w:rsid w:val="11CC3E60"/>
    <w:rsid w:val="120C4DAA"/>
    <w:rsid w:val="121E0907"/>
    <w:rsid w:val="12417917"/>
    <w:rsid w:val="12423A2C"/>
    <w:rsid w:val="125C359D"/>
    <w:rsid w:val="12972A6D"/>
    <w:rsid w:val="12A03046"/>
    <w:rsid w:val="12F16C1F"/>
    <w:rsid w:val="137F578F"/>
    <w:rsid w:val="138A5D40"/>
    <w:rsid w:val="13B33EEB"/>
    <w:rsid w:val="13BC12BF"/>
    <w:rsid w:val="13BF768D"/>
    <w:rsid w:val="13CF3AB0"/>
    <w:rsid w:val="14034BB8"/>
    <w:rsid w:val="14236617"/>
    <w:rsid w:val="14327E28"/>
    <w:rsid w:val="14405D22"/>
    <w:rsid w:val="1444201F"/>
    <w:rsid w:val="14990D44"/>
    <w:rsid w:val="14BE5716"/>
    <w:rsid w:val="14C34F24"/>
    <w:rsid w:val="14EB19FB"/>
    <w:rsid w:val="14F670A8"/>
    <w:rsid w:val="151F00E8"/>
    <w:rsid w:val="153170A0"/>
    <w:rsid w:val="153C1486"/>
    <w:rsid w:val="1574696E"/>
    <w:rsid w:val="15BD2C4B"/>
    <w:rsid w:val="15C15585"/>
    <w:rsid w:val="15C6474A"/>
    <w:rsid w:val="15D762E2"/>
    <w:rsid w:val="15F46539"/>
    <w:rsid w:val="15F815D5"/>
    <w:rsid w:val="16326427"/>
    <w:rsid w:val="16433642"/>
    <w:rsid w:val="16441BC9"/>
    <w:rsid w:val="164A3658"/>
    <w:rsid w:val="164E4553"/>
    <w:rsid w:val="16621C8D"/>
    <w:rsid w:val="1665243A"/>
    <w:rsid w:val="16950C3B"/>
    <w:rsid w:val="16A13E1C"/>
    <w:rsid w:val="16E77B3D"/>
    <w:rsid w:val="16F23CD8"/>
    <w:rsid w:val="16FA4E2C"/>
    <w:rsid w:val="171C17FB"/>
    <w:rsid w:val="171D46C2"/>
    <w:rsid w:val="171F74F7"/>
    <w:rsid w:val="17593127"/>
    <w:rsid w:val="17607065"/>
    <w:rsid w:val="17863661"/>
    <w:rsid w:val="17A941B6"/>
    <w:rsid w:val="180C7126"/>
    <w:rsid w:val="181C7503"/>
    <w:rsid w:val="18236833"/>
    <w:rsid w:val="18333BE2"/>
    <w:rsid w:val="18664E5B"/>
    <w:rsid w:val="18776039"/>
    <w:rsid w:val="188305B7"/>
    <w:rsid w:val="18B02996"/>
    <w:rsid w:val="191C7213"/>
    <w:rsid w:val="19813A83"/>
    <w:rsid w:val="19845EE9"/>
    <w:rsid w:val="199D157A"/>
    <w:rsid w:val="199D5C40"/>
    <w:rsid w:val="19A940E1"/>
    <w:rsid w:val="19BA6784"/>
    <w:rsid w:val="19E80221"/>
    <w:rsid w:val="1A0D279E"/>
    <w:rsid w:val="1A397664"/>
    <w:rsid w:val="1A700B7C"/>
    <w:rsid w:val="1A9C70C5"/>
    <w:rsid w:val="1AB8269D"/>
    <w:rsid w:val="1AE41258"/>
    <w:rsid w:val="1B070751"/>
    <w:rsid w:val="1B090479"/>
    <w:rsid w:val="1B093739"/>
    <w:rsid w:val="1B093B1D"/>
    <w:rsid w:val="1B0D7ADE"/>
    <w:rsid w:val="1B305F40"/>
    <w:rsid w:val="1B356C3A"/>
    <w:rsid w:val="1B3A401D"/>
    <w:rsid w:val="1B644C78"/>
    <w:rsid w:val="1B7156B8"/>
    <w:rsid w:val="1B757C39"/>
    <w:rsid w:val="1B770817"/>
    <w:rsid w:val="1B7B7487"/>
    <w:rsid w:val="1B7E7F14"/>
    <w:rsid w:val="1BC04FD1"/>
    <w:rsid w:val="1BD27D58"/>
    <w:rsid w:val="1BE54582"/>
    <w:rsid w:val="1BF84AF8"/>
    <w:rsid w:val="1BFB09A3"/>
    <w:rsid w:val="1C164185"/>
    <w:rsid w:val="1C262354"/>
    <w:rsid w:val="1C4D58A1"/>
    <w:rsid w:val="1C75643E"/>
    <w:rsid w:val="1C93342E"/>
    <w:rsid w:val="1C986933"/>
    <w:rsid w:val="1CBD2679"/>
    <w:rsid w:val="1CC31008"/>
    <w:rsid w:val="1CCC3CBC"/>
    <w:rsid w:val="1CD566D8"/>
    <w:rsid w:val="1CD974FA"/>
    <w:rsid w:val="1CDF3B2A"/>
    <w:rsid w:val="1CE4752C"/>
    <w:rsid w:val="1CE83302"/>
    <w:rsid w:val="1D167EEA"/>
    <w:rsid w:val="1D2F2D17"/>
    <w:rsid w:val="1D495FAC"/>
    <w:rsid w:val="1D4C4A30"/>
    <w:rsid w:val="1D503E27"/>
    <w:rsid w:val="1D5D797A"/>
    <w:rsid w:val="1D8D58DE"/>
    <w:rsid w:val="1DB2375B"/>
    <w:rsid w:val="1DC05A19"/>
    <w:rsid w:val="1DE859FC"/>
    <w:rsid w:val="1DF71A39"/>
    <w:rsid w:val="1DFB4A45"/>
    <w:rsid w:val="1DFC6FA3"/>
    <w:rsid w:val="1E005F9D"/>
    <w:rsid w:val="1E096100"/>
    <w:rsid w:val="1E1D673B"/>
    <w:rsid w:val="1E231AEA"/>
    <w:rsid w:val="1E5C7AA3"/>
    <w:rsid w:val="1E6426A0"/>
    <w:rsid w:val="1E8500B7"/>
    <w:rsid w:val="1E8D2FC4"/>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AD282A"/>
    <w:rsid w:val="20BA111E"/>
    <w:rsid w:val="20C454B5"/>
    <w:rsid w:val="20FE67E9"/>
    <w:rsid w:val="211713ED"/>
    <w:rsid w:val="21241618"/>
    <w:rsid w:val="21460B4D"/>
    <w:rsid w:val="219B7DE7"/>
    <w:rsid w:val="21BA18CA"/>
    <w:rsid w:val="21C4457A"/>
    <w:rsid w:val="21EC3353"/>
    <w:rsid w:val="21F05D61"/>
    <w:rsid w:val="21F3425F"/>
    <w:rsid w:val="22001A09"/>
    <w:rsid w:val="221E50FA"/>
    <w:rsid w:val="222D1D02"/>
    <w:rsid w:val="227B4DAD"/>
    <w:rsid w:val="22B4097F"/>
    <w:rsid w:val="22B64134"/>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207C9D"/>
    <w:rsid w:val="244627A5"/>
    <w:rsid w:val="245323A6"/>
    <w:rsid w:val="2460107D"/>
    <w:rsid w:val="24756BA6"/>
    <w:rsid w:val="24B060A4"/>
    <w:rsid w:val="24B43F14"/>
    <w:rsid w:val="24E20219"/>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433C4E"/>
    <w:rsid w:val="27665E21"/>
    <w:rsid w:val="27736981"/>
    <w:rsid w:val="277C2603"/>
    <w:rsid w:val="278230B3"/>
    <w:rsid w:val="279961FC"/>
    <w:rsid w:val="27AE44D5"/>
    <w:rsid w:val="27D80610"/>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B26607"/>
    <w:rsid w:val="2ACE4FC6"/>
    <w:rsid w:val="2AD94755"/>
    <w:rsid w:val="2AF77367"/>
    <w:rsid w:val="2B0A326E"/>
    <w:rsid w:val="2B411857"/>
    <w:rsid w:val="2B54148E"/>
    <w:rsid w:val="2B5E61B8"/>
    <w:rsid w:val="2B7118BF"/>
    <w:rsid w:val="2B724E22"/>
    <w:rsid w:val="2B8818D0"/>
    <w:rsid w:val="2B8A1EA0"/>
    <w:rsid w:val="2BC96E4E"/>
    <w:rsid w:val="2BE13188"/>
    <w:rsid w:val="2BE713FE"/>
    <w:rsid w:val="2BFD5C7D"/>
    <w:rsid w:val="2C053476"/>
    <w:rsid w:val="2C113654"/>
    <w:rsid w:val="2C1B212D"/>
    <w:rsid w:val="2C3E2C44"/>
    <w:rsid w:val="2C44674C"/>
    <w:rsid w:val="2C920372"/>
    <w:rsid w:val="2CDD2828"/>
    <w:rsid w:val="2D28535E"/>
    <w:rsid w:val="2D735A67"/>
    <w:rsid w:val="2DBA131A"/>
    <w:rsid w:val="2DBA5AC8"/>
    <w:rsid w:val="2DCB735A"/>
    <w:rsid w:val="2DD462C2"/>
    <w:rsid w:val="2DDD2134"/>
    <w:rsid w:val="2DDD4E5F"/>
    <w:rsid w:val="2DE60BE9"/>
    <w:rsid w:val="2E2668E4"/>
    <w:rsid w:val="2E3B5ECD"/>
    <w:rsid w:val="2E451A7C"/>
    <w:rsid w:val="2ED36202"/>
    <w:rsid w:val="2EE13B2F"/>
    <w:rsid w:val="2EE15691"/>
    <w:rsid w:val="2F1F4FB0"/>
    <w:rsid w:val="2F4A5657"/>
    <w:rsid w:val="2F9C2E37"/>
    <w:rsid w:val="2FB000FC"/>
    <w:rsid w:val="2FC93316"/>
    <w:rsid w:val="2FCC5583"/>
    <w:rsid w:val="2FD61001"/>
    <w:rsid w:val="300852DE"/>
    <w:rsid w:val="30464020"/>
    <w:rsid w:val="306B512F"/>
    <w:rsid w:val="306D5C41"/>
    <w:rsid w:val="30A83EC2"/>
    <w:rsid w:val="30B80D4C"/>
    <w:rsid w:val="30BD2B5F"/>
    <w:rsid w:val="30F84E6F"/>
    <w:rsid w:val="31127E0D"/>
    <w:rsid w:val="311D02E1"/>
    <w:rsid w:val="3129025F"/>
    <w:rsid w:val="31320998"/>
    <w:rsid w:val="31453C7B"/>
    <w:rsid w:val="314D312F"/>
    <w:rsid w:val="31615C49"/>
    <w:rsid w:val="316D7D22"/>
    <w:rsid w:val="31843543"/>
    <w:rsid w:val="31857990"/>
    <w:rsid w:val="318B126D"/>
    <w:rsid w:val="31A1157A"/>
    <w:rsid w:val="31C25309"/>
    <w:rsid w:val="31D67B45"/>
    <w:rsid w:val="31DB37B8"/>
    <w:rsid w:val="31E35430"/>
    <w:rsid w:val="3210510A"/>
    <w:rsid w:val="322055D3"/>
    <w:rsid w:val="322C2A8A"/>
    <w:rsid w:val="322E1180"/>
    <w:rsid w:val="324D07E6"/>
    <w:rsid w:val="32757B61"/>
    <w:rsid w:val="32822213"/>
    <w:rsid w:val="328F2B5E"/>
    <w:rsid w:val="32981347"/>
    <w:rsid w:val="329F7A2B"/>
    <w:rsid w:val="3311647A"/>
    <w:rsid w:val="3329346A"/>
    <w:rsid w:val="33305A23"/>
    <w:rsid w:val="333659DA"/>
    <w:rsid w:val="335553C6"/>
    <w:rsid w:val="3357102E"/>
    <w:rsid w:val="33572FB0"/>
    <w:rsid w:val="33633EB8"/>
    <w:rsid w:val="336D250C"/>
    <w:rsid w:val="33B30672"/>
    <w:rsid w:val="33D579CF"/>
    <w:rsid w:val="33E836FB"/>
    <w:rsid w:val="33F205F7"/>
    <w:rsid w:val="33FF2179"/>
    <w:rsid w:val="345E13BA"/>
    <w:rsid w:val="345E3292"/>
    <w:rsid w:val="34664A0B"/>
    <w:rsid w:val="346E2D0F"/>
    <w:rsid w:val="34AE1E6A"/>
    <w:rsid w:val="34D21E16"/>
    <w:rsid w:val="350E3B42"/>
    <w:rsid w:val="35125628"/>
    <w:rsid w:val="352100FF"/>
    <w:rsid w:val="352167CF"/>
    <w:rsid w:val="3566212E"/>
    <w:rsid w:val="356B276A"/>
    <w:rsid w:val="3586192A"/>
    <w:rsid w:val="358E654C"/>
    <w:rsid w:val="35965B9C"/>
    <w:rsid w:val="359F0A1F"/>
    <w:rsid w:val="35C43240"/>
    <w:rsid w:val="35D42CBE"/>
    <w:rsid w:val="361B3EDC"/>
    <w:rsid w:val="361F6493"/>
    <w:rsid w:val="365C025C"/>
    <w:rsid w:val="36626692"/>
    <w:rsid w:val="367242E0"/>
    <w:rsid w:val="36897340"/>
    <w:rsid w:val="36CB04C1"/>
    <w:rsid w:val="36D05609"/>
    <w:rsid w:val="36E35E9F"/>
    <w:rsid w:val="36EC24B8"/>
    <w:rsid w:val="36FF2B34"/>
    <w:rsid w:val="3712448B"/>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9F552D0"/>
    <w:rsid w:val="3A0B1954"/>
    <w:rsid w:val="3A151FA0"/>
    <w:rsid w:val="3A235C21"/>
    <w:rsid w:val="3A2B232A"/>
    <w:rsid w:val="3A607CB7"/>
    <w:rsid w:val="3A793A8F"/>
    <w:rsid w:val="3ABF2507"/>
    <w:rsid w:val="3AC32E01"/>
    <w:rsid w:val="3AC9498B"/>
    <w:rsid w:val="3B256DAF"/>
    <w:rsid w:val="3B533D48"/>
    <w:rsid w:val="3B5A1A2F"/>
    <w:rsid w:val="3B5B5758"/>
    <w:rsid w:val="3B8D3791"/>
    <w:rsid w:val="3B921BE4"/>
    <w:rsid w:val="3BA27B10"/>
    <w:rsid w:val="3BA92E72"/>
    <w:rsid w:val="3BAA04FF"/>
    <w:rsid w:val="3BAD1686"/>
    <w:rsid w:val="3BAF6081"/>
    <w:rsid w:val="3BBA04B8"/>
    <w:rsid w:val="3BBD016F"/>
    <w:rsid w:val="3BE0479C"/>
    <w:rsid w:val="3BEE3761"/>
    <w:rsid w:val="3C0E5061"/>
    <w:rsid w:val="3C1F49BF"/>
    <w:rsid w:val="3C9A335A"/>
    <w:rsid w:val="3CBB635D"/>
    <w:rsid w:val="3CC05722"/>
    <w:rsid w:val="3CDC396E"/>
    <w:rsid w:val="3CF248ED"/>
    <w:rsid w:val="3D0D4A0D"/>
    <w:rsid w:val="3D312940"/>
    <w:rsid w:val="3D681D5A"/>
    <w:rsid w:val="3D6A1C0B"/>
    <w:rsid w:val="3D8D6ED1"/>
    <w:rsid w:val="3D8F3E21"/>
    <w:rsid w:val="3DC31ADA"/>
    <w:rsid w:val="3DFD7731"/>
    <w:rsid w:val="3E0C733A"/>
    <w:rsid w:val="3E4D1CC5"/>
    <w:rsid w:val="3E874902"/>
    <w:rsid w:val="3E921361"/>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B67760"/>
    <w:rsid w:val="4200486D"/>
    <w:rsid w:val="42084854"/>
    <w:rsid w:val="420A4AA8"/>
    <w:rsid w:val="423C231C"/>
    <w:rsid w:val="424E5D3B"/>
    <w:rsid w:val="42894103"/>
    <w:rsid w:val="42DA35EB"/>
    <w:rsid w:val="42DC1373"/>
    <w:rsid w:val="42EB5F3F"/>
    <w:rsid w:val="433B4FAD"/>
    <w:rsid w:val="43494E83"/>
    <w:rsid w:val="434A1ED7"/>
    <w:rsid w:val="434B5F61"/>
    <w:rsid w:val="439452CD"/>
    <w:rsid w:val="43987C3E"/>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657B5"/>
    <w:rsid w:val="45681A93"/>
    <w:rsid w:val="459020E6"/>
    <w:rsid w:val="45EB5B41"/>
    <w:rsid w:val="45FC5122"/>
    <w:rsid w:val="4608625E"/>
    <w:rsid w:val="460E37F4"/>
    <w:rsid w:val="462E28FA"/>
    <w:rsid w:val="463D21F4"/>
    <w:rsid w:val="46E17C2E"/>
    <w:rsid w:val="46E66176"/>
    <w:rsid w:val="46F618BC"/>
    <w:rsid w:val="47172FCE"/>
    <w:rsid w:val="472D20DA"/>
    <w:rsid w:val="47322751"/>
    <w:rsid w:val="473E0204"/>
    <w:rsid w:val="473E1081"/>
    <w:rsid w:val="475075B1"/>
    <w:rsid w:val="477301BF"/>
    <w:rsid w:val="47770F2B"/>
    <w:rsid w:val="47B07FF1"/>
    <w:rsid w:val="47D9109A"/>
    <w:rsid w:val="47DF1EDE"/>
    <w:rsid w:val="47E32A44"/>
    <w:rsid w:val="48001EB1"/>
    <w:rsid w:val="485F067A"/>
    <w:rsid w:val="48A46FB5"/>
    <w:rsid w:val="48C63978"/>
    <w:rsid w:val="48D931CF"/>
    <w:rsid w:val="48DB1A95"/>
    <w:rsid w:val="49095468"/>
    <w:rsid w:val="492B4F94"/>
    <w:rsid w:val="492E6967"/>
    <w:rsid w:val="49A25D9E"/>
    <w:rsid w:val="49A96B07"/>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C002E1"/>
    <w:rsid w:val="4DC07059"/>
    <w:rsid w:val="4DD44A19"/>
    <w:rsid w:val="4DE75FC1"/>
    <w:rsid w:val="4E6E58E7"/>
    <w:rsid w:val="4EA551CE"/>
    <w:rsid w:val="4EA57992"/>
    <w:rsid w:val="4EC86811"/>
    <w:rsid w:val="4F112BD8"/>
    <w:rsid w:val="4F2359D6"/>
    <w:rsid w:val="4F27534F"/>
    <w:rsid w:val="4F3A6B04"/>
    <w:rsid w:val="4F6621C1"/>
    <w:rsid w:val="4F69181E"/>
    <w:rsid w:val="4F9A2167"/>
    <w:rsid w:val="4FD0029E"/>
    <w:rsid w:val="50596932"/>
    <w:rsid w:val="50833C49"/>
    <w:rsid w:val="50880633"/>
    <w:rsid w:val="508F5958"/>
    <w:rsid w:val="50A32944"/>
    <w:rsid w:val="50DD469C"/>
    <w:rsid w:val="50E41AF7"/>
    <w:rsid w:val="50EC3EA9"/>
    <w:rsid w:val="50ED0E10"/>
    <w:rsid w:val="512325EB"/>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B4CC5"/>
    <w:rsid w:val="52D0584F"/>
    <w:rsid w:val="52E23DAC"/>
    <w:rsid w:val="52EB770C"/>
    <w:rsid w:val="52F6441F"/>
    <w:rsid w:val="52F653E4"/>
    <w:rsid w:val="5309719A"/>
    <w:rsid w:val="53140C09"/>
    <w:rsid w:val="531E1115"/>
    <w:rsid w:val="53273171"/>
    <w:rsid w:val="53311A2E"/>
    <w:rsid w:val="5366484D"/>
    <w:rsid w:val="53731EF1"/>
    <w:rsid w:val="53733493"/>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B52ED"/>
    <w:rsid w:val="56FF0F11"/>
    <w:rsid w:val="5714339A"/>
    <w:rsid w:val="5717042A"/>
    <w:rsid w:val="571A1A7B"/>
    <w:rsid w:val="572E4DA3"/>
    <w:rsid w:val="572E781C"/>
    <w:rsid w:val="575952E3"/>
    <w:rsid w:val="57842375"/>
    <w:rsid w:val="57866CAC"/>
    <w:rsid w:val="579B36BD"/>
    <w:rsid w:val="57B2220D"/>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407EA"/>
    <w:rsid w:val="590649AC"/>
    <w:rsid w:val="591B616B"/>
    <w:rsid w:val="592D1F6B"/>
    <w:rsid w:val="59304CE8"/>
    <w:rsid w:val="59370159"/>
    <w:rsid w:val="59532C2C"/>
    <w:rsid w:val="5981656F"/>
    <w:rsid w:val="59A06B52"/>
    <w:rsid w:val="59A26243"/>
    <w:rsid w:val="59B3356D"/>
    <w:rsid w:val="59C76055"/>
    <w:rsid w:val="59E75FD1"/>
    <w:rsid w:val="5A065F4B"/>
    <w:rsid w:val="5A0B1C28"/>
    <w:rsid w:val="5A2255E6"/>
    <w:rsid w:val="5A851E01"/>
    <w:rsid w:val="5A8F2EB6"/>
    <w:rsid w:val="5AA15ABA"/>
    <w:rsid w:val="5AB06C76"/>
    <w:rsid w:val="5AF63E2E"/>
    <w:rsid w:val="5B1128EC"/>
    <w:rsid w:val="5B29025F"/>
    <w:rsid w:val="5B3143F9"/>
    <w:rsid w:val="5B503CBD"/>
    <w:rsid w:val="5BF21181"/>
    <w:rsid w:val="5BFA46DF"/>
    <w:rsid w:val="5BFD0432"/>
    <w:rsid w:val="5C1974E5"/>
    <w:rsid w:val="5C1C7E80"/>
    <w:rsid w:val="5C4828EE"/>
    <w:rsid w:val="5C520BC1"/>
    <w:rsid w:val="5C856CEB"/>
    <w:rsid w:val="5CA72002"/>
    <w:rsid w:val="5CBD3C20"/>
    <w:rsid w:val="5CDB3A5A"/>
    <w:rsid w:val="5CE075FF"/>
    <w:rsid w:val="5CE9518C"/>
    <w:rsid w:val="5D2166D8"/>
    <w:rsid w:val="5D272680"/>
    <w:rsid w:val="5D45468E"/>
    <w:rsid w:val="5D6B04DF"/>
    <w:rsid w:val="5D707B84"/>
    <w:rsid w:val="5D8B722E"/>
    <w:rsid w:val="5D9B1497"/>
    <w:rsid w:val="5DDC51F6"/>
    <w:rsid w:val="5DE3422A"/>
    <w:rsid w:val="5E05130E"/>
    <w:rsid w:val="5E135B29"/>
    <w:rsid w:val="5E466F37"/>
    <w:rsid w:val="5E6A0CC2"/>
    <w:rsid w:val="5E845B3F"/>
    <w:rsid w:val="5E8D1899"/>
    <w:rsid w:val="5ED063E1"/>
    <w:rsid w:val="5EE60563"/>
    <w:rsid w:val="5EF4213A"/>
    <w:rsid w:val="5EF778DD"/>
    <w:rsid w:val="5F012051"/>
    <w:rsid w:val="5F150F5D"/>
    <w:rsid w:val="5F151A68"/>
    <w:rsid w:val="5F1E594E"/>
    <w:rsid w:val="5F2306D2"/>
    <w:rsid w:val="5F364291"/>
    <w:rsid w:val="5F720D05"/>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2451AE"/>
    <w:rsid w:val="613E3C59"/>
    <w:rsid w:val="61717233"/>
    <w:rsid w:val="61734481"/>
    <w:rsid w:val="61842912"/>
    <w:rsid w:val="619513BF"/>
    <w:rsid w:val="61A55E2E"/>
    <w:rsid w:val="61B90EE2"/>
    <w:rsid w:val="61C34C9F"/>
    <w:rsid w:val="61C70F95"/>
    <w:rsid w:val="61CB70B1"/>
    <w:rsid w:val="61CF1FDD"/>
    <w:rsid w:val="61FA205F"/>
    <w:rsid w:val="620D15FF"/>
    <w:rsid w:val="624F2F20"/>
    <w:rsid w:val="626C2C39"/>
    <w:rsid w:val="627A61C5"/>
    <w:rsid w:val="62841CE0"/>
    <w:rsid w:val="62B524F7"/>
    <w:rsid w:val="62E513AE"/>
    <w:rsid w:val="62EF4D57"/>
    <w:rsid w:val="62F1602A"/>
    <w:rsid w:val="6300559F"/>
    <w:rsid w:val="63203A10"/>
    <w:rsid w:val="6321699F"/>
    <w:rsid w:val="63360CF0"/>
    <w:rsid w:val="63554E4D"/>
    <w:rsid w:val="63652DBD"/>
    <w:rsid w:val="63687E84"/>
    <w:rsid w:val="637257E9"/>
    <w:rsid w:val="63951967"/>
    <w:rsid w:val="63B50F8C"/>
    <w:rsid w:val="63D22FCA"/>
    <w:rsid w:val="640E61DB"/>
    <w:rsid w:val="641206A9"/>
    <w:rsid w:val="64545838"/>
    <w:rsid w:val="645F02B5"/>
    <w:rsid w:val="64681B01"/>
    <w:rsid w:val="64867FEE"/>
    <w:rsid w:val="649007B3"/>
    <w:rsid w:val="64AE06FA"/>
    <w:rsid w:val="64D401A5"/>
    <w:rsid w:val="65024685"/>
    <w:rsid w:val="652A7FEB"/>
    <w:rsid w:val="652B00E3"/>
    <w:rsid w:val="65535A5A"/>
    <w:rsid w:val="65837C89"/>
    <w:rsid w:val="659D0DEE"/>
    <w:rsid w:val="65A6262A"/>
    <w:rsid w:val="65D219C2"/>
    <w:rsid w:val="65D21E1C"/>
    <w:rsid w:val="65DA54B3"/>
    <w:rsid w:val="65FB4D18"/>
    <w:rsid w:val="660A7073"/>
    <w:rsid w:val="660E3C9E"/>
    <w:rsid w:val="66164CE6"/>
    <w:rsid w:val="66425F55"/>
    <w:rsid w:val="664E5D65"/>
    <w:rsid w:val="665C5C0C"/>
    <w:rsid w:val="66BF254A"/>
    <w:rsid w:val="66EE49DE"/>
    <w:rsid w:val="671E08A8"/>
    <w:rsid w:val="676F09D5"/>
    <w:rsid w:val="67790849"/>
    <w:rsid w:val="67AA7DCF"/>
    <w:rsid w:val="67B34464"/>
    <w:rsid w:val="67BD22B9"/>
    <w:rsid w:val="67FE1162"/>
    <w:rsid w:val="681B0E12"/>
    <w:rsid w:val="688F28E2"/>
    <w:rsid w:val="68A11DD7"/>
    <w:rsid w:val="68A51FB8"/>
    <w:rsid w:val="68DB53E7"/>
    <w:rsid w:val="68EA3016"/>
    <w:rsid w:val="68EB7ABC"/>
    <w:rsid w:val="69062705"/>
    <w:rsid w:val="691B0B6B"/>
    <w:rsid w:val="69782CD3"/>
    <w:rsid w:val="697F5EFC"/>
    <w:rsid w:val="698A7439"/>
    <w:rsid w:val="69936875"/>
    <w:rsid w:val="69964E32"/>
    <w:rsid w:val="69AE114D"/>
    <w:rsid w:val="69DC7E67"/>
    <w:rsid w:val="69E80350"/>
    <w:rsid w:val="69EF047B"/>
    <w:rsid w:val="6A1D56B2"/>
    <w:rsid w:val="6A2B6FC3"/>
    <w:rsid w:val="6A3A339B"/>
    <w:rsid w:val="6A3A5E65"/>
    <w:rsid w:val="6A6F1C4C"/>
    <w:rsid w:val="6A7202DC"/>
    <w:rsid w:val="6AA74E35"/>
    <w:rsid w:val="6AC6225B"/>
    <w:rsid w:val="6B505BBB"/>
    <w:rsid w:val="6B6333A7"/>
    <w:rsid w:val="6B850F4F"/>
    <w:rsid w:val="6BCA5C39"/>
    <w:rsid w:val="6BE27CF9"/>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5502AA"/>
    <w:rsid w:val="6DA31776"/>
    <w:rsid w:val="6DA45FD5"/>
    <w:rsid w:val="6DA65016"/>
    <w:rsid w:val="6DCB15BA"/>
    <w:rsid w:val="6DEF5697"/>
    <w:rsid w:val="6E290AC9"/>
    <w:rsid w:val="6E2E4332"/>
    <w:rsid w:val="6E366026"/>
    <w:rsid w:val="6E3C157B"/>
    <w:rsid w:val="6E4628B1"/>
    <w:rsid w:val="6E6903A5"/>
    <w:rsid w:val="6E9905B2"/>
    <w:rsid w:val="6EB87125"/>
    <w:rsid w:val="6EBB6069"/>
    <w:rsid w:val="6EBB7EF6"/>
    <w:rsid w:val="6EC11D71"/>
    <w:rsid w:val="6EC647CC"/>
    <w:rsid w:val="6EEB4982"/>
    <w:rsid w:val="6F1222C5"/>
    <w:rsid w:val="6F161214"/>
    <w:rsid w:val="6F317DD0"/>
    <w:rsid w:val="6F322D6E"/>
    <w:rsid w:val="6F3A0D2D"/>
    <w:rsid w:val="6F710F7D"/>
    <w:rsid w:val="6F757BA3"/>
    <w:rsid w:val="6F794E16"/>
    <w:rsid w:val="6F8E0F7C"/>
    <w:rsid w:val="6FAF019B"/>
    <w:rsid w:val="6FB202FC"/>
    <w:rsid w:val="6FBA5851"/>
    <w:rsid w:val="6FD431BC"/>
    <w:rsid w:val="6FD64D8A"/>
    <w:rsid w:val="709649ED"/>
    <w:rsid w:val="70A84AD3"/>
    <w:rsid w:val="70AE3508"/>
    <w:rsid w:val="70B351A6"/>
    <w:rsid w:val="70BF773C"/>
    <w:rsid w:val="70C41831"/>
    <w:rsid w:val="70CF7DE8"/>
    <w:rsid w:val="70E94F37"/>
    <w:rsid w:val="7117334E"/>
    <w:rsid w:val="711F7F62"/>
    <w:rsid w:val="712719C8"/>
    <w:rsid w:val="71336359"/>
    <w:rsid w:val="71492755"/>
    <w:rsid w:val="714B63FF"/>
    <w:rsid w:val="717A4EBB"/>
    <w:rsid w:val="71A121E2"/>
    <w:rsid w:val="71AA47BF"/>
    <w:rsid w:val="71CD5454"/>
    <w:rsid w:val="71D40D4C"/>
    <w:rsid w:val="71D5629F"/>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2A0D"/>
    <w:rsid w:val="731F3B82"/>
    <w:rsid w:val="734D21A1"/>
    <w:rsid w:val="73836ECE"/>
    <w:rsid w:val="73C67500"/>
    <w:rsid w:val="73C864B5"/>
    <w:rsid w:val="73CA3FD2"/>
    <w:rsid w:val="73DE7E71"/>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F2017E"/>
    <w:rsid w:val="77FA423A"/>
    <w:rsid w:val="78005019"/>
    <w:rsid w:val="78092CC0"/>
    <w:rsid w:val="780C2435"/>
    <w:rsid w:val="782A0B51"/>
    <w:rsid w:val="78353363"/>
    <w:rsid w:val="783A31FE"/>
    <w:rsid w:val="78486CF0"/>
    <w:rsid w:val="78534919"/>
    <w:rsid w:val="785663DA"/>
    <w:rsid w:val="78584462"/>
    <w:rsid w:val="7895462E"/>
    <w:rsid w:val="78D631FC"/>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94AC1"/>
    <w:rsid w:val="7AC977F9"/>
    <w:rsid w:val="7AE11572"/>
    <w:rsid w:val="7AE31524"/>
    <w:rsid w:val="7AE70BEB"/>
    <w:rsid w:val="7B057C25"/>
    <w:rsid w:val="7B4C6C66"/>
    <w:rsid w:val="7B5C332E"/>
    <w:rsid w:val="7B904C22"/>
    <w:rsid w:val="7B9E18EF"/>
    <w:rsid w:val="7BB9672E"/>
    <w:rsid w:val="7C0968F5"/>
    <w:rsid w:val="7C1235AA"/>
    <w:rsid w:val="7C160893"/>
    <w:rsid w:val="7C5622FF"/>
    <w:rsid w:val="7C571497"/>
    <w:rsid w:val="7C810893"/>
    <w:rsid w:val="7CB95588"/>
    <w:rsid w:val="7CBA56FF"/>
    <w:rsid w:val="7CE64D15"/>
    <w:rsid w:val="7CF732D1"/>
    <w:rsid w:val="7D131D7B"/>
    <w:rsid w:val="7D1E10B2"/>
    <w:rsid w:val="7D3D5EFF"/>
    <w:rsid w:val="7D435739"/>
    <w:rsid w:val="7D93221A"/>
    <w:rsid w:val="7DA977AA"/>
    <w:rsid w:val="7DAC0454"/>
    <w:rsid w:val="7DED2A89"/>
    <w:rsid w:val="7DFA3D48"/>
    <w:rsid w:val="7E980733"/>
    <w:rsid w:val="7E9B4DC3"/>
    <w:rsid w:val="7EC57197"/>
    <w:rsid w:val="7EFB4248"/>
    <w:rsid w:val="7EFD7DC7"/>
    <w:rsid w:val="7F274E2A"/>
    <w:rsid w:val="7F2C2F55"/>
    <w:rsid w:val="7F45439F"/>
    <w:rsid w:val="7F4A4D43"/>
    <w:rsid w:val="7F545830"/>
    <w:rsid w:val="7F590F20"/>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3"/>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autoRedefine/>
    <w:qFormat/>
    <w:uiPriority w:val="0"/>
    <w:pPr>
      <w:ind w:firstLine="830" w:firstLineChars="352"/>
    </w:pPr>
    <w:rPr>
      <w:rFonts w:ascii="仿宋_GB2312" w:eastAsia="仿宋_GB2312"/>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Plain Text"/>
    <w:basedOn w:val="1"/>
    <w:next w:val="5"/>
    <w:autoRedefine/>
    <w:qFormat/>
    <w:uiPriority w:val="0"/>
    <w:rPr>
      <w:rFonts w:ascii="宋体" w:hAnsi="Courier New" w:cs="Courier New"/>
      <w:szCs w:val="21"/>
    </w:rPr>
  </w:style>
  <w:style w:type="paragraph" w:styleId="14">
    <w:name w:val="Date"/>
    <w:basedOn w:val="1"/>
    <w:next w:val="1"/>
    <w:autoRedefine/>
    <w:qFormat/>
    <w:uiPriority w:val="0"/>
    <w:pPr>
      <w:ind w:left="100" w:leftChars="2500"/>
    </w:pPr>
    <w:rPr>
      <w:rFonts w:ascii="宋体" w:hAnsi="Courier New"/>
      <w:bCs/>
      <w:sz w:val="24"/>
    </w:rPr>
  </w:style>
  <w:style w:type="paragraph" w:styleId="15">
    <w:name w:val="Body Text Indent 2"/>
    <w:basedOn w:val="1"/>
    <w:autoRedefine/>
    <w:qFormat/>
    <w:uiPriority w:val="0"/>
    <w:pPr>
      <w:spacing w:after="120" w:line="480" w:lineRule="auto"/>
      <w:ind w:leftChars="200"/>
    </w:pPr>
  </w:style>
  <w:style w:type="paragraph" w:styleId="16">
    <w:name w:val="Balloon Text"/>
    <w:basedOn w:val="1"/>
    <w:link w:val="55"/>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envelope return"/>
    <w:basedOn w:val="1"/>
    <w:autoRedefine/>
    <w:unhideWhenUsed/>
    <w:qFormat/>
    <w:uiPriority w:val="0"/>
    <w:pPr>
      <w:snapToGrid w:val="0"/>
    </w:pPr>
    <w:rPr>
      <w:rFonts w:ascii="Arial" w:hAnsi="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4"/>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u w:val="none"/>
    </w:rPr>
  </w:style>
  <w:style w:type="character" w:styleId="36">
    <w:name w:val="Emphasis"/>
    <w:basedOn w:val="32"/>
    <w:autoRedefine/>
    <w:qFormat/>
    <w:uiPriority w:val="0"/>
    <w:rPr>
      <w:b/>
      <w:bCs/>
    </w:rPr>
  </w:style>
  <w:style w:type="character" w:styleId="37">
    <w:name w:val="HTML Definition"/>
    <w:basedOn w:val="32"/>
    <w:autoRedefine/>
    <w:qFormat/>
    <w:uiPriority w:val="0"/>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unhideWhenUsed/>
    <w:qFormat/>
    <w:uiPriority w:val="99"/>
    <w:rPr>
      <w:color w:val="0000FF"/>
      <w:u w:val="singl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monospace" w:hAnsi="monospace" w:eastAsia="monospace" w:cs="monospace"/>
      <w:sz w:val="20"/>
    </w:rPr>
  </w:style>
  <w:style w:type="character" w:styleId="46">
    <w:name w:val="HTML Sample"/>
    <w:basedOn w:val="32"/>
    <w:autoRedefine/>
    <w:qFormat/>
    <w:uiPriority w:val="0"/>
    <w:rPr>
      <w:rFonts w:ascii="monospace" w:hAnsi="monospace" w:eastAsia="monospace" w:cs="monospace"/>
    </w:rPr>
  </w:style>
  <w:style w:type="paragraph" w:customStyle="1" w:styleId="47">
    <w:name w:val="表格文字"/>
    <w:basedOn w:val="48"/>
    <w:autoRedefine/>
    <w:qFormat/>
    <w:uiPriority w:val="99"/>
    <w:pPr>
      <w:spacing w:before="25" w:after="25"/>
      <w:jc w:val="left"/>
    </w:pPr>
    <w:rPr>
      <w:bCs/>
      <w:spacing w:val="10"/>
      <w:kern w:val="0"/>
      <w:sz w:val="24"/>
    </w:rPr>
  </w:style>
  <w:style w:type="paragraph" w:customStyle="1" w:styleId="4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50">
    <w:name w:val="List Paragraph"/>
    <w:basedOn w:val="1"/>
    <w:autoRedefine/>
    <w:qFormat/>
    <w:uiPriority w:val="34"/>
    <w:pPr>
      <w:ind w:firstLine="420" w:firstLineChars="200"/>
    </w:pPr>
  </w:style>
  <w:style w:type="paragraph" w:customStyle="1" w:styleId="51">
    <w:name w:val="Plain Text1"/>
    <w:basedOn w:val="1"/>
    <w:autoRedefine/>
    <w:qFormat/>
    <w:uiPriority w:val="0"/>
    <w:rPr>
      <w:rFonts w:ascii="宋体" w:hAnsi="Courier New" w:cs="Courier New"/>
      <w:szCs w:val="21"/>
    </w:rPr>
  </w:style>
  <w:style w:type="paragraph" w:customStyle="1" w:styleId="52">
    <w:name w:val="Table Paragraph"/>
    <w:basedOn w:val="1"/>
    <w:autoRedefine/>
    <w:qFormat/>
    <w:uiPriority w:val="1"/>
    <w:rPr>
      <w:rFonts w:ascii="宋体" w:hAnsi="宋体" w:cs="宋体"/>
      <w:lang w:val="zh-CN" w:bidi="zh-CN"/>
    </w:rPr>
  </w:style>
  <w:style w:type="character" w:customStyle="1" w:styleId="53">
    <w:name w:val="批注文字 Char"/>
    <w:basedOn w:val="32"/>
    <w:link w:val="9"/>
    <w:autoRedefine/>
    <w:qFormat/>
    <w:uiPriority w:val="0"/>
    <w:rPr>
      <w:kern w:val="2"/>
      <w:sz w:val="21"/>
      <w:szCs w:val="24"/>
    </w:rPr>
  </w:style>
  <w:style w:type="character" w:customStyle="1" w:styleId="54">
    <w:name w:val="批注主题 Char"/>
    <w:basedOn w:val="53"/>
    <w:link w:val="27"/>
    <w:autoRedefine/>
    <w:qFormat/>
    <w:uiPriority w:val="0"/>
    <w:rPr>
      <w:b/>
      <w:bCs/>
      <w:kern w:val="2"/>
      <w:sz w:val="21"/>
      <w:szCs w:val="24"/>
    </w:rPr>
  </w:style>
  <w:style w:type="character" w:customStyle="1" w:styleId="55">
    <w:name w:val="批注框文本 Char"/>
    <w:basedOn w:val="32"/>
    <w:link w:val="16"/>
    <w:autoRedefine/>
    <w:qFormat/>
    <w:uiPriority w:val="0"/>
    <w:rPr>
      <w:kern w:val="2"/>
      <w:sz w:val="18"/>
      <w:szCs w:val="18"/>
    </w:rPr>
  </w:style>
  <w:style w:type="paragraph" w:customStyle="1" w:styleId="56">
    <w:name w:val="纯文本1"/>
    <w:basedOn w:val="1"/>
    <w:autoRedefine/>
    <w:qFormat/>
    <w:uiPriority w:val="0"/>
    <w:pPr>
      <w:suppressAutoHyphens/>
    </w:pPr>
    <w:rPr>
      <w:rFonts w:ascii="宋体" w:hAnsi="宋体" w:cs="Courier New"/>
      <w:szCs w:val="21"/>
      <w:lang w:eastAsia="ar-SA"/>
    </w:rPr>
  </w:style>
  <w:style w:type="paragraph" w:customStyle="1" w:styleId="57">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8">
    <w:name w:val="textcontents"/>
    <w:basedOn w:val="32"/>
    <w:autoRedefine/>
    <w:qFormat/>
    <w:uiPriority w:val="0"/>
  </w:style>
  <w:style w:type="paragraph" w:customStyle="1" w:styleId="59">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60">
    <w:name w:val="WPSOffice手动目录 1"/>
    <w:autoRedefine/>
    <w:qFormat/>
    <w:uiPriority w:val="0"/>
    <w:pPr>
      <w:ind w:leftChars="0"/>
    </w:pPr>
    <w:rPr>
      <w:rFonts w:ascii="Times New Roman" w:hAnsi="Times New Roman" w:eastAsia="宋体" w:cs="Times New Roman"/>
      <w:sz w:val="20"/>
      <w:szCs w:val="20"/>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正文文本_0"/>
    <w:basedOn w:val="4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3">
    <w:name w:val="Normal_1"/>
    <w:autoRedefine/>
    <w:qFormat/>
    <w:uiPriority w:val="0"/>
    <w:rPr>
      <w:rFonts w:ascii="Times New Roman" w:hAnsi="Times New Roman" w:eastAsia="Times New Roman" w:cs="Times New Roman"/>
      <w:sz w:val="24"/>
      <w:szCs w:val="24"/>
    </w:rPr>
  </w:style>
  <w:style w:type="paragraph" w:customStyle="1" w:styleId="64">
    <w:name w:val="Body text|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5">
    <w:name w:val="Other|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标题 2_1"/>
    <w:basedOn w:val="48"/>
    <w:next w:val="4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7">
    <w:name w:val="标题 3_2"/>
    <w:basedOn w:val="48"/>
    <w:next w:val="48"/>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8">
    <w:name w:val="标题 2_0"/>
    <w:basedOn w:val="69"/>
    <w:next w:val="69"/>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9">
    <w:name w:val="正文_2"/>
    <w:basedOn w:val="7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70">
    <w:name w:val="正文_3"/>
    <w:basedOn w:val="48"/>
    <w:autoRedefine/>
    <w:qFormat/>
    <w:uiPriority w:val="0"/>
    <w:rPr>
      <w:rFonts w:eastAsia="宋体"/>
      <w:lang w:eastAsia="zh-CN" w:bidi="ar-SA"/>
    </w:rPr>
  </w:style>
  <w:style w:type="paragraph" w:customStyle="1" w:styleId="71">
    <w:name w:val="标题 3_1"/>
    <w:basedOn w:val="69"/>
    <w:next w:val="69"/>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72">
    <w:name w:val="Body text|1_1"/>
    <w:basedOn w:val="6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3">
    <w:name w:val="Body text|2_0"/>
    <w:basedOn w:val="69"/>
    <w:autoRedefine/>
    <w:qFormat/>
    <w:uiPriority w:val="0"/>
    <w:pPr>
      <w:spacing w:after="30"/>
      <w:ind w:firstLine="420"/>
    </w:pPr>
    <w:rPr>
      <w:rFonts w:eastAsia="宋体"/>
      <w:color w:val="auto"/>
      <w:sz w:val="20"/>
      <w:szCs w:val="20"/>
      <w:lang w:bidi="ar-SA"/>
    </w:rPr>
  </w:style>
  <w:style w:type="paragraph" w:customStyle="1" w:styleId="74">
    <w:name w:val="Other|1_1"/>
    <w:basedOn w:val="6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5">
    <w:name w:val="正文_2_0"/>
    <w:basedOn w:val="69"/>
    <w:autoRedefine/>
    <w:qFormat/>
    <w:uiPriority w:val="0"/>
    <w:rPr>
      <w:rFonts w:eastAsia="宋体"/>
      <w:lang w:eastAsia="zh-CN" w:bidi="ar-SA"/>
    </w:rPr>
  </w:style>
  <w:style w:type="character" w:customStyle="1" w:styleId="76">
    <w:name w:val="10"/>
    <w:autoRedefine/>
    <w:qFormat/>
    <w:uiPriority w:val="0"/>
    <w:rPr>
      <w:rFonts w:hint="default" w:ascii="Times New Roman" w:hAnsi="Times New Roman" w:eastAsia="Times New Roman" w:cs="Times New Roman"/>
      <w:lang w:eastAsia="en-US" w:bidi="en-US"/>
    </w:rPr>
  </w:style>
  <w:style w:type="paragraph" w:customStyle="1" w:styleId="77">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8">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9">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8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标题 3_0"/>
    <w:basedOn w:val="1"/>
    <w:next w:val="69"/>
    <w:autoRedefine/>
    <w:qFormat/>
    <w:uiPriority w:val="99"/>
    <w:rPr>
      <w:szCs w:val="20"/>
    </w:rPr>
  </w:style>
  <w:style w:type="paragraph" w:customStyle="1" w:styleId="82">
    <w:name w:val="纯文本_0"/>
    <w:basedOn w:val="1"/>
    <w:autoRedefine/>
    <w:qFormat/>
    <w:uiPriority w:val="99"/>
    <w:rPr>
      <w:szCs w:val="20"/>
    </w:rPr>
  </w:style>
  <w:style w:type="paragraph" w:customStyle="1" w:styleId="83">
    <w:name w:val="Normal_0"/>
    <w:autoRedefine/>
    <w:qFormat/>
    <w:uiPriority w:val="0"/>
    <w:rPr>
      <w:rFonts w:ascii="Times New Roman" w:hAnsi="Times New Roman" w:eastAsia="Times New Roman" w:cs="Times New Roman"/>
      <w:sz w:val="24"/>
      <w:szCs w:val="24"/>
    </w:rPr>
  </w:style>
  <w:style w:type="paragraph" w:customStyle="1" w:styleId="84">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5">
    <w:name w:val="hover"/>
    <w:basedOn w:val="32"/>
    <w:autoRedefine/>
    <w:qFormat/>
    <w:uiPriority w:val="0"/>
    <w:rPr>
      <w:color w:val="2590EB"/>
    </w:rPr>
  </w:style>
  <w:style w:type="character" w:customStyle="1" w:styleId="86">
    <w:name w:val="hover1"/>
    <w:basedOn w:val="32"/>
    <w:autoRedefine/>
    <w:qFormat/>
    <w:uiPriority w:val="0"/>
    <w:rPr>
      <w:color w:val="2590EB"/>
    </w:rPr>
  </w:style>
  <w:style w:type="character" w:customStyle="1" w:styleId="87">
    <w:name w:val="hover2"/>
    <w:basedOn w:val="32"/>
    <w:autoRedefine/>
    <w:qFormat/>
    <w:uiPriority w:val="0"/>
  </w:style>
  <w:style w:type="character" w:customStyle="1" w:styleId="88">
    <w:name w:val="hover3"/>
    <w:basedOn w:val="3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125</Pages>
  <Words>33154</Words>
  <Characters>35711</Characters>
  <Lines>51</Lines>
  <Paragraphs>59</Paragraphs>
  <TotalTime>35</TotalTime>
  <ScaleCrop>false</ScaleCrop>
  <LinksUpToDate>false</LinksUpToDate>
  <CharactersWithSpaces>38278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国力办公小助手2</cp:lastModifiedBy>
  <cp:lastPrinted>2024-02-27T07:05:00Z</cp:lastPrinted>
  <dcterms:modified xsi:type="dcterms:W3CDTF">2026-04-23T06:38:05Z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4ED730DB29D84751AA7DA8C6047566D0_13</vt:lpwstr>
  </property>
  <property fmtid="{D5CDD505-2E9C-101B-9397-08002B2CF9AE}" pid="4" name="KSOTemplateDocerSaveRecord">
    <vt:lpwstr>eyJoZGlkIjoiMTQxZDc1YzkwNDFmMmQwN2Y0OWM2ZDIwMzFlMjZlZDEiLCJ1c2VySWQiOiIxNjUxMjY0MDU4In0=</vt:lpwstr>
  </property>
</Properties>
</file>