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bookmarkStart w:id="0" w:name="_Hlk92961273"/>
      <w:bookmarkEnd w:id="0"/>
    </w:p>
    <w:p>
      <w:pPr>
        <w:rPr>
          <w:color w:val="auto"/>
        </w:rPr>
      </w:pPr>
    </w:p>
    <w:p>
      <w:pPr>
        <w:rPr>
          <w:color w:val="auto"/>
        </w:rPr>
      </w:pPr>
    </w:p>
    <w:p>
      <w:pPr>
        <w:rPr>
          <w:color w:val="auto"/>
        </w:rPr>
      </w:pPr>
    </w:p>
    <w:p>
      <w:pPr>
        <w:spacing w:before="156" w:beforeLines="50" w:line="780" w:lineRule="exact"/>
        <w:jc w:val="center"/>
        <w:rPr>
          <w:rFonts w:ascii="方正小标宋_GBK" w:hAnsi="黑体" w:eastAsia="方正小标宋_GBK"/>
          <w:b/>
          <w:color w:val="auto"/>
          <w:sz w:val="84"/>
          <w:szCs w:val="84"/>
        </w:rPr>
      </w:pPr>
      <w:r>
        <w:rPr>
          <w:rFonts w:hint="eastAsia" w:ascii="方正小标宋_GBK" w:hAnsi="黑体" w:eastAsia="方正小标宋_GBK"/>
          <w:b/>
          <w:color w:val="auto"/>
          <w:sz w:val="84"/>
          <w:szCs w:val="84"/>
        </w:rPr>
        <w:t>竞争性磋商采购文件</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500" w:lineRule="exact"/>
        <w:rPr>
          <w:rFonts w:hint="eastAsia" w:ascii="方正小标宋_GBK" w:hAnsi="微软雅黑" w:eastAsia="方正小标宋_GBK"/>
          <w:color w:val="auto"/>
          <w:sz w:val="32"/>
          <w:szCs w:val="32"/>
        </w:rPr>
      </w:pPr>
    </w:p>
    <w:p>
      <w:pPr>
        <w:spacing w:line="500" w:lineRule="exact"/>
        <w:rPr>
          <w:rFonts w:hint="eastAsia" w:ascii="方正小标宋_GBK" w:hAnsi="微软雅黑" w:eastAsia="方正小标宋_GBK"/>
          <w:color w:val="auto"/>
          <w:sz w:val="32"/>
          <w:szCs w:val="32"/>
        </w:rPr>
      </w:pPr>
    </w:p>
    <w:p>
      <w:pPr>
        <w:spacing w:line="500" w:lineRule="exact"/>
        <w:ind w:left="3195" w:leftChars="912" w:hanging="1280" w:hangingChars="400"/>
        <w:rPr>
          <w:rFonts w:hint="default" w:ascii="方正小标宋_GBK" w:hAnsi="微软雅黑" w:eastAsia="方正小标宋_GBK"/>
          <w:color w:val="auto"/>
          <w:sz w:val="32"/>
          <w:szCs w:val="32"/>
          <w:lang w:val="en-US" w:eastAsia="zh-CN"/>
        </w:rPr>
      </w:pPr>
      <w:r>
        <w:rPr>
          <w:rFonts w:hint="eastAsia" w:ascii="方正小标宋_GBK" w:hAnsi="微软雅黑" w:eastAsia="方正小标宋_GBK"/>
          <w:color w:val="auto"/>
          <w:sz w:val="32"/>
          <w:szCs w:val="32"/>
        </w:rPr>
        <w:t>项目名称:</w:t>
      </w:r>
      <w:r>
        <w:rPr>
          <w:rFonts w:hint="eastAsia" w:ascii="方正小标宋_GBK" w:hAnsi="微软雅黑" w:eastAsia="方正小标宋_GBK"/>
          <w:color w:val="auto"/>
          <w:sz w:val="32"/>
          <w:szCs w:val="32"/>
          <w:lang w:val="en-US" w:eastAsia="zh-CN"/>
        </w:rPr>
        <w:t>2026年钦州市图书馆物业管理服务</w:t>
      </w:r>
    </w:p>
    <w:p>
      <w:pPr>
        <w:spacing w:line="500" w:lineRule="exact"/>
        <w:rPr>
          <w:rFonts w:hint="eastAsia" w:ascii="方正小标宋_GBK" w:hAnsi="微软雅黑" w:eastAsia="方正小标宋_GBK"/>
          <w:color w:val="auto"/>
          <w:sz w:val="32"/>
          <w:szCs w:val="32"/>
          <w:lang w:eastAsia="zh-CN"/>
        </w:rPr>
      </w:pPr>
      <w:r>
        <w:rPr>
          <w:rFonts w:hint="eastAsia" w:ascii="方正小标宋_GBK" w:hAnsi="微软雅黑" w:eastAsia="方正小标宋_GBK"/>
          <w:color w:val="auto"/>
          <w:sz w:val="32"/>
          <w:szCs w:val="32"/>
        </w:rPr>
        <w:t xml:space="preserve"> </w:t>
      </w:r>
      <w:r>
        <w:rPr>
          <w:rFonts w:ascii="方正小标宋_GBK" w:hAnsi="微软雅黑" w:eastAsia="方正小标宋_GBK"/>
          <w:color w:val="auto"/>
          <w:sz w:val="32"/>
          <w:szCs w:val="32"/>
        </w:rPr>
        <w:t xml:space="preserve">          </w:t>
      </w:r>
      <w:r>
        <w:rPr>
          <w:rFonts w:hint="eastAsia" w:ascii="方正小标宋_GBK" w:hAnsi="微软雅黑" w:eastAsia="方正小标宋_GBK"/>
          <w:color w:val="auto"/>
          <w:sz w:val="32"/>
          <w:szCs w:val="32"/>
          <w:lang w:val="en-US" w:eastAsia="zh-CN"/>
        </w:rPr>
        <w:t xml:space="preserve"> </w:t>
      </w:r>
      <w:r>
        <w:rPr>
          <w:rFonts w:hint="eastAsia" w:ascii="方正小标宋_GBK" w:hAnsi="微软雅黑" w:eastAsia="方正小标宋_GBK"/>
          <w:color w:val="auto"/>
          <w:sz w:val="32"/>
          <w:szCs w:val="32"/>
        </w:rPr>
        <w:t>项目编号:</w:t>
      </w:r>
      <w:r>
        <w:rPr>
          <w:rFonts w:hint="eastAsia" w:ascii="方正小标宋_GBK" w:hAnsi="微软雅黑" w:eastAsia="方正小标宋_GBK"/>
          <w:color w:val="auto"/>
          <w:sz w:val="32"/>
          <w:szCs w:val="32"/>
          <w:lang w:eastAsia="zh-CN"/>
        </w:rPr>
        <w:t>QZZC2026-C3-990122-QZSZ</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360" w:lineRule="exact"/>
        <w:jc w:val="center"/>
        <w:rPr>
          <w:rFonts w:ascii="方正小标宋_GBK" w:hAnsi="微软雅黑" w:eastAsia="方正小标宋_GBK"/>
          <w:color w:val="auto"/>
          <w:sz w:val="32"/>
          <w:szCs w:val="32"/>
        </w:rPr>
      </w:pPr>
      <w:r>
        <w:rPr>
          <w:rFonts w:hint="eastAsia" w:ascii="方正小标宋_GBK" w:hAnsi="微软雅黑" w:eastAsia="方正小标宋_GBK"/>
          <w:color w:val="auto"/>
          <w:sz w:val="32"/>
          <w:szCs w:val="32"/>
        </w:rPr>
        <w:t>钦州市政府采购中心</w:t>
      </w:r>
    </w:p>
    <w:p>
      <w:pPr>
        <w:tabs>
          <w:tab w:val="left" w:pos="360"/>
        </w:tabs>
        <w:spacing w:line="440" w:lineRule="exact"/>
        <w:jc w:val="center"/>
        <w:rPr>
          <w:rFonts w:ascii="仿宋_GB2312" w:hAnsi="宋体" w:eastAsia="仿宋_GB2312"/>
          <w:color w:val="auto"/>
          <w:sz w:val="32"/>
          <w:szCs w:val="32"/>
        </w:rPr>
      </w:pPr>
      <w:r>
        <w:rPr>
          <w:rFonts w:hint="eastAsia" w:ascii="方正小标宋_GBK" w:hAnsi="微软雅黑" w:eastAsia="方正小标宋_GBK"/>
          <w:color w:val="auto"/>
          <w:sz w:val="32"/>
          <w:szCs w:val="32"/>
        </w:rPr>
        <w:t>202</w:t>
      </w:r>
      <w:r>
        <w:rPr>
          <w:rFonts w:hint="eastAsia" w:ascii="方正小标宋_GBK" w:hAnsi="微软雅黑" w:eastAsia="方正小标宋_GBK"/>
          <w:color w:val="auto"/>
          <w:sz w:val="32"/>
          <w:szCs w:val="32"/>
          <w:lang w:val="en-US" w:eastAsia="zh-CN"/>
        </w:rPr>
        <w:t>6</w:t>
      </w:r>
      <w:r>
        <w:rPr>
          <w:rFonts w:hint="eastAsia" w:ascii="方正小标宋_GBK" w:hAnsi="微软雅黑" w:eastAsia="方正小标宋_GBK"/>
          <w:color w:val="auto"/>
          <w:sz w:val="32"/>
          <w:szCs w:val="32"/>
        </w:rPr>
        <w:t>年</w:t>
      </w:r>
      <w:r>
        <w:rPr>
          <w:rFonts w:hint="eastAsia" w:ascii="方正小标宋_GBK" w:hAnsi="微软雅黑" w:eastAsia="方正小标宋_GBK"/>
          <w:color w:val="auto"/>
          <w:sz w:val="32"/>
          <w:szCs w:val="32"/>
          <w:lang w:val="en-US" w:eastAsia="zh-CN"/>
        </w:rPr>
        <w:t>4</w:t>
      </w:r>
      <w:r>
        <w:rPr>
          <w:rFonts w:hint="eastAsia" w:ascii="方正小标宋_GBK" w:hAnsi="微软雅黑" w:eastAsia="方正小标宋_GBK"/>
          <w:color w:val="auto"/>
          <w:sz w:val="32"/>
          <w:szCs w:val="32"/>
        </w:rPr>
        <w:t>月</w:t>
      </w:r>
    </w:p>
    <w:p>
      <w:pPr>
        <w:rPr>
          <w:color w:val="auto"/>
        </w:rPr>
      </w:pPr>
    </w:p>
    <w:p>
      <w:pPr>
        <w:rPr>
          <w:color w:val="auto"/>
        </w:rPr>
      </w:pPr>
    </w:p>
    <w:p>
      <w:pPr>
        <w:spacing w:line="640" w:lineRule="exact"/>
        <w:jc w:val="center"/>
        <w:rPr>
          <w:rFonts w:ascii="方正小标宋_GBK" w:hAnsi="宋体" w:eastAsia="方正小标宋_GBK"/>
          <w:b/>
          <w:color w:val="auto"/>
          <w:sz w:val="32"/>
          <w:szCs w:val="32"/>
        </w:rPr>
      </w:pPr>
      <w:r>
        <w:rPr>
          <w:rFonts w:hint="eastAsia" w:ascii="方正小标宋_GBK" w:hAnsi="宋体" w:eastAsia="方正小标宋_GBK"/>
          <w:b/>
          <w:color w:val="auto"/>
          <w:sz w:val="44"/>
          <w:szCs w:val="44"/>
        </w:rPr>
        <w:t>目   录</w:t>
      </w:r>
    </w:p>
    <w:p>
      <w:pPr>
        <w:rPr>
          <w:color w:val="auto"/>
        </w:rPr>
      </w:pPr>
    </w:p>
    <w:p>
      <w:pPr>
        <w:pStyle w:val="28"/>
        <w:tabs>
          <w:tab w:val="right" w:leader="dot" w:pos="9514"/>
        </w:tabs>
        <w:spacing w:line="1000" w:lineRule="exact"/>
        <w:rPr>
          <w:rFonts w:asciiTheme="minorHAnsi" w:hAnsiTheme="minorHAnsi" w:eastAsiaTheme="minorEastAsia" w:cstheme="minorBidi"/>
          <w:color w:val="auto"/>
          <w:sz w:val="28"/>
          <w:szCs w:val="28"/>
        </w:rPr>
      </w:pPr>
      <w:bookmarkStart w:id="1" w:name="_Toc354479497"/>
      <w:r>
        <w:rPr>
          <w:rFonts w:hint="eastAsia" w:ascii="方正小标宋_GBK" w:hAnsi="仿宋" w:eastAsia="方正小标宋_GBK"/>
          <w:b/>
          <w:color w:val="auto"/>
          <w:sz w:val="28"/>
          <w:szCs w:val="28"/>
        </w:rPr>
        <w:fldChar w:fldCharType="begin"/>
      </w:r>
      <w:r>
        <w:rPr>
          <w:rFonts w:hint="eastAsia" w:ascii="方正小标宋_GBK" w:hAnsi="仿宋" w:eastAsia="方正小标宋_GBK"/>
          <w:b/>
          <w:color w:val="auto"/>
          <w:sz w:val="28"/>
          <w:szCs w:val="28"/>
        </w:rPr>
        <w:instrText xml:space="preserve"> TOC \o "1-1" \h \z \u </w:instrText>
      </w:r>
      <w:r>
        <w:rPr>
          <w:rFonts w:hint="eastAsia" w:ascii="方正小标宋_GBK" w:hAnsi="仿宋" w:eastAsia="方正小标宋_GBK"/>
          <w:b/>
          <w:color w:val="auto"/>
          <w:sz w:val="28"/>
          <w:szCs w:val="28"/>
        </w:rPr>
        <w:fldChar w:fldCharType="separate"/>
      </w:r>
      <w:r>
        <w:rPr>
          <w:color w:val="auto"/>
        </w:rPr>
        <w:fldChar w:fldCharType="begin"/>
      </w:r>
      <w:r>
        <w:rPr>
          <w:color w:val="auto"/>
        </w:rPr>
        <w:instrText xml:space="preserve"> HYPERLINK \l "_Toc92355023" </w:instrText>
      </w:r>
      <w:r>
        <w:rPr>
          <w:color w:val="auto"/>
        </w:rPr>
        <w:fldChar w:fldCharType="separate"/>
      </w:r>
      <w:r>
        <w:rPr>
          <w:rStyle w:val="44"/>
          <w:rFonts w:ascii="方正小标宋_GBK" w:hAnsi="宋体" w:eastAsia="方正小标宋_GBK"/>
          <w:color w:val="auto"/>
          <w:sz w:val="28"/>
          <w:szCs w:val="28"/>
        </w:rPr>
        <w:t>第一章  竞争性磋商公告</w:t>
      </w:r>
      <w:r>
        <w:rPr>
          <w:color w:val="auto"/>
          <w:sz w:val="28"/>
          <w:szCs w:val="28"/>
        </w:rPr>
        <w:tab/>
      </w:r>
      <w:r>
        <w:rPr>
          <w:color w:val="auto"/>
          <w:sz w:val="28"/>
          <w:szCs w:val="28"/>
        </w:rPr>
        <w:fldChar w:fldCharType="begin"/>
      </w:r>
      <w:r>
        <w:rPr>
          <w:color w:val="auto"/>
          <w:sz w:val="28"/>
          <w:szCs w:val="28"/>
        </w:rPr>
        <w:instrText xml:space="preserve"> PAGEREF _Toc92355023 \h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rPr>
        <w:fldChar w:fldCharType="end"/>
      </w:r>
    </w:p>
    <w:p>
      <w:pPr>
        <w:pStyle w:val="28"/>
        <w:tabs>
          <w:tab w:val="right" w:leader="dot" w:pos="9514"/>
        </w:tabs>
        <w:spacing w:line="1000" w:lineRule="exact"/>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"_Toc92355024" </w:instrText>
      </w:r>
      <w:r>
        <w:rPr>
          <w:color w:val="auto"/>
        </w:rPr>
        <w:fldChar w:fldCharType="separate"/>
      </w:r>
      <w:r>
        <w:rPr>
          <w:rStyle w:val="44"/>
          <w:rFonts w:ascii="方正小标宋_GBK" w:hAnsi="宋体" w:eastAsia="方正小标宋_GBK"/>
          <w:color w:val="auto"/>
          <w:sz w:val="28"/>
          <w:szCs w:val="28"/>
        </w:rPr>
        <w:t xml:space="preserve">第二章  </w:t>
      </w:r>
      <w:r>
        <w:rPr>
          <w:rStyle w:val="44"/>
          <w:rFonts w:hint="eastAsia" w:ascii="方正小标宋_GBK" w:hAnsi="宋体" w:eastAsia="方正小标宋_GBK"/>
          <w:color w:val="auto"/>
          <w:sz w:val="28"/>
          <w:szCs w:val="28"/>
          <w:lang w:val="en-US" w:eastAsia="zh-CN"/>
        </w:rPr>
        <w:t>项目</w:t>
      </w:r>
      <w:r>
        <w:rPr>
          <w:rStyle w:val="44"/>
          <w:rFonts w:ascii="方正小标宋_GBK" w:hAnsi="宋体" w:eastAsia="方正小标宋_GBK"/>
          <w:color w:val="auto"/>
          <w:sz w:val="28"/>
          <w:szCs w:val="28"/>
        </w:rPr>
        <w:t>需求</w:t>
      </w:r>
      <w:r>
        <w:rPr>
          <w:color w:val="auto"/>
          <w:sz w:val="28"/>
          <w:szCs w:val="28"/>
        </w:rPr>
        <w:tab/>
      </w:r>
      <w:r>
        <w:rPr>
          <w:color w:val="auto"/>
          <w:sz w:val="28"/>
          <w:szCs w:val="28"/>
        </w:rPr>
        <w:fldChar w:fldCharType="begin"/>
      </w:r>
      <w:r>
        <w:rPr>
          <w:color w:val="auto"/>
          <w:sz w:val="28"/>
          <w:szCs w:val="28"/>
        </w:rPr>
        <w:instrText xml:space="preserve"> PAGEREF _Toc92355024 \h </w:instrText>
      </w:r>
      <w:r>
        <w:rPr>
          <w:color w:val="auto"/>
          <w:sz w:val="28"/>
          <w:szCs w:val="28"/>
        </w:rPr>
        <w:fldChar w:fldCharType="separate"/>
      </w:r>
      <w:r>
        <w:rPr>
          <w:color w:val="auto"/>
          <w:sz w:val="28"/>
          <w:szCs w:val="28"/>
        </w:rPr>
        <w:t>5</w:t>
      </w:r>
      <w:r>
        <w:rPr>
          <w:color w:val="auto"/>
          <w:sz w:val="28"/>
          <w:szCs w:val="28"/>
        </w:rPr>
        <w:fldChar w:fldCharType="end"/>
      </w:r>
      <w:r>
        <w:rPr>
          <w:color w:val="auto"/>
          <w:sz w:val="28"/>
          <w:szCs w:val="28"/>
        </w:rPr>
        <w:fldChar w:fldCharType="end"/>
      </w:r>
    </w:p>
    <w:p>
      <w:pPr>
        <w:pStyle w:val="28"/>
        <w:tabs>
          <w:tab w:val="right" w:leader="dot" w:pos="9514"/>
        </w:tabs>
        <w:spacing w:line="1000" w:lineRule="exact"/>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"_Toc92355025" </w:instrText>
      </w:r>
      <w:r>
        <w:rPr>
          <w:color w:val="auto"/>
        </w:rPr>
        <w:fldChar w:fldCharType="separate"/>
      </w:r>
      <w:r>
        <w:rPr>
          <w:rStyle w:val="44"/>
          <w:rFonts w:ascii="方正小标宋简体" w:eastAsia="方正小标宋简体"/>
          <w:color w:val="auto"/>
          <w:sz w:val="28"/>
          <w:szCs w:val="28"/>
        </w:rPr>
        <w:t>第三章  供应商须知</w:t>
      </w:r>
      <w:r>
        <w:rPr>
          <w:color w:val="auto"/>
          <w:sz w:val="28"/>
          <w:szCs w:val="28"/>
        </w:rPr>
        <w:tab/>
      </w:r>
      <w:r>
        <w:rPr>
          <w:color w:val="auto"/>
          <w:sz w:val="28"/>
          <w:szCs w:val="28"/>
        </w:rPr>
        <w:fldChar w:fldCharType="begin"/>
      </w:r>
      <w:r>
        <w:rPr>
          <w:color w:val="auto"/>
          <w:sz w:val="28"/>
          <w:szCs w:val="28"/>
        </w:rPr>
        <w:instrText xml:space="preserve"> PAGEREF _Toc92355025 \h </w:instrText>
      </w:r>
      <w:r>
        <w:rPr>
          <w:color w:val="auto"/>
          <w:sz w:val="28"/>
          <w:szCs w:val="28"/>
        </w:rPr>
        <w:fldChar w:fldCharType="separate"/>
      </w:r>
      <w:r>
        <w:rPr>
          <w:color w:val="auto"/>
          <w:sz w:val="28"/>
          <w:szCs w:val="28"/>
        </w:rPr>
        <w:t>13</w:t>
      </w:r>
      <w:r>
        <w:rPr>
          <w:color w:val="auto"/>
          <w:sz w:val="28"/>
          <w:szCs w:val="28"/>
        </w:rPr>
        <w:fldChar w:fldCharType="end"/>
      </w:r>
      <w:r>
        <w:rPr>
          <w:color w:val="auto"/>
          <w:sz w:val="28"/>
          <w:szCs w:val="28"/>
        </w:rPr>
        <w:fldChar w:fldCharType="end"/>
      </w:r>
    </w:p>
    <w:p>
      <w:pPr>
        <w:pStyle w:val="28"/>
        <w:tabs>
          <w:tab w:val="right" w:leader="dot" w:pos="9514"/>
        </w:tabs>
        <w:spacing w:line="1000" w:lineRule="exact"/>
        <w:rPr>
          <w:rFonts w:hint="eastAsia" w:eastAsia="宋体" w:asciiTheme="minorHAnsi" w:hAnsiTheme="minorHAnsi" w:cstheme="minorBidi"/>
          <w:color w:val="auto"/>
          <w:sz w:val="28"/>
          <w:szCs w:val="28"/>
          <w:lang w:val="en-US" w:eastAsia="zh-CN"/>
        </w:rPr>
      </w:pPr>
      <w:r>
        <w:rPr>
          <w:color w:val="auto"/>
        </w:rPr>
        <w:fldChar w:fldCharType="begin"/>
      </w:r>
      <w:r>
        <w:rPr>
          <w:color w:val="auto"/>
        </w:rPr>
        <w:instrText xml:space="preserve"> HYPERLINK \l "_Toc92355026" </w:instrText>
      </w:r>
      <w:r>
        <w:rPr>
          <w:color w:val="auto"/>
        </w:rPr>
        <w:fldChar w:fldCharType="separate"/>
      </w:r>
      <w:r>
        <w:rPr>
          <w:rStyle w:val="44"/>
          <w:rFonts w:ascii="方正小标宋_GBK" w:hAnsi="宋体" w:eastAsia="方正小标宋_GBK"/>
          <w:color w:val="auto"/>
          <w:sz w:val="28"/>
          <w:szCs w:val="28"/>
        </w:rPr>
        <w:t>第四章  评定标准及推荐原则</w:t>
      </w:r>
      <w:r>
        <w:rPr>
          <w:color w:val="auto"/>
          <w:sz w:val="28"/>
          <w:szCs w:val="28"/>
        </w:rPr>
        <w:tab/>
      </w:r>
      <w:r>
        <w:rPr>
          <w:rFonts w:hint="eastAsia"/>
          <w:color w:val="auto"/>
          <w:sz w:val="28"/>
          <w:szCs w:val="28"/>
          <w:lang w:val="en-US" w:eastAsia="zh-CN"/>
        </w:rPr>
        <w:t>2</w:t>
      </w:r>
      <w:r>
        <w:rPr>
          <w:color w:val="auto"/>
          <w:sz w:val="28"/>
          <w:szCs w:val="28"/>
        </w:rPr>
        <w:fldChar w:fldCharType="end"/>
      </w:r>
      <w:r>
        <w:rPr>
          <w:rFonts w:hint="eastAsia"/>
          <w:color w:val="auto"/>
          <w:sz w:val="28"/>
          <w:szCs w:val="28"/>
          <w:lang w:val="en-US" w:eastAsia="zh-CN"/>
        </w:rPr>
        <w:t>5</w:t>
      </w:r>
    </w:p>
    <w:p>
      <w:pPr>
        <w:pStyle w:val="28"/>
        <w:tabs>
          <w:tab w:val="right" w:leader="dot" w:pos="9514"/>
        </w:tabs>
        <w:spacing w:line="1000" w:lineRule="exact"/>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"_Toc92355027" </w:instrText>
      </w:r>
      <w:r>
        <w:rPr>
          <w:color w:val="auto"/>
        </w:rPr>
        <w:fldChar w:fldCharType="separate"/>
      </w:r>
      <w:r>
        <w:rPr>
          <w:rStyle w:val="44"/>
          <w:rFonts w:ascii="方正小标宋_GBK" w:eastAsia="方正小标宋_GBK"/>
          <w:color w:val="auto"/>
          <w:sz w:val="28"/>
          <w:szCs w:val="28"/>
        </w:rPr>
        <w:t>第五章  合同文本</w:t>
      </w:r>
      <w:r>
        <w:rPr>
          <w:color w:val="auto"/>
          <w:sz w:val="28"/>
          <w:szCs w:val="28"/>
        </w:rPr>
        <w:tab/>
      </w:r>
      <w:r>
        <w:rPr>
          <w:color w:val="auto"/>
          <w:sz w:val="28"/>
          <w:szCs w:val="28"/>
        </w:rPr>
        <w:fldChar w:fldCharType="begin"/>
      </w:r>
      <w:r>
        <w:rPr>
          <w:color w:val="auto"/>
          <w:sz w:val="28"/>
          <w:szCs w:val="28"/>
        </w:rPr>
        <w:instrText xml:space="preserve"> PAGEREF _Toc92355027 \h </w:instrText>
      </w:r>
      <w:r>
        <w:rPr>
          <w:color w:val="auto"/>
          <w:sz w:val="28"/>
          <w:szCs w:val="28"/>
        </w:rPr>
        <w:fldChar w:fldCharType="separate"/>
      </w:r>
      <w:r>
        <w:rPr>
          <w:color w:val="auto"/>
          <w:sz w:val="28"/>
          <w:szCs w:val="28"/>
        </w:rPr>
        <w:t>28</w:t>
      </w:r>
      <w:r>
        <w:rPr>
          <w:color w:val="auto"/>
          <w:sz w:val="28"/>
          <w:szCs w:val="28"/>
        </w:rPr>
        <w:fldChar w:fldCharType="end"/>
      </w:r>
      <w:r>
        <w:rPr>
          <w:color w:val="auto"/>
          <w:sz w:val="28"/>
          <w:szCs w:val="28"/>
        </w:rPr>
        <w:fldChar w:fldCharType="end"/>
      </w:r>
    </w:p>
    <w:p>
      <w:pPr>
        <w:pStyle w:val="28"/>
        <w:tabs>
          <w:tab w:val="right" w:leader="dot" w:pos="9514"/>
        </w:tabs>
        <w:spacing w:line="1000" w:lineRule="exact"/>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"_Toc92355028" </w:instrText>
      </w:r>
      <w:r>
        <w:rPr>
          <w:color w:val="auto"/>
        </w:rPr>
        <w:fldChar w:fldCharType="separate"/>
      </w:r>
      <w:r>
        <w:rPr>
          <w:rStyle w:val="44"/>
          <w:rFonts w:ascii="方正小标宋_GBK" w:hAnsi="方正小标宋_GBK" w:eastAsia="方正小标宋_GBK"/>
          <w:color w:val="auto"/>
          <w:sz w:val="28"/>
          <w:szCs w:val="28"/>
        </w:rPr>
        <w:t>第六章  响应文件格式</w:t>
      </w:r>
      <w:r>
        <w:rPr>
          <w:color w:val="auto"/>
          <w:sz w:val="28"/>
          <w:szCs w:val="28"/>
        </w:rPr>
        <w:tab/>
      </w:r>
      <w:r>
        <w:rPr>
          <w:color w:val="auto"/>
          <w:sz w:val="28"/>
          <w:szCs w:val="28"/>
        </w:rPr>
        <w:fldChar w:fldCharType="begin"/>
      </w:r>
      <w:r>
        <w:rPr>
          <w:color w:val="auto"/>
          <w:sz w:val="28"/>
          <w:szCs w:val="28"/>
        </w:rPr>
        <w:instrText xml:space="preserve"> PAGEREF _Toc92355028 \h </w:instrText>
      </w:r>
      <w:r>
        <w:rPr>
          <w:color w:val="auto"/>
          <w:sz w:val="28"/>
          <w:szCs w:val="28"/>
        </w:rPr>
        <w:fldChar w:fldCharType="separate"/>
      </w:r>
      <w:r>
        <w:rPr>
          <w:color w:val="auto"/>
          <w:sz w:val="28"/>
          <w:szCs w:val="28"/>
        </w:rPr>
        <w:t>35</w:t>
      </w:r>
      <w:r>
        <w:rPr>
          <w:color w:val="auto"/>
          <w:sz w:val="28"/>
          <w:szCs w:val="28"/>
        </w:rPr>
        <w:fldChar w:fldCharType="end"/>
      </w:r>
      <w:r>
        <w:rPr>
          <w:color w:val="auto"/>
          <w:sz w:val="28"/>
          <w:szCs w:val="28"/>
        </w:rPr>
        <w:fldChar w:fldCharType="end"/>
      </w:r>
    </w:p>
    <w:p>
      <w:pPr>
        <w:rPr>
          <w:color w:val="auto"/>
        </w:r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color w:val="auto"/>
        </w:rPr>
        <w:fldChar w:fldCharType="end"/>
      </w:r>
    </w:p>
    <w:p>
      <w:pPr>
        <w:rPr>
          <w:color w:val="auto"/>
        </w:rPr>
      </w:pPr>
    </w:p>
    <w:p>
      <w:pPr>
        <w:widowControl/>
        <w:jc w:val="left"/>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3"/>
        <w:spacing w:line="400" w:lineRule="exact"/>
        <w:rPr>
          <w:rFonts w:ascii="方正小标宋_GBK" w:hAnsi="宋体" w:eastAsia="方正小标宋_GBK"/>
          <w:color w:val="auto"/>
        </w:rPr>
      </w:pPr>
      <w:bookmarkStart w:id="2" w:name="_Toc92355023"/>
      <w:r>
        <w:rPr>
          <w:rFonts w:hint="eastAsia" w:ascii="方正小标宋_GBK" w:hAnsi="宋体" w:eastAsia="方正小标宋_GBK"/>
          <w:color w:val="auto"/>
        </w:rPr>
        <w:t>第一章  竞争性磋商公告</w:t>
      </w:r>
      <w:bookmarkEnd w:id="1"/>
      <w:bookmarkEnd w:id="2"/>
    </w:p>
    <w:p>
      <w:pPr>
        <w:spacing w:line="600" w:lineRule="exact"/>
        <w:jc w:val="center"/>
        <w:rPr>
          <w:rFonts w:ascii="黑体" w:hAnsi="宋体" w:eastAsia="黑体"/>
          <w:b/>
          <w:color w:val="auto"/>
          <w:sz w:val="32"/>
          <w:szCs w:val="32"/>
        </w:rPr>
      </w:pPr>
      <w:r>
        <w:rPr>
          <w:rFonts w:ascii="黑体" w:hAnsi="宋体" w:eastAsia="黑体"/>
          <w:b/>
          <w:color w:val="auto"/>
          <w:sz w:val="32"/>
          <w:szCs w:val="32"/>
        </w:rPr>
        <w:br w:type="page"/>
      </w:r>
    </w:p>
    <w:p>
      <w:pPr>
        <w:rPr>
          <w:color w:val="auto"/>
        </w:rPr>
      </w:pPr>
    </w:p>
    <w:p>
      <w:pPr>
        <w:spacing w:line="600" w:lineRule="exact"/>
        <w:jc w:val="center"/>
        <w:rPr>
          <w:rFonts w:ascii="方正小标宋_GBK" w:hAnsi="宋体" w:eastAsia="方正小标宋_GBK"/>
          <w:b/>
          <w:color w:val="auto"/>
          <w:sz w:val="34"/>
          <w:szCs w:val="34"/>
        </w:rPr>
      </w:pPr>
      <w:r>
        <w:rPr>
          <w:rFonts w:hint="eastAsia" w:ascii="方正小标宋_GBK" w:hAnsi="宋体" w:eastAsia="方正小标宋_GBK"/>
          <w:b/>
          <w:color w:val="auto"/>
          <w:sz w:val="34"/>
          <w:szCs w:val="34"/>
        </w:rPr>
        <w:t>钦州市政府采购中心关于</w:t>
      </w:r>
      <w:r>
        <w:rPr>
          <w:rFonts w:hint="eastAsia" w:ascii="方正小标宋_GBK" w:hAnsi="宋体" w:eastAsia="方正小标宋_GBK"/>
          <w:b/>
          <w:color w:val="auto"/>
          <w:sz w:val="34"/>
          <w:szCs w:val="34"/>
          <w:lang w:val="en-US" w:eastAsia="zh-CN"/>
        </w:rPr>
        <w:t>2026年钦州市图书馆物业管理服务</w:t>
      </w:r>
      <w:r>
        <w:rPr>
          <w:rFonts w:hint="eastAsia" w:ascii="方正小标宋_GBK" w:hAnsi="宋体" w:eastAsia="方正小标宋_GBK"/>
          <w:b/>
          <w:color w:val="auto"/>
          <w:sz w:val="34"/>
          <w:szCs w:val="34"/>
        </w:rPr>
        <w:t>(</w:t>
      </w:r>
      <w:r>
        <w:rPr>
          <w:rFonts w:hint="eastAsia" w:ascii="方正小标宋_GBK" w:hAnsi="宋体" w:eastAsia="方正小标宋_GBK"/>
          <w:b/>
          <w:color w:val="auto"/>
          <w:sz w:val="34"/>
          <w:szCs w:val="34"/>
          <w:lang w:eastAsia="zh-CN"/>
        </w:rPr>
        <w:t>QZZC2026-C3-990122-QZSZ</w:t>
      </w:r>
      <w:r>
        <w:rPr>
          <w:rFonts w:hint="eastAsia" w:ascii="方正小标宋_GBK" w:hAnsi="宋体" w:eastAsia="方正小标宋_GBK"/>
          <w:b/>
          <w:color w:val="auto"/>
          <w:sz w:val="34"/>
          <w:szCs w:val="34"/>
        </w:rPr>
        <w:t>)的竞争性磋商公告</w:t>
      </w:r>
    </w:p>
    <w:p>
      <w:pPr>
        <w:pBdr>
          <w:top w:val="single" w:color="auto" w:sz="4" w:space="0"/>
          <w:left w:val="single" w:color="auto" w:sz="4" w:space="4"/>
          <w:bottom w:val="single" w:color="auto" w:sz="4" w:space="1"/>
          <w:right w:val="single" w:color="auto" w:sz="4" w:space="4"/>
        </w:pBdr>
        <w:spacing w:line="400" w:lineRule="exact"/>
        <w:rPr>
          <w:rFonts w:ascii="方正小标宋简体" w:hAnsi="宋体" w:eastAsia="方正小标宋简体"/>
          <w:b/>
          <w:color w:val="auto"/>
          <w:sz w:val="32"/>
          <w:szCs w:val="32"/>
        </w:rPr>
      </w:pPr>
      <w:bookmarkStart w:id="3" w:name="_Toc38370138"/>
      <w:r>
        <w:rPr>
          <w:rFonts w:hint="eastAsia" w:ascii="宋体" w:hAnsi="宋体"/>
          <w:color w:val="auto"/>
          <w:szCs w:val="21"/>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ascii="宋体" w:hAnsi="宋体"/>
          <w:color w:val="auto"/>
          <w:szCs w:val="21"/>
        </w:rPr>
      </w:pPr>
      <w:r>
        <w:rPr>
          <w:rFonts w:hint="eastAsia" w:ascii="宋体" w:hAnsi="宋体"/>
          <w:color w:val="auto"/>
          <w:szCs w:val="21"/>
          <w:lang w:val="en-US" w:eastAsia="zh-CN"/>
        </w:rPr>
        <w:t>2026年钦州市图书馆物业管理服务</w:t>
      </w:r>
      <w:r>
        <w:rPr>
          <w:rFonts w:hint="eastAsia" w:ascii="宋体" w:hAnsi="宋体"/>
          <w:color w:val="auto"/>
          <w:szCs w:val="21"/>
        </w:rPr>
        <w:t>项目的潜在供应商应在广西政府采购云平台（https://www.gcy.zfcg.gxzf.gov.cn/）获取采购文件，并于</w:t>
      </w:r>
      <w:bookmarkStart w:id="4" w:name="OLE_LINK3"/>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bCs/>
          <w:color w:val="auto"/>
          <w:szCs w:val="21"/>
        </w:rPr>
        <w:t>年</w:t>
      </w:r>
      <w:r>
        <w:rPr>
          <w:rFonts w:hint="eastAsia" w:ascii="宋体" w:hAnsi="宋体"/>
          <w:bCs/>
          <w:color w:val="auto"/>
          <w:szCs w:val="21"/>
          <w:lang w:val="en-US" w:eastAsia="zh-CN"/>
        </w:rPr>
        <w:t>5</w:t>
      </w:r>
      <w:r>
        <w:rPr>
          <w:rFonts w:hint="eastAsia" w:ascii="宋体" w:hAnsi="宋体"/>
          <w:bCs/>
          <w:color w:val="auto"/>
          <w:szCs w:val="21"/>
        </w:rPr>
        <w:t>月</w:t>
      </w:r>
      <w:r>
        <w:rPr>
          <w:rFonts w:hint="eastAsia" w:ascii="宋体" w:hAnsi="宋体"/>
          <w:bCs/>
          <w:color w:val="auto"/>
          <w:szCs w:val="21"/>
          <w:lang w:val="en-US" w:eastAsia="zh-CN"/>
        </w:rPr>
        <w:t>8</w:t>
      </w:r>
      <w:r>
        <w:rPr>
          <w:rFonts w:hint="eastAsia" w:ascii="宋体" w:hAnsi="宋体"/>
          <w:bCs/>
          <w:color w:val="auto"/>
          <w:szCs w:val="21"/>
        </w:rPr>
        <w:t>日</w:t>
      </w:r>
      <w:bookmarkEnd w:id="4"/>
      <w:r>
        <w:rPr>
          <w:rFonts w:hint="eastAsia"/>
          <w:color w:val="auto"/>
          <w:lang w:val="en-US" w:eastAsia="zh-CN"/>
        </w:rPr>
        <w:t>9</w:t>
      </w:r>
      <w:r>
        <w:rPr>
          <w:color w:val="auto"/>
        </w:rPr>
        <w:t>:</w:t>
      </w:r>
      <w:r>
        <w:rPr>
          <w:rFonts w:hint="eastAsia"/>
          <w:color w:val="auto"/>
          <w:lang w:val="en-US" w:eastAsia="zh-CN"/>
        </w:rPr>
        <w:t>30</w:t>
      </w:r>
      <w:r>
        <w:rPr>
          <w:rFonts w:hint="eastAsia" w:ascii="宋体" w:hAnsi="宋体"/>
          <w:bCs/>
          <w:color w:val="auto"/>
          <w:szCs w:val="21"/>
        </w:rPr>
        <w:t>（北京时间）前提交响应</w:t>
      </w:r>
      <w:r>
        <w:rPr>
          <w:rFonts w:ascii="宋体" w:hAnsi="宋体"/>
          <w:bCs/>
          <w:color w:val="auto"/>
          <w:szCs w:val="21"/>
        </w:rPr>
        <w:t>文件</w:t>
      </w:r>
      <w:r>
        <w:rPr>
          <w:rFonts w:hint="eastAsia" w:ascii="宋体" w:hAnsi="宋体"/>
          <w:color w:val="auto"/>
          <w:szCs w:val="21"/>
        </w:rPr>
        <w:t>。</w:t>
      </w:r>
    </w:p>
    <w:bookmarkEnd w:id="3"/>
    <w:p>
      <w:pPr>
        <w:spacing w:line="400" w:lineRule="exact"/>
        <w:rPr>
          <w:b/>
          <w:color w:val="auto"/>
        </w:rPr>
      </w:pPr>
      <w:bookmarkStart w:id="5" w:name="_Toc35393621"/>
      <w:bookmarkStart w:id="6" w:name="_Toc28359079"/>
      <w:bookmarkStart w:id="7" w:name="_Toc28359002"/>
      <w:bookmarkStart w:id="8" w:name="_Toc35393790"/>
      <w:bookmarkStart w:id="9" w:name="_Hlk24379207"/>
      <w:bookmarkStart w:id="10" w:name="_Toc38370146"/>
      <w:r>
        <w:rPr>
          <w:rFonts w:hint="eastAsia"/>
          <w:b/>
          <w:color w:val="auto"/>
        </w:rPr>
        <w:t>一、项目基本情况</w:t>
      </w:r>
      <w:bookmarkEnd w:id="5"/>
      <w:bookmarkEnd w:id="6"/>
      <w:bookmarkEnd w:id="7"/>
      <w:bookmarkEnd w:id="8"/>
    </w:p>
    <w:p>
      <w:pPr>
        <w:spacing w:line="400" w:lineRule="exact"/>
        <w:ind w:firstLine="420"/>
        <w:rPr>
          <w:rFonts w:hint="eastAsia" w:eastAsia="宋体"/>
          <w:color w:val="auto"/>
          <w:lang w:eastAsia="zh-CN"/>
        </w:rPr>
      </w:pPr>
      <w:r>
        <w:rPr>
          <w:rFonts w:hint="eastAsia"/>
          <w:color w:val="auto"/>
        </w:rPr>
        <w:t>项目编号：</w:t>
      </w:r>
      <w:r>
        <w:rPr>
          <w:rFonts w:hint="eastAsia" w:ascii="宋体" w:hAnsi="宋体"/>
          <w:bCs/>
          <w:color w:val="auto"/>
          <w:lang w:eastAsia="zh-CN"/>
        </w:rPr>
        <w:t>QZZC2026-C3-990122-QZSZ</w:t>
      </w:r>
    </w:p>
    <w:p>
      <w:pPr>
        <w:spacing w:line="400" w:lineRule="exact"/>
        <w:ind w:firstLine="420"/>
        <w:rPr>
          <w:color w:val="auto"/>
        </w:rPr>
      </w:pPr>
      <w:r>
        <w:rPr>
          <w:rFonts w:hint="eastAsia"/>
          <w:color w:val="auto"/>
        </w:rPr>
        <w:t>项目名称：</w:t>
      </w:r>
      <w:r>
        <w:rPr>
          <w:rFonts w:hint="eastAsia" w:ascii="宋体" w:hAnsi="宋体"/>
          <w:color w:val="auto"/>
          <w:szCs w:val="21"/>
          <w:lang w:val="en-US" w:eastAsia="zh-CN"/>
        </w:rPr>
        <w:t>2026年钦州市图书馆物业管理服务</w:t>
      </w:r>
    </w:p>
    <w:bookmarkEnd w:id="9"/>
    <w:p>
      <w:pPr>
        <w:spacing w:line="400" w:lineRule="exact"/>
        <w:ind w:firstLine="420"/>
        <w:rPr>
          <w:rFonts w:hint="default"/>
          <w:color w:val="auto"/>
          <w:lang w:val="en-US" w:eastAsia="zh-CN"/>
        </w:rPr>
      </w:pPr>
      <w:r>
        <w:rPr>
          <w:rFonts w:hint="eastAsia"/>
          <w:color w:val="auto"/>
        </w:rPr>
        <w:t>预算总金额</w:t>
      </w:r>
      <w:r>
        <w:rPr>
          <w:rFonts w:hint="eastAsia" w:ascii="宋体" w:hAnsi="宋体"/>
          <w:color w:val="auto"/>
          <w:szCs w:val="21"/>
          <w:lang w:val="en-US" w:eastAsia="zh-CN"/>
        </w:rPr>
        <w:t>(</w:t>
      </w:r>
      <w:r>
        <w:rPr>
          <w:rFonts w:hint="eastAsia"/>
          <w:color w:val="auto"/>
          <w:lang w:val="en-US" w:eastAsia="zh-CN"/>
        </w:rPr>
        <w:t>元)：</w:t>
      </w:r>
      <w:r>
        <w:rPr>
          <w:rFonts w:hint="eastAsia"/>
          <w:color w:val="auto"/>
        </w:rPr>
        <w:t>770,000.00</w:t>
      </w:r>
    </w:p>
    <w:p>
      <w:pPr>
        <w:spacing w:line="400" w:lineRule="exact"/>
        <w:ind w:firstLine="420"/>
        <w:rPr>
          <w:color w:val="auto"/>
        </w:rPr>
      </w:pPr>
      <w:r>
        <w:rPr>
          <w:rFonts w:hint="eastAsia"/>
          <w:color w:val="auto"/>
        </w:rPr>
        <w:t>采购需求：</w:t>
      </w:r>
    </w:p>
    <w:p>
      <w:pPr>
        <w:spacing w:line="400" w:lineRule="exact"/>
        <w:ind w:firstLine="420"/>
        <w:rPr>
          <w:color w:val="auto"/>
        </w:rPr>
      </w:pPr>
    </w:p>
    <w:p>
      <w:pPr>
        <w:spacing w:line="400" w:lineRule="exact"/>
        <w:ind w:firstLine="420"/>
        <w:rPr>
          <w:bCs/>
          <w:color w:val="auto"/>
        </w:rPr>
      </w:pPr>
      <w:r>
        <w:rPr>
          <w:rFonts w:hint="eastAsia"/>
          <w:color w:val="auto"/>
        </w:rPr>
        <w:t>标项名称：</w:t>
      </w:r>
      <w:r>
        <w:rPr>
          <w:rFonts w:hint="eastAsia" w:ascii="宋体" w:hAnsi="宋体"/>
          <w:color w:val="auto"/>
          <w:szCs w:val="21"/>
          <w:lang w:val="en-US" w:eastAsia="zh-CN"/>
        </w:rPr>
        <w:t>2026年钦州市图书馆物业管理服务</w:t>
      </w:r>
    </w:p>
    <w:p>
      <w:pPr>
        <w:spacing w:line="400" w:lineRule="exact"/>
        <w:ind w:firstLine="420"/>
        <w:rPr>
          <w:rFonts w:hint="eastAsia" w:eastAsia="宋体"/>
          <w:color w:val="auto"/>
          <w:lang w:val="en-US" w:eastAsia="zh-CN"/>
        </w:rPr>
      </w:pPr>
      <w:r>
        <w:rPr>
          <w:rFonts w:hint="eastAsia"/>
          <w:bCs/>
          <w:color w:val="auto"/>
        </w:rPr>
        <w:t>数量：</w:t>
      </w:r>
      <w:r>
        <w:rPr>
          <w:rFonts w:hint="eastAsia"/>
          <w:bCs/>
          <w:color w:val="auto"/>
          <w:lang w:val="en-US" w:eastAsia="zh-CN"/>
        </w:rPr>
        <w:t>1</w:t>
      </w:r>
    </w:p>
    <w:p>
      <w:pPr>
        <w:spacing w:line="400" w:lineRule="exact"/>
        <w:ind w:firstLine="420"/>
        <w:rPr>
          <w:rFonts w:hint="eastAsia"/>
          <w:color w:val="auto"/>
        </w:rPr>
      </w:pPr>
      <w:r>
        <w:rPr>
          <w:rFonts w:hint="eastAsia"/>
          <w:color w:val="auto"/>
        </w:rPr>
        <w:t>预算金额(元)：770,000.00</w:t>
      </w:r>
    </w:p>
    <w:p>
      <w:pPr>
        <w:spacing w:line="400" w:lineRule="exact"/>
        <w:ind w:firstLine="420"/>
        <w:rPr>
          <w:rFonts w:hint="default" w:eastAsia="宋体"/>
          <w:color w:val="auto"/>
          <w:lang w:val="en-US" w:eastAsia="zh-CN"/>
        </w:rPr>
      </w:pPr>
      <w:r>
        <w:rPr>
          <w:rFonts w:hint="eastAsia"/>
          <w:color w:val="auto"/>
        </w:rPr>
        <w:t>简要规格描述或项目基本概况介绍、用途：</w:t>
      </w:r>
      <w:r>
        <w:rPr>
          <w:rFonts w:hint="eastAsia" w:ascii="宋体" w:hAnsi="宋体"/>
          <w:color w:val="auto"/>
          <w:szCs w:val="21"/>
          <w:lang w:val="en-US" w:eastAsia="zh-CN"/>
        </w:rPr>
        <w:t>2026年钦州市图书馆物业管理服务，</w:t>
      </w:r>
      <w:r>
        <w:rPr>
          <w:rFonts w:hint="eastAsia"/>
          <w:color w:val="auto"/>
          <w:lang w:val="en-US" w:eastAsia="zh-CN"/>
        </w:rPr>
        <w:t>详见采购文件第二章《项目需求》</w:t>
      </w:r>
    </w:p>
    <w:p>
      <w:pPr>
        <w:spacing w:line="400" w:lineRule="exact"/>
        <w:ind w:firstLine="420"/>
        <w:rPr>
          <w:color w:val="auto"/>
        </w:rPr>
      </w:pPr>
      <w:r>
        <w:rPr>
          <w:rFonts w:hint="eastAsia"/>
          <w:color w:val="auto"/>
        </w:rPr>
        <w:t>最高限价(如有</w:t>
      </w:r>
      <w:r>
        <w:rPr>
          <w:color w:val="auto"/>
        </w:rPr>
        <w:t>)</w:t>
      </w:r>
      <w:r>
        <w:rPr>
          <w:rFonts w:hint="eastAsia"/>
          <w:color w:val="auto"/>
        </w:rPr>
        <w:t>：</w:t>
      </w:r>
    </w:p>
    <w:p>
      <w:pPr>
        <w:spacing w:line="400" w:lineRule="exact"/>
        <w:ind w:firstLine="420"/>
        <w:rPr>
          <w:rFonts w:hint="eastAsia" w:eastAsia="宋体"/>
          <w:color w:val="auto"/>
          <w:lang w:val="en-US" w:eastAsia="zh-CN"/>
        </w:rPr>
      </w:pPr>
      <w:r>
        <w:rPr>
          <w:rFonts w:hint="eastAsia"/>
          <w:color w:val="auto"/>
        </w:rPr>
        <w:t>合同履行期限：</w:t>
      </w:r>
      <w:bookmarkStart w:id="11" w:name="OLE_LINK7"/>
      <w:r>
        <w:rPr>
          <w:rFonts w:hint="eastAsia"/>
          <w:color w:val="auto"/>
        </w:rPr>
        <w:t>合同签订之日起1年</w:t>
      </w:r>
      <w:bookmarkEnd w:id="11"/>
      <w:r>
        <w:rPr>
          <w:rFonts w:hint="eastAsia"/>
          <w:color w:val="auto"/>
        </w:rPr>
        <w:t>。</w:t>
      </w:r>
    </w:p>
    <w:p>
      <w:pPr>
        <w:spacing w:line="400" w:lineRule="exact"/>
        <w:ind w:firstLine="420"/>
        <w:rPr>
          <w:color w:val="auto"/>
        </w:rPr>
      </w:pPr>
      <w:r>
        <w:rPr>
          <w:rFonts w:hint="eastAsia"/>
          <w:color w:val="auto"/>
        </w:rPr>
        <w:t>本标项</w:t>
      </w:r>
      <w:r>
        <w:rPr>
          <w:rFonts w:hint="eastAsia"/>
          <w:color w:val="auto"/>
          <w:lang w:val="en-US" w:eastAsia="zh-CN"/>
        </w:rPr>
        <w:t>（否）</w:t>
      </w:r>
      <w:r>
        <w:rPr>
          <w:rFonts w:hint="eastAsia"/>
          <w:color w:val="auto"/>
        </w:rPr>
        <w:t>接受联合体投标。</w:t>
      </w:r>
    </w:p>
    <w:p>
      <w:pPr>
        <w:spacing w:line="400" w:lineRule="exact"/>
        <w:ind w:firstLine="420"/>
        <w:rPr>
          <w:color w:val="auto"/>
        </w:rPr>
      </w:pPr>
      <w:r>
        <w:rPr>
          <w:rFonts w:hint="eastAsia"/>
          <w:color w:val="auto"/>
        </w:rPr>
        <w:t>备注：</w:t>
      </w:r>
    </w:p>
    <w:p>
      <w:pPr>
        <w:spacing w:line="400" w:lineRule="exact"/>
        <w:ind w:firstLine="420"/>
        <w:rPr>
          <w:color w:val="auto"/>
        </w:rPr>
      </w:pPr>
    </w:p>
    <w:p>
      <w:pPr>
        <w:spacing w:line="400" w:lineRule="exact"/>
        <w:rPr>
          <w:b/>
          <w:color w:val="auto"/>
        </w:rPr>
      </w:pPr>
      <w:bookmarkStart w:id="12" w:name="_Toc28359003"/>
      <w:bookmarkStart w:id="13" w:name="_Toc35393622"/>
      <w:bookmarkStart w:id="14" w:name="_Toc28359080"/>
      <w:bookmarkStart w:id="15" w:name="_Toc35393791"/>
      <w:r>
        <w:rPr>
          <w:rFonts w:hint="eastAsia"/>
          <w:b/>
          <w:color w:val="auto"/>
        </w:rPr>
        <w:t>二、申请人的资格要求：</w:t>
      </w:r>
      <w:bookmarkEnd w:id="12"/>
      <w:bookmarkEnd w:id="13"/>
      <w:bookmarkEnd w:id="14"/>
      <w:bookmarkEnd w:id="15"/>
      <w:bookmarkStart w:id="16" w:name="_Toc35393792"/>
      <w:bookmarkStart w:id="17" w:name="_Toc28359004"/>
      <w:bookmarkStart w:id="18" w:name="_Toc28359081"/>
      <w:bookmarkStart w:id="19" w:name="_Toc35393623"/>
    </w:p>
    <w:p>
      <w:pPr>
        <w:spacing w:line="400" w:lineRule="exact"/>
        <w:ind w:firstLine="420"/>
        <w:rPr>
          <w:b/>
          <w:color w:val="auto"/>
        </w:rPr>
      </w:pPr>
      <w:bookmarkStart w:id="20" w:name="_Hlk111714912"/>
      <w:r>
        <w:rPr>
          <w:rFonts w:hint="eastAsia"/>
          <w:color w:val="auto"/>
        </w:rPr>
        <w:t>1.满足《中华人民共和国政府采购法》第二十二条规定</w:t>
      </w:r>
    </w:p>
    <w:p>
      <w:pPr>
        <w:spacing w:line="400" w:lineRule="exact"/>
        <w:ind w:firstLine="420"/>
        <w:rPr>
          <w:rFonts w:hint="eastAsia" w:ascii="宋体" w:hAnsi="宋体" w:eastAsia="宋体"/>
          <w:color w:val="auto"/>
          <w:szCs w:val="21"/>
          <w:lang w:eastAsia="zh-CN"/>
        </w:rPr>
      </w:pPr>
      <w:r>
        <w:rPr>
          <w:rFonts w:hint="eastAsia"/>
          <w:color w:val="auto"/>
        </w:rPr>
        <w:t>2.落实政府采购政策需满足的资格要求：本项目为中小企业预留项目，参加本项目竞标的供应商必须为中小微企业或监狱企业或残疾人福利性单位</w:t>
      </w:r>
      <w:r>
        <w:rPr>
          <w:rFonts w:hint="eastAsia"/>
          <w:color w:val="auto"/>
          <w:lang w:eastAsia="zh-CN"/>
        </w:rPr>
        <w:t>。</w:t>
      </w:r>
    </w:p>
    <w:p>
      <w:pPr>
        <w:spacing w:line="400" w:lineRule="exact"/>
        <w:ind w:firstLine="435"/>
        <w:rPr>
          <w:color w:val="auto"/>
        </w:rPr>
      </w:pPr>
      <w:r>
        <w:rPr>
          <w:rFonts w:hint="eastAsia"/>
          <w:color w:val="auto"/>
        </w:rPr>
        <w:t>3.本项目的特定资格要求：无</w:t>
      </w:r>
    </w:p>
    <w:bookmarkEnd w:id="20"/>
    <w:p>
      <w:pPr>
        <w:spacing w:line="400" w:lineRule="exact"/>
        <w:rPr>
          <w:b/>
          <w:color w:val="auto"/>
        </w:rPr>
      </w:pPr>
      <w:r>
        <w:rPr>
          <w:rFonts w:hint="eastAsia"/>
          <w:b/>
          <w:color w:val="auto"/>
        </w:rPr>
        <w:t>三、获取采购文件</w:t>
      </w:r>
      <w:bookmarkEnd w:id="16"/>
      <w:bookmarkEnd w:id="17"/>
      <w:bookmarkEnd w:id="18"/>
      <w:bookmarkEnd w:id="19"/>
    </w:p>
    <w:p>
      <w:pPr>
        <w:spacing w:line="400" w:lineRule="exact"/>
        <w:ind w:firstLine="420"/>
        <w:jc w:val="left"/>
        <w:rPr>
          <w:color w:val="auto"/>
        </w:rPr>
      </w:pPr>
      <w:bookmarkStart w:id="21" w:name="_Toc38370141"/>
      <w:r>
        <w:rPr>
          <w:rFonts w:hint="eastAsia"/>
          <w:color w:val="auto"/>
        </w:rPr>
        <w:t>时间：</w:t>
      </w: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bCs/>
          <w:color w:val="auto"/>
          <w:szCs w:val="21"/>
        </w:rPr>
        <w:t>年</w:t>
      </w:r>
      <w:r>
        <w:rPr>
          <w:rFonts w:hint="eastAsia" w:ascii="宋体" w:hAnsi="宋体"/>
          <w:bCs/>
          <w:color w:val="auto"/>
          <w:szCs w:val="21"/>
          <w:lang w:val="en-US" w:eastAsia="zh-CN"/>
        </w:rPr>
        <w:t>4</w:t>
      </w:r>
      <w:r>
        <w:rPr>
          <w:rFonts w:hint="eastAsia" w:ascii="宋体" w:hAnsi="宋体"/>
          <w:bCs/>
          <w:color w:val="auto"/>
          <w:szCs w:val="21"/>
        </w:rPr>
        <w:t>月</w:t>
      </w:r>
      <w:r>
        <w:rPr>
          <w:rFonts w:hint="eastAsia" w:ascii="宋体" w:hAnsi="宋体"/>
          <w:bCs/>
          <w:color w:val="auto"/>
          <w:szCs w:val="21"/>
          <w:lang w:val="en-US" w:eastAsia="zh-CN"/>
        </w:rPr>
        <w:t>24</w:t>
      </w:r>
      <w:r>
        <w:rPr>
          <w:rFonts w:hint="eastAsia" w:ascii="宋体" w:hAnsi="宋体"/>
          <w:bCs/>
          <w:color w:val="auto"/>
          <w:szCs w:val="21"/>
        </w:rPr>
        <w:t>日</w:t>
      </w:r>
      <w:r>
        <w:rPr>
          <w:rFonts w:hint="eastAsia"/>
          <w:color w:val="auto"/>
        </w:rPr>
        <w:t>至</w:t>
      </w: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bCs/>
          <w:color w:val="auto"/>
          <w:szCs w:val="21"/>
        </w:rPr>
        <w:t>年</w:t>
      </w:r>
      <w:r>
        <w:rPr>
          <w:rFonts w:hint="eastAsia" w:ascii="宋体" w:hAnsi="宋体"/>
          <w:bCs/>
          <w:color w:val="auto"/>
          <w:szCs w:val="21"/>
          <w:lang w:val="en-US" w:eastAsia="zh-CN"/>
        </w:rPr>
        <w:t>5</w:t>
      </w:r>
      <w:r>
        <w:rPr>
          <w:rFonts w:hint="eastAsia" w:ascii="宋体" w:hAnsi="宋体"/>
          <w:bCs/>
          <w:color w:val="auto"/>
          <w:szCs w:val="21"/>
        </w:rPr>
        <w:t>月</w:t>
      </w:r>
      <w:r>
        <w:rPr>
          <w:rFonts w:hint="eastAsia" w:ascii="宋体" w:hAnsi="宋体"/>
          <w:bCs/>
          <w:color w:val="auto"/>
          <w:szCs w:val="21"/>
          <w:lang w:val="en-US" w:eastAsia="zh-CN"/>
        </w:rPr>
        <w:t>6</w:t>
      </w:r>
      <w:r>
        <w:rPr>
          <w:rFonts w:hint="eastAsia" w:ascii="宋体" w:hAnsi="宋体"/>
          <w:bCs/>
          <w:color w:val="auto"/>
          <w:szCs w:val="21"/>
        </w:rPr>
        <w:t>日</w:t>
      </w:r>
      <w:r>
        <w:rPr>
          <w:rFonts w:hint="eastAsia"/>
          <w:color w:val="auto"/>
        </w:rPr>
        <w:t>，每天上午00:00至12:00，下午12:00至23:59（北京时间，法定节假日除外）</w:t>
      </w:r>
    </w:p>
    <w:p>
      <w:pPr>
        <w:spacing w:line="400" w:lineRule="exact"/>
        <w:ind w:firstLine="420"/>
        <w:rPr>
          <w:color w:val="auto"/>
        </w:rPr>
      </w:pPr>
      <w:r>
        <w:rPr>
          <w:rFonts w:hint="eastAsia"/>
          <w:color w:val="auto"/>
        </w:rPr>
        <w:t>地点(网址</w:t>
      </w:r>
      <w:r>
        <w:rPr>
          <w:color w:val="auto"/>
        </w:rPr>
        <w:t>)</w:t>
      </w:r>
      <w:r>
        <w:rPr>
          <w:rFonts w:hint="eastAsia"/>
          <w:color w:val="auto"/>
        </w:rPr>
        <w:t>：</w:t>
      </w:r>
      <w:bookmarkStart w:id="22" w:name="_Hlk164066481"/>
      <w:bookmarkStart w:id="23" w:name="OLE_LINK8"/>
      <w:r>
        <w:rPr>
          <w:rFonts w:hint="eastAsia" w:ascii="宋体" w:hAnsi="宋体"/>
          <w:color w:val="auto"/>
          <w:szCs w:val="21"/>
        </w:rPr>
        <w:t>广西政府采购云平台（https://www.gcy.zfcg.gxzf.gov.cn/）</w:t>
      </w:r>
      <w:bookmarkEnd w:id="22"/>
      <w:bookmarkEnd w:id="23"/>
    </w:p>
    <w:p>
      <w:pPr>
        <w:spacing w:line="400" w:lineRule="exact"/>
        <w:ind w:firstLine="420"/>
        <w:rPr>
          <w:color w:val="auto"/>
        </w:rPr>
      </w:pPr>
      <w:r>
        <w:rPr>
          <w:rFonts w:hint="eastAsia"/>
          <w:color w:val="auto"/>
        </w:rPr>
        <w:t>方式：供应商登录广西政府采购云平台(以下称“政采云平台”)在线获取采购文件（进入“项目采购”应用选择项目，获取采购文件）</w:t>
      </w:r>
    </w:p>
    <w:p>
      <w:pPr>
        <w:spacing w:line="400" w:lineRule="exact"/>
        <w:ind w:firstLine="420"/>
        <w:rPr>
          <w:color w:val="auto"/>
        </w:rPr>
      </w:pPr>
      <w:r>
        <w:rPr>
          <w:rFonts w:hint="eastAsia"/>
          <w:color w:val="auto"/>
        </w:rPr>
        <w:t>售价(元</w:t>
      </w:r>
      <w:r>
        <w:rPr>
          <w:color w:val="auto"/>
        </w:rPr>
        <w:t>)</w:t>
      </w:r>
      <w:r>
        <w:rPr>
          <w:rFonts w:hint="eastAsia"/>
          <w:color w:val="auto"/>
        </w:rPr>
        <w:t>：0</w:t>
      </w:r>
    </w:p>
    <w:p>
      <w:pPr>
        <w:spacing w:line="400" w:lineRule="exact"/>
        <w:rPr>
          <w:b/>
          <w:color w:val="auto"/>
        </w:rPr>
      </w:pPr>
      <w:r>
        <w:rPr>
          <w:rFonts w:hint="eastAsia"/>
          <w:b/>
          <w:bCs/>
          <w:color w:val="auto"/>
        </w:rPr>
        <w:t>四、</w:t>
      </w:r>
      <w:bookmarkEnd w:id="21"/>
      <w:bookmarkStart w:id="24" w:name="_Toc28359082"/>
      <w:bookmarkStart w:id="25" w:name="_Toc28359005"/>
      <w:bookmarkStart w:id="26" w:name="_Toc35393624"/>
      <w:bookmarkStart w:id="27" w:name="_Toc35393793"/>
      <w:r>
        <w:rPr>
          <w:rFonts w:hint="eastAsia"/>
          <w:b/>
          <w:color w:val="auto"/>
        </w:rPr>
        <w:t>响应文件</w:t>
      </w:r>
      <w:bookmarkEnd w:id="24"/>
      <w:bookmarkEnd w:id="25"/>
      <w:r>
        <w:rPr>
          <w:rFonts w:hint="eastAsia"/>
          <w:b/>
          <w:color w:val="auto"/>
        </w:rPr>
        <w:t>提交</w:t>
      </w:r>
      <w:bookmarkEnd w:id="26"/>
      <w:bookmarkEnd w:id="27"/>
    </w:p>
    <w:p>
      <w:pPr>
        <w:spacing w:line="400" w:lineRule="exact"/>
        <w:ind w:firstLine="420"/>
        <w:rPr>
          <w:color w:val="auto"/>
        </w:rPr>
      </w:pPr>
      <w:r>
        <w:rPr>
          <w:rFonts w:hint="eastAsia"/>
          <w:color w:val="auto"/>
        </w:rPr>
        <w:t>截止时间：</w:t>
      </w: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bCs/>
          <w:color w:val="auto"/>
          <w:szCs w:val="21"/>
        </w:rPr>
        <w:t>年</w:t>
      </w:r>
      <w:r>
        <w:rPr>
          <w:rFonts w:hint="eastAsia" w:ascii="宋体" w:hAnsi="宋体"/>
          <w:bCs/>
          <w:color w:val="auto"/>
          <w:szCs w:val="21"/>
          <w:lang w:val="en-US" w:eastAsia="zh-CN"/>
        </w:rPr>
        <w:t>5</w:t>
      </w:r>
      <w:r>
        <w:rPr>
          <w:rFonts w:hint="eastAsia" w:ascii="宋体" w:hAnsi="宋体"/>
          <w:bCs/>
          <w:color w:val="auto"/>
          <w:szCs w:val="21"/>
        </w:rPr>
        <w:t>月</w:t>
      </w:r>
      <w:r>
        <w:rPr>
          <w:rFonts w:hint="eastAsia" w:ascii="宋体" w:hAnsi="宋体"/>
          <w:bCs/>
          <w:color w:val="auto"/>
          <w:szCs w:val="21"/>
          <w:lang w:val="en-US" w:eastAsia="zh-CN"/>
        </w:rPr>
        <w:t>8</w:t>
      </w:r>
      <w:r>
        <w:rPr>
          <w:rFonts w:hint="eastAsia" w:ascii="宋体" w:hAnsi="宋体"/>
          <w:bCs/>
          <w:color w:val="auto"/>
          <w:szCs w:val="21"/>
        </w:rPr>
        <w:t>日</w:t>
      </w:r>
      <w:r>
        <w:rPr>
          <w:rFonts w:hint="eastAsia"/>
          <w:color w:val="auto"/>
          <w:lang w:val="en-US" w:eastAsia="zh-CN"/>
        </w:rPr>
        <w:t>9</w:t>
      </w:r>
      <w:r>
        <w:rPr>
          <w:color w:val="auto"/>
        </w:rPr>
        <w:t>:</w:t>
      </w:r>
      <w:r>
        <w:rPr>
          <w:rFonts w:hint="eastAsia"/>
          <w:color w:val="auto"/>
          <w:lang w:val="en-US" w:eastAsia="zh-CN"/>
        </w:rPr>
        <w:t>30</w:t>
      </w:r>
      <w:r>
        <w:rPr>
          <w:rFonts w:hint="eastAsia"/>
          <w:color w:val="auto"/>
        </w:rPr>
        <w:t>（北京时间）</w:t>
      </w:r>
    </w:p>
    <w:p>
      <w:pPr>
        <w:spacing w:line="400" w:lineRule="exact"/>
        <w:ind w:firstLine="420"/>
        <w:rPr>
          <w:rFonts w:ascii="宋体" w:hAnsi="宋体" w:cs="Courier New"/>
          <w:color w:val="auto"/>
          <w:szCs w:val="21"/>
        </w:rPr>
      </w:pPr>
      <w:r>
        <w:rPr>
          <w:rFonts w:hint="eastAsia"/>
          <w:color w:val="auto"/>
        </w:rPr>
        <w:t>地点(网址）：</w:t>
      </w:r>
      <w:r>
        <w:rPr>
          <w:rFonts w:hint="eastAsia" w:ascii="宋体" w:hAnsi="宋体"/>
          <w:color w:val="auto"/>
          <w:szCs w:val="21"/>
        </w:rPr>
        <w:t>广西政府采购云平台（https://www.gcy.zfcg.gxzf.gov.cn/）</w:t>
      </w:r>
    </w:p>
    <w:p>
      <w:pPr>
        <w:spacing w:line="400" w:lineRule="exact"/>
        <w:rPr>
          <w:rFonts w:ascii="宋体" w:hAnsi="宋体" w:cs="Courier New"/>
          <w:b/>
          <w:bCs/>
          <w:color w:val="auto"/>
          <w:szCs w:val="21"/>
        </w:rPr>
      </w:pPr>
      <w:r>
        <w:rPr>
          <w:rFonts w:hint="eastAsia" w:ascii="宋体" w:hAnsi="宋体" w:cs="Courier New"/>
          <w:b/>
          <w:bCs/>
          <w:color w:val="auto"/>
          <w:szCs w:val="21"/>
        </w:rPr>
        <w:t>五、响应文件开启</w:t>
      </w:r>
    </w:p>
    <w:p>
      <w:pPr>
        <w:spacing w:line="400" w:lineRule="exact"/>
        <w:ind w:firstLine="420" w:firstLineChars="200"/>
        <w:rPr>
          <w:rFonts w:ascii="宋体" w:hAnsi="宋体" w:cs="Courier New"/>
          <w:color w:val="auto"/>
          <w:szCs w:val="21"/>
        </w:rPr>
      </w:pPr>
      <w:r>
        <w:rPr>
          <w:rFonts w:hint="eastAsia" w:ascii="宋体" w:hAnsi="宋体" w:cs="Courier New"/>
          <w:color w:val="auto"/>
          <w:szCs w:val="21"/>
        </w:rPr>
        <w:t>开启时间：</w:t>
      </w: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bCs/>
          <w:color w:val="auto"/>
          <w:szCs w:val="21"/>
        </w:rPr>
        <w:t>年</w:t>
      </w:r>
      <w:r>
        <w:rPr>
          <w:rFonts w:hint="eastAsia" w:ascii="宋体" w:hAnsi="宋体"/>
          <w:bCs/>
          <w:color w:val="auto"/>
          <w:szCs w:val="21"/>
          <w:lang w:val="en-US" w:eastAsia="zh-CN"/>
        </w:rPr>
        <w:t>5</w:t>
      </w:r>
      <w:r>
        <w:rPr>
          <w:rFonts w:hint="eastAsia" w:ascii="宋体" w:hAnsi="宋体"/>
          <w:bCs/>
          <w:color w:val="auto"/>
          <w:szCs w:val="21"/>
        </w:rPr>
        <w:t>月</w:t>
      </w:r>
      <w:r>
        <w:rPr>
          <w:rFonts w:hint="eastAsia" w:ascii="宋体" w:hAnsi="宋体"/>
          <w:bCs/>
          <w:color w:val="auto"/>
          <w:szCs w:val="21"/>
          <w:lang w:val="en-US" w:eastAsia="zh-CN"/>
        </w:rPr>
        <w:t>8</w:t>
      </w:r>
      <w:r>
        <w:rPr>
          <w:rFonts w:hint="eastAsia" w:ascii="宋体" w:hAnsi="宋体"/>
          <w:bCs/>
          <w:color w:val="auto"/>
          <w:szCs w:val="21"/>
        </w:rPr>
        <w:t>日</w:t>
      </w:r>
      <w:r>
        <w:rPr>
          <w:rFonts w:hint="eastAsia"/>
          <w:color w:val="auto"/>
          <w:lang w:val="en-US" w:eastAsia="zh-CN"/>
        </w:rPr>
        <w:t>9</w:t>
      </w:r>
      <w:r>
        <w:rPr>
          <w:color w:val="auto"/>
        </w:rPr>
        <w:t>:</w:t>
      </w:r>
      <w:r>
        <w:rPr>
          <w:rFonts w:hint="eastAsia"/>
          <w:color w:val="auto"/>
          <w:lang w:val="en-US" w:eastAsia="zh-CN"/>
        </w:rPr>
        <w:t>30</w:t>
      </w:r>
      <w:r>
        <w:rPr>
          <w:rFonts w:hint="eastAsia"/>
          <w:color w:val="auto"/>
        </w:rPr>
        <w:t>（北京时间）</w:t>
      </w:r>
    </w:p>
    <w:p>
      <w:pPr>
        <w:spacing w:line="400" w:lineRule="exact"/>
        <w:ind w:firstLine="420"/>
        <w:rPr>
          <w:rFonts w:ascii="宋体" w:hAnsi="宋体" w:cs="Courier New"/>
          <w:color w:val="auto"/>
          <w:szCs w:val="21"/>
        </w:rPr>
      </w:pPr>
      <w:r>
        <w:rPr>
          <w:rFonts w:hint="eastAsia" w:ascii="宋体" w:hAnsi="宋体" w:cs="Courier New"/>
          <w:color w:val="auto"/>
          <w:szCs w:val="21"/>
        </w:rPr>
        <w:t>地点：</w:t>
      </w:r>
      <w:bookmarkStart w:id="28" w:name="_Toc28359007"/>
      <w:bookmarkStart w:id="29" w:name="_Toc35393794"/>
      <w:bookmarkStart w:id="30" w:name="_Toc28359084"/>
      <w:bookmarkStart w:id="31" w:name="_Toc35393625"/>
      <w:r>
        <w:rPr>
          <w:rFonts w:hint="eastAsia"/>
          <w:color w:val="auto"/>
        </w:rPr>
        <w:t>广西钦州市金海湾东大街8号市政务服务中心三楼开标室</w:t>
      </w:r>
    </w:p>
    <w:p>
      <w:pPr>
        <w:spacing w:line="400" w:lineRule="exact"/>
        <w:rPr>
          <w:b/>
          <w:color w:val="auto"/>
        </w:rPr>
      </w:pPr>
      <w:r>
        <w:rPr>
          <w:rFonts w:hint="eastAsia"/>
          <w:b/>
          <w:color w:val="auto"/>
        </w:rPr>
        <w:t>六、公告期限</w:t>
      </w:r>
      <w:bookmarkEnd w:id="28"/>
      <w:bookmarkEnd w:id="29"/>
      <w:bookmarkEnd w:id="30"/>
      <w:bookmarkEnd w:id="31"/>
    </w:p>
    <w:p>
      <w:pPr>
        <w:spacing w:line="400" w:lineRule="exact"/>
        <w:ind w:firstLine="420"/>
        <w:rPr>
          <w:color w:val="auto"/>
        </w:rPr>
      </w:pPr>
      <w:r>
        <w:rPr>
          <w:rFonts w:hint="eastAsia"/>
          <w:color w:val="auto"/>
        </w:rPr>
        <w:t>自本公告发布之日起</w:t>
      </w:r>
      <w:r>
        <w:rPr>
          <w:color w:val="auto"/>
        </w:rPr>
        <w:t>5</w:t>
      </w:r>
      <w:r>
        <w:rPr>
          <w:rFonts w:hint="eastAsia"/>
          <w:color w:val="auto"/>
        </w:rPr>
        <w:t>个工作日。</w:t>
      </w:r>
    </w:p>
    <w:p>
      <w:pPr>
        <w:spacing w:line="400" w:lineRule="exact"/>
        <w:rPr>
          <w:b/>
          <w:color w:val="auto"/>
        </w:rPr>
      </w:pPr>
      <w:bookmarkStart w:id="32" w:name="_Toc28359085"/>
      <w:bookmarkStart w:id="33" w:name="_Toc35393796"/>
      <w:bookmarkStart w:id="34" w:name="_Toc35393627"/>
      <w:bookmarkStart w:id="35" w:name="_Toc28359008"/>
      <w:r>
        <w:rPr>
          <w:rFonts w:hint="eastAsia"/>
          <w:b/>
          <w:color w:val="auto"/>
        </w:rPr>
        <w:t>七、其他补充事宜</w:t>
      </w:r>
    </w:p>
    <w:p>
      <w:pPr>
        <w:spacing w:line="400" w:lineRule="exact"/>
        <w:ind w:firstLine="420"/>
        <w:rPr>
          <w:b/>
          <w:color w:val="auto"/>
        </w:rPr>
      </w:pPr>
      <w:r>
        <w:rPr>
          <w:rFonts w:hint="eastAsia"/>
          <w:color w:val="auto"/>
        </w:rPr>
        <w:t>1</w:t>
      </w:r>
      <w:r>
        <w:rPr>
          <w:color w:val="auto"/>
        </w:rPr>
        <w:t>.</w:t>
      </w:r>
      <w:r>
        <w:rPr>
          <w:rFonts w:hint="eastAsia"/>
          <w:bCs/>
          <w:color w:val="auto"/>
        </w:rPr>
        <w:t>本项目须要落实的政府采购政策</w:t>
      </w:r>
      <w:r>
        <w:rPr>
          <w:rFonts w:hint="eastAsia"/>
          <w:b/>
          <w:color w:val="auto"/>
        </w:rPr>
        <w:t>：</w:t>
      </w:r>
    </w:p>
    <w:p>
      <w:pPr>
        <w:spacing w:line="400" w:lineRule="exact"/>
        <w:ind w:firstLine="420"/>
        <w:rPr>
          <w:rFonts w:hint="eastAsia"/>
          <w:color w:val="auto"/>
        </w:rPr>
      </w:pPr>
      <w:r>
        <w:rPr>
          <w:rFonts w:hint="eastAsia"/>
          <w:color w:val="auto"/>
        </w:rPr>
        <w:t>(1)财政部 工业和信息化部关于印发《政府采购促进中小企业发展管理办法》的通知(财库﹝2020﹞46号)</w:t>
      </w:r>
    </w:p>
    <w:p>
      <w:pPr>
        <w:spacing w:line="400" w:lineRule="exact"/>
        <w:ind w:firstLine="420"/>
        <w:rPr>
          <w:rFonts w:hint="eastAsia"/>
          <w:color w:val="auto"/>
        </w:rPr>
      </w:pPr>
      <w:r>
        <w:rPr>
          <w:rFonts w:hint="eastAsia"/>
          <w:color w:val="auto"/>
        </w:rPr>
        <w:t>(2)财政部 司法部关于政府采购支持监狱企业发展有关问题的通知 (财库﹝2014﹞68号)</w:t>
      </w:r>
    </w:p>
    <w:p>
      <w:pPr>
        <w:spacing w:line="400" w:lineRule="exact"/>
        <w:ind w:firstLine="420"/>
        <w:rPr>
          <w:rFonts w:hint="eastAsia"/>
          <w:color w:val="auto"/>
        </w:rPr>
      </w:pPr>
      <w:r>
        <w:rPr>
          <w:rFonts w:hint="eastAsia"/>
          <w:color w:val="auto"/>
        </w:rPr>
        <w:t>(3)财政部 民政部 中国残疾人联合会关于促进残疾人就业政府采购政策的通知 (财库﹝2017﹞141号)</w:t>
      </w:r>
    </w:p>
    <w:p>
      <w:pPr>
        <w:spacing w:line="400" w:lineRule="exact"/>
        <w:ind w:firstLine="420"/>
        <w:rPr>
          <w:color w:val="auto"/>
        </w:rPr>
      </w:pPr>
      <w:r>
        <w:rPr>
          <w:rFonts w:hint="eastAsia"/>
          <w:color w:val="auto"/>
          <w:lang w:val="en-US" w:eastAsia="zh-CN"/>
        </w:rPr>
        <w:t>2</w:t>
      </w:r>
      <w:r>
        <w:rPr>
          <w:color w:val="auto"/>
        </w:rPr>
        <w:t>.</w:t>
      </w:r>
      <w:bookmarkStart w:id="36" w:name="_Hlk91598380"/>
      <w:r>
        <w:rPr>
          <w:rFonts w:hint="eastAsia"/>
          <w:color w:val="auto"/>
        </w:rPr>
        <w:t>全流程电子化</w:t>
      </w:r>
      <w:bookmarkEnd w:id="36"/>
      <w:r>
        <w:rPr>
          <w:rFonts w:hint="eastAsia"/>
          <w:color w:val="auto"/>
        </w:rPr>
        <w:t>要求：</w:t>
      </w:r>
    </w:p>
    <w:p>
      <w:pPr>
        <w:spacing w:line="400" w:lineRule="exact"/>
        <w:ind w:firstLine="420"/>
        <w:rPr>
          <w:color w:val="auto"/>
        </w:rPr>
      </w:pPr>
      <w:r>
        <w:rPr>
          <w:rFonts w:hint="eastAsia"/>
          <w:color w:val="auto"/>
        </w:rPr>
        <w:t>本项目为全流程电子化项目，供应商应做好参与全流程电子化交易的充分准备，熟悉掌握电子化采购项目操作指南</w:t>
      </w:r>
      <w:bookmarkStart w:id="37" w:name="_Hlk147760538"/>
      <w:r>
        <w:rPr>
          <w:rFonts w:hint="eastAsia"/>
          <w:color w:val="auto"/>
        </w:rPr>
        <w:t>(操作指南：</w:t>
      </w:r>
      <w:r>
        <w:rPr>
          <w:color w:val="auto"/>
        </w:rPr>
        <w:fldChar w:fldCharType="begin"/>
      </w:r>
      <w:r>
        <w:rPr>
          <w:color w:val="auto"/>
        </w:rPr>
        <w:instrText xml:space="preserve"> HYPERLINK "https://helpcenter.zcygov.cn/document/" \l "/document/dashboard?siteCode=beijing&amp;channel=dt" </w:instrText>
      </w:r>
      <w:r>
        <w:rPr>
          <w:color w:val="auto"/>
        </w:rPr>
        <w:fldChar w:fldCharType="separate"/>
      </w:r>
      <w:r>
        <w:rPr>
          <w:rStyle w:val="44"/>
          <w:rFonts w:hint="eastAsia"/>
          <w:color w:val="auto"/>
        </w:rPr>
        <w:t>政采云电子卖场首页右上角—服务中心—帮助文档—项目采购</w:t>
      </w:r>
      <w:r>
        <w:rPr>
          <w:rStyle w:val="44"/>
          <w:rFonts w:hint="eastAsia"/>
          <w:color w:val="auto"/>
        </w:rPr>
        <w:fldChar w:fldCharType="end"/>
      </w:r>
      <w:r>
        <w:rPr>
          <w:rFonts w:hint="eastAsia"/>
          <w:color w:val="auto"/>
        </w:rPr>
        <w:t>)，及时完成CA申领和绑定(操作指南：</w:t>
      </w:r>
      <w:r>
        <w:rPr>
          <w:color w:val="auto"/>
        </w:rPr>
        <w:fldChar w:fldCharType="begin"/>
      </w:r>
      <w:r>
        <w:rPr>
          <w:color w:val="auto"/>
        </w:rPr>
        <w:instrText xml:space="preserve"> HYPERLINK "https://helpcenter.zcygov.cn/document/" \l "/document/detail?siteCode=beijing&amp;manualId=795&amp;topicId=4081" </w:instrText>
      </w:r>
      <w:r>
        <w:rPr>
          <w:color w:val="auto"/>
        </w:rPr>
        <w:fldChar w:fldCharType="separate"/>
      </w:r>
      <w:r>
        <w:rPr>
          <w:rStyle w:val="44"/>
          <w:rFonts w:hint="eastAsia"/>
          <w:color w:val="auto"/>
        </w:rPr>
        <w:t>政采云电子卖场首页右上角—帮助文档—入驻与配置—CA管理</w:t>
      </w:r>
      <w:r>
        <w:rPr>
          <w:rStyle w:val="44"/>
          <w:rFonts w:hint="eastAsia"/>
          <w:color w:val="auto"/>
        </w:rPr>
        <w:fldChar w:fldCharType="end"/>
      </w:r>
      <w:r>
        <w:rPr>
          <w:rFonts w:hint="eastAsia"/>
          <w:color w:val="auto"/>
        </w:rPr>
        <w:t>；CA证书申领路径：</w:t>
      </w:r>
      <w:r>
        <w:rPr>
          <w:color w:val="auto"/>
        </w:rPr>
        <w:fldChar w:fldCharType="begin"/>
      </w:r>
      <w:r>
        <w:rPr>
          <w:color w:val="auto"/>
        </w:rPr>
        <w:instrText xml:space="preserve"> HYPERLINK "https://helpcenter.zcygov.cn/document/" \l "/document/detail?siteCode=beijing&amp;manualId=795&amp;topicId=4083" </w:instrText>
      </w:r>
      <w:r>
        <w:rPr>
          <w:color w:val="auto"/>
        </w:rPr>
        <w:fldChar w:fldCharType="separate"/>
      </w:r>
      <w:r>
        <w:rPr>
          <w:rStyle w:val="44"/>
          <w:rFonts w:hint="eastAsia"/>
          <w:color w:val="auto"/>
        </w:rPr>
        <w:t>政采云平台—我的工作台右上角—CA管理—CA证书申领</w:t>
      </w:r>
      <w:r>
        <w:rPr>
          <w:rStyle w:val="44"/>
          <w:rFonts w:hint="eastAsia"/>
          <w:color w:val="auto"/>
        </w:rPr>
        <w:fldChar w:fldCharType="end"/>
      </w:r>
      <w:r>
        <w:rPr>
          <w:rFonts w:hint="eastAsia"/>
          <w:color w:val="auto"/>
        </w:rPr>
        <w:t>)</w:t>
      </w:r>
      <w:bookmarkEnd w:id="37"/>
      <w:r>
        <w:rPr>
          <w:rFonts w:hint="eastAsia"/>
          <w:color w:val="auto"/>
        </w:rPr>
        <w:t>。因未注册入库、未办理CA数字证书、CA证书故障、操作不当等原因造成谈判失败等后果由供应商承担。</w:t>
      </w:r>
    </w:p>
    <w:p>
      <w:pPr>
        <w:spacing w:line="400" w:lineRule="exact"/>
        <w:ind w:firstLine="420"/>
        <w:rPr>
          <w:color w:val="auto"/>
        </w:rPr>
      </w:pPr>
      <w:r>
        <w:rPr>
          <w:color w:val="auto"/>
        </w:rPr>
        <w:t>(1)</w:t>
      </w:r>
      <w:r>
        <w:rPr>
          <w:rFonts w:hint="eastAsia"/>
          <w:color w:val="auto"/>
        </w:rPr>
        <w:t>依法获取采购文件：供应商须在获取采购文件时间内登录</w:t>
      </w:r>
      <w:r>
        <w:rPr>
          <w:color w:val="auto"/>
        </w:rPr>
        <w:fldChar w:fldCharType="begin"/>
      </w:r>
      <w:r>
        <w:rPr>
          <w:color w:val="auto"/>
        </w:rPr>
        <w:instrText xml:space="preserve"> HYPERLINK "https://www.zcygov.cn/" </w:instrText>
      </w:r>
      <w:r>
        <w:rPr>
          <w:color w:val="auto"/>
        </w:rPr>
        <w:fldChar w:fldCharType="separate"/>
      </w:r>
      <w:r>
        <w:rPr>
          <w:rStyle w:val="44"/>
          <w:rFonts w:hint="eastAsia"/>
          <w:color w:val="auto"/>
        </w:rPr>
        <w:t>政府采购云平台</w:t>
      </w:r>
      <w:r>
        <w:rPr>
          <w:rStyle w:val="44"/>
          <w:rFonts w:hint="eastAsia"/>
          <w:color w:val="auto"/>
        </w:rPr>
        <w:fldChar w:fldCharType="end"/>
      </w:r>
      <w:r>
        <w:rPr>
          <w:rFonts w:hint="eastAsia"/>
          <w:color w:val="auto"/>
        </w:rPr>
        <w:t>申请下载采购文件才视作依法获取采购文件。</w:t>
      </w:r>
    </w:p>
    <w:p>
      <w:pPr>
        <w:spacing w:line="400" w:lineRule="exact"/>
        <w:ind w:firstLine="420"/>
        <w:rPr>
          <w:b/>
          <w:color w:val="auto"/>
        </w:rPr>
      </w:pPr>
      <w:r>
        <w:rPr>
          <w:rFonts w:hint="eastAsia"/>
          <w:color w:val="auto"/>
        </w:rPr>
        <w:t>(</w:t>
      </w:r>
      <w:r>
        <w:rPr>
          <w:color w:val="auto"/>
        </w:rPr>
        <w:t>2)</w:t>
      </w:r>
      <w:r>
        <w:rPr>
          <w:rFonts w:hint="eastAsia"/>
          <w:color w:val="auto"/>
        </w:rPr>
        <w:t>供应商应通过广西政府采购云平台客户端制作响应文件，供应商自行前往下载安装（</w:t>
      </w:r>
      <w:r>
        <w:rPr>
          <w:color w:val="auto"/>
        </w:rPr>
        <w:fldChar w:fldCharType="begin"/>
      </w:r>
      <w:r>
        <w:rPr>
          <w:color w:val="auto"/>
        </w:rPr>
        <w:instrText xml:space="preserve"> HYPERLINK "https://sitecdn.zcycdn.com/zcy-client/bidding-client-new/official/guangxi/GuangXiSetup.exe" </w:instrText>
      </w:r>
      <w:r>
        <w:rPr>
          <w:color w:val="auto"/>
        </w:rPr>
        <w:fldChar w:fldCharType="separate"/>
      </w:r>
      <w:r>
        <w:rPr>
          <w:rFonts w:hint="eastAsia"/>
          <w:color w:val="auto"/>
        </w:rPr>
        <w:t>客户端下载</w:t>
      </w:r>
      <w:r>
        <w:rPr>
          <w:rFonts w:hint="eastAsia"/>
          <w:color w:val="auto"/>
        </w:rPr>
        <w:fldChar w:fldCharType="end"/>
      </w:r>
      <w:r>
        <w:rPr>
          <w:rFonts w:hint="eastAsia"/>
          <w:color w:val="auto"/>
        </w:rPr>
        <w:t>）。</w:t>
      </w:r>
    </w:p>
    <w:p>
      <w:pPr>
        <w:spacing w:line="400" w:lineRule="exact"/>
        <w:ind w:firstLine="420"/>
        <w:rPr>
          <w:color w:val="auto"/>
        </w:rPr>
      </w:pPr>
      <w:r>
        <w:rPr>
          <w:rFonts w:hint="eastAsia"/>
          <w:color w:val="auto"/>
        </w:rPr>
        <w:t>(</w:t>
      </w:r>
      <w:r>
        <w:rPr>
          <w:color w:val="auto"/>
        </w:rPr>
        <w:t>3)</w:t>
      </w:r>
      <w:r>
        <w:rPr>
          <w:rFonts w:hint="eastAsia"/>
          <w:color w:val="auto"/>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color w:val="auto"/>
        </w:rPr>
      </w:pPr>
      <w:r>
        <w:rPr>
          <w:rFonts w:hint="eastAsia"/>
          <w:color w:val="auto"/>
        </w:rPr>
        <w:t>(</w:t>
      </w:r>
      <w:r>
        <w:rPr>
          <w:color w:val="auto"/>
        </w:rPr>
        <w:t>4)</w:t>
      </w:r>
      <w:r>
        <w:rPr>
          <w:rFonts w:hint="eastAsia"/>
          <w:color w:val="auto"/>
        </w:rPr>
        <w:t>供应商法定代表人或委托代理人须按时登录</w:t>
      </w:r>
      <w:bookmarkStart w:id="38" w:name="_Hlk90367388"/>
      <w:r>
        <w:rPr>
          <w:rFonts w:hint="eastAsia" w:ascii="宋体" w:hAnsi="宋体" w:cs="Courier New"/>
          <w:color w:val="auto"/>
          <w:szCs w:val="21"/>
        </w:rPr>
        <w:t>政采云远程开标大厅</w:t>
      </w:r>
      <w:bookmarkEnd w:id="38"/>
      <w:r>
        <w:rPr>
          <w:rFonts w:hint="eastAsia"/>
          <w:color w:val="auto"/>
        </w:rPr>
        <w:t>，保持全程在线并关注评审磋商进度，评审期间磋商小组提出澄清等要求时，供应商须在规定时间内进行应答，否则按采购文件或政采云平台的相关规定执行。</w:t>
      </w:r>
    </w:p>
    <w:p>
      <w:pPr>
        <w:spacing w:line="400" w:lineRule="exact"/>
        <w:ind w:firstLine="420"/>
        <w:rPr>
          <w:rFonts w:hAnsi="宋体"/>
          <w:color w:val="auto"/>
        </w:rPr>
      </w:pPr>
      <w:r>
        <w:rPr>
          <w:rFonts w:hint="eastAsia"/>
          <w:color w:val="auto"/>
        </w:rPr>
        <w:t>(</w:t>
      </w:r>
      <w:r>
        <w:rPr>
          <w:color w:val="auto"/>
        </w:rPr>
        <w:t>5)</w:t>
      </w:r>
      <w:r>
        <w:rPr>
          <w:rFonts w:hint="eastAsia"/>
          <w:color w:val="auto"/>
        </w:rPr>
        <w:t>供应商参与磋商过程中涉及政府采购云平台的问题，请咨询政采云</w:t>
      </w:r>
      <w:r>
        <w:rPr>
          <w:rFonts w:hint="eastAsia" w:hAnsi="宋体"/>
          <w:color w:val="auto"/>
        </w:rPr>
        <w:t>技术支持热线：</w:t>
      </w:r>
      <w:r>
        <w:rPr>
          <w:rFonts w:hAnsi="宋体"/>
          <w:color w:val="auto"/>
        </w:rPr>
        <w:t>95763</w:t>
      </w:r>
      <w:r>
        <w:rPr>
          <w:rFonts w:hint="eastAsia" w:hAnsi="宋体"/>
          <w:color w:val="auto"/>
        </w:rPr>
        <w:t>。</w:t>
      </w:r>
    </w:p>
    <w:p>
      <w:pPr>
        <w:spacing w:line="400" w:lineRule="exact"/>
        <w:ind w:firstLine="420"/>
        <w:jc w:val="left"/>
        <w:rPr>
          <w:rFonts w:hAnsi="宋体"/>
          <w:color w:val="auto"/>
        </w:rPr>
      </w:pPr>
      <w:r>
        <w:rPr>
          <w:rFonts w:hint="eastAsia" w:hAnsi="宋体"/>
          <w:color w:val="auto"/>
          <w:lang w:val="en-US" w:eastAsia="zh-CN"/>
        </w:rPr>
        <w:t>3</w:t>
      </w:r>
      <w:r>
        <w:rPr>
          <w:rFonts w:hAnsi="宋体"/>
          <w:color w:val="auto"/>
        </w:rPr>
        <w:t>.</w:t>
      </w:r>
      <w:r>
        <w:rPr>
          <w:rFonts w:hint="eastAsia" w:hAnsi="宋体"/>
          <w:color w:val="auto"/>
        </w:rPr>
        <w:t>查询媒体：中国政府采购网、</w:t>
      </w:r>
      <w:r>
        <w:rPr>
          <w:color w:val="auto"/>
        </w:rPr>
        <w:fldChar w:fldCharType="begin"/>
      </w:r>
      <w:r>
        <w:rPr>
          <w:color w:val="auto"/>
        </w:rPr>
        <w:instrText xml:space="preserve"> HYPERLINK "http://zfcg.gxzf.gov.cn/" </w:instrText>
      </w:r>
      <w:r>
        <w:rPr>
          <w:color w:val="auto"/>
        </w:rPr>
        <w:fldChar w:fldCharType="separate"/>
      </w:r>
      <w:r>
        <w:rPr>
          <w:rStyle w:val="44"/>
          <w:rFonts w:hint="eastAsia" w:hAnsi="宋体"/>
          <w:color w:val="auto"/>
          <w:u w:val="none"/>
        </w:rPr>
        <w:t>广西政府采购网</w:t>
      </w:r>
      <w:r>
        <w:rPr>
          <w:rStyle w:val="44"/>
          <w:rFonts w:hint="eastAsia" w:hAnsi="宋体"/>
          <w:color w:val="auto"/>
          <w:u w:val="none"/>
        </w:rPr>
        <w:fldChar w:fldCharType="end"/>
      </w:r>
      <w:r>
        <w:rPr>
          <w:rFonts w:hint="eastAsia" w:hAnsi="宋体"/>
          <w:color w:val="auto"/>
        </w:rPr>
        <w:t>。</w:t>
      </w:r>
    </w:p>
    <w:p>
      <w:pPr>
        <w:spacing w:line="400" w:lineRule="exact"/>
        <w:ind w:firstLine="420"/>
        <w:jc w:val="left"/>
        <w:rPr>
          <w:rFonts w:hAnsi="宋体"/>
          <w:color w:val="auto"/>
        </w:rPr>
      </w:pPr>
      <w:bookmarkStart w:id="39" w:name="_Hlk107409555"/>
      <w:bookmarkStart w:id="40" w:name="_Hlk108515619"/>
      <w:r>
        <w:rPr>
          <w:rFonts w:hint="eastAsia" w:hAnsi="宋体"/>
          <w:color w:val="auto"/>
          <w:lang w:val="en-US" w:eastAsia="zh-CN"/>
        </w:rPr>
        <w:t>4</w:t>
      </w:r>
      <w:r>
        <w:rPr>
          <w:rFonts w:hAnsi="宋体"/>
          <w:color w:val="auto"/>
        </w:rPr>
        <w:t>.</w:t>
      </w:r>
      <w:r>
        <w:rPr>
          <w:rFonts w:hint="eastAsia" w:hAnsi="宋体"/>
          <w:color w:val="auto"/>
        </w:rPr>
        <w:t>钦州市政府采购中心联系方式：</w:t>
      </w:r>
    </w:p>
    <w:p>
      <w:pPr>
        <w:spacing w:line="400" w:lineRule="exact"/>
        <w:ind w:firstLine="420"/>
        <w:jc w:val="left"/>
        <w:rPr>
          <w:rFonts w:hAnsi="宋体"/>
          <w:color w:val="auto"/>
        </w:rPr>
      </w:pPr>
      <w:r>
        <w:rPr>
          <w:rFonts w:hAnsi="宋体"/>
          <w:color w:val="auto"/>
        </w:rPr>
        <w:t>(1)</w:t>
      </w:r>
      <w:r>
        <w:rPr>
          <w:rFonts w:hint="eastAsia" w:hAnsi="宋体"/>
          <w:color w:val="auto"/>
        </w:rPr>
        <w:t>采购部(采购文件</w:t>
      </w:r>
      <w:r>
        <w:rPr>
          <w:rFonts w:hAnsi="宋体"/>
          <w:color w:val="auto"/>
        </w:rPr>
        <w:t>)</w:t>
      </w:r>
    </w:p>
    <w:p>
      <w:pPr>
        <w:spacing w:line="400" w:lineRule="exact"/>
        <w:ind w:firstLine="420"/>
        <w:jc w:val="left"/>
        <w:rPr>
          <w:rFonts w:hAnsi="宋体"/>
          <w:color w:val="auto"/>
        </w:rPr>
      </w:pPr>
      <w:r>
        <w:rPr>
          <w:rFonts w:hint="eastAsia" w:hAnsi="宋体"/>
          <w:color w:val="auto"/>
        </w:rPr>
        <w:t>联系人：</w:t>
      </w:r>
      <w:r>
        <w:rPr>
          <w:rFonts w:hint="eastAsia" w:hAnsi="宋体"/>
          <w:color w:val="auto"/>
          <w:lang w:val="en-US" w:eastAsia="zh-CN"/>
        </w:rPr>
        <w:t>苏晓婷</w:t>
      </w:r>
      <w:r>
        <w:rPr>
          <w:rFonts w:hint="eastAsia" w:hAnsi="宋体"/>
          <w:color w:val="auto"/>
        </w:rPr>
        <w:t xml:space="preserve"> </w:t>
      </w:r>
      <w:r>
        <w:rPr>
          <w:rFonts w:hAnsi="宋体"/>
          <w:color w:val="auto"/>
        </w:rPr>
        <w:t xml:space="preserve"> </w:t>
      </w:r>
      <w:r>
        <w:rPr>
          <w:rFonts w:hint="eastAsia" w:hAnsi="宋体"/>
          <w:color w:val="auto"/>
        </w:rPr>
        <w:t xml:space="preserve"> 联系方式：0777-2886022</w:t>
      </w:r>
    </w:p>
    <w:p>
      <w:pPr>
        <w:spacing w:line="400" w:lineRule="exact"/>
        <w:ind w:firstLine="420"/>
        <w:jc w:val="left"/>
        <w:rPr>
          <w:rFonts w:hAnsi="宋体"/>
          <w:color w:val="auto"/>
        </w:rPr>
      </w:pPr>
      <w:r>
        <w:rPr>
          <w:rFonts w:hint="eastAsia" w:hAnsi="宋体"/>
          <w:color w:val="auto"/>
        </w:rPr>
        <w:t>(</w:t>
      </w:r>
      <w:r>
        <w:rPr>
          <w:rFonts w:hAnsi="宋体"/>
          <w:color w:val="auto"/>
        </w:rPr>
        <w:t>2)</w:t>
      </w:r>
      <w:r>
        <w:rPr>
          <w:rFonts w:hint="eastAsia" w:hAnsi="宋体"/>
          <w:color w:val="auto"/>
        </w:rPr>
        <w:t>综合二部(评审、磋商、成交及合同管理)</w:t>
      </w:r>
    </w:p>
    <w:p>
      <w:pPr>
        <w:spacing w:line="400" w:lineRule="exact"/>
        <w:ind w:firstLine="420"/>
        <w:jc w:val="left"/>
        <w:rPr>
          <w:rFonts w:hAnsi="宋体"/>
          <w:color w:val="auto"/>
        </w:rPr>
      </w:pPr>
      <w:r>
        <w:rPr>
          <w:rFonts w:hint="eastAsia" w:hAnsi="宋体"/>
          <w:color w:val="auto"/>
        </w:rPr>
        <w:t xml:space="preserve">联系人：陈侃、陈启梅 </w:t>
      </w:r>
      <w:r>
        <w:rPr>
          <w:rFonts w:hAnsi="宋体"/>
          <w:color w:val="auto"/>
        </w:rPr>
        <w:t xml:space="preserve">  </w:t>
      </w:r>
      <w:r>
        <w:rPr>
          <w:rFonts w:hint="eastAsia" w:hAnsi="宋体"/>
          <w:color w:val="auto"/>
        </w:rPr>
        <w:t>联系方式：0777-2886006</w:t>
      </w:r>
      <w:bookmarkEnd w:id="39"/>
    </w:p>
    <w:bookmarkEnd w:id="40"/>
    <w:p>
      <w:pPr>
        <w:spacing w:line="400" w:lineRule="exact"/>
        <w:rPr>
          <w:b/>
          <w:color w:val="auto"/>
        </w:rPr>
      </w:pPr>
      <w:r>
        <w:rPr>
          <w:rFonts w:hint="eastAsia"/>
          <w:b/>
          <w:color w:val="auto"/>
        </w:rPr>
        <w:t>八、对本次采购项目提出询问，请按</w:t>
      </w:r>
      <w:r>
        <w:rPr>
          <w:b/>
          <w:color w:val="auto"/>
        </w:rPr>
        <w:t>以下方式</w:t>
      </w:r>
      <w:r>
        <w:rPr>
          <w:rFonts w:hint="eastAsia"/>
          <w:b/>
          <w:color w:val="auto"/>
        </w:rPr>
        <w:t>联系</w:t>
      </w:r>
      <w:bookmarkEnd w:id="32"/>
      <w:bookmarkEnd w:id="33"/>
      <w:bookmarkEnd w:id="34"/>
      <w:bookmarkEnd w:id="35"/>
    </w:p>
    <w:p>
      <w:pPr>
        <w:spacing w:line="400" w:lineRule="exact"/>
        <w:ind w:firstLine="420" w:firstLineChars="200"/>
        <w:rPr>
          <w:color w:val="auto"/>
        </w:rPr>
      </w:pPr>
      <w:r>
        <w:rPr>
          <w:rFonts w:hint="eastAsia"/>
          <w:color w:val="auto"/>
        </w:rPr>
        <w:t>1.采购人信息</w:t>
      </w:r>
      <w:bookmarkEnd w:id="10"/>
    </w:p>
    <w:p>
      <w:pPr>
        <w:spacing w:line="400" w:lineRule="exact"/>
        <w:ind w:firstLine="420" w:firstLineChars="200"/>
        <w:rPr>
          <w:rFonts w:hint="default"/>
          <w:color w:val="auto"/>
          <w:lang w:val="en-US" w:eastAsia="zh-CN"/>
        </w:rPr>
      </w:pPr>
      <w:r>
        <w:rPr>
          <w:rFonts w:hint="eastAsia"/>
          <w:color w:val="auto"/>
        </w:rPr>
        <w:t>名称</w:t>
      </w:r>
      <w:r>
        <w:rPr>
          <w:rFonts w:hint="eastAsia"/>
          <w:color w:val="auto"/>
          <w:lang w:val="en-US" w:eastAsia="zh-CN"/>
        </w:rPr>
        <w:t>：</w:t>
      </w:r>
      <w:r>
        <w:rPr>
          <w:rFonts w:hint="eastAsia"/>
          <w:color w:val="auto"/>
        </w:rPr>
        <w:t>钦州市图书馆</w:t>
      </w:r>
    </w:p>
    <w:p>
      <w:pPr>
        <w:spacing w:line="400" w:lineRule="exact"/>
        <w:ind w:firstLine="420" w:firstLineChars="200"/>
        <w:rPr>
          <w:rFonts w:hint="eastAsia"/>
          <w:color w:val="auto"/>
          <w:lang w:val="en-US" w:eastAsia="zh-CN"/>
        </w:rPr>
      </w:pPr>
      <w:bookmarkStart w:id="41" w:name="_Toc38370147"/>
      <w:r>
        <w:rPr>
          <w:rFonts w:hint="eastAsia"/>
          <w:color w:val="auto"/>
          <w:lang w:val="en-US" w:eastAsia="zh-CN"/>
        </w:rPr>
        <w:t>地址：</w:t>
      </w:r>
      <w:r>
        <w:rPr>
          <w:rFonts w:hint="eastAsia"/>
          <w:color w:val="auto"/>
        </w:rPr>
        <w:t>钦州市子材东大街10号</w:t>
      </w:r>
      <w:r>
        <w:rPr>
          <w:rFonts w:hint="eastAsia"/>
          <w:color w:val="auto"/>
          <w:lang w:val="en-US" w:eastAsia="zh-CN"/>
        </w:rPr>
        <w:t> </w:t>
      </w:r>
    </w:p>
    <w:p>
      <w:pPr>
        <w:spacing w:line="400" w:lineRule="exact"/>
        <w:ind w:firstLine="420" w:firstLineChars="200"/>
        <w:rPr>
          <w:rFonts w:hint="default"/>
          <w:color w:val="auto"/>
          <w:lang w:val="en-US" w:eastAsia="zh-CN"/>
        </w:rPr>
      </w:pPr>
      <w:r>
        <w:rPr>
          <w:rFonts w:hint="eastAsia"/>
          <w:color w:val="auto"/>
          <w:lang w:val="en-US" w:eastAsia="zh-CN"/>
        </w:rPr>
        <w:t>项目联系人：董志鹏</w:t>
      </w:r>
    </w:p>
    <w:p>
      <w:pPr>
        <w:spacing w:line="400" w:lineRule="exact"/>
        <w:ind w:firstLine="420" w:firstLineChars="200"/>
        <w:rPr>
          <w:rFonts w:hint="default"/>
          <w:color w:val="auto"/>
          <w:lang w:val="en-US" w:eastAsia="zh-CN"/>
        </w:rPr>
      </w:pPr>
      <w:r>
        <w:rPr>
          <w:rFonts w:hint="eastAsia"/>
          <w:color w:val="auto"/>
          <w:lang w:val="en-US" w:eastAsia="zh-CN"/>
        </w:rPr>
        <w:t>项目联系方式：</w:t>
      </w:r>
      <w:r>
        <w:rPr>
          <w:color w:val="auto"/>
        </w:rPr>
        <w:t>0777-2822084</w:t>
      </w:r>
    </w:p>
    <w:p>
      <w:pPr>
        <w:spacing w:line="400" w:lineRule="exact"/>
        <w:ind w:firstLine="420" w:firstLineChars="200"/>
        <w:rPr>
          <w:color w:val="auto"/>
        </w:rPr>
      </w:pPr>
    </w:p>
    <w:bookmarkEnd w:id="41"/>
    <w:p>
      <w:pPr>
        <w:spacing w:line="400" w:lineRule="exact"/>
        <w:ind w:firstLine="420" w:firstLineChars="200"/>
        <w:rPr>
          <w:color w:val="auto"/>
        </w:rPr>
      </w:pPr>
      <w:r>
        <w:rPr>
          <w:rFonts w:hint="eastAsia"/>
          <w:color w:val="auto"/>
        </w:rPr>
        <w:t>2.采购代理机构信息</w:t>
      </w:r>
    </w:p>
    <w:p>
      <w:pPr>
        <w:spacing w:line="400" w:lineRule="exact"/>
        <w:ind w:firstLine="420" w:firstLineChars="200"/>
        <w:rPr>
          <w:color w:val="auto"/>
        </w:rPr>
      </w:pPr>
      <w:r>
        <w:rPr>
          <w:rFonts w:hint="eastAsia"/>
          <w:color w:val="auto"/>
        </w:rPr>
        <w:t>名称：钦州市政府采购中心</w:t>
      </w:r>
    </w:p>
    <w:p>
      <w:pPr>
        <w:spacing w:line="400" w:lineRule="exact"/>
        <w:ind w:firstLine="420" w:firstLineChars="200"/>
        <w:rPr>
          <w:color w:val="auto"/>
        </w:rPr>
      </w:pPr>
      <w:r>
        <w:rPr>
          <w:rFonts w:hint="eastAsia"/>
          <w:color w:val="auto"/>
        </w:rPr>
        <w:t>地址：钦州市金海湾东大街8号</w:t>
      </w:r>
    </w:p>
    <w:p>
      <w:pPr>
        <w:spacing w:line="400" w:lineRule="exact"/>
        <w:ind w:firstLine="420" w:firstLineChars="200"/>
        <w:rPr>
          <w:rFonts w:hint="eastAsia" w:eastAsia="宋体"/>
          <w:color w:val="auto"/>
          <w:lang w:val="en-US" w:eastAsia="zh-CN"/>
        </w:rPr>
      </w:pPr>
      <w:r>
        <w:rPr>
          <w:rFonts w:hint="eastAsia"/>
          <w:color w:val="auto"/>
        </w:rPr>
        <w:t>项目联系人：</w:t>
      </w:r>
      <w:r>
        <w:rPr>
          <w:rFonts w:hint="eastAsia"/>
          <w:color w:val="auto"/>
          <w:lang w:val="en-US" w:eastAsia="zh-CN"/>
        </w:rPr>
        <w:t>苏晓婷</w:t>
      </w:r>
    </w:p>
    <w:p>
      <w:pPr>
        <w:spacing w:line="400" w:lineRule="exact"/>
        <w:ind w:firstLine="420" w:firstLineChars="200"/>
        <w:rPr>
          <w:rFonts w:hint="default" w:eastAsia="宋体"/>
          <w:color w:val="auto"/>
          <w:lang w:val="en-US" w:eastAsia="zh-CN"/>
        </w:rPr>
      </w:pPr>
      <w:r>
        <w:rPr>
          <w:rFonts w:hint="eastAsia"/>
          <w:color w:val="auto"/>
        </w:rPr>
        <w:t>项目联系方式：</w:t>
      </w:r>
      <w:bookmarkStart w:id="42" w:name="_Toc28359087"/>
      <w:bookmarkStart w:id="43" w:name="_Toc28359010"/>
      <w:r>
        <w:rPr>
          <w:rFonts w:hint="eastAsia"/>
          <w:color w:val="auto"/>
          <w:lang w:val="en-US" w:eastAsia="zh-CN"/>
        </w:rPr>
        <w:t>0777-2886022</w:t>
      </w:r>
    </w:p>
    <w:p>
      <w:pPr>
        <w:widowControl/>
        <w:jc w:val="left"/>
        <w:rPr>
          <w:color w:val="auto"/>
        </w:rPr>
      </w:pPr>
      <w:r>
        <w:rPr>
          <w:color w:val="auto"/>
        </w:rPr>
        <w:br w:type="page"/>
      </w:r>
    </w:p>
    <w:p>
      <w:pPr>
        <w:rPr>
          <w:color w:val="auto"/>
        </w:rPr>
      </w:pPr>
    </w:p>
    <w:bookmarkEnd w:id="42"/>
    <w:bookmarkEnd w:id="43"/>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3"/>
        <w:spacing w:line="400" w:lineRule="exact"/>
        <w:rPr>
          <w:rFonts w:ascii="方正小标宋_GBK" w:hAnsi="宋体" w:eastAsia="方正小标宋_GBK"/>
          <w:color w:val="auto"/>
        </w:rPr>
      </w:pPr>
      <w:bookmarkStart w:id="44" w:name="_Toc92355024"/>
      <w:r>
        <w:rPr>
          <w:rFonts w:hint="eastAsia" w:ascii="方正小标宋_GBK" w:hAnsi="宋体" w:eastAsia="方正小标宋_GBK"/>
          <w:color w:val="auto"/>
        </w:rPr>
        <w:t>第二章  项目需求</w:t>
      </w:r>
      <w:bookmarkEnd w:id="44"/>
    </w:p>
    <w:p>
      <w:pPr>
        <w:widowControl/>
        <w:spacing w:line="460" w:lineRule="exact"/>
        <w:jc w:val="left"/>
        <w:rPr>
          <w:rFonts w:ascii="宋体" w:hAnsi="宋体"/>
          <w:color w:val="auto"/>
          <w:szCs w:val="21"/>
        </w:rPr>
      </w:pPr>
      <w:r>
        <w:rPr>
          <w:rFonts w:ascii="宋体" w:hAnsi="宋体"/>
          <w:b/>
          <w:color w:val="auto"/>
          <w:szCs w:val="21"/>
        </w:rPr>
        <w:br w:type="page"/>
      </w:r>
      <w:bookmarkStart w:id="45" w:name="_Toc354479498"/>
      <w:bookmarkStart w:id="46" w:name="_Toc358477280"/>
    </w:p>
    <w:p>
      <w:pPr>
        <w:widowControl/>
        <w:spacing w:line="460" w:lineRule="exact"/>
        <w:jc w:val="left"/>
        <w:rPr>
          <w:rFonts w:ascii="宋体" w:hAnsi="宋体"/>
          <w:color w:val="auto"/>
          <w:szCs w:val="21"/>
        </w:rPr>
      </w:pPr>
    </w:p>
    <w:p>
      <w:pPr>
        <w:spacing w:line="440" w:lineRule="exact"/>
        <w:jc w:val="center"/>
        <w:rPr>
          <w:rFonts w:hint="eastAsia" w:ascii="宋体" w:hAnsi="宋体"/>
          <w:b/>
          <w:color w:val="auto"/>
          <w:sz w:val="36"/>
          <w:szCs w:val="36"/>
        </w:rPr>
      </w:pPr>
      <w:r>
        <w:rPr>
          <w:rFonts w:hint="eastAsia" w:ascii="宋体" w:hAnsi="宋体"/>
          <w:b/>
          <w:color w:val="auto"/>
          <w:sz w:val="36"/>
          <w:szCs w:val="36"/>
        </w:rPr>
        <w:t>项目需求</w:t>
      </w:r>
    </w:p>
    <w:p>
      <w:pPr>
        <w:spacing w:line="400" w:lineRule="exact"/>
        <w:ind w:firstLine="422" w:firstLineChars="200"/>
        <w:rPr>
          <w:rFonts w:hint="eastAsia" w:ascii="宋体" w:hAnsi="宋体" w:cs="宋体"/>
          <w:b/>
          <w:color w:val="auto"/>
          <w:szCs w:val="21"/>
        </w:rPr>
      </w:pPr>
    </w:p>
    <w:p>
      <w:pPr>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1</w:t>
      </w:r>
      <w:r>
        <w:rPr>
          <w:rFonts w:hint="eastAsia" w:ascii="宋体" w:hAnsi="宋体" w:cs="宋体"/>
          <w:b/>
          <w:color w:val="auto"/>
          <w:szCs w:val="21"/>
          <w:lang w:val="en-US" w:eastAsia="zh-CN"/>
        </w:rPr>
        <w:t>.</w:t>
      </w:r>
      <w:r>
        <w:rPr>
          <w:rFonts w:hint="eastAsia" w:ascii="宋体" w:hAnsi="宋体" w:cs="宋体"/>
          <w:b/>
          <w:color w:val="auto"/>
          <w:szCs w:val="21"/>
        </w:rPr>
        <w:t>项目基本情况</w:t>
      </w:r>
    </w:p>
    <w:p>
      <w:pPr>
        <w:spacing w:line="400" w:lineRule="exact"/>
        <w:ind w:firstLine="422" w:firstLineChars="200"/>
        <w:rPr>
          <w:rFonts w:hint="default" w:ascii="宋体" w:hAnsi="宋体" w:cs="宋体"/>
          <w:b/>
          <w:color w:val="auto"/>
          <w:szCs w:val="21"/>
        </w:rPr>
      </w:pPr>
      <w:r>
        <w:rPr>
          <w:rFonts w:hint="default" w:ascii="宋体" w:hAnsi="宋体" w:cs="宋体"/>
          <w:b/>
          <w:color w:val="auto"/>
          <w:szCs w:val="21"/>
        </w:rPr>
        <w:t>1.1物业</w:t>
      </w:r>
      <w:r>
        <w:rPr>
          <w:rFonts w:hint="default" w:ascii="宋体" w:hAnsi="宋体" w:cs="宋体"/>
          <w:b/>
          <w:color w:val="auto"/>
          <w:szCs w:val="21"/>
          <w:lang w:val="en-US" w:eastAsia="zh-CN"/>
        </w:rPr>
        <w:t>情况</w:t>
      </w:r>
    </w:p>
    <w:tbl>
      <w:tblPr>
        <w:tblStyle w:val="38"/>
        <w:tblW w:w="49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4"/>
        <w:gridCol w:w="6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5"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cs="Calibri"/>
                <w:color w:val="auto"/>
                <w:highlight w:val="none"/>
              </w:rPr>
              <w:t>物业名称</w:t>
            </w:r>
          </w:p>
        </w:tc>
        <w:tc>
          <w:tcPr>
            <w:tcW w:w="6011" w:type="dxa"/>
            <w:noWrap w:val="0"/>
            <w:vAlign w:val="center"/>
          </w:tcPr>
          <w:p>
            <w:pPr>
              <w:pageBreakBefore w:val="0"/>
              <w:kinsoku/>
              <w:wordWrap/>
              <w:overflowPunct/>
              <w:topLinePunct w:val="0"/>
              <w:bidi w:val="0"/>
              <w:snapToGrid w:val="0"/>
              <w:spacing w:line="300" w:lineRule="auto"/>
              <w:rPr>
                <w:rFonts w:hint="default" w:ascii="Calibri" w:hAnsi="Calibri" w:cs="Calibri"/>
                <w:color w:val="auto"/>
                <w:highlight w:val="none"/>
              </w:rPr>
            </w:pPr>
            <w:r>
              <w:rPr>
                <w:rFonts w:hint="default" w:ascii="Calibri" w:hAnsi="Calibri" w:cs="Calibri"/>
                <w:color w:val="auto"/>
                <w:highlight w:val="none"/>
              </w:rPr>
              <w:t>物业地址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5"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eastAsia="zh-CN"/>
              </w:rPr>
            </w:pPr>
            <w:r>
              <w:rPr>
                <w:rFonts w:hint="eastAsia" w:ascii="宋体" w:hAnsi="宋体"/>
                <w:color w:val="auto"/>
                <w:szCs w:val="21"/>
                <w:lang w:val="en-US" w:eastAsia="zh-CN"/>
              </w:rPr>
              <w:t>2026年钦州市图书馆物业管理服务</w:t>
            </w:r>
          </w:p>
        </w:tc>
        <w:tc>
          <w:tcPr>
            <w:tcW w:w="6011"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eastAsia="zh-CN"/>
              </w:rPr>
            </w:pPr>
            <w:r>
              <w:rPr>
                <w:rFonts w:hint="eastAsia" w:ascii="宋体" w:hAnsi="宋体" w:cs="宋体"/>
                <w:color w:val="auto"/>
                <w:szCs w:val="21"/>
              </w:rPr>
              <w:t>钦州市子材东大街10号钦州市图书馆</w:t>
            </w:r>
          </w:p>
        </w:tc>
      </w:tr>
    </w:tbl>
    <w:p>
      <w:pPr>
        <w:spacing w:line="40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eastAsia="zh-CN"/>
        </w:rPr>
        <w:t>钦州市</w:t>
      </w:r>
      <w:r>
        <w:rPr>
          <w:rFonts w:hint="eastAsia" w:ascii="宋体" w:hAnsi="宋体" w:cs="宋体"/>
          <w:color w:val="auto"/>
          <w:szCs w:val="21"/>
        </w:rPr>
        <w:t>图书馆</w:t>
      </w:r>
      <w:r>
        <w:rPr>
          <w:rFonts w:hint="eastAsia" w:ascii="宋体" w:hAnsi="宋体" w:cs="宋体"/>
          <w:color w:val="auto"/>
          <w:szCs w:val="21"/>
          <w:lang w:eastAsia="zh-CN"/>
        </w:rPr>
        <w:t>是公共文化场所，</w:t>
      </w:r>
      <w:r>
        <w:rPr>
          <w:rFonts w:hint="eastAsia" w:ascii="宋体" w:hAnsi="宋体" w:cs="宋体"/>
          <w:color w:val="auto"/>
          <w:szCs w:val="21"/>
        </w:rPr>
        <w:t>所有服务</w:t>
      </w:r>
      <w:r>
        <w:rPr>
          <w:rFonts w:hint="eastAsia" w:ascii="宋体" w:hAnsi="宋体" w:cs="宋体"/>
          <w:color w:val="auto"/>
          <w:szCs w:val="21"/>
          <w:lang w:eastAsia="zh-CN"/>
        </w:rPr>
        <w:t>项目</w:t>
      </w:r>
      <w:r>
        <w:rPr>
          <w:rFonts w:hint="eastAsia" w:ascii="宋体" w:hAnsi="宋体" w:cs="宋体"/>
          <w:color w:val="auto"/>
          <w:szCs w:val="21"/>
        </w:rPr>
        <w:t>实行免费，主要开展服务内容有：成人、儿童图书借阅服务、报刊阅览服务、地方文献及工具书查阅、论文下载服务、特殊人群阅读服务（视障阅读、老人阅读）、创客中心体验、新科技体验、少儿手工制作活动技艺体验、各类展览、讲座、培训活动、幼儿绘本讲述、幼儿绘本亲子阅读、自修学习室等。</w:t>
      </w:r>
      <w:r>
        <w:rPr>
          <w:rFonts w:hint="eastAsia" w:ascii="宋体" w:hAnsi="宋体" w:cs="宋体"/>
          <w:color w:val="auto"/>
          <w:szCs w:val="21"/>
          <w:lang w:val="en-US" w:eastAsia="zh-CN"/>
        </w:rPr>
        <w:t>2025年接待进馆读者超过72万人次。</w:t>
      </w:r>
    </w:p>
    <w:p>
      <w:pPr>
        <w:spacing w:line="400" w:lineRule="exact"/>
        <w:ind w:firstLine="420" w:firstLineChars="200"/>
        <w:rPr>
          <w:rFonts w:hint="eastAsia" w:ascii="宋体" w:hAnsi="宋体" w:cs="宋体"/>
          <w:b/>
          <w:color w:val="auto"/>
          <w:szCs w:val="21"/>
          <w:lang w:val="en-US" w:eastAsia="zh-CN"/>
        </w:rPr>
      </w:pPr>
      <w:r>
        <w:rPr>
          <w:rFonts w:hint="eastAsia" w:ascii="宋体" w:hAnsi="宋体" w:cs="宋体"/>
          <w:color w:val="auto"/>
          <w:szCs w:val="21"/>
        </w:rPr>
        <w:t>开放时间：钦州市图书馆（钦州市少年儿童图书馆）开放时间为:周二至周日9:00-21:00（周一例行闭馆，</w:t>
      </w:r>
      <w:r>
        <w:rPr>
          <w:rFonts w:hint="eastAsia" w:ascii="宋体" w:hAnsi="宋体" w:cs="宋体"/>
          <w:color w:val="auto"/>
          <w:szCs w:val="21"/>
          <w:lang w:eastAsia="zh-CN"/>
        </w:rPr>
        <w:t>图书馆全体员工按行政班上班。</w:t>
      </w:r>
      <w:r>
        <w:rPr>
          <w:rFonts w:hint="eastAsia" w:ascii="宋体" w:hAnsi="宋体" w:cs="宋体"/>
          <w:color w:val="auto"/>
          <w:szCs w:val="21"/>
        </w:rPr>
        <w:t>法定节假日开放时间另行通知）；2号门休闲阅读区一、二、三楼开放时间为:9:00-23:00；24小时自助图书馆：24小时全天开放。</w:t>
      </w:r>
    </w:p>
    <w:p>
      <w:pPr>
        <w:spacing w:line="400" w:lineRule="exact"/>
        <w:rPr>
          <w:rFonts w:hint="eastAsia" w:ascii="宋体" w:hAnsi="宋体" w:cs="宋体"/>
          <w:b/>
          <w:color w:val="auto"/>
          <w:szCs w:val="21"/>
          <w:lang w:val="en-US" w:eastAsia="zh-CN"/>
        </w:rPr>
      </w:pPr>
    </w:p>
    <w:p>
      <w:pPr>
        <w:spacing w:line="400" w:lineRule="exact"/>
        <w:ind w:firstLine="422" w:firstLineChars="200"/>
        <w:rPr>
          <w:rFonts w:hint="eastAsia" w:ascii="宋体" w:hAnsi="宋体" w:cs="宋体"/>
          <w:b/>
          <w:color w:val="auto"/>
          <w:szCs w:val="21"/>
        </w:rPr>
      </w:pPr>
      <w:r>
        <w:rPr>
          <w:rFonts w:hint="eastAsia" w:ascii="宋体" w:hAnsi="宋体" w:cs="宋体"/>
          <w:b/>
          <w:color w:val="auto"/>
          <w:szCs w:val="21"/>
          <w:lang w:val="en-US" w:eastAsia="zh-CN"/>
        </w:rPr>
        <w:t>1.2采购人提供供应商使用的场地、设施、设备、材料等</w:t>
      </w:r>
    </w:p>
    <w:p>
      <w:pPr>
        <w:ind w:firstLine="420" w:firstLineChars="200"/>
        <w:outlineLvl w:val="9"/>
        <w:rPr>
          <w:rFonts w:hint="default" w:eastAsia="宋体"/>
          <w:color w:val="auto"/>
          <w:highlight w:val="none"/>
          <w:lang w:val="en-US" w:eastAsia="zh-CN"/>
        </w:rPr>
      </w:pPr>
      <w:r>
        <w:rPr>
          <w:rFonts w:hint="eastAsia" w:cs="Calibri"/>
          <w:color w:val="auto"/>
          <w:kern w:val="2"/>
          <w:sz w:val="21"/>
          <w:szCs w:val="21"/>
          <w:highlight w:val="none"/>
          <w:u w:val="none"/>
          <w:lang w:val="en-US" w:eastAsia="zh-CN" w:bidi="ar-SA"/>
        </w:rPr>
        <w:t>无，</w:t>
      </w:r>
      <w:r>
        <w:rPr>
          <w:rFonts w:hint="eastAsia" w:eastAsia="宋体"/>
          <w:color w:val="auto"/>
          <w:highlight w:val="none"/>
          <w:lang w:val="en-US" w:eastAsia="zh-CN"/>
        </w:rPr>
        <w:t>供应商应</w:t>
      </w:r>
      <w:r>
        <w:rPr>
          <w:rFonts w:hint="eastAsia"/>
          <w:color w:val="auto"/>
          <w:highlight w:val="none"/>
          <w:lang w:val="en-US" w:eastAsia="zh-CN"/>
        </w:rPr>
        <w:t>当</w:t>
      </w:r>
      <w:r>
        <w:rPr>
          <w:rFonts w:hint="eastAsia" w:eastAsia="宋体"/>
          <w:color w:val="auto"/>
          <w:highlight w:val="none"/>
          <w:lang w:val="en-US" w:eastAsia="zh-CN"/>
        </w:rPr>
        <w:t>承担与物业管理服务有关的其他</w:t>
      </w:r>
      <w:r>
        <w:rPr>
          <w:rFonts w:hint="eastAsia" w:ascii="Calibri" w:hAnsi="Calibri" w:cs="Calibri"/>
          <w:color w:val="auto"/>
          <w:kern w:val="2"/>
          <w:sz w:val="21"/>
          <w:szCs w:val="21"/>
          <w:highlight w:val="none"/>
          <w:u w:val="none"/>
          <w:lang w:val="en-US" w:eastAsia="zh-CN" w:bidi="ar-SA"/>
        </w:rPr>
        <w:t>场</w:t>
      </w:r>
      <w:r>
        <w:rPr>
          <w:rFonts w:hint="eastAsia" w:cs="Calibri"/>
          <w:color w:val="auto"/>
          <w:kern w:val="2"/>
          <w:sz w:val="21"/>
          <w:szCs w:val="21"/>
          <w:highlight w:val="none"/>
          <w:u w:val="none"/>
          <w:lang w:val="en-US" w:eastAsia="zh-CN" w:bidi="ar-SA"/>
        </w:rPr>
        <w:t>地</w:t>
      </w:r>
      <w:r>
        <w:rPr>
          <w:rFonts w:hint="eastAsia" w:ascii="Calibri" w:hAnsi="Calibri" w:cs="Calibri"/>
          <w:color w:val="auto"/>
          <w:kern w:val="2"/>
          <w:sz w:val="21"/>
          <w:szCs w:val="21"/>
          <w:highlight w:val="none"/>
          <w:u w:val="none"/>
          <w:lang w:val="en-US" w:eastAsia="zh-CN" w:bidi="ar-SA"/>
        </w:rPr>
        <w:t>、设施、设备、材料</w:t>
      </w:r>
      <w:r>
        <w:rPr>
          <w:rFonts w:hint="eastAsia" w:cs="Calibri"/>
          <w:color w:val="auto"/>
          <w:kern w:val="2"/>
          <w:sz w:val="21"/>
          <w:szCs w:val="21"/>
          <w:highlight w:val="none"/>
          <w:u w:val="none"/>
          <w:lang w:val="en-US" w:eastAsia="zh-CN" w:bidi="ar-SA"/>
        </w:rPr>
        <w:t>等</w:t>
      </w:r>
      <w:r>
        <w:rPr>
          <w:rFonts w:hint="eastAsia" w:eastAsia="宋体"/>
          <w:color w:val="auto"/>
          <w:highlight w:val="none"/>
          <w:lang w:val="en-US" w:eastAsia="zh-CN"/>
        </w:rPr>
        <w:t>。</w:t>
      </w:r>
    </w:p>
    <w:p>
      <w:pPr>
        <w:spacing w:line="400" w:lineRule="exact"/>
        <w:rPr>
          <w:rFonts w:hint="eastAsia" w:ascii="宋体" w:hAnsi="宋体" w:cs="宋体"/>
          <w:b/>
          <w:color w:val="auto"/>
          <w:szCs w:val="21"/>
        </w:rPr>
      </w:pPr>
    </w:p>
    <w:p>
      <w:pPr>
        <w:spacing w:line="400" w:lineRule="exact"/>
        <w:ind w:firstLine="422" w:firstLineChars="200"/>
        <w:rPr>
          <w:rFonts w:hint="eastAsia" w:ascii="宋体" w:hAnsi="宋体" w:cs="宋体"/>
          <w:b/>
          <w:color w:val="auto"/>
          <w:szCs w:val="21"/>
          <w:lang w:val="en-US" w:eastAsia="zh-CN"/>
        </w:rPr>
      </w:pPr>
      <w:r>
        <w:rPr>
          <w:rFonts w:hint="eastAsia" w:ascii="宋体" w:hAnsi="宋体" w:cs="宋体"/>
          <w:b/>
          <w:color w:val="auto"/>
          <w:szCs w:val="21"/>
          <w:lang w:val="en-US" w:eastAsia="zh-CN"/>
        </w:rPr>
        <w:t>2.物业服务范围</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钦州市图书馆新馆（含钦州市少年儿童图书馆和钦州市艺术展览中心，以下简称“本馆”），位于子材东大街10号。共四层，总建筑面积约11472平方米。</w:t>
      </w:r>
    </w:p>
    <w:p>
      <w:pPr>
        <w:spacing w:line="400" w:lineRule="exact"/>
        <w:rPr>
          <w:rFonts w:hint="eastAsia" w:ascii="宋体" w:hAnsi="宋体" w:cs="宋体"/>
          <w:b/>
          <w:color w:val="auto"/>
          <w:szCs w:val="21"/>
          <w:lang w:val="en-US" w:eastAsia="zh-CN"/>
        </w:rPr>
      </w:pPr>
    </w:p>
    <w:p>
      <w:pPr>
        <w:spacing w:line="400" w:lineRule="exact"/>
        <w:ind w:firstLine="422" w:firstLineChars="200"/>
        <w:rPr>
          <w:rFonts w:hint="default" w:ascii="宋体" w:hAnsi="宋体" w:cs="宋体"/>
          <w:b/>
          <w:color w:val="auto"/>
          <w:szCs w:val="21"/>
          <w:lang w:val="en-US" w:eastAsia="zh-CN"/>
        </w:rPr>
      </w:pPr>
      <w:r>
        <w:rPr>
          <w:rFonts w:hint="eastAsia" w:ascii="宋体" w:hAnsi="宋体" w:cs="宋体"/>
          <w:b/>
          <w:color w:val="auto"/>
          <w:szCs w:val="21"/>
          <w:lang w:val="en-US" w:eastAsia="zh-CN"/>
        </w:rPr>
        <w:t>3.物业管理服务内容及标准</w:t>
      </w:r>
    </w:p>
    <w:p>
      <w:pPr>
        <w:spacing w:line="40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物业管理服务包括：(1)基本服务；</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）安监保卫服务；（</w:t>
      </w:r>
      <w:r>
        <w:rPr>
          <w:rFonts w:hint="eastAsia" w:ascii="宋体" w:hAnsi="宋体" w:cs="宋体"/>
          <w:color w:val="auto"/>
          <w:szCs w:val="21"/>
          <w:lang w:val="en-US" w:eastAsia="zh-CN"/>
        </w:rPr>
        <w:t>3</w:t>
      </w:r>
      <w:r>
        <w:rPr>
          <w:rFonts w:hint="eastAsia" w:ascii="宋体" w:hAnsi="宋体" w:cs="宋体"/>
          <w:color w:val="auto"/>
          <w:szCs w:val="21"/>
        </w:rPr>
        <w:t>）公共服务秩序管理；（</w:t>
      </w:r>
      <w:r>
        <w:rPr>
          <w:rFonts w:hint="eastAsia" w:ascii="宋体" w:hAnsi="宋体" w:cs="宋体"/>
          <w:color w:val="auto"/>
          <w:szCs w:val="21"/>
          <w:lang w:val="en-US" w:eastAsia="zh-CN"/>
        </w:rPr>
        <w:t>4</w:t>
      </w:r>
      <w:r>
        <w:rPr>
          <w:rFonts w:hint="eastAsia" w:ascii="宋体" w:hAnsi="宋体" w:cs="宋体"/>
          <w:color w:val="auto"/>
          <w:szCs w:val="21"/>
        </w:rPr>
        <w:t>）清洁保洁服务；（</w:t>
      </w:r>
      <w:r>
        <w:rPr>
          <w:rFonts w:hint="eastAsia" w:ascii="宋体" w:hAnsi="宋体" w:cs="宋体"/>
          <w:color w:val="auto"/>
          <w:szCs w:val="21"/>
          <w:lang w:val="en-US" w:eastAsia="zh-CN"/>
        </w:rPr>
        <w:t>5</w:t>
      </w:r>
      <w:r>
        <w:rPr>
          <w:rFonts w:hint="eastAsia" w:ascii="宋体" w:hAnsi="宋体" w:cs="宋体"/>
          <w:color w:val="auto"/>
          <w:szCs w:val="21"/>
        </w:rPr>
        <w:t>）绿化带花、草、树、竹等植物的修剪养护</w:t>
      </w:r>
      <w:r>
        <w:rPr>
          <w:rFonts w:hint="eastAsia" w:ascii="宋体" w:hAnsi="宋体" w:cs="宋体"/>
          <w:color w:val="auto"/>
          <w:szCs w:val="21"/>
          <w:lang w:eastAsia="zh-CN"/>
        </w:rPr>
        <w:t>；（</w:t>
      </w:r>
      <w:r>
        <w:rPr>
          <w:rFonts w:hint="eastAsia" w:ascii="宋体" w:hAnsi="宋体" w:cs="宋体"/>
          <w:color w:val="auto"/>
          <w:szCs w:val="21"/>
          <w:lang w:val="en-US" w:eastAsia="zh-CN"/>
        </w:rPr>
        <w:t>6</w:t>
      </w:r>
      <w:r>
        <w:rPr>
          <w:rFonts w:hint="eastAsia" w:ascii="宋体" w:hAnsi="宋体" w:cs="宋体"/>
          <w:color w:val="auto"/>
          <w:szCs w:val="21"/>
          <w:lang w:eastAsia="zh-CN"/>
        </w:rPr>
        <w:t>）</w:t>
      </w:r>
      <w:r>
        <w:rPr>
          <w:rFonts w:hint="eastAsia" w:ascii="宋体" w:hAnsi="宋体" w:cs="宋体"/>
          <w:color w:val="auto"/>
          <w:szCs w:val="21"/>
          <w:lang w:val="en-US" w:eastAsia="zh-CN"/>
        </w:rPr>
        <w:t>水电服务。</w:t>
      </w:r>
    </w:p>
    <w:p>
      <w:pPr>
        <w:spacing w:line="400" w:lineRule="exact"/>
        <w:ind w:firstLine="422" w:firstLineChars="200"/>
        <w:rPr>
          <w:rFonts w:hint="eastAsia" w:ascii="宋体" w:hAnsi="宋体" w:cs="宋体"/>
          <w:b/>
          <w:color w:val="auto"/>
          <w:szCs w:val="21"/>
          <w:lang w:val="en-US" w:eastAsia="zh-CN"/>
        </w:rPr>
      </w:pPr>
      <w:r>
        <w:rPr>
          <w:rFonts w:hint="eastAsia" w:ascii="宋体" w:hAnsi="宋体" w:cs="宋体"/>
          <w:b/>
          <w:color w:val="auto"/>
          <w:szCs w:val="21"/>
          <w:lang w:val="en-US" w:eastAsia="zh-CN"/>
        </w:rPr>
        <w:t>3.1基本服务</w:t>
      </w:r>
    </w:p>
    <w:p>
      <w:pPr>
        <w:spacing w:line="400" w:lineRule="exact"/>
        <w:ind w:firstLine="422" w:firstLineChars="200"/>
        <w:rPr>
          <w:rFonts w:hint="eastAsia" w:ascii="宋体" w:hAnsi="宋体" w:cs="宋体"/>
          <w:b/>
          <w:color w:val="auto"/>
          <w:szCs w:val="21"/>
          <w:lang w:val="en-US" w:eastAsia="zh-CN"/>
        </w:rPr>
      </w:pPr>
      <w:r>
        <w:rPr>
          <w:rFonts w:hint="eastAsia" w:ascii="宋体" w:hAnsi="宋体" w:cs="宋体"/>
          <w:b/>
          <w:color w:val="auto"/>
          <w:szCs w:val="21"/>
          <w:lang w:val="en-US" w:eastAsia="zh-CN"/>
        </w:rPr>
        <w:t>3.1.1服务内容和服务标准</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(1)“本馆”日常监护管理，含楼板、屋顶、梁、柱、内外墙体和基础等承重结构部位、外墙面、楼梯间、走廊通道、门厅、卫生间、茶水间、设备房等。</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(2)“本馆”设施设备、规划内配套服务设施（上下水管管道、公用照明、背景音乐、绿化、路灯、供水设备、配电系统、电梯、消防设备等）的</w:t>
      </w:r>
      <w:r>
        <w:rPr>
          <w:rFonts w:hint="eastAsia" w:ascii="宋体" w:hAnsi="宋体" w:cs="宋体"/>
          <w:color w:val="auto"/>
          <w:szCs w:val="21"/>
          <w:lang w:eastAsia="zh-CN"/>
        </w:rPr>
        <w:t>日常</w:t>
      </w:r>
      <w:r>
        <w:rPr>
          <w:rFonts w:hint="eastAsia" w:ascii="宋体" w:hAnsi="宋体" w:cs="宋体"/>
          <w:color w:val="auto"/>
          <w:szCs w:val="21"/>
          <w:lang w:val="en-US" w:eastAsia="zh-CN"/>
        </w:rPr>
        <w:t>维护</w:t>
      </w:r>
      <w:r>
        <w:rPr>
          <w:rFonts w:hint="eastAsia" w:ascii="宋体" w:hAnsi="宋体" w:cs="宋体"/>
          <w:color w:val="auto"/>
          <w:szCs w:val="21"/>
        </w:rPr>
        <w:t>，管理和运行服务。</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(3)钦州市图书馆三楼报告厅和各展厅的日常管理和运行服务，按采购人要求，在职责范围内配合和协助做好展厅布展及撤展工作。</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(4)配合和协助钦州市图书馆在区域内开展各项活动。</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(5)公共环境（包括公共场地、房屋建筑物公用部位）的清洁卫生、垃圾的收集、清运。</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(6)日常治安、消防、车辆、秩序等管理。配合和协助当地派出所进行安全监控和巡视等护管工作。</w:t>
      </w:r>
    </w:p>
    <w:p>
      <w:pPr>
        <w:spacing w:line="400" w:lineRule="exact"/>
        <w:ind w:firstLine="420" w:firstLineChars="200"/>
        <w:rPr>
          <w:rFonts w:hint="eastAsia" w:ascii="宋体" w:hAnsi="宋体" w:cs="宋体"/>
          <w:b/>
          <w:color w:val="auto"/>
          <w:szCs w:val="21"/>
          <w:lang w:val="en-US" w:eastAsia="zh-CN"/>
        </w:rPr>
      </w:pPr>
      <w:r>
        <w:rPr>
          <w:rFonts w:hint="eastAsia" w:ascii="宋体" w:hAnsi="宋体" w:cs="宋体"/>
          <w:color w:val="auto"/>
          <w:szCs w:val="21"/>
        </w:rPr>
        <w:t>(7)物业管理档案、资料；消防安全，巡查相关台</w:t>
      </w:r>
      <w:r>
        <w:rPr>
          <w:rFonts w:hint="eastAsia" w:ascii="宋体" w:hAnsi="宋体" w:cs="宋体"/>
          <w:color w:val="auto"/>
          <w:szCs w:val="21"/>
          <w:lang w:val="en-US" w:eastAsia="zh-CN"/>
        </w:rPr>
        <w:t>账</w:t>
      </w:r>
      <w:r>
        <w:rPr>
          <w:rFonts w:hint="eastAsia" w:ascii="宋体" w:hAnsi="宋体" w:cs="宋体"/>
          <w:color w:val="auto"/>
          <w:szCs w:val="21"/>
        </w:rPr>
        <w:t>资料。</w:t>
      </w:r>
    </w:p>
    <w:p>
      <w:pPr>
        <w:spacing w:line="400" w:lineRule="exact"/>
        <w:ind w:firstLine="422" w:firstLineChars="200"/>
        <w:rPr>
          <w:rFonts w:hint="eastAsia" w:ascii="宋体" w:hAnsi="宋体" w:cs="宋体"/>
          <w:b/>
          <w:color w:val="auto"/>
          <w:szCs w:val="21"/>
          <w:lang w:val="en-US" w:eastAsia="zh-CN"/>
        </w:rPr>
      </w:pPr>
      <w:r>
        <w:rPr>
          <w:rFonts w:hint="eastAsia" w:ascii="宋体" w:hAnsi="宋体" w:cs="宋体"/>
          <w:b/>
          <w:color w:val="auto"/>
          <w:szCs w:val="21"/>
          <w:lang w:val="en-US" w:eastAsia="zh-CN"/>
        </w:rPr>
        <w:t>3.2安监保卫服务</w:t>
      </w:r>
    </w:p>
    <w:p>
      <w:pPr>
        <w:spacing w:line="400" w:lineRule="exact"/>
        <w:ind w:firstLine="422" w:firstLineChars="200"/>
        <w:rPr>
          <w:rFonts w:hint="eastAsia" w:ascii="宋体" w:hAnsi="宋体" w:cs="宋体"/>
          <w:b/>
          <w:color w:val="auto"/>
          <w:szCs w:val="21"/>
          <w:lang w:val="en-US" w:eastAsia="zh-CN"/>
        </w:rPr>
      </w:pPr>
      <w:r>
        <w:rPr>
          <w:rFonts w:hint="eastAsia" w:ascii="宋体" w:hAnsi="宋体" w:cs="宋体"/>
          <w:b/>
          <w:color w:val="auto"/>
          <w:szCs w:val="21"/>
          <w:lang w:val="en-US" w:eastAsia="zh-CN"/>
        </w:rPr>
        <w:t>3.2.1服务内容和服务标准</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严格执行《中华人民共和国公共图书馆法》、文化部、住建部《公共图书馆消防初始值建设标准》《广西壮族自治区保安服务管理条例》（广西壮族自治区十届人大常委会公告第66号），并按要求在钦州市图书馆提供相关服务。</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（2）安全保卫服务队伍须身体健康，有沟通能力，能吃苦耐劳，责任心强。</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（3）负责治安、秩序、消防等日常管理，按照确保安全的服务责任总目标，科学、合理安排安全守卫、治安巡逻等防范工作，服从</w:t>
      </w:r>
      <w:r>
        <w:rPr>
          <w:rFonts w:hint="eastAsia" w:ascii="宋体" w:hAnsi="宋体" w:cs="宋体"/>
          <w:color w:val="auto"/>
          <w:kern w:val="0"/>
          <w:szCs w:val="21"/>
          <w:lang w:eastAsia="zh-CN"/>
        </w:rPr>
        <w:t>图书馆</w:t>
      </w:r>
      <w:r>
        <w:rPr>
          <w:rFonts w:hint="eastAsia" w:ascii="宋体" w:hAnsi="宋体" w:cs="宋体"/>
          <w:color w:val="auto"/>
          <w:kern w:val="0"/>
          <w:szCs w:val="21"/>
        </w:rPr>
        <w:t>的安全管理指挥，遵守</w:t>
      </w:r>
      <w:r>
        <w:rPr>
          <w:rFonts w:hint="eastAsia" w:ascii="宋体" w:hAnsi="宋体" w:cs="宋体"/>
          <w:color w:val="auto"/>
          <w:kern w:val="0"/>
          <w:szCs w:val="21"/>
          <w:lang w:eastAsia="zh-CN"/>
        </w:rPr>
        <w:t>图书馆</w:t>
      </w:r>
      <w:r>
        <w:rPr>
          <w:rFonts w:hint="eastAsia" w:ascii="宋体" w:hAnsi="宋体" w:cs="宋体"/>
          <w:color w:val="auto"/>
          <w:kern w:val="0"/>
          <w:szCs w:val="21"/>
        </w:rPr>
        <w:t>安全管理制度，做好安全防范，做好各类情况的统计，收集整理相关资料台</w:t>
      </w:r>
      <w:r>
        <w:rPr>
          <w:rFonts w:hint="eastAsia" w:ascii="宋体" w:hAnsi="宋体" w:cs="宋体"/>
          <w:color w:val="auto"/>
          <w:kern w:val="0"/>
          <w:szCs w:val="21"/>
          <w:lang w:val="en-US" w:eastAsia="zh-CN"/>
        </w:rPr>
        <w:t>账</w:t>
      </w:r>
      <w:r>
        <w:rPr>
          <w:rFonts w:hint="eastAsia" w:ascii="宋体" w:hAnsi="宋体" w:cs="宋体"/>
          <w:color w:val="auto"/>
          <w:kern w:val="0"/>
          <w:szCs w:val="21"/>
        </w:rPr>
        <w:t>。</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在岗期间必须尽职尽责，统一着装，佩戴标志。安排人员24小时值班巡逻。不许擅离职守，不许出现睡岗、脱岗等现象，每发现一人次扣物业公司相关管理费100元；每月内同1人被发现2次以上，当事人即被停止在服务单位的服务期，领班须予降职。由此而造成业主损失的，将追究有关人员及物业公司相关责任，并视损失情况向物业公司索赔。</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（5）白天班与晚上班均须有值班记录。如发现有不按规定执行者，视情节扣除物业公司相关管理费。</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（6）做到24小时值班巡逻，根据业主需要，要求出入人员履行安检，监控外来人员，纠正违章行为，保障公共秩序良好。建立各类安全应急预案，定期演练，确保公共安全。</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（7）守卫、巡逻中及时发现、正确处置安全隐患和险情，严防发生工作失误。</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（8）合同期内发生一起重大事故，属于物业公司全责的，且经公安机关核实，法院判定的，业主有权无条件取消与物业公司的合同，终止服务事项；所造成的损失由评估机构评估后按法院裁定后由承包方赔偿。</w:t>
      </w:r>
    </w:p>
    <w:p>
      <w:pPr>
        <w:widowControl/>
        <w:adjustRightInd w:val="0"/>
        <w:snapToGrid w:val="0"/>
        <w:spacing w:line="400" w:lineRule="exact"/>
        <w:ind w:firstLine="422" w:firstLineChars="200"/>
        <w:jc w:val="left"/>
        <w:rPr>
          <w:rFonts w:hint="eastAsia" w:ascii="宋体" w:hAnsi="宋体" w:cs="宋体"/>
          <w:b/>
          <w:bCs/>
          <w:color w:val="auto"/>
          <w:kern w:val="0"/>
          <w:szCs w:val="21"/>
        </w:rPr>
      </w:pPr>
      <w:r>
        <w:rPr>
          <w:rFonts w:hint="eastAsia" w:ascii="宋体" w:hAnsi="宋体" w:cs="宋体"/>
          <w:b/>
          <w:bCs/>
          <w:color w:val="auto"/>
          <w:kern w:val="0"/>
          <w:szCs w:val="21"/>
          <w:lang w:val="en-US" w:eastAsia="zh-CN"/>
        </w:rPr>
        <w:t>3.3</w:t>
      </w:r>
      <w:r>
        <w:rPr>
          <w:rFonts w:hint="eastAsia" w:ascii="宋体" w:hAnsi="宋体" w:cs="宋体"/>
          <w:b/>
          <w:bCs/>
          <w:color w:val="auto"/>
          <w:kern w:val="0"/>
          <w:szCs w:val="21"/>
        </w:rPr>
        <w:t>公共服务秩序管理</w:t>
      </w:r>
    </w:p>
    <w:p>
      <w:pPr>
        <w:widowControl/>
        <w:adjustRightInd w:val="0"/>
        <w:snapToGrid w:val="0"/>
        <w:spacing w:line="400" w:lineRule="exact"/>
        <w:ind w:firstLine="422" w:firstLineChars="200"/>
        <w:jc w:val="left"/>
        <w:rPr>
          <w:rFonts w:hint="eastAsia" w:ascii="宋体" w:hAnsi="宋体" w:cs="宋体"/>
          <w:b/>
          <w:bCs/>
          <w:color w:val="auto"/>
          <w:kern w:val="0"/>
          <w:szCs w:val="21"/>
        </w:rPr>
      </w:pPr>
      <w:r>
        <w:rPr>
          <w:rFonts w:hint="eastAsia" w:ascii="宋体" w:hAnsi="宋体" w:cs="宋体"/>
          <w:b/>
          <w:bCs/>
          <w:color w:val="auto"/>
          <w:kern w:val="0"/>
          <w:szCs w:val="21"/>
          <w:lang w:val="en-US" w:eastAsia="zh-CN"/>
        </w:rPr>
        <w:t>3.3.1</w:t>
      </w:r>
      <w:bookmarkStart w:id="47" w:name="OLE_LINK9"/>
      <w:r>
        <w:rPr>
          <w:rFonts w:hint="eastAsia" w:ascii="宋体" w:hAnsi="宋体" w:cs="宋体"/>
          <w:b/>
          <w:bCs/>
          <w:color w:val="auto"/>
          <w:kern w:val="0"/>
          <w:szCs w:val="21"/>
          <w:lang w:val="en-US" w:eastAsia="zh-CN"/>
        </w:rPr>
        <w:t>服务内容和服务标准</w:t>
      </w:r>
    </w:p>
    <w:bookmarkEnd w:id="47"/>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（1）按职责巡守展厅，保护图书馆内的设施设备，人员出馆时注意检查，杜绝出馆人员偷盗现象。</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（2）维持图书馆秩序，引导读者正确阅读，发现观众有危及图书馆内设施设备行为时要及时制止。</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（3）按时有序清场，关闭相关设备。</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（4）发现非人为损坏现象及时报告。</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（5）对非法侵害人身、财产的行为进行劝阻、制止，协助公安部门维护本物业管理区域内的安全防范工作，并及时通报相关部门、协助做好调查和救助工作。</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负责日常治安、车辆、秩序等管理，按照确保安全的服务责任总目标，科学、合理安排安全守卫、治安巡逻等防范工作。服从业主的安全管理指挥，遵守安全管理制度，做好安全防范。及时制止区域内各类治安案件和一切防害安全和公共秩序的行为，协助配合当地公安机关及有关部门处理所辖区域内一切与治安有关的事件。发生各类案件、伤害、事故时，负责救助工作、保护好现场、及时向公安机关和业主报告并协助调查。</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注：采购人每月进行抽取检查，对于不符合要求的，责令改正，发现屡次不改的，采购人追究成交供应商责任。</w:t>
      </w:r>
    </w:p>
    <w:p>
      <w:pPr>
        <w:widowControl/>
        <w:adjustRightInd w:val="0"/>
        <w:snapToGrid w:val="0"/>
        <w:spacing w:line="400" w:lineRule="exact"/>
        <w:ind w:firstLine="422" w:firstLineChars="200"/>
        <w:jc w:val="left"/>
        <w:rPr>
          <w:rFonts w:hint="eastAsia" w:ascii="宋体" w:hAnsi="宋体" w:cs="宋体"/>
          <w:b/>
          <w:bCs/>
          <w:color w:val="auto"/>
          <w:kern w:val="0"/>
          <w:szCs w:val="21"/>
        </w:rPr>
      </w:pPr>
      <w:r>
        <w:rPr>
          <w:rFonts w:hint="eastAsia" w:ascii="宋体" w:hAnsi="宋体" w:cs="宋体"/>
          <w:b/>
          <w:bCs/>
          <w:color w:val="auto"/>
          <w:kern w:val="0"/>
          <w:szCs w:val="21"/>
          <w:lang w:val="en-US" w:eastAsia="zh-CN"/>
        </w:rPr>
        <w:t>3.4</w:t>
      </w:r>
      <w:r>
        <w:rPr>
          <w:rFonts w:hint="eastAsia" w:ascii="宋体" w:hAnsi="宋体" w:cs="宋体"/>
          <w:b/>
          <w:bCs/>
          <w:color w:val="auto"/>
          <w:kern w:val="0"/>
          <w:szCs w:val="21"/>
        </w:rPr>
        <w:t>清洁保洁</w:t>
      </w:r>
    </w:p>
    <w:p>
      <w:pPr>
        <w:widowControl/>
        <w:adjustRightInd w:val="0"/>
        <w:snapToGrid w:val="0"/>
        <w:spacing w:line="400" w:lineRule="exact"/>
        <w:ind w:firstLine="422" w:firstLineChars="200"/>
        <w:jc w:val="left"/>
        <w:rPr>
          <w:rFonts w:hint="eastAsia"/>
          <w:color w:val="auto"/>
        </w:rPr>
      </w:pPr>
      <w:r>
        <w:rPr>
          <w:rFonts w:hint="eastAsia" w:ascii="宋体" w:hAnsi="宋体" w:cs="宋体"/>
          <w:b/>
          <w:bCs/>
          <w:color w:val="auto"/>
          <w:kern w:val="0"/>
          <w:szCs w:val="21"/>
          <w:lang w:val="en-US" w:eastAsia="zh-CN"/>
        </w:rPr>
        <w:t>3.4.1服务内容和服务标准</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负责图书馆的环境及设备、设施的清洁卫生工作。要求做到：</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（1）馆内保持清洁，开馆时间内保证无杂物、废物，无纸屑、烟头等废弃物。</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（2）馆内及书架、图书保持干净，无污渍、积水、废弃物，无积尘，其他部位无明显积尘，无蜘蛛网。</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（3）门窗、天面的干净。</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（4）保持馆内的墙体内外和屋顶干净。</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（5）厕所内无臭味，地板保持干净，蹲位无污渍，墙体无污渍。</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（6）垃圾桶及时清理。</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（7）及时做好馆内、外绿植养护，出现非正常死株及时通报采购人，申请补种(费用采购人负责)。</w:t>
      </w:r>
    </w:p>
    <w:p>
      <w:pPr>
        <w:widowControl/>
        <w:adjustRightInd w:val="0"/>
        <w:snapToGrid w:val="0"/>
        <w:spacing w:line="400" w:lineRule="exact"/>
        <w:ind w:firstLine="422" w:firstLineChars="200"/>
        <w:jc w:val="left"/>
        <w:rPr>
          <w:rFonts w:hint="eastAsia" w:ascii="宋体" w:hAnsi="宋体" w:cs="宋体"/>
          <w:b/>
          <w:bCs/>
          <w:color w:val="auto"/>
          <w:kern w:val="0"/>
          <w:szCs w:val="21"/>
        </w:rPr>
      </w:pPr>
      <w:r>
        <w:rPr>
          <w:rFonts w:hint="eastAsia" w:ascii="宋体" w:hAnsi="宋体" w:cs="宋体"/>
          <w:b/>
          <w:bCs/>
          <w:color w:val="auto"/>
          <w:kern w:val="0"/>
          <w:szCs w:val="21"/>
          <w:lang w:val="en-US" w:eastAsia="zh-CN"/>
        </w:rPr>
        <w:t>3.5</w:t>
      </w:r>
      <w:r>
        <w:rPr>
          <w:rFonts w:hint="eastAsia" w:ascii="宋体" w:hAnsi="宋体" w:cs="宋体"/>
          <w:b/>
          <w:bCs/>
          <w:color w:val="auto"/>
          <w:kern w:val="0"/>
          <w:szCs w:val="21"/>
        </w:rPr>
        <w:t>绿化花、草、树、竹等植物修剪养护</w:t>
      </w:r>
    </w:p>
    <w:p>
      <w:pPr>
        <w:widowControl/>
        <w:adjustRightInd w:val="0"/>
        <w:snapToGrid w:val="0"/>
        <w:spacing w:line="400" w:lineRule="exact"/>
        <w:ind w:firstLine="422" w:firstLineChars="200"/>
        <w:jc w:val="left"/>
        <w:rPr>
          <w:rFonts w:hint="eastAsia"/>
          <w:color w:val="auto"/>
        </w:rPr>
      </w:pPr>
      <w:r>
        <w:rPr>
          <w:rFonts w:hint="eastAsia" w:ascii="宋体" w:hAnsi="宋体" w:cs="宋体"/>
          <w:b/>
          <w:bCs/>
          <w:color w:val="auto"/>
          <w:kern w:val="0"/>
          <w:szCs w:val="21"/>
          <w:lang w:val="en-US" w:eastAsia="zh-CN"/>
        </w:rPr>
        <w:t>3.5.1服务内容和服务标准</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1</w:t>
      </w:r>
      <w:r>
        <w:rPr>
          <w:rFonts w:hint="eastAsia" w:ascii="宋体" w:hAnsi="宋体" w:cs="宋体"/>
          <w:color w:val="auto"/>
          <w:kern w:val="0"/>
          <w:szCs w:val="21"/>
          <w:lang w:eastAsia="zh-CN"/>
        </w:rPr>
        <w:t>）</w:t>
      </w:r>
      <w:r>
        <w:rPr>
          <w:rFonts w:hint="eastAsia" w:ascii="宋体" w:hAnsi="宋体" w:cs="宋体"/>
          <w:color w:val="auto"/>
          <w:kern w:val="0"/>
          <w:szCs w:val="21"/>
        </w:rPr>
        <w:t>修剪规范：定期对馆内、外所有绿植（花、草、树、竹等）进行修剪</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2</w:t>
      </w:r>
      <w:r>
        <w:rPr>
          <w:rFonts w:hint="eastAsia" w:ascii="宋体" w:hAnsi="宋体" w:cs="宋体"/>
          <w:color w:val="auto"/>
          <w:kern w:val="0"/>
          <w:szCs w:val="21"/>
          <w:lang w:eastAsia="zh-CN"/>
        </w:rPr>
        <w:t>）</w:t>
      </w:r>
      <w:r>
        <w:rPr>
          <w:rFonts w:hint="eastAsia" w:ascii="宋体" w:hAnsi="宋体" w:cs="宋体"/>
          <w:color w:val="auto"/>
          <w:kern w:val="0"/>
          <w:szCs w:val="21"/>
        </w:rPr>
        <w:t>定期巡检：每周对所有绿植进行1次全面巡检，记录修剪养护情况及存在的问题，形成巡检记录，每月提交给采购人备案。</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3</w:t>
      </w:r>
      <w:r>
        <w:rPr>
          <w:rFonts w:hint="eastAsia" w:ascii="宋体" w:hAnsi="宋体" w:cs="宋体"/>
          <w:color w:val="auto"/>
          <w:kern w:val="0"/>
          <w:szCs w:val="21"/>
          <w:lang w:eastAsia="zh-CN"/>
        </w:rPr>
        <w:t>）</w:t>
      </w:r>
      <w:r>
        <w:rPr>
          <w:rFonts w:hint="eastAsia" w:ascii="宋体" w:hAnsi="宋体" w:cs="宋体"/>
          <w:color w:val="auto"/>
          <w:kern w:val="0"/>
          <w:szCs w:val="21"/>
        </w:rPr>
        <w:t>特殊情况处理：遇到暴雨、台风等恶劣天气，需提前对高大树木、易倒绿植进行加固防护，避免枝条折断、植株倒伏损坏图书馆设施或影响人员安全</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注：采购人每月进行抽取检查，对于不符合要求的，责令改正，发现屡次不改的，采购人追究成交供应商责任。</w:t>
      </w:r>
    </w:p>
    <w:p>
      <w:pPr>
        <w:widowControl/>
        <w:adjustRightInd w:val="0"/>
        <w:snapToGrid w:val="0"/>
        <w:spacing w:line="400" w:lineRule="exact"/>
        <w:ind w:firstLine="422" w:firstLineChars="200"/>
        <w:jc w:val="left"/>
        <w:rPr>
          <w:rFonts w:hint="eastAsia" w:ascii="宋体" w:hAnsi="宋体" w:eastAsia="宋体" w:cs="宋体"/>
          <w:b/>
          <w:bCs/>
          <w:color w:val="auto"/>
          <w:kern w:val="0"/>
          <w:szCs w:val="21"/>
          <w:lang w:eastAsia="zh-CN"/>
        </w:rPr>
      </w:pPr>
      <w:r>
        <w:rPr>
          <w:rFonts w:hint="eastAsia" w:ascii="宋体" w:hAnsi="宋体" w:cs="宋体"/>
          <w:b/>
          <w:bCs/>
          <w:color w:val="auto"/>
          <w:kern w:val="0"/>
          <w:szCs w:val="21"/>
          <w:lang w:val="en-US" w:eastAsia="zh-CN"/>
        </w:rPr>
        <w:t>3.6水电服务</w:t>
      </w:r>
    </w:p>
    <w:p>
      <w:pPr>
        <w:widowControl/>
        <w:adjustRightInd w:val="0"/>
        <w:snapToGrid w:val="0"/>
        <w:spacing w:line="400" w:lineRule="exact"/>
        <w:ind w:firstLine="422" w:firstLineChars="200"/>
        <w:jc w:val="left"/>
        <w:rPr>
          <w:rFonts w:hint="eastAsia"/>
          <w:color w:val="auto"/>
        </w:rPr>
      </w:pPr>
      <w:r>
        <w:rPr>
          <w:rFonts w:hint="eastAsia" w:ascii="宋体" w:hAnsi="宋体" w:cs="宋体"/>
          <w:b/>
          <w:bCs/>
          <w:color w:val="auto"/>
          <w:kern w:val="0"/>
          <w:szCs w:val="21"/>
          <w:lang w:val="en-US" w:eastAsia="zh-CN"/>
        </w:rPr>
        <w:t>3.6.1服务内容和服务标准</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（1）负责本馆日常水电线路正常运行</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（2）定期检查水电线路，保证不出现特殊故障，发现问题及时上报采购人并提出处理意见(费用采购人负责)。</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（3）每月检查2次发电机，保证正常运行。</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（4）对突发水电故障，及时处理。</w:t>
      </w:r>
    </w:p>
    <w:p>
      <w:pPr>
        <w:widowControl/>
        <w:adjustRightInd w:val="0"/>
        <w:snapToGrid w:val="0"/>
        <w:spacing w:line="400" w:lineRule="exact"/>
        <w:ind w:firstLine="420" w:firstLineChars="200"/>
        <w:jc w:val="left"/>
        <w:rPr>
          <w:rFonts w:hint="default" w:ascii="宋体" w:hAnsi="宋体" w:cs="宋体"/>
          <w:color w:val="auto"/>
          <w:kern w:val="0"/>
          <w:szCs w:val="21"/>
          <w:lang w:val="en-US" w:eastAsia="zh-CN"/>
        </w:rPr>
      </w:pPr>
      <w:r>
        <w:rPr>
          <w:rFonts w:hint="eastAsia" w:ascii="宋体" w:hAnsi="宋体" w:cs="宋体"/>
          <w:color w:val="auto"/>
          <w:kern w:val="0"/>
          <w:szCs w:val="21"/>
        </w:rPr>
        <w:t>注：采购人每月进行抽取检查，对于不符合要求的，责令改正，发现屡次不改的，采购人追究成交供应商责任。</w:t>
      </w:r>
    </w:p>
    <w:p>
      <w:pPr>
        <w:spacing w:line="400" w:lineRule="exact"/>
        <w:rPr>
          <w:rFonts w:hint="eastAsia" w:ascii="宋体" w:hAnsi="宋体" w:cs="宋体"/>
          <w:color w:val="auto"/>
          <w:szCs w:val="21"/>
        </w:rPr>
      </w:pPr>
    </w:p>
    <w:p>
      <w:pPr>
        <w:spacing w:line="400" w:lineRule="exact"/>
        <w:ind w:firstLine="422" w:firstLineChars="200"/>
        <w:rPr>
          <w:rFonts w:hint="eastAsia" w:ascii="宋体" w:hAnsi="宋体" w:cs="宋体"/>
          <w:b/>
          <w:color w:val="auto"/>
          <w:szCs w:val="21"/>
        </w:rPr>
      </w:pPr>
      <w:r>
        <w:rPr>
          <w:rFonts w:hint="eastAsia" w:ascii="宋体" w:hAnsi="宋体" w:cs="宋体"/>
          <w:b/>
          <w:color w:val="auto"/>
          <w:szCs w:val="21"/>
          <w:lang w:val="en-US" w:eastAsia="zh-CN"/>
        </w:rPr>
        <w:t>4.</w:t>
      </w:r>
      <w:r>
        <w:rPr>
          <w:rFonts w:hint="eastAsia" w:ascii="宋体" w:hAnsi="宋体" w:cs="宋体"/>
          <w:b/>
          <w:color w:val="auto"/>
          <w:szCs w:val="21"/>
        </w:rPr>
        <w:t>物业服务职责</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1.依照有关规定和本合同约定，制定物业管理服务制度，对物业及其环境、秩序进行管理。</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2.建立该项目的管理档案。</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3.按物业管理及要求进行服务与管理。</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4.不得将本项目整体转让</w:t>
      </w:r>
      <w:r>
        <w:rPr>
          <w:rFonts w:hint="eastAsia" w:ascii="宋体" w:hAnsi="宋体" w:cs="宋体"/>
          <w:color w:val="auto"/>
          <w:szCs w:val="21"/>
          <w:lang w:eastAsia="zh-CN"/>
        </w:rPr>
        <w:t>或部分转让</w:t>
      </w:r>
      <w:r>
        <w:rPr>
          <w:rFonts w:hint="eastAsia" w:ascii="宋体" w:hAnsi="宋体" w:cs="宋体"/>
          <w:color w:val="auto"/>
          <w:szCs w:val="21"/>
        </w:rPr>
        <w:t>给其他物业管理服务企业管理，若将专项服务委托专业公司承担，需报采购人批准。</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5.不得私自设置广告牌，不得利用公用部位、公用设施设备进行经营。如有必要，必须征得采购人同意后，按照规定办理。</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6.负责编制物业管理服务年度计划。</w:t>
      </w:r>
    </w:p>
    <w:p>
      <w:pPr>
        <w:spacing w:line="400" w:lineRule="exact"/>
        <w:ind w:firstLine="422" w:firstLineChars="200"/>
        <w:rPr>
          <w:rFonts w:hint="eastAsia" w:ascii="宋体" w:hAnsi="宋体" w:cs="宋体"/>
          <w:b/>
          <w:color w:val="auto"/>
          <w:szCs w:val="21"/>
        </w:rPr>
      </w:pPr>
      <w:bookmarkStart w:id="48" w:name="OLE_LINK5"/>
      <w:r>
        <w:rPr>
          <w:rFonts w:hint="eastAsia" w:ascii="宋体" w:hAnsi="宋体" w:cs="宋体"/>
          <w:b/>
          <w:color w:val="auto"/>
          <w:szCs w:val="21"/>
        </w:rPr>
        <w:t>7.双方终止合同，不再管理本物业时，必须向采购人移交全部借用的物品及物业管理的全部档案资料。</w:t>
      </w:r>
    </w:p>
    <w:bookmarkEnd w:id="48"/>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8.协助公安部门维护本物业管理区域内治安秩序、制止违法行为。在本物业管理区域内发生治安案件或者各类灾害事故时，应当及时向采购人报告，并按规定及时向公安和有关部门报告，协助做好调查和救助工作。</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9.因供应商未能履行服务合同的约定，导致采购人人身、财产安全受到损害的，供应商应当依法承担相应的法律责任及经济赔偿。</w:t>
      </w:r>
    </w:p>
    <w:p>
      <w:pPr>
        <w:spacing w:line="400" w:lineRule="exact"/>
        <w:ind w:firstLine="420" w:firstLineChars="200"/>
        <w:rPr>
          <w:rFonts w:hint="eastAsia"/>
          <w:color w:val="auto"/>
        </w:rPr>
      </w:pPr>
      <w:r>
        <w:rPr>
          <w:rFonts w:hint="eastAsia" w:ascii="宋体" w:hAnsi="宋体" w:cs="宋体"/>
          <w:color w:val="auto"/>
          <w:szCs w:val="21"/>
        </w:rPr>
        <w:t>10.接受采购人的监督。</w:t>
      </w:r>
    </w:p>
    <w:p>
      <w:pPr>
        <w:spacing w:line="400" w:lineRule="exact"/>
        <w:rPr>
          <w:rFonts w:hint="eastAsia" w:ascii="宋体" w:hAnsi="宋体" w:cs="宋体"/>
          <w:b/>
          <w:color w:val="auto"/>
          <w:szCs w:val="21"/>
          <w:lang w:val="en-US" w:eastAsia="zh-CN"/>
        </w:rPr>
      </w:pPr>
    </w:p>
    <w:p>
      <w:pPr>
        <w:spacing w:line="400" w:lineRule="exact"/>
        <w:rPr>
          <w:rFonts w:hint="eastAsia" w:ascii="宋体" w:hAnsi="宋体" w:cs="宋体"/>
          <w:b/>
          <w:color w:val="auto"/>
          <w:szCs w:val="21"/>
        </w:rPr>
      </w:pPr>
      <w:r>
        <w:rPr>
          <w:rFonts w:hint="eastAsia" w:ascii="宋体" w:hAnsi="宋体" w:cs="宋体"/>
          <w:b/>
          <w:color w:val="auto"/>
          <w:szCs w:val="21"/>
          <w:lang w:val="en-US" w:eastAsia="zh-CN"/>
        </w:rPr>
        <w:t>5.</w:t>
      </w:r>
      <w:r>
        <w:rPr>
          <w:rFonts w:hint="eastAsia" w:ascii="宋体" w:hAnsi="宋体" w:cs="宋体"/>
          <w:b/>
          <w:color w:val="auto"/>
          <w:szCs w:val="21"/>
        </w:rPr>
        <w:t>物业管理人员配置要求及管理办法</w:t>
      </w:r>
    </w:p>
    <w:p>
      <w:pPr>
        <w:spacing w:line="400" w:lineRule="exact"/>
        <w:rPr>
          <w:rFonts w:hint="eastAsia" w:ascii="宋体" w:hAnsi="宋体" w:cs="宋体"/>
          <w:b/>
          <w:color w:val="auto"/>
          <w:szCs w:val="21"/>
        </w:rPr>
      </w:pPr>
      <w:r>
        <w:rPr>
          <w:rFonts w:hint="eastAsia" w:ascii="宋体" w:hAnsi="宋体" w:cs="宋体"/>
          <w:b/>
          <w:color w:val="auto"/>
          <w:szCs w:val="21"/>
          <w:lang w:val="en-US" w:eastAsia="zh-CN"/>
        </w:rPr>
        <w:t>5.</w:t>
      </w:r>
      <w:r>
        <w:rPr>
          <w:rFonts w:hint="eastAsia" w:ascii="宋体" w:hAnsi="宋体" w:cs="宋体"/>
          <w:b/>
          <w:color w:val="auto"/>
          <w:szCs w:val="21"/>
        </w:rPr>
        <w:t>1.服务人员岗位条件及职责见下表：《物业管理服务岗位条件及职责一览表》。</w:t>
      </w:r>
    </w:p>
    <w:tbl>
      <w:tblPr>
        <w:tblStyle w:val="37"/>
        <w:tblpPr w:leftFromText="180" w:rightFromText="180" w:vertAnchor="text" w:horzAnchor="page" w:tblpX="1045" w:tblpY="344"/>
        <w:tblOverlap w:val="never"/>
        <w:tblW w:w="9776" w:type="dxa"/>
        <w:tblInd w:w="0" w:type="dxa"/>
        <w:tblLayout w:type="fixed"/>
        <w:tblCellMar>
          <w:top w:w="0" w:type="dxa"/>
          <w:left w:w="108" w:type="dxa"/>
          <w:bottom w:w="0" w:type="dxa"/>
          <w:right w:w="108" w:type="dxa"/>
        </w:tblCellMar>
      </w:tblPr>
      <w:tblGrid>
        <w:gridCol w:w="1271"/>
        <w:gridCol w:w="1134"/>
        <w:gridCol w:w="2552"/>
        <w:gridCol w:w="1134"/>
        <w:gridCol w:w="1701"/>
        <w:gridCol w:w="1984"/>
      </w:tblGrid>
      <w:tr>
        <w:tblPrEx>
          <w:tblCellMar>
            <w:top w:w="0" w:type="dxa"/>
            <w:left w:w="108" w:type="dxa"/>
            <w:bottom w:w="0" w:type="dxa"/>
            <w:right w:w="108" w:type="dxa"/>
          </w:tblCellMar>
        </w:tblPrEx>
        <w:trPr>
          <w:tblHeader/>
        </w:trPr>
        <w:tc>
          <w:tcPr>
            <w:tcW w:w="977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物业管理服务岗位条件及职责一览表</w:t>
            </w:r>
          </w:p>
        </w:tc>
      </w:tr>
      <w:tr>
        <w:tblPrEx>
          <w:tblCellMar>
            <w:top w:w="0" w:type="dxa"/>
            <w:left w:w="108" w:type="dxa"/>
            <w:bottom w:w="0" w:type="dxa"/>
            <w:right w:w="108" w:type="dxa"/>
          </w:tblCellMar>
        </w:tblPrEx>
        <w:trPr>
          <w:tblHeader/>
        </w:trPr>
        <w:tc>
          <w:tcPr>
            <w:tcW w:w="127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岗  位</w:t>
            </w: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位 置</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职 责</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参考人数（人）</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上班时间</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聘  用  条  件</w:t>
            </w:r>
          </w:p>
        </w:tc>
      </w:tr>
      <w:tr>
        <w:tblPrEx>
          <w:tblCellMar>
            <w:top w:w="0" w:type="dxa"/>
            <w:left w:w="108" w:type="dxa"/>
            <w:bottom w:w="0" w:type="dxa"/>
            <w:right w:w="108" w:type="dxa"/>
          </w:tblCellMar>
        </w:tblPrEx>
        <w:trPr>
          <w:trHeight w:val="1456" w:hRule="atLeast"/>
        </w:trPr>
        <w:tc>
          <w:tcPr>
            <w:tcW w:w="127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安全保卫员</w:t>
            </w: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一楼大门出入口</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负责本馆一楼大门及大厅出入区域的各种治安保卫管理。防止无关人员进入或预防各类自然灾害和处理各类突发事件。</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4</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00：00-24：00</w:t>
            </w:r>
          </w:p>
        </w:tc>
        <w:tc>
          <w:tcPr>
            <w:tcW w:w="1984"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男性，体检合格；政治素质高，初中以上文化程度，接受过系统的治安管理培训；身体素质好，反应灵敏，身体健康、品貌端正，品行优良、纪律性强，工作认真负责，作风正派，能吃苦耐劳，无不良记录。会运用电脑查看安防监控，有较强的组织协调能运用力。</w:t>
            </w:r>
          </w:p>
        </w:tc>
      </w:tr>
      <w:tr>
        <w:tblPrEx>
          <w:tblCellMar>
            <w:top w:w="0" w:type="dxa"/>
            <w:left w:w="108" w:type="dxa"/>
            <w:bottom w:w="0" w:type="dxa"/>
            <w:right w:w="108" w:type="dxa"/>
          </w:tblCellMar>
        </w:tblPrEx>
        <w:trPr>
          <w:trHeight w:val="1411"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color w:val="auto"/>
                <w:szCs w:val="21"/>
              </w:rPr>
            </w:pPr>
          </w:p>
        </w:tc>
        <w:tc>
          <w:tcPr>
            <w:tcW w:w="1134" w:type="dxa"/>
            <w:tcBorders>
              <w:top w:val="single" w:color="000000" w:sz="4" w:space="0"/>
              <w:left w:val="single" w:color="000000" w:sz="4" w:space="0"/>
              <w:bottom w:val="nil"/>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一楼2号门</w:t>
            </w:r>
          </w:p>
        </w:tc>
        <w:tc>
          <w:tcPr>
            <w:tcW w:w="2552" w:type="dxa"/>
            <w:tcBorders>
              <w:top w:val="single" w:color="000000" w:sz="4" w:space="0"/>
              <w:left w:val="single" w:color="000000" w:sz="4" w:space="0"/>
              <w:bottom w:val="nil"/>
              <w:right w:val="single" w:color="000000" w:sz="4" w:space="0"/>
            </w:tcBorders>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负责本馆一楼2号门出入区域的各种治安保卫管理。</w:t>
            </w:r>
          </w:p>
        </w:tc>
        <w:tc>
          <w:tcPr>
            <w:tcW w:w="1134" w:type="dxa"/>
            <w:tcBorders>
              <w:top w:val="single" w:color="000000" w:sz="4" w:space="0"/>
              <w:left w:val="single" w:color="000000" w:sz="4" w:space="0"/>
              <w:bottom w:val="nil"/>
              <w:right w:val="single" w:color="000000" w:sz="4" w:space="0"/>
            </w:tcBorders>
            <w:vAlign w:val="center"/>
          </w:tcPr>
          <w:p>
            <w:pPr>
              <w:widowControl/>
              <w:adjustRightInd w:val="0"/>
              <w:snapToGrid w:val="0"/>
              <w:spacing w:line="400" w:lineRule="exact"/>
              <w:jc w:val="center"/>
              <w:rPr>
                <w:rFonts w:hint="eastAsia" w:ascii="宋体" w:hAnsi="宋体" w:eastAsia="宋体" w:cs="宋体"/>
                <w:b/>
                <w:color w:val="auto"/>
                <w:szCs w:val="21"/>
                <w:lang w:eastAsia="zh-CN"/>
              </w:rPr>
            </w:pPr>
            <w:r>
              <w:rPr>
                <w:rFonts w:hint="eastAsia" w:ascii="宋体" w:hAnsi="宋体" w:cs="宋体"/>
                <w:b/>
                <w:color w:val="auto"/>
                <w:szCs w:val="21"/>
                <w:lang w:val="en-US" w:eastAsia="zh-CN"/>
              </w:rPr>
              <w:t>3</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color w:val="auto"/>
                <w:kern w:val="0"/>
                <w:szCs w:val="21"/>
              </w:rPr>
            </w:pPr>
            <w:r>
              <w:rPr>
                <w:rFonts w:hint="eastAsia" w:ascii="宋体" w:hAnsi="宋体" w:cs="宋体"/>
                <w:color w:val="auto"/>
                <w:szCs w:val="21"/>
              </w:rPr>
              <w:t>08：00-23：00</w:t>
            </w: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color w:val="auto"/>
                <w:szCs w:val="21"/>
              </w:rPr>
            </w:pPr>
          </w:p>
        </w:tc>
      </w:tr>
      <w:tr>
        <w:tblPrEx>
          <w:tblCellMar>
            <w:top w:w="0" w:type="dxa"/>
            <w:left w:w="108" w:type="dxa"/>
            <w:bottom w:w="0" w:type="dxa"/>
            <w:right w:w="108" w:type="dxa"/>
          </w:tblCellMar>
        </w:tblPrEx>
        <w:trPr>
          <w:trHeight w:val="1127"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color w:val="auto"/>
                <w:szCs w:val="21"/>
              </w:rPr>
            </w:pP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二楼安保</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负责本馆二楼出入区域的各种治安保卫管理。</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2</w:t>
            </w:r>
          </w:p>
        </w:tc>
        <w:tc>
          <w:tcPr>
            <w:tcW w:w="1701" w:type="dxa"/>
            <w:vMerge w:val="restart"/>
            <w:tcBorders>
              <w:top w:val="single" w:color="000000" w:sz="4" w:space="0"/>
              <w:left w:val="single" w:color="000000" w:sz="4" w:space="0"/>
              <w:right w:val="single" w:color="000000" w:sz="4" w:space="0"/>
            </w:tcBorders>
            <w:vAlign w:val="center"/>
          </w:tcPr>
          <w:p>
            <w:pPr>
              <w:spacing w:line="400" w:lineRule="exact"/>
              <w:rPr>
                <w:rFonts w:hint="eastAsia" w:ascii="宋体" w:hAnsi="宋体" w:cs="宋体"/>
                <w:color w:val="auto"/>
                <w:szCs w:val="21"/>
              </w:rPr>
            </w:pPr>
            <w:r>
              <w:rPr>
                <w:rFonts w:hint="eastAsia" w:ascii="宋体" w:hAnsi="宋体" w:cs="宋体"/>
                <w:color w:val="auto"/>
                <w:szCs w:val="21"/>
              </w:rPr>
              <w:t>09：00-21：00</w:t>
            </w: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color w:val="auto"/>
                <w:szCs w:val="21"/>
              </w:rPr>
            </w:pPr>
          </w:p>
        </w:tc>
      </w:tr>
      <w:tr>
        <w:tblPrEx>
          <w:tblCellMar>
            <w:top w:w="0" w:type="dxa"/>
            <w:left w:w="108" w:type="dxa"/>
            <w:bottom w:w="0" w:type="dxa"/>
            <w:right w:w="108" w:type="dxa"/>
          </w:tblCellMar>
        </w:tblPrEx>
        <w:trPr>
          <w:trHeight w:val="1477"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color w:val="auto"/>
                <w:szCs w:val="21"/>
              </w:rPr>
            </w:pP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三楼安保</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负责本馆三楼出入区域的各种治安保卫管理。</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2</w:t>
            </w:r>
          </w:p>
        </w:tc>
        <w:tc>
          <w:tcPr>
            <w:tcW w:w="1701" w:type="dxa"/>
            <w:vMerge w:val="continue"/>
            <w:tcBorders>
              <w:left w:val="single" w:color="000000" w:sz="4" w:space="0"/>
              <w:right w:val="single" w:color="000000" w:sz="4" w:space="0"/>
            </w:tcBorders>
            <w:vAlign w:val="center"/>
          </w:tcPr>
          <w:p>
            <w:pPr>
              <w:spacing w:line="400" w:lineRule="exact"/>
              <w:rPr>
                <w:rFonts w:hint="eastAsia" w:ascii="宋体" w:hAnsi="宋体" w:cs="宋体"/>
                <w:color w:val="auto"/>
                <w:szCs w:val="21"/>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color w:val="auto"/>
                <w:szCs w:val="21"/>
              </w:rPr>
            </w:pPr>
          </w:p>
        </w:tc>
      </w:tr>
      <w:tr>
        <w:tblPrEx>
          <w:tblCellMar>
            <w:top w:w="0" w:type="dxa"/>
            <w:left w:w="108" w:type="dxa"/>
            <w:bottom w:w="0" w:type="dxa"/>
            <w:right w:w="108" w:type="dxa"/>
          </w:tblCellMar>
        </w:tblPrEx>
        <w:trPr>
          <w:trHeight w:val="1477" w:hRule="atLeast"/>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color w:val="auto"/>
                <w:szCs w:val="21"/>
              </w:rPr>
            </w:pP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四楼安保</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负责本馆四楼治安保卫管理。</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2</w:t>
            </w:r>
          </w:p>
        </w:tc>
        <w:tc>
          <w:tcPr>
            <w:tcW w:w="1701" w:type="dxa"/>
            <w:vMerge w:val="continue"/>
            <w:tcBorders>
              <w:left w:val="single" w:color="000000" w:sz="4" w:space="0"/>
              <w:bottom w:val="single" w:color="000000" w:sz="4" w:space="0"/>
              <w:right w:val="single" w:color="000000" w:sz="4" w:space="0"/>
            </w:tcBorders>
            <w:vAlign w:val="center"/>
          </w:tcPr>
          <w:p>
            <w:pPr>
              <w:spacing w:line="400" w:lineRule="exact"/>
              <w:rPr>
                <w:rFonts w:hint="eastAsia" w:ascii="宋体" w:hAnsi="宋体" w:cs="宋体"/>
                <w:color w:val="auto"/>
                <w:szCs w:val="21"/>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color w:val="auto"/>
                <w:szCs w:val="21"/>
              </w:rPr>
            </w:pPr>
          </w:p>
        </w:tc>
      </w:tr>
      <w:tr>
        <w:tblPrEx>
          <w:tblCellMar>
            <w:top w:w="0" w:type="dxa"/>
            <w:left w:w="108" w:type="dxa"/>
            <w:bottom w:w="0" w:type="dxa"/>
            <w:right w:w="108" w:type="dxa"/>
          </w:tblCellMar>
        </w:tblPrEx>
        <w:trPr>
          <w:trHeight w:val="984" w:hRule="atLeast"/>
        </w:trPr>
        <w:tc>
          <w:tcPr>
            <w:tcW w:w="127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安全监控员</w:t>
            </w: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四楼监控室</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rPr>
                <w:rFonts w:hint="eastAsia" w:ascii="宋体" w:hAnsi="宋体" w:cs="宋体"/>
                <w:color w:val="auto"/>
                <w:szCs w:val="21"/>
              </w:rPr>
            </w:pPr>
            <w:r>
              <w:rPr>
                <w:rFonts w:hint="eastAsia" w:ascii="宋体" w:hAnsi="宋体" w:cs="宋体"/>
                <w:color w:val="auto"/>
                <w:szCs w:val="21"/>
              </w:rPr>
              <w:t>开放时间对馆内各个监控区域实时监控，及时报告突发事件。</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2</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color w:val="auto"/>
                <w:szCs w:val="21"/>
              </w:rPr>
            </w:pPr>
            <w:r>
              <w:rPr>
                <w:rFonts w:hint="eastAsia" w:ascii="宋体" w:hAnsi="宋体" w:cs="宋体"/>
                <w:color w:val="auto"/>
                <w:szCs w:val="21"/>
              </w:rPr>
              <w:t>09：00-21：00</w:t>
            </w: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color w:val="auto"/>
                <w:szCs w:val="21"/>
              </w:rPr>
            </w:pPr>
          </w:p>
        </w:tc>
      </w:tr>
      <w:tr>
        <w:tblPrEx>
          <w:tblCellMar>
            <w:top w:w="0" w:type="dxa"/>
            <w:left w:w="108" w:type="dxa"/>
            <w:bottom w:w="0" w:type="dxa"/>
            <w:right w:w="108" w:type="dxa"/>
          </w:tblCellMar>
        </w:tblPrEx>
        <w:trPr>
          <w:trHeight w:val="3078" w:hRule="atLeast"/>
        </w:trPr>
        <w:tc>
          <w:tcPr>
            <w:tcW w:w="127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夜晚值班保安</w:t>
            </w: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全栋楼层</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巡逻保安每天晚上21：00-08：00在馆内进行不间断巡查，且每2小时至少到预设的治安重点部门巡查一次。防止火灾、盗窃、破坏和治安灾害事故的发生；巡查馆内是否存在安全隐患。</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2</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ind w:firstLine="210" w:firstLineChars="100"/>
              <w:jc w:val="center"/>
              <w:rPr>
                <w:rFonts w:hint="eastAsia" w:ascii="宋体" w:hAnsi="宋体" w:cs="宋体"/>
                <w:color w:val="auto"/>
                <w:szCs w:val="21"/>
              </w:rPr>
            </w:pPr>
            <w:r>
              <w:rPr>
                <w:rFonts w:hint="eastAsia" w:ascii="宋体" w:hAnsi="宋体" w:cs="宋体"/>
                <w:color w:val="auto"/>
                <w:szCs w:val="21"/>
              </w:rPr>
              <w:t>21：00-次日08：00</w:t>
            </w:r>
          </w:p>
        </w:tc>
        <w:tc>
          <w:tcPr>
            <w:tcW w:w="1984"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男性，体检合格；政治素质高，初中以上文化程度，接受过系统的治安管理培训；身体素质好，反应灵敏，身体健康、品貌端正，品行优良、纪律性强，工作认真负责，作风正派，能吃苦耐劳，无不良记录。会运用电脑查看安防监控，有较强的组织协调能运用力。</w:t>
            </w:r>
          </w:p>
        </w:tc>
      </w:tr>
      <w:tr>
        <w:tblPrEx>
          <w:tblCellMar>
            <w:top w:w="0" w:type="dxa"/>
            <w:left w:w="108" w:type="dxa"/>
            <w:bottom w:w="0" w:type="dxa"/>
            <w:right w:w="108" w:type="dxa"/>
          </w:tblCellMar>
        </w:tblPrEx>
        <w:trPr>
          <w:trHeight w:val="984" w:hRule="atLeast"/>
        </w:trPr>
        <w:tc>
          <w:tcPr>
            <w:tcW w:w="127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24小时监控室员</w:t>
            </w: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一楼24小时消防监控室</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5"/>
              <w:rPr>
                <w:rFonts w:hint="eastAsia" w:ascii="宋体" w:hAnsi="宋体" w:cs="宋体"/>
                <w:color w:val="auto"/>
                <w:szCs w:val="21"/>
              </w:rPr>
            </w:pPr>
            <w:r>
              <w:rPr>
                <w:rFonts w:hint="eastAsia" w:ascii="宋体" w:hAnsi="宋体" w:cs="宋体"/>
                <w:color w:val="auto"/>
                <w:szCs w:val="21"/>
                <w:lang w:eastAsia="zh-CN"/>
              </w:rPr>
              <w:t>按消防部门要求，需有</w:t>
            </w:r>
            <w:r>
              <w:rPr>
                <w:rFonts w:hint="eastAsia" w:ascii="宋体" w:hAnsi="宋体" w:cs="宋体"/>
                <w:color w:val="auto"/>
                <w:szCs w:val="21"/>
                <w:lang w:val="en-US" w:eastAsia="zh-CN"/>
              </w:rPr>
              <w:t>2人同时</w:t>
            </w:r>
            <w:r>
              <w:rPr>
                <w:rFonts w:hint="eastAsia" w:ascii="宋体" w:hAnsi="宋体" w:cs="宋体"/>
                <w:color w:val="auto"/>
                <w:szCs w:val="21"/>
              </w:rPr>
              <w:t>24小时负责一楼消防监控室工作，全面观察和掌握各个区域的消防动态。（持有消防设施操作员证书</w:t>
            </w:r>
            <w:r>
              <w:rPr>
                <w:rFonts w:hint="eastAsia" w:ascii="宋体" w:hAnsi="宋体" w:cs="宋体"/>
                <w:color w:val="auto"/>
                <w:szCs w:val="21"/>
                <w:lang w:val="en-US" w:eastAsia="zh-CN"/>
              </w:rPr>
              <w:t>优先</w:t>
            </w:r>
            <w:r>
              <w:rPr>
                <w:rFonts w:hint="eastAsia" w:ascii="宋体" w:hAnsi="宋体" w:cs="宋体"/>
                <w:color w:val="auto"/>
                <w:szCs w:val="21"/>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6</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00:00-24:00</w:t>
            </w: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cs="宋体"/>
                <w:color w:val="auto"/>
                <w:szCs w:val="21"/>
              </w:rPr>
            </w:pPr>
          </w:p>
        </w:tc>
      </w:tr>
      <w:tr>
        <w:tblPrEx>
          <w:tblCellMar>
            <w:top w:w="0" w:type="dxa"/>
            <w:left w:w="108" w:type="dxa"/>
            <w:bottom w:w="0" w:type="dxa"/>
            <w:right w:w="108" w:type="dxa"/>
          </w:tblCellMar>
        </w:tblPrEx>
        <w:trPr>
          <w:trHeight w:val="2106" w:hRule="atLeast"/>
        </w:trPr>
        <w:tc>
          <w:tcPr>
            <w:tcW w:w="127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保洁员</w:t>
            </w: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全栋楼层</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整栋楼的保洁，包括日常保洁和承办活动时的保洁工作。必须做到：08：30前（开馆前）完成第一次保洁；09：00-21：00有保洁</w:t>
            </w:r>
            <w:r>
              <w:rPr>
                <w:rFonts w:hint="eastAsia" w:ascii="宋体" w:hAnsi="宋体" w:cs="宋体"/>
                <w:color w:val="auto"/>
                <w:szCs w:val="21"/>
                <w:lang w:eastAsia="zh-CN"/>
              </w:rPr>
              <w:t>人员</w:t>
            </w:r>
            <w:r>
              <w:rPr>
                <w:rFonts w:hint="eastAsia" w:ascii="宋体" w:hAnsi="宋体" w:cs="宋体"/>
                <w:color w:val="auto"/>
                <w:szCs w:val="21"/>
              </w:rPr>
              <w:t>保证馆内清洁卫生兼全馆绿化养护。</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5</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07：00-21：00</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身体健康；组织纪律观念强，敬业精神好，任劳任怨，工作认真细致。1年以上环卫清洁工作经验，接受过保洁培训，熟悉设备、用品的操作规程。</w:t>
            </w:r>
          </w:p>
        </w:tc>
      </w:tr>
      <w:tr>
        <w:tblPrEx>
          <w:tblCellMar>
            <w:top w:w="0" w:type="dxa"/>
            <w:left w:w="108" w:type="dxa"/>
            <w:bottom w:w="0" w:type="dxa"/>
            <w:right w:w="108" w:type="dxa"/>
          </w:tblCellMar>
        </w:tblPrEx>
        <w:trPr>
          <w:trHeight w:val="3720" w:hRule="atLeast"/>
        </w:trPr>
        <w:tc>
          <w:tcPr>
            <w:tcW w:w="127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水电维修</w:t>
            </w:r>
          </w:p>
        </w:tc>
        <w:tc>
          <w:tcPr>
            <w:tcW w:w="113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全栋楼层</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负责图书馆水、电维修及房屋日常巡查养护。</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1</w:t>
            </w:r>
          </w:p>
        </w:tc>
        <w:tc>
          <w:tcPr>
            <w:tcW w:w="1701"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Cs w:val="21"/>
              </w:rPr>
            </w:pPr>
          </w:p>
        </w:tc>
        <w:tc>
          <w:tcPr>
            <w:tcW w:w="1984" w:type="dxa"/>
            <w:tcBorders>
              <w:top w:val="single" w:color="000000" w:sz="4" w:space="0"/>
              <w:left w:val="single" w:color="000000" w:sz="4" w:space="0"/>
              <w:bottom w:val="single" w:color="000000" w:sz="4" w:space="0"/>
              <w:right w:val="single" w:color="auto" w:sz="4" w:space="0"/>
            </w:tcBorders>
            <w:vAlign w:val="center"/>
          </w:tcPr>
          <w:p>
            <w:pPr>
              <w:pStyle w:val="15"/>
              <w:rPr>
                <w:rFonts w:hint="eastAsia" w:ascii="宋体" w:hAnsi="宋体" w:cs="宋体"/>
                <w:color w:val="auto"/>
                <w:szCs w:val="21"/>
              </w:rPr>
            </w:pPr>
            <w:r>
              <w:rPr>
                <w:rFonts w:hint="eastAsia" w:ascii="宋体" w:hAnsi="宋体" w:cs="宋体"/>
                <w:color w:val="auto"/>
                <w:szCs w:val="21"/>
              </w:rPr>
              <w:t>男性，高中以上文化程度，</w:t>
            </w:r>
            <w:r>
              <w:rPr>
                <w:rFonts w:hint="eastAsia" w:ascii="宋体" w:hAnsi="宋体" w:cs="宋体"/>
                <w:b/>
                <w:color w:val="auto"/>
                <w:szCs w:val="21"/>
              </w:rPr>
              <w:t>必须具备设备运行及维修工作经验，持</w:t>
            </w:r>
            <w:r>
              <w:rPr>
                <w:rFonts w:hint="eastAsia" w:ascii="宋体" w:hAnsi="宋体" w:cs="宋体"/>
                <w:b/>
                <w:color w:val="auto"/>
                <w:szCs w:val="21"/>
                <w:lang w:val="en-US" w:eastAsia="zh-CN"/>
              </w:rPr>
              <w:t>低压电工证，</w:t>
            </w:r>
            <w:r>
              <w:rPr>
                <w:rFonts w:hint="eastAsia" w:ascii="宋体" w:hAnsi="宋体" w:cs="宋体"/>
                <w:b/>
                <w:color w:val="auto"/>
                <w:szCs w:val="21"/>
              </w:rPr>
              <w:t>响应时必须提供</w:t>
            </w:r>
            <w:r>
              <w:rPr>
                <w:rFonts w:hint="eastAsia" w:ascii="宋体" w:hAnsi="宋体" w:cs="宋体"/>
                <w:color w:val="auto"/>
                <w:szCs w:val="21"/>
              </w:rPr>
              <w:t>，熟悉包括房屋装修、强电、弱电、空调、电梯、排水等各项设备管理和应用；有一定社会经验、组织能力和协调处理行政事务能力。</w:t>
            </w:r>
          </w:p>
        </w:tc>
      </w:tr>
      <w:tr>
        <w:tblPrEx>
          <w:tblCellMar>
            <w:top w:w="0" w:type="dxa"/>
            <w:left w:w="108" w:type="dxa"/>
            <w:bottom w:w="0" w:type="dxa"/>
            <w:right w:w="108" w:type="dxa"/>
          </w:tblCellMar>
        </w:tblPrEx>
        <w:trPr>
          <w:trHeight w:val="490" w:hRule="atLeast"/>
        </w:trPr>
        <w:tc>
          <w:tcPr>
            <w:tcW w:w="1271" w:type="dxa"/>
            <w:tcBorders>
              <w:top w:val="single" w:color="000000" w:sz="4" w:space="0"/>
              <w:left w:val="single" w:color="000000" w:sz="4" w:space="0"/>
              <w:bottom w:val="single" w:color="auto"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jc w:val="center"/>
              <w:rPr>
                <w:rFonts w:hint="eastAsia" w:ascii="宋体" w:hAnsi="宋体" w:cs="宋体"/>
                <w:b/>
                <w:color w:val="auto"/>
                <w:szCs w:val="21"/>
              </w:rPr>
            </w:pPr>
            <w:r>
              <w:rPr>
                <w:rFonts w:hint="eastAsia" w:ascii="宋体" w:hAnsi="宋体" w:cs="宋体"/>
                <w:b/>
                <w:color w:val="auto"/>
                <w:szCs w:val="21"/>
              </w:rPr>
              <w:t>合计</w:t>
            </w:r>
          </w:p>
        </w:tc>
        <w:tc>
          <w:tcPr>
            <w:tcW w:w="1134" w:type="dxa"/>
            <w:tcBorders>
              <w:top w:val="single" w:color="000000" w:sz="4" w:space="0"/>
              <w:left w:val="single" w:color="000000" w:sz="4" w:space="0"/>
              <w:bottom w:val="single" w:color="auto" w:sz="4" w:space="0"/>
              <w:right w:val="single" w:color="000000" w:sz="4" w:space="0"/>
            </w:tcBorders>
            <w:tcMar>
              <w:top w:w="0" w:type="dxa"/>
              <w:left w:w="15" w:type="dxa"/>
              <w:bottom w:w="0" w:type="dxa"/>
              <w:right w:w="15" w:type="dxa"/>
            </w:tcMar>
            <w:vAlign w:val="center"/>
          </w:tcPr>
          <w:p>
            <w:pPr>
              <w:widowControl/>
              <w:adjustRightInd w:val="0"/>
              <w:snapToGrid w:val="0"/>
              <w:spacing w:line="400" w:lineRule="exact"/>
              <w:rPr>
                <w:rFonts w:hint="eastAsia" w:ascii="宋体" w:hAnsi="宋体" w:cs="宋体"/>
                <w:b/>
                <w:color w:val="auto"/>
                <w:szCs w:val="21"/>
              </w:rPr>
            </w:pPr>
          </w:p>
        </w:tc>
        <w:tc>
          <w:tcPr>
            <w:tcW w:w="2552"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400" w:lineRule="exact"/>
              <w:jc w:val="center"/>
              <w:rPr>
                <w:rFonts w:hint="eastAsia" w:ascii="宋体" w:hAnsi="宋体" w:cs="宋体"/>
                <w:b/>
                <w:color w:val="auto"/>
                <w:szCs w:val="21"/>
              </w:rPr>
            </w:pPr>
          </w:p>
        </w:tc>
        <w:tc>
          <w:tcPr>
            <w:tcW w:w="1134"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400" w:lineRule="exact"/>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29</w:t>
            </w:r>
          </w:p>
        </w:tc>
        <w:tc>
          <w:tcPr>
            <w:tcW w:w="1701" w:type="dxa"/>
            <w:tcBorders>
              <w:top w:val="single" w:color="000000" w:sz="4" w:space="0"/>
              <w:left w:val="single" w:color="000000" w:sz="4" w:space="0"/>
              <w:bottom w:val="single" w:color="auto" w:sz="4" w:space="0"/>
              <w:right w:val="single" w:color="auto" w:sz="4" w:space="0"/>
            </w:tcBorders>
            <w:vAlign w:val="center"/>
          </w:tcPr>
          <w:p>
            <w:pPr>
              <w:widowControl/>
              <w:adjustRightInd w:val="0"/>
              <w:snapToGrid w:val="0"/>
              <w:spacing w:line="400" w:lineRule="exact"/>
              <w:ind w:firstLine="211" w:firstLineChars="100"/>
              <w:jc w:val="center"/>
              <w:rPr>
                <w:rFonts w:hint="eastAsia" w:ascii="宋体" w:hAnsi="宋体" w:cs="宋体"/>
                <w:b/>
                <w:color w:val="auto"/>
                <w:szCs w:val="21"/>
              </w:rPr>
            </w:pPr>
          </w:p>
        </w:tc>
        <w:tc>
          <w:tcPr>
            <w:tcW w:w="1984" w:type="dxa"/>
            <w:tcBorders>
              <w:top w:val="single" w:color="000000" w:sz="4" w:space="0"/>
              <w:left w:val="single" w:color="000000"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b/>
                <w:color w:val="auto"/>
                <w:szCs w:val="21"/>
                <w:u w:val="single"/>
              </w:rPr>
            </w:pPr>
          </w:p>
        </w:tc>
      </w:tr>
    </w:tbl>
    <w:p>
      <w:pPr>
        <w:widowControl/>
        <w:adjustRightInd w:val="0"/>
        <w:snapToGrid w:val="0"/>
        <w:spacing w:line="400" w:lineRule="exact"/>
        <w:jc w:val="left"/>
        <w:rPr>
          <w:rFonts w:hint="eastAsia" w:ascii="宋体" w:hAnsi="宋体" w:cs="宋体"/>
          <w:b/>
          <w:color w:val="auto"/>
          <w:kern w:val="0"/>
          <w:szCs w:val="21"/>
        </w:rPr>
      </w:pPr>
      <w:r>
        <w:rPr>
          <w:rFonts w:hint="eastAsia" w:ascii="宋体" w:hAnsi="宋体" w:cs="宋体"/>
          <w:b/>
          <w:color w:val="auto"/>
          <w:kern w:val="0"/>
          <w:szCs w:val="21"/>
        </w:rPr>
        <w:t>注：1.供应商必须按岗位职责需求合理配置合格物业管理人员，并指定一名人员为主管，负责统筹工作</w:t>
      </w:r>
      <w:r>
        <w:rPr>
          <w:rFonts w:hint="eastAsia" w:ascii="宋体" w:hAnsi="宋体" w:cs="宋体"/>
          <w:b/>
          <w:color w:val="auto"/>
          <w:kern w:val="0"/>
          <w:szCs w:val="21"/>
          <w:lang w:eastAsia="zh-CN"/>
        </w:rPr>
        <w:t>，</w:t>
      </w:r>
      <w:r>
        <w:rPr>
          <w:rFonts w:hint="eastAsia" w:ascii="宋体" w:hAnsi="宋体" w:cs="宋体"/>
          <w:b/>
          <w:color w:val="auto"/>
          <w:kern w:val="0"/>
          <w:szCs w:val="21"/>
          <w:lang w:val="en-US" w:eastAsia="zh-CN"/>
        </w:rPr>
        <w:t>该主管应</w:t>
      </w:r>
      <w:r>
        <w:rPr>
          <w:rFonts w:hint="eastAsia" w:ascii="宋体" w:hAnsi="宋体" w:cs="宋体"/>
          <w:b/>
          <w:color w:val="auto"/>
          <w:kern w:val="0"/>
          <w:szCs w:val="21"/>
        </w:rPr>
        <w:t>具有</w:t>
      </w:r>
      <w:r>
        <w:rPr>
          <w:rFonts w:hint="eastAsia" w:ascii="宋体" w:hAnsi="宋体" w:cs="宋体"/>
          <w:b/>
          <w:color w:val="auto"/>
          <w:kern w:val="0"/>
          <w:szCs w:val="21"/>
          <w:lang w:val="en-US" w:eastAsia="zh-CN"/>
        </w:rPr>
        <w:t>大专</w:t>
      </w:r>
      <w:r>
        <w:rPr>
          <w:rFonts w:hint="eastAsia" w:ascii="宋体" w:hAnsi="宋体" w:cs="宋体"/>
          <w:b/>
          <w:color w:val="auto"/>
          <w:kern w:val="0"/>
          <w:szCs w:val="21"/>
        </w:rPr>
        <w:t>或以上学历</w:t>
      </w:r>
      <w:r>
        <w:rPr>
          <w:rFonts w:hint="eastAsia" w:ascii="宋体" w:hAnsi="宋体" w:cs="宋体"/>
          <w:b/>
          <w:color w:val="auto"/>
          <w:kern w:val="0"/>
          <w:szCs w:val="21"/>
          <w:lang w:val="en-US" w:eastAsia="zh-CN"/>
        </w:rPr>
        <w:t>并</w:t>
      </w:r>
      <w:r>
        <w:rPr>
          <w:rFonts w:hint="eastAsia" w:ascii="宋体" w:hAnsi="宋体" w:cs="宋体"/>
          <w:b/>
          <w:color w:val="auto"/>
          <w:kern w:val="0"/>
          <w:szCs w:val="21"/>
        </w:rPr>
        <w:t>具有消防设施操作员证书。</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从业人员必须热爱祖国，政治素质良好，遵纪守法，无不良品行，服从采购人方管理，自觉遵守采购人的规章制度，有良好的职业道德，爱岗敬业，工作时佩戴注明工作人员姓名、相片的工作证，着装统一，持证上岗。</w:t>
      </w:r>
    </w:p>
    <w:p>
      <w:pPr>
        <w:spacing w:line="400" w:lineRule="exact"/>
        <w:ind w:firstLine="420" w:firstLineChars="200"/>
        <w:rPr>
          <w:rFonts w:hint="eastAsia" w:ascii="宋体" w:hAnsi="宋体" w:cs="宋体"/>
          <w:strike/>
          <w:dstrike w:val="0"/>
          <w:color w:val="auto"/>
          <w:sz w:val="21"/>
          <w:szCs w:val="21"/>
        </w:rPr>
      </w:pPr>
      <w:r>
        <w:rPr>
          <w:rFonts w:hint="eastAsia" w:ascii="宋体" w:hAnsi="宋体" w:cs="宋体"/>
          <w:color w:val="auto"/>
          <w:szCs w:val="21"/>
        </w:rPr>
        <w:t>3.供应商必须将服务人员的相关资料装订成册提交给采购人，由采购人不定期进行检查，凡是人员素质或数量达不到供应商承诺的要求，采购人责令供应商整改，否则视为违约并进行相应处理。</w:t>
      </w:r>
    </w:p>
    <w:p>
      <w:pPr>
        <w:spacing w:line="400" w:lineRule="exact"/>
        <w:ind w:firstLine="422" w:firstLineChars="200"/>
        <w:rPr>
          <w:rFonts w:hint="eastAsia" w:ascii="宋体" w:hAnsi="宋体" w:cs="宋体"/>
          <w:b/>
          <w:bCs/>
          <w:color w:val="auto"/>
          <w:szCs w:val="21"/>
        </w:rPr>
      </w:pPr>
      <w:r>
        <w:rPr>
          <w:rFonts w:hint="eastAsia" w:ascii="宋体" w:hAnsi="宋体" w:cs="宋体"/>
          <w:b/>
          <w:bCs/>
          <w:color w:val="auto"/>
          <w:szCs w:val="21"/>
        </w:rPr>
        <w:t>4.进驻人员应在53岁以下，保洁员年龄可放宽到55岁以下。</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5.进驻人员需严格执行“本馆”规定，不能在工作时间抽烟、喝酒。</w:t>
      </w:r>
    </w:p>
    <w:p>
      <w:pPr>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6.供应商应对派驻人员缴纳社会保险。</w:t>
      </w:r>
    </w:p>
    <w:p>
      <w:pPr>
        <w:spacing w:line="400" w:lineRule="exact"/>
        <w:ind w:firstLine="420" w:firstLineChars="200"/>
        <w:rPr>
          <w:rFonts w:hint="eastAsia"/>
          <w:color w:val="auto"/>
        </w:rPr>
      </w:pPr>
      <w:r>
        <w:rPr>
          <w:rFonts w:hint="eastAsia" w:ascii="宋体" w:hAnsi="宋体" w:cs="宋体"/>
          <w:color w:val="auto"/>
          <w:szCs w:val="21"/>
        </w:rPr>
        <w:t>7.工作地点如有变动，经双方协议同意后可参照执行。</w:t>
      </w:r>
    </w:p>
    <w:p>
      <w:pPr>
        <w:numPr>
          <w:ilvl w:val="0"/>
          <w:numId w:val="0"/>
        </w:numPr>
        <w:spacing w:line="400" w:lineRule="exact"/>
        <w:rPr>
          <w:rFonts w:hint="eastAsia" w:ascii="宋体" w:hAnsi="宋体" w:cs="Arial"/>
          <w:b/>
          <w:color w:val="auto"/>
          <w:kern w:val="0"/>
          <w:szCs w:val="21"/>
          <w:lang w:val="en-US" w:eastAsia="zh-CN"/>
        </w:rPr>
      </w:pPr>
    </w:p>
    <w:p>
      <w:pPr>
        <w:numPr>
          <w:ilvl w:val="0"/>
          <w:numId w:val="0"/>
        </w:numPr>
        <w:spacing w:line="400" w:lineRule="exact"/>
        <w:ind w:firstLine="422" w:firstLineChars="200"/>
        <w:rPr>
          <w:rFonts w:hint="eastAsia" w:ascii="宋体" w:hAnsi="宋体" w:cs="Arial"/>
          <w:b/>
          <w:color w:val="auto"/>
          <w:kern w:val="0"/>
          <w:szCs w:val="21"/>
        </w:rPr>
      </w:pPr>
      <w:r>
        <w:rPr>
          <w:rFonts w:hint="eastAsia" w:ascii="宋体" w:hAnsi="宋体" w:cs="Arial"/>
          <w:b/>
          <w:color w:val="auto"/>
          <w:kern w:val="0"/>
          <w:szCs w:val="21"/>
          <w:lang w:val="en-US" w:eastAsia="zh-CN"/>
        </w:rPr>
        <w:t>6.</w:t>
      </w:r>
      <w:r>
        <w:rPr>
          <w:rFonts w:hint="eastAsia" w:ascii="宋体" w:hAnsi="宋体" w:cs="Arial"/>
          <w:b/>
          <w:color w:val="auto"/>
          <w:kern w:val="0"/>
          <w:szCs w:val="21"/>
        </w:rPr>
        <w:t>商务要求</w:t>
      </w:r>
    </w:p>
    <w:p>
      <w:pPr>
        <w:widowControl/>
        <w:adjustRightInd w:val="0"/>
        <w:snapToGrid w:val="0"/>
        <w:spacing w:line="400" w:lineRule="exact"/>
        <w:ind w:firstLine="422" w:firstLineChars="200"/>
        <w:jc w:val="left"/>
        <w:rPr>
          <w:rFonts w:hint="eastAsia" w:ascii="宋体" w:hAnsi="宋体" w:cs="宋体"/>
          <w:b/>
          <w:color w:val="auto"/>
          <w:kern w:val="0"/>
          <w:szCs w:val="21"/>
        </w:rPr>
      </w:pPr>
      <w:r>
        <w:rPr>
          <w:rFonts w:hint="eastAsia" w:ascii="宋体" w:hAnsi="宋体" w:cs="宋体"/>
          <w:b/>
          <w:color w:val="auto"/>
          <w:kern w:val="0"/>
          <w:szCs w:val="21"/>
          <w:lang w:val="en-US" w:eastAsia="zh-CN"/>
        </w:rPr>
        <w:t>6.1</w:t>
      </w:r>
      <w:r>
        <w:rPr>
          <w:rFonts w:hint="eastAsia" w:ascii="宋体" w:hAnsi="宋体" w:cs="宋体"/>
          <w:b/>
          <w:color w:val="auto"/>
          <w:kern w:val="0"/>
          <w:szCs w:val="21"/>
        </w:rPr>
        <w:t>服务时间、地点及付款方式</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1</w:t>
      </w:r>
      <w:r>
        <w:rPr>
          <w:rFonts w:hint="eastAsia" w:ascii="宋体" w:hAnsi="宋体" w:cs="宋体"/>
          <w:color w:val="auto"/>
          <w:kern w:val="0"/>
          <w:szCs w:val="21"/>
          <w:lang w:eastAsia="zh-CN"/>
        </w:rPr>
        <w:t>）</w:t>
      </w:r>
      <w:r>
        <w:rPr>
          <w:rFonts w:hint="eastAsia" w:ascii="宋体" w:hAnsi="宋体" w:cs="宋体"/>
          <w:color w:val="auto"/>
          <w:kern w:val="0"/>
          <w:szCs w:val="21"/>
        </w:rPr>
        <w:t>服务时间：自合同签订之日起一年。</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2</w:t>
      </w:r>
      <w:r>
        <w:rPr>
          <w:rFonts w:hint="eastAsia" w:ascii="宋体" w:hAnsi="宋体" w:cs="宋体"/>
          <w:color w:val="auto"/>
          <w:kern w:val="0"/>
          <w:szCs w:val="21"/>
          <w:lang w:eastAsia="zh-CN"/>
        </w:rPr>
        <w:t>）</w:t>
      </w:r>
      <w:r>
        <w:rPr>
          <w:rFonts w:hint="eastAsia" w:ascii="宋体" w:hAnsi="宋体" w:cs="宋体"/>
          <w:color w:val="auto"/>
          <w:kern w:val="0"/>
          <w:szCs w:val="21"/>
        </w:rPr>
        <w:t>服务地点：广西钦州市子材东大街10号。</w:t>
      </w:r>
    </w:p>
    <w:p>
      <w:pPr>
        <w:widowControl/>
        <w:adjustRightInd w:val="0"/>
        <w:snapToGrid w:val="0"/>
        <w:spacing w:line="400" w:lineRule="exact"/>
        <w:ind w:firstLine="422" w:firstLineChars="200"/>
        <w:jc w:val="left"/>
        <w:rPr>
          <w:rFonts w:hint="eastAsia" w:ascii="宋体" w:hAnsi="宋体" w:cs="宋体"/>
          <w:b/>
          <w:bCs/>
          <w:color w:val="auto"/>
          <w:kern w:val="0"/>
          <w:szCs w:val="21"/>
        </w:rPr>
      </w:pPr>
      <w:r>
        <w:rPr>
          <w:rFonts w:hint="eastAsia" w:ascii="宋体" w:hAnsi="宋体" w:cs="宋体"/>
          <w:b/>
          <w:bCs/>
          <w:color w:val="auto"/>
          <w:kern w:val="0"/>
          <w:szCs w:val="21"/>
          <w:lang w:val="en-US" w:eastAsia="zh-CN"/>
        </w:rPr>
        <w:t>6.2</w:t>
      </w:r>
      <w:r>
        <w:rPr>
          <w:rFonts w:hint="eastAsia" w:ascii="宋体" w:hAnsi="宋体" w:cs="宋体"/>
          <w:b/>
          <w:bCs/>
          <w:color w:val="auto"/>
          <w:kern w:val="0"/>
          <w:szCs w:val="21"/>
        </w:rPr>
        <w:t>付款方式</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color w:val="auto"/>
          <w:lang w:val="en-US" w:eastAsia="zh-CN"/>
        </w:rPr>
        <w:t>采购人</w:t>
      </w:r>
      <w:r>
        <w:rPr>
          <w:rFonts w:hint="eastAsia" w:ascii="宋体" w:hAnsi="宋体" w:cs="宋体"/>
          <w:color w:val="auto"/>
          <w:kern w:val="0"/>
          <w:szCs w:val="21"/>
        </w:rPr>
        <w:t>按月向财政申请</w:t>
      </w:r>
      <w:r>
        <w:rPr>
          <w:rFonts w:hint="eastAsia"/>
          <w:color w:val="auto"/>
          <w:lang w:val="en-US" w:eastAsia="zh-CN"/>
        </w:rPr>
        <w:t>成交供应商</w:t>
      </w:r>
      <w:r>
        <w:rPr>
          <w:rFonts w:hint="eastAsia" w:ascii="宋体" w:hAnsi="宋体" w:cs="宋体"/>
          <w:color w:val="auto"/>
          <w:kern w:val="0"/>
          <w:szCs w:val="21"/>
        </w:rPr>
        <w:t>物业服务的费用支付，具体根据财政部门和财务相关制度和程序要求拨付。</w:t>
      </w:r>
    </w:p>
    <w:p>
      <w:pPr>
        <w:widowControl/>
        <w:adjustRightInd w:val="0"/>
        <w:snapToGrid w:val="0"/>
        <w:spacing w:line="400" w:lineRule="exact"/>
        <w:ind w:firstLine="422" w:firstLineChars="200"/>
        <w:jc w:val="left"/>
        <w:rPr>
          <w:rFonts w:hint="eastAsia" w:ascii="宋体" w:hAnsi="宋体" w:cs="宋体"/>
          <w:b/>
          <w:color w:val="auto"/>
          <w:kern w:val="0"/>
          <w:szCs w:val="21"/>
        </w:rPr>
      </w:pPr>
      <w:r>
        <w:rPr>
          <w:rFonts w:hint="eastAsia" w:ascii="宋体" w:hAnsi="宋体" w:cs="宋体"/>
          <w:b/>
          <w:color w:val="auto"/>
          <w:kern w:val="0"/>
          <w:szCs w:val="21"/>
          <w:lang w:val="en-US" w:eastAsia="zh-CN"/>
        </w:rPr>
        <w:t>6.3</w:t>
      </w:r>
      <w:r>
        <w:rPr>
          <w:rFonts w:hint="eastAsia" w:ascii="宋体" w:hAnsi="宋体" w:cs="宋体"/>
          <w:b/>
          <w:color w:val="auto"/>
          <w:kern w:val="0"/>
          <w:szCs w:val="21"/>
        </w:rPr>
        <w:t>其他内容</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供应商应在成交通知书发出后10天内与采购人签订合同；</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bCs/>
          <w:color w:val="auto"/>
          <w:kern w:val="0"/>
          <w:szCs w:val="21"/>
          <w:lang w:val="en-US" w:eastAsia="zh-CN"/>
        </w:rPr>
        <w:t>(2)</w:t>
      </w:r>
      <w:r>
        <w:rPr>
          <w:rFonts w:hint="eastAsia" w:ascii="宋体" w:hAnsi="宋体" w:cs="宋体"/>
          <w:bCs/>
          <w:color w:val="auto"/>
          <w:kern w:val="0"/>
          <w:szCs w:val="21"/>
        </w:rPr>
        <w:t>本项目物</w:t>
      </w:r>
      <w:r>
        <w:rPr>
          <w:rFonts w:hint="eastAsia" w:ascii="宋体" w:hAnsi="宋体" w:cs="宋体"/>
          <w:color w:val="auto"/>
          <w:kern w:val="0"/>
          <w:szCs w:val="21"/>
        </w:rPr>
        <w:t>业为公共文化场馆，免费开放，不能为供应商提供物业办公用房及办公设备。成交供应商必须要进场后在钦州设立办公点,并指定专人负责与采购人的对接落实物业管理工作。</w:t>
      </w:r>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供应商在响应前，可自行前往项目现场踏勘，费用自理。</w:t>
      </w:r>
    </w:p>
    <w:p>
      <w:pPr>
        <w:widowControl/>
        <w:adjustRightInd w:val="0"/>
        <w:snapToGrid w:val="0"/>
        <w:spacing w:line="400" w:lineRule="exact"/>
        <w:ind w:firstLine="420" w:firstLineChars="200"/>
        <w:jc w:val="left"/>
        <w:rPr>
          <w:rFonts w:hint="default" w:ascii="宋体" w:hAnsi="宋体" w:cs="宋体"/>
          <w:bCs/>
          <w:color w:val="auto"/>
          <w:kern w:val="0"/>
          <w:szCs w:val="21"/>
          <w:lang w:val="en-US" w:eastAsia="zh-CN"/>
        </w:rPr>
      </w:pPr>
      <w:r>
        <w:rPr>
          <w:rFonts w:hint="eastAsia" w:ascii="宋体" w:hAnsi="宋体" w:cs="宋体"/>
          <w:color w:val="auto"/>
          <w:kern w:val="0"/>
          <w:szCs w:val="21"/>
          <w:lang w:val="en-US" w:eastAsia="zh-CN"/>
        </w:rPr>
        <w:t>(4)电梯、消防等设施设备的专业维保由采购人委托具备相应资质的单位负责，费用由采购人负责</w:t>
      </w:r>
      <w:r>
        <w:rPr>
          <w:rFonts w:hint="eastAsia" w:ascii="宋体" w:hAnsi="宋体" w:cs="宋体"/>
          <w:color w:val="auto"/>
          <w:kern w:val="0"/>
          <w:szCs w:val="21"/>
        </w:rPr>
        <w:t>。</w:t>
      </w:r>
    </w:p>
    <w:p>
      <w:pPr>
        <w:widowControl/>
        <w:adjustRightInd w:val="0"/>
        <w:snapToGrid w:val="0"/>
        <w:spacing w:line="400" w:lineRule="exact"/>
        <w:ind w:firstLine="422" w:firstLineChars="200"/>
        <w:jc w:val="left"/>
        <w:rPr>
          <w:rFonts w:hint="eastAsia" w:ascii="宋体" w:hAnsi="宋体" w:cs="宋体"/>
          <w:b/>
          <w:color w:val="auto"/>
          <w:kern w:val="0"/>
          <w:szCs w:val="21"/>
        </w:rPr>
      </w:pPr>
      <w:r>
        <w:rPr>
          <w:rFonts w:hint="eastAsia" w:ascii="宋体" w:hAnsi="宋体" w:cs="宋体"/>
          <w:b/>
          <w:color w:val="auto"/>
          <w:kern w:val="0"/>
          <w:szCs w:val="21"/>
          <w:lang w:val="en-US" w:eastAsia="zh-CN"/>
        </w:rPr>
        <w:t>6.4</w:t>
      </w:r>
      <w:r>
        <w:rPr>
          <w:rFonts w:hint="eastAsia" w:ascii="宋体" w:hAnsi="宋体" w:cs="宋体"/>
          <w:b/>
          <w:color w:val="auto"/>
          <w:kern w:val="0"/>
          <w:szCs w:val="21"/>
        </w:rPr>
        <w:t>报价说明</w:t>
      </w:r>
    </w:p>
    <w:p>
      <w:pPr>
        <w:widowControl/>
        <w:adjustRightInd w:val="0"/>
        <w:snapToGrid w:val="0"/>
        <w:spacing w:line="400" w:lineRule="exact"/>
        <w:ind w:firstLine="420" w:firstLineChars="200"/>
        <w:jc w:val="left"/>
        <w:rPr>
          <w:rFonts w:hint="eastAsia" w:ascii="宋体" w:hAnsi="宋体" w:cs="宋体"/>
          <w:color w:val="auto"/>
          <w:kern w:val="0"/>
          <w:szCs w:val="21"/>
        </w:rPr>
      </w:pPr>
      <w:bookmarkStart w:id="49" w:name="OLE_LINK4"/>
      <w:r>
        <w:rPr>
          <w:rFonts w:hint="eastAsia"/>
          <w:color w:val="auto"/>
          <w:lang w:val="en-US" w:eastAsia="zh-CN"/>
        </w:rPr>
        <w:t>(1)竞标报价</w:t>
      </w:r>
      <w:r>
        <w:rPr>
          <w:rFonts w:hint="eastAsia" w:ascii="宋体" w:hAnsi="宋体" w:cs="宋体"/>
          <w:color w:val="auto"/>
          <w:kern w:val="0"/>
          <w:szCs w:val="21"/>
        </w:rPr>
        <w:t>包括本项目服务、人工成本（含人员工资、工资附加及保险）、配置费用、员工餐费补贴、项目管理费、员工工作服费用、低值易耗品（垃圾袋、拖把、清洁液等）、税金、办公费用等与本项目相关的全部费用。</w:t>
      </w:r>
      <w:bookmarkEnd w:id="49"/>
    </w:p>
    <w:p>
      <w:pPr>
        <w:widowControl/>
        <w:adjustRightInd w:val="0"/>
        <w:snapToGrid w:val="0"/>
        <w:spacing w:line="400" w:lineRule="exact"/>
        <w:ind w:firstLine="420" w:firstLineChars="200"/>
        <w:jc w:val="left"/>
        <w:rPr>
          <w:rFonts w:hint="eastAsia" w:ascii="宋体" w:hAnsi="宋体" w:cs="宋体"/>
          <w:color w:val="auto"/>
          <w:kern w:val="0"/>
          <w:szCs w:val="21"/>
        </w:rPr>
      </w:pPr>
      <w:r>
        <w:rPr>
          <w:rFonts w:hint="eastAsia"/>
          <w:color w:val="auto"/>
          <w:lang w:val="en-US" w:eastAsia="zh-CN"/>
        </w:rPr>
        <w:t>(2)</w:t>
      </w:r>
      <w:bookmarkStart w:id="50" w:name="OLE_LINK1"/>
      <w:r>
        <w:rPr>
          <w:rFonts w:hint="eastAsia"/>
          <w:color w:val="auto"/>
          <w:lang w:val="en-US" w:eastAsia="zh-CN"/>
        </w:rPr>
        <w:t>所有派驻本项目的人员最低工资标准须符合《最低工资规定》（中华人民共和国劳动和社会保障部令第21号）和广西壮族自治区人民政府最新发布的《关于调整全区职工最低工资标准的通知》或同类文件的规定。</w:t>
      </w:r>
    </w:p>
    <w:bookmarkEnd w:id="50"/>
    <w:p>
      <w:pPr>
        <w:widowControl/>
        <w:adjustRightInd w:val="0"/>
        <w:snapToGrid w:val="0"/>
        <w:spacing w:line="400" w:lineRule="exact"/>
        <w:jc w:val="left"/>
        <w:rPr>
          <w:rFonts w:hint="eastAsia" w:ascii="宋体" w:hAnsi="宋体" w:cs="宋体"/>
          <w:b/>
          <w:bCs/>
          <w:color w:val="auto"/>
          <w:kern w:val="0"/>
          <w:szCs w:val="21"/>
          <w:lang w:val="en-US" w:eastAsia="zh-CN"/>
        </w:rPr>
      </w:pPr>
    </w:p>
    <w:p>
      <w:pPr>
        <w:widowControl/>
        <w:adjustRightInd w:val="0"/>
        <w:snapToGrid w:val="0"/>
        <w:spacing w:line="400" w:lineRule="exact"/>
        <w:ind w:firstLine="422" w:firstLineChars="200"/>
        <w:jc w:val="left"/>
        <w:rPr>
          <w:rFonts w:hint="eastAsia" w:ascii="宋体" w:hAnsi="宋体" w:cs="宋体"/>
          <w:b/>
          <w:bCs/>
          <w:color w:val="auto"/>
          <w:kern w:val="0"/>
          <w:szCs w:val="21"/>
        </w:rPr>
      </w:pPr>
      <w:r>
        <w:rPr>
          <w:rFonts w:hint="eastAsia" w:ascii="宋体" w:hAnsi="宋体" w:cs="宋体"/>
          <w:b/>
          <w:bCs/>
          <w:color w:val="auto"/>
          <w:kern w:val="0"/>
          <w:szCs w:val="21"/>
          <w:lang w:val="en-US" w:eastAsia="zh-CN"/>
        </w:rPr>
        <w:t>7.</w:t>
      </w:r>
      <w:r>
        <w:rPr>
          <w:rFonts w:hint="eastAsia" w:ascii="宋体" w:hAnsi="宋体" w:cs="宋体"/>
          <w:b/>
          <w:bCs/>
          <w:color w:val="auto"/>
          <w:kern w:val="0"/>
          <w:szCs w:val="21"/>
        </w:rPr>
        <w:t>其他要求：</w:t>
      </w:r>
    </w:p>
    <w:p>
      <w:pPr>
        <w:spacing w:line="400" w:lineRule="exact"/>
        <w:ind w:firstLine="420" w:firstLineChars="200"/>
        <w:jc w:val="left"/>
        <w:rPr>
          <w:rFonts w:hint="eastAsia" w:ascii="宋体" w:hAnsi="宋体"/>
          <w:color w:val="auto"/>
          <w:szCs w:val="21"/>
        </w:rPr>
      </w:pPr>
      <w:r>
        <w:rPr>
          <w:rFonts w:hint="eastAsia" w:ascii="宋体" w:hAnsi="宋体" w:cs="宋体"/>
          <w:color w:val="auto"/>
          <w:kern w:val="0"/>
          <w:szCs w:val="21"/>
          <w:lang w:val="en-US" w:eastAsia="zh-CN"/>
        </w:rPr>
        <w:t>(1)</w:t>
      </w:r>
      <w:r>
        <w:rPr>
          <w:rFonts w:hint="eastAsia" w:ascii="宋体" w:hAnsi="宋体"/>
          <w:color w:val="auto"/>
          <w:szCs w:val="21"/>
        </w:rPr>
        <w:t>标注“必须”的条款为实质性条款，要求供应商必须满足或优于，否则响应无效。</w:t>
      </w:r>
    </w:p>
    <w:p>
      <w:pPr>
        <w:spacing w:line="400" w:lineRule="exact"/>
        <w:ind w:firstLine="420" w:firstLineChars="200"/>
        <w:jc w:val="left"/>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本项目对应的中小企业划分标准所属行业为</w:t>
      </w:r>
      <w:r>
        <w:rPr>
          <w:rFonts w:hint="eastAsia" w:ascii="宋体" w:hAnsi="宋体"/>
          <w:color w:val="auto"/>
          <w:szCs w:val="21"/>
          <w:u w:val="single"/>
        </w:rPr>
        <w:t>物业管理</w:t>
      </w:r>
      <w:r>
        <w:rPr>
          <w:rFonts w:hint="eastAsia" w:ascii="宋体" w:hAnsi="宋体"/>
          <w:color w:val="auto"/>
          <w:szCs w:val="21"/>
        </w:rPr>
        <w:t>。</w:t>
      </w:r>
    </w:p>
    <w:p>
      <w:pPr>
        <w:spacing w:line="400" w:lineRule="exact"/>
        <w:ind w:firstLine="420" w:firstLineChars="200"/>
        <w:jc w:val="left"/>
        <w:rPr>
          <w:rFonts w:hint="eastAsia" w:ascii="宋体" w:hAnsi="宋体" w:cs="宋体"/>
          <w:color w:val="auto"/>
          <w:kern w:val="0"/>
          <w:szCs w:val="21"/>
        </w:rPr>
      </w:pPr>
      <w:r>
        <w:rPr>
          <w:rFonts w:hint="eastAsia" w:ascii="宋体" w:hAnsi="宋体"/>
          <w:color w:val="auto"/>
          <w:szCs w:val="21"/>
          <w:lang w:val="en-US" w:eastAsia="zh-CN"/>
        </w:rPr>
        <w:t>(3)</w:t>
      </w:r>
      <w:r>
        <w:rPr>
          <w:rFonts w:hint="eastAsia" w:ascii="宋体" w:hAnsi="宋体"/>
          <w:color w:val="auto"/>
          <w:szCs w:val="21"/>
        </w:rPr>
        <w:t>磋商文件中可能实质性变动的内容：</w:t>
      </w:r>
      <w:r>
        <w:rPr>
          <w:rFonts w:hint="eastAsia" w:ascii="宋体" w:hAnsi="宋体" w:cs="宋体"/>
          <w:color w:val="auto"/>
          <w:kern w:val="0"/>
          <w:szCs w:val="21"/>
          <w:u w:val="single"/>
        </w:rPr>
        <w:t>采购需求的技术、服务要求以及合同草案条款</w:t>
      </w:r>
      <w:r>
        <w:rPr>
          <w:rFonts w:hint="eastAsia" w:ascii="宋体" w:hAnsi="宋体" w:cs="宋体"/>
          <w:color w:val="auto"/>
          <w:kern w:val="0"/>
          <w:szCs w:val="21"/>
        </w:rPr>
        <w:t>。</w:t>
      </w:r>
    </w:p>
    <w:p>
      <w:pPr>
        <w:spacing w:line="400" w:lineRule="exact"/>
        <w:ind w:firstLine="420" w:firstLineChars="200"/>
        <w:jc w:val="left"/>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供应商应在响应文件中提供物业服务方案、服务工作方案、应急处置方案、人员培训方案、拟投入服务人员情况、相关管理体系认证证书、业绩、关荣誉奖项等，作为评审依据。</w:t>
      </w:r>
    </w:p>
    <w:p>
      <w:pPr>
        <w:spacing w:line="400" w:lineRule="exact"/>
        <w:ind w:firstLine="420" w:firstLineChars="200"/>
        <w:jc w:val="left"/>
        <w:rPr>
          <w:rFonts w:hint="eastAsia" w:ascii="宋体" w:hAnsi="宋体" w:cs="宋体"/>
          <w:color w:val="auto"/>
          <w:kern w:val="0"/>
          <w:szCs w:val="21"/>
        </w:rPr>
      </w:pPr>
      <w:r>
        <w:rPr>
          <w:rFonts w:hint="eastAsia" w:ascii="宋体" w:hAnsi="宋体"/>
          <w:color w:val="auto"/>
          <w:szCs w:val="21"/>
          <w:lang w:val="en-US" w:eastAsia="zh-CN"/>
        </w:rPr>
        <w:t>(4)</w:t>
      </w:r>
      <w:r>
        <w:rPr>
          <w:rFonts w:hint="eastAsia" w:ascii="宋体" w:hAnsi="宋体" w:cs="宋体"/>
          <w:color w:val="auto"/>
          <w:kern w:val="0"/>
          <w:szCs w:val="21"/>
        </w:rPr>
        <w:t>供应商在采购活动中提供虚假材料，以及提供的服务与响应文件不一致的，报采购监管部门查处。</w:t>
      </w:r>
    </w:p>
    <w:p>
      <w:pPr>
        <w:widowControl/>
        <w:jc w:val="left"/>
        <w:rPr>
          <w:rFonts w:hint="eastAsia" w:ascii="宋体" w:hAnsi="宋体"/>
          <w:color w:val="auto"/>
          <w:szCs w:val="21"/>
        </w:rPr>
      </w:pPr>
    </w:p>
    <w:p>
      <w:pPr>
        <w:widowControl/>
        <w:spacing w:line="460" w:lineRule="exact"/>
        <w:jc w:val="left"/>
        <w:rPr>
          <w:rFonts w:hint="eastAsia" w:ascii="宋体" w:hAnsi="宋体"/>
          <w:color w:val="auto"/>
          <w:szCs w:val="21"/>
        </w:rPr>
      </w:pPr>
    </w:p>
    <w:p>
      <w:pPr>
        <w:spacing w:line="396" w:lineRule="exact"/>
        <w:rPr>
          <w:rFonts w:hint="eastAsia"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pStyle w:val="17"/>
        <w:rPr>
          <w:rFonts w:ascii="宋体" w:hAnsi="宋体"/>
          <w:color w:val="auto"/>
          <w:szCs w:val="21"/>
        </w:rPr>
      </w:pPr>
    </w:p>
    <w:p>
      <w:pPr>
        <w:pStyle w:val="18"/>
        <w:rPr>
          <w:rFonts w:ascii="宋体" w:hAnsi="宋体"/>
          <w:color w:val="auto"/>
          <w:szCs w:val="21"/>
        </w:rPr>
      </w:pPr>
    </w:p>
    <w:p>
      <w:pPr>
        <w:rPr>
          <w:rFonts w:ascii="宋体" w:hAnsi="宋体"/>
          <w:color w:val="auto"/>
          <w:szCs w:val="21"/>
        </w:rPr>
      </w:pPr>
    </w:p>
    <w:p>
      <w:pPr>
        <w:pStyle w:val="17"/>
        <w:rPr>
          <w:rFonts w:ascii="宋体" w:hAnsi="宋体"/>
          <w:color w:val="auto"/>
          <w:szCs w:val="21"/>
        </w:rPr>
      </w:pPr>
    </w:p>
    <w:p>
      <w:pPr>
        <w:pStyle w:val="18"/>
        <w:rPr>
          <w:rFonts w:ascii="宋体" w:hAnsi="宋体"/>
          <w:color w:val="auto"/>
          <w:szCs w:val="21"/>
        </w:rPr>
      </w:pPr>
    </w:p>
    <w:p>
      <w:pPr>
        <w:rPr>
          <w:rFonts w:ascii="宋体" w:hAnsi="宋体"/>
          <w:color w:val="auto"/>
          <w:szCs w:val="21"/>
        </w:rPr>
      </w:pPr>
    </w:p>
    <w:p>
      <w:pPr>
        <w:pStyle w:val="17"/>
        <w:rPr>
          <w:rFonts w:ascii="宋体" w:hAnsi="宋体"/>
          <w:color w:val="auto"/>
          <w:szCs w:val="21"/>
        </w:rPr>
      </w:pPr>
    </w:p>
    <w:p>
      <w:pPr>
        <w:pStyle w:val="18"/>
        <w:rPr>
          <w:rFonts w:ascii="宋体" w:hAnsi="宋体"/>
          <w:color w:val="auto"/>
          <w:szCs w:val="21"/>
        </w:rPr>
      </w:pPr>
    </w:p>
    <w:p>
      <w:pPr>
        <w:rPr>
          <w:rFonts w:ascii="宋体" w:hAnsi="宋体"/>
          <w:color w:val="auto"/>
          <w:szCs w:val="21"/>
        </w:rPr>
      </w:pPr>
    </w:p>
    <w:p>
      <w:pPr>
        <w:pStyle w:val="17"/>
        <w:rPr>
          <w:rFonts w:ascii="宋体" w:hAnsi="宋体"/>
          <w:color w:val="auto"/>
          <w:szCs w:val="21"/>
        </w:rPr>
      </w:pPr>
    </w:p>
    <w:p>
      <w:pPr>
        <w:pStyle w:val="18"/>
        <w:rPr>
          <w:rFonts w:ascii="宋体" w:hAnsi="宋体"/>
          <w:color w:val="auto"/>
          <w:szCs w:val="21"/>
        </w:rPr>
      </w:pPr>
    </w:p>
    <w:p>
      <w:pPr>
        <w:rPr>
          <w:rFonts w:ascii="宋体" w:hAnsi="宋体"/>
          <w:color w:val="auto"/>
          <w:szCs w:val="21"/>
        </w:rPr>
      </w:pPr>
    </w:p>
    <w:p>
      <w:pPr>
        <w:pStyle w:val="17"/>
        <w:rPr>
          <w:color w:val="auto"/>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pStyle w:val="2"/>
        <w:rPr>
          <w:rFonts w:ascii="宋体" w:hAnsi="宋体"/>
          <w:color w:val="auto"/>
          <w:szCs w:val="21"/>
        </w:rPr>
      </w:pPr>
    </w:p>
    <w:p>
      <w:pPr>
        <w:rPr>
          <w:rFonts w:ascii="宋体" w:hAnsi="宋体"/>
          <w:color w:val="auto"/>
          <w:szCs w:val="21"/>
        </w:rPr>
      </w:pPr>
    </w:p>
    <w:p>
      <w:pPr>
        <w:pStyle w:val="2"/>
        <w:rPr>
          <w:color w:val="auto"/>
        </w:rPr>
      </w:pPr>
    </w:p>
    <w:p>
      <w:pPr>
        <w:rPr>
          <w:color w:val="auto"/>
        </w:rPr>
      </w:pPr>
    </w:p>
    <w:p>
      <w:pPr>
        <w:pStyle w:val="3"/>
        <w:spacing w:line="400" w:lineRule="exact"/>
        <w:rPr>
          <w:rFonts w:ascii="方正小标宋简体" w:eastAsia="方正小标宋简体"/>
          <w:color w:val="auto"/>
        </w:rPr>
      </w:pPr>
      <w:bookmarkStart w:id="51" w:name="_Toc92355025"/>
      <w:r>
        <w:rPr>
          <w:rFonts w:hint="eastAsia" w:ascii="方正小标宋简体" w:eastAsia="方正小标宋简体"/>
          <w:color w:val="auto"/>
        </w:rPr>
        <w:t>第三章  供应商须知</w:t>
      </w:r>
      <w:bookmarkEnd w:id="45"/>
      <w:bookmarkEnd w:id="46"/>
      <w:bookmarkEnd w:id="51"/>
    </w:p>
    <w:p>
      <w:pPr>
        <w:jc w:val="center"/>
        <w:rPr>
          <w:rFonts w:ascii="仿宋_GB2312" w:hAnsi="宋体" w:eastAsia="仿宋_GB2312"/>
          <w:b/>
          <w:color w:val="auto"/>
          <w:sz w:val="32"/>
          <w:szCs w:val="32"/>
        </w:rPr>
      </w:pPr>
      <w:bookmarkStart w:id="52" w:name="_Toc354479499"/>
      <w:bookmarkStart w:id="53" w:name="_Toc357157408"/>
      <w:bookmarkStart w:id="54" w:name="_Toc358477281"/>
      <w:bookmarkStart w:id="55" w:name="_Toc350325671"/>
      <w:r>
        <w:rPr>
          <w:rFonts w:ascii="仿宋_GB2312" w:hAnsi="宋体" w:eastAsia="仿宋_GB2312"/>
          <w:b/>
          <w:color w:val="auto"/>
          <w:sz w:val="32"/>
          <w:szCs w:val="32"/>
        </w:rPr>
        <w:br w:type="page"/>
      </w:r>
    </w:p>
    <w:p>
      <w:pPr>
        <w:rPr>
          <w:color w:val="auto"/>
        </w:rPr>
      </w:pPr>
    </w:p>
    <w:p>
      <w:pPr>
        <w:jc w:val="center"/>
        <w:rPr>
          <w:rFonts w:ascii="黑体" w:hAnsi="黑体" w:eastAsia="黑体"/>
          <w:b/>
          <w:color w:val="auto"/>
          <w:sz w:val="32"/>
          <w:szCs w:val="32"/>
        </w:rPr>
      </w:pPr>
      <w:r>
        <w:rPr>
          <w:rFonts w:hint="eastAsia" w:ascii="黑体" w:hAnsi="黑体" w:eastAsia="黑体"/>
          <w:b/>
          <w:color w:val="auto"/>
          <w:sz w:val="32"/>
          <w:szCs w:val="32"/>
        </w:rPr>
        <w:t>一、供应商须知前附表</w:t>
      </w:r>
    </w:p>
    <w:tbl>
      <w:tblPr>
        <w:tblStyle w:val="37"/>
        <w:tblW w:w="9351" w:type="dxa"/>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页码</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内    容</w:t>
            </w:r>
          </w:p>
        </w:tc>
      </w:tr>
      <w:tr>
        <w:tblPrEx>
          <w:tblCellMar>
            <w:top w:w="0" w:type="dxa"/>
            <w:left w:w="108" w:type="dxa"/>
            <w:bottom w:w="0" w:type="dxa"/>
            <w:right w:w="108" w:type="dxa"/>
          </w:tblCellMar>
        </w:tblPrEx>
        <w:trPr>
          <w:trHeight w:val="11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color w:val="auto"/>
                <w:kern w:val="0"/>
                <w:szCs w:val="21"/>
              </w:rPr>
            </w:pPr>
            <w:r>
              <w:rPr>
                <w:rFonts w:hint="eastAsia" w:ascii="宋体" w:hAnsi="宋体" w:cs="宋体"/>
                <w:color w:val="auto"/>
                <w:kern w:val="0"/>
                <w:szCs w:val="21"/>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4"/>
                <w:color w:val="auto"/>
                <w:szCs w:val="21"/>
                <w:u w:val="none"/>
              </w:rPr>
            </w:pPr>
            <w:r>
              <w:rPr>
                <w:rFonts w:ascii="宋体" w:hAnsi="宋体" w:cs="宋体"/>
                <w:color w:val="auto"/>
                <w:kern w:val="0"/>
                <w:szCs w:val="21"/>
              </w:rPr>
              <w:fldChar w:fldCharType="begin"/>
            </w:r>
            <w:r>
              <w:rPr>
                <w:rFonts w:ascii="宋体" w:hAnsi="宋体" w:cs="宋体"/>
                <w:color w:val="auto"/>
                <w:kern w:val="0"/>
                <w:szCs w:val="21"/>
              </w:rPr>
              <w:instrText xml:space="preserve"> </w:instrText>
            </w:r>
            <w:r>
              <w:rPr>
                <w:rFonts w:hint="eastAsia" w:ascii="宋体" w:hAnsi="宋体" w:cs="宋体"/>
                <w:color w:val="auto"/>
                <w:kern w:val="0"/>
                <w:szCs w:val="21"/>
              </w:rPr>
              <w:instrText xml:space="preserve">HYPERLINK </w:instrText>
            </w:r>
            <w:r>
              <w:rPr>
                <w:rFonts w:ascii="宋体" w:hAnsi="宋体" w:cs="宋体"/>
                <w:color w:val="auto"/>
                <w:kern w:val="0"/>
                <w:szCs w:val="21"/>
              </w:rPr>
              <w:instrText xml:space="preserve"> \l "_一、总_则" </w:instrText>
            </w:r>
            <w:r>
              <w:rPr>
                <w:rFonts w:ascii="宋体" w:hAnsi="宋体" w:cs="宋体"/>
                <w:color w:val="auto"/>
                <w:kern w:val="0"/>
                <w:szCs w:val="21"/>
              </w:rPr>
              <w:fldChar w:fldCharType="separate"/>
            </w:r>
            <w:r>
              <w:rPr>
                <w:rStyle w:val="44"/>
                <w:rFonts w:hint="eastAsia" w:ascii="宋体" w:hAnsi="宋体" w:cs="宋体"/>
                <w:color w:val="auto"/>
                <w:kern w:val="0"/>
                <w:szCs w:val="21"/>
                <w:u w:val="none"/>
              </w:rPr>
              <w:t>项目名称：</w:t>
            </w:r>
            <w:r>
              <w:rPr>
                <w:rFonts w:hint="eastAsia" w:ascii="宋体" w:hAnsi="宋体"/>
                <w:color w:val="auto"/>
                <w:szCs w:val="21"/>
                <w:lang w:val="en-US" w:eastAsia="zh-CN"/>
              </w:rPr>
              <w:t>2026年钦州市图书馆物业管理服务</w:t>
            </w:r>
          </w:p>
          <w:p>
            <w:pPr>
              <w:widowControl/>
              <w:spacing w:line="440" w:lineRule="exact"/>
              <w:rPr>
                <w:rFonts w:ascii="宋体" w:hAnsi="宋体"/>
                <w:color w:val="auto"/>
                <w:szCs w:val="21"/>
              </w:rPr>
            </w:pPr>
            <w:r>
              <w:rPr>
                <w:rStyle w:val="44"/>
                <w:rFonts w:hint="eastAsia" w:ascii="宋体" w:hAnsi="宋体"/>
                <w:color w:val="auto"/>
                <w:szCs w:val="21"/>
                <w:u w:val="none"/>
              </w:rPr>
              <w:t>项目编号：</w:t>
            </w:r>
            <w:r>
              <w:rPr>
                <w:rFonts w:ascii="宋体" w:hAnsi="宋体" w:cs="宋体"/>
                <w:color w:val="auto"/>
                <w:kern w:val="0"/>
                <w:szCs w:val="21"/>
              </w:rPr>
              <w:fldChar w:fldCharType="end"/>
            </w:r>
            <w:r>
              <w:rPr>
                <w:rFonts w:hint="eastAsia" w:ascii="宋体" w:hAnsi="宋体"/>
                <w:bCs/>
                <w:color w:val="auto"/>
                <w:lang w:eastAsia="zh-CN"/>
              </w:rPr>
              <w:t>QZZC2026-C3-990122-QZSZ</w:t>
            </w:r>
          </w:p>
        </w:tc>
      </w:tr>
      <w:tr>
        <w:tblPrEx>
          <w:tblCellMar>
            <w:top w:w="0" w:type="dxa"/>
            <w:left w:w="108" w:type="dxa"/>
            <w:bottom w:w="0" w:type="dxa"/>
            <w:right w:w="108" w:type="dxa"/>
          </w:tblCellMar>
        </w:tblPrEx>
        <w:trPr>
          <w:trHeight w:val="113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color w:val="auto"/>
                <w:kern w:val="0"/>
                <w:szCs w:val="21"/>
              </w:rPr>
            </w:pPr>
            <w:r>
              <w:rPr>
                <w:rFonts w:hint="eastAsia" w:ascii="宋体" w:hAnsi="宋体" w:cs="宋体"/>
                <w:color w:val="auto"/>
                <w:kern w:val="0"/>
                <w:szCs w:val="21"/>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4"/>
                <w:rFonts w:ascii="宋体" w:hAnsi="宋体"/>
                <w:color w:val="auto"/>
                <w:szCs w:val="21"/>
                <w:u w:val="none"/>
              </w:rPr>
            </w:pPr>
            <w:r>
              <w:rPr>
                <w:rStyle w:val="44"/>
                <w:rFonts w:ascii="宋体" w:hAnsi="宋体"/>
                <w:color w:val="auto"/>
                <w:szCs w:val="21"/>
                <w:u w:val="none"/>
              </w:rPr>
              <w:fldChar w:fldCharType="begin"/>
            </w:r>
            <w:r>
              <w:rPr>
                <w:rStyle w:val="44"/>
                <w:rFonts w:ascii="宋体" w:hAnsi="宋体"/>
                <w:color w:val="auto"/>
                <w:szCs w:val="21"/>
                <w:u w:val="none"/>
              </w:rPr>
              <w:instrText xml:space="preserve"> </w:instrText>
            </w:r>
            <w:r>
              <w:rPr>
                <w:rStyle w:val="44"/>
                <w:rFonts w:hint="eastAsia" w:ascii="宋体" w:hAnsi="宋体"/>
                <w:color w:val="auto"/>
                <w:szCs w:val="21"/>
                <w:u w:val="none"/>
              </w:rPr>
              <w:instrText xml:space="preserve">HYPERLINK </w:instrText>
            </w:r>
            <w:r>
              <w:rPr>
                <w:rStyle w:val="44"/>
                <w:rFonts w:ascii="宋体" w:hAnsi="宋体"/>
                <w:color w:val="auto"/>
                <w:szCs w:val="21"/>
                <w:u w:val="none"/>
              </w:rPr>
              <w:instrText xml:space="preserve"> \l "_一、总_则" </w:instrText>
            </w:r>
            <w:r>
              <w:rPr>
                <w:rStyle w:val="44"/>
                <w:rFonts w:ascii="宋体" w:hAnsi="宋体"/>
                <w:color w:val="auto"/>
                <w:szCs w:val="21"/>
                <w:u w:val="none"/>
              </w:rPr>
              <w:fldChar w:fldCharType="separate"/>
            </w:r>
            <w:r>
              <w:rPr>
                <w:rStyle w:val="44"/>
                <w:rFonts w:hint="eastAsia" w:ascii="宋体" w:hAnsi="宋体"/>
                <w:color w:val="auto"/>
                <w:szCs w:val="21"/>
                <w:u w:val="none"/>
              </w:rPr>
              <w:t>供应商资格：</w:t>
            </w:r>
          </w:p>
          <w:p>
            <w:pPr>
              <w:spacing w:line="440" w:lineRule="exact"/>
              <w:rPr>
                <w:rStyle w:val="44"/>
                <w:rFonts w:hint="eastAsia" w:ascii="宋体" w:hAnsi="宋体" w:eastAsia="宋体"/>
                <w:color w:val="auto"/>
                <w:szCs w:val="21"/>
                <w:u w:val="none"/>
                <w:lang w:eastAsia="zh-CN"/>
              </w:rPr>
            </w:pPr>
            <w:r>
              <w:rPr>
                <w:rStyle w:val="44"/>
                <w:rFonts w:hint="eastAsia" w:ascii="宋体" w:hAnsi="宋体"/>
                <w:color w:val="auto"/>
                <w:szCs w:val="21"/>
                <w:u w:val="none"/>
              </w:rPr>
              <w:t>1.满足《中华人民共和国政府采购法》第二十二条规定</w:t>
            </w:r>
            <w:r>
              <w:rPr>
                <w:rStyle w:val="44"/>
                <w:rFonts w:hint="eastAsia" w:ascii="宋体" w:hAnsi="宋体"/>
                <w:color w:val="auto"/>
                <w:szCs w:val="21"/>
                <w:u w:val="none"/>
                <w:lang w:eastAsia="zh-CN"/>
              </w:rPr>
              <w:t>。</w:t>
            </w:r>
          </w:p>
          <w:p>
            <w:pPr>
              <w:spacing w:line="400" w:lineRule="exact"/>
              <w:rPr>
                <w:rStyle w:val="44"/>
                <w:rFonts w:ascii="宋体" w:hAnsi="宋体"/>
                <w:color w:val="auto"/>
                <w:szCs w:val="21"/>
                <w:u w:val="none"/>
              </w:rPr>
            </w:pPr>
            <w:r>
              <w:rPr>
                <w:rStyle w:val="44"/>
                <w:rFonts w:hint="eastAsia" w:ascii="宋体" w:hAnsi="宋体"/>
                <w:color w:val="auto"/>
                <w:szCs w:val="21"/>
                <w:u w:val="none"/>
              </w:rPr>
              <w:t>2.落实政府采购政策需满足的资格要求：</w:t>
            </w:r>
            <w:r>
              <w:rPr>
                <w:rFonts w:hint="eastAsia"/>
                <w:color w:val="auto"/>
              </w:rPr>
              <w:t>本项目为中小企业预留项目，参加本项目竞标的供应商必须为中小微企业或监狱企业或残疾人福利性单位</w:t>
            </w:r>
            <w:r>
              <w:rPr>
                <w:rFonts w:hint="eastAsia"/>
                <w:color w:val="auto"/>
                <w:lang w:eastAsia="zh-CN"/>
              </w:rPr>
              <w:t>。</w:t>
            </w:r>
          </w:p>
          <w:p>
            <w:pPr>
              <w:spacing w:line="440" w:lineRule="exact"/>
              <w:rPr>
                <w:rFonts w:ascii="宋体" w:hAnsi="宋体"/>
                <w:color w:val="auto"/>
                <w:szCs w:val="21"/>
              </w:rPr>
            </w:pPr>
            <w:r>
              <w:rPr>
                <w:rStyle w:val="44"/>
                <w:rFonts w:hint="eastAsia" w:ascii="宋体" w:hAnsi="宋体"/>
                <w:color w:val="auto"/>
                <w:szCs w:val="21"/>
                <w:u w:val="none"/>
              </w:rPr>
              <w:t>3.本项目的特定资格要求：无</w:t>
            </w:r>
            <w:r>
              <w:rPr>
                <w:rStyle w:val="44"/>
                <w:rFonts w:ascii="宋体" w:hAnsi="宋体"/>
                <w:color w:val="auto"/>
                <w:szCs w:val="21"/>
                <w:u w:val="none"/>
              </w:rPr>
              <w:fldChar w:fldCharType="end"/>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color w:val="auto"/>
                <w:kern w:val="0"/>
                <w:szCs w:val="21"/>
              </w:rPr>
            </w:pPr>
            <w:r>
              <w:rPr>
                <w:rFonts w:ascii="宋体" w:hAnsi="宋体" w:cs="宋体"/>
                <w:color w:val="auto"/>
                <w:kern w:val="0"/>
                <w:szCs w:val="21"/>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ascii="宋体" w:hAnsi="宋体"/>
                <w:color w:val="auto"/>
              </w:rPr>
            </w:pPr>
            <w:r>
              <w:rPr>
                <w:color w:val="auto"/>
              </w:rPr>
              <w:fldChar w:fldCharType="begin"/>
            </w:r>
            <w:r>
              <w:rPr>
                <w:color w:val="auto"/>
              </w:rPr>
              <w:instrText xml:space="preserve"> HYPERLINK \l "_（五）报价" </w:instrText>
            </w:r>
            <w:r>
              <w:rPr>
                <w:color w:val="auto"/>
              </w:rPr>
              <w:fldChar w:fldCharType="separate"/>
            </w:r>
            <w:r>
              <w:rPr>
                <w:rStyle w:val="44"/>
                <w:rFonts w:hint="eastAsia" w:ascii="宋体" w:hAnsi="宋体" w:cs="宋体"/>
                <w:color w:val="auto"/>
                <w:kern w:val="0"/>
                <w:szCs w:val="21"/>
                <w:u w:val="none"/>
              </w:rPr>
              <w:t>报价：供应商的报价必须按采购文件或政府采购云平台规定的格式填写，并在规定时间内提交最后报价。</w:t>
            </w:r>
            <w:r>
              <w:rPr>
                <w:rStyle w:val="44"/>
                <w:rFonts w:hint="eastAsia" w:ascii="宋体" w:hAnsi="宋体" w:cs="宋体"/>
                <w:color w:val="auto"/>
                <w:kern w:val="0"/>
                <w:szCs w:val="21"/>
                <w:u w:val="none"/>
              </w:rPr>
              <w:fldChar w:fldCharType="end"/>
            </w:r>
          </w:p>
        </w:tc>
      </w:tr>
      <w:tr>
        <w:tblPrEx>
          <w:tblCellMar>
            <w:top w:w="0" w:type="dxa"/>
            <w:left w:w="108" w:type="dxa"/>
            <w:bottom w:w="0" w:type="dxa"/>
            <w:right w:w="108" w:type="dxa"/>
          </w:tblCellMar>
        </w:tblPrEx>
        <w:trPr>
          <w:trHeight w:val="21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4</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4"/>
                <w:rFonts w:ascii="宋体" w:hAnsi="宋体"/>
                <w:color w:val="auto"/>
                <w:szCs w:val="21"/>
                <w:u w:val="none"/>
              </w:rPr>
            </w:pPr>
            <w:r>
              <w:rPr>
                <w:rFonts w:ascii="宋体" w:hAnsi="宋体" w:cs="宋体"/>
                <w:color w:val="auto"/>
                <w:kern w:val="0"/>
                <w:szCs w:val="21"/>
              </w:rPr>
              <w:fldChar w:fldCharType="begin"/>
            </w:r>
            <w:r>
              <w:rPr>
                <w:rFonts w:ascii="宋体" w:hAnsi="宋体" w:cs="宋体"/>
                <w:color w:val="auto"/>
                <w:kern w:val="0"/>
                <w:szCs w:val="21"/>
              </w:rPr>
              <w:instrText xml:space="preserve"> </w:instrText>
            </w:r>
            <w:r>
              <w:rPr>
                <w:rFonts w:hint="eastAsia" w:ascii="宋体" w:hAnsi="宋体" w:cs="宋体"/>
                <w:color w:val="auto"/>
                <w:kern w:val="0"/>
                <w:szCs w:val="21"/>
              </w:rPr>
              <w:instrText xml:space="preserve">HYPERLINK </w:instrText>
            </w:r>
            <w:r>
              <w:rPr>
                <w:rFonts w:ascii="宋体" w:hAnsi="宋体" w:cs="宋体"/>
                <w:color w:val="auto"/>
                <w:kern w:val="0"/>
                <w:szCs w:val="21"/>
              </w:rPr>
              <w:instrText xml:space="preserve"> \l "_四、响应文件开启" </w:instrText>
            </w:r>
            <w:r>
              <w:rPr>
                <w:rFonts w:ascii="宋体" w:hAnsi="宋体" w:cs="宋体"/>
                <w:color w:val="auto"/>
                <w:kern w:val="0"/>
                <w:szCs w:val="21"/>
              </w:rPr>
              <w:fldChar w:fldCharType="separate"/>
            </w:r>
            <w:r>
              <w:rPr>
                <w:rStyle w:val="44"/>
                <w:rFonts w:hint="eastAsia" w:ascii="宋体" w:hAnsi="宋体" w:cs="宋体"/>
                <w:color w:val="auto"/>
                <w:kern w:val="0"/>
                <w:szCs w:val="21"/>
                <w:u w:val="none"/>
              </w:rPr>
              <w:t>响应文件提交截止时间及开启时间：</w:t>
            </w: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bCs/>
                <w:color w:val="auto"/>
                <w:szCs w:val="21"/>
              </w:rPr>
              <w:t>年</w:t>
            </w:r>
            <w:r>
              <w:rPr>
                <w:rFonts w:hint="eastAsia" w:ascii="宋体" w:hAnsi="宋体"/>
                <w:bCs/>
                <w:color w:val="auto"/>
                <w:szCs w:val="21"/>
                <w:lang w:val="en-US" w:eastAsia="zh-CN"/>
              </w:rPr>
              <w:t>5</w:t>
            </w:r>
            <w:r>
              <w:rPr>
                <w:rFonts w:hint="eastAsia" w:ascii="宋体" w:hAnsi="宋体"/>
                <w:bCs/>
                <w:color w:val="auto"/>
                <w:szCs w:val="21"/>
              </w:rPr>
              <w:t>月</w:t>
            </w:r>
            <w:r>
              <w:rPr>
                <w:rFonts w:hint="eastAsia" w:ascii="宋体" w:hAnsi="宋体"/>
                <w:bCs/>
                <w:color w:val="auto"/>
                <w:szCs w:val="21"/>
                <w:lang w:val="en-US" w:eastAsia="zh-CN"/>
              </w:rPr>
              <w:t>8</w:t>
            </w:r>
            <w:r>
              <w:rPr>
                <w:rFonts w:hint="eastAsia" w:ascii="宋体" w:hAnsi="宋体"/>
                <w:bCs/>
                <w:color w:val="auto"/>
                <w:szCs w:val="21"/>
              </w:rPr>
              <w:t>日</w:t>
            </w:r>
            <w:r>
              <w:rPr>
                <w:rFonts w:hint="eastAsia"/>
                <w:color w:val="auto"/>
                <w:lang w:val="en-US" w:eastAsia="zh-CN"/>
              </w:rPr>
              <w:t>9</w:t>
            </w:r>
            <w:r>
              <w:rPr>
                <w:color w:val="auto"/>
              </w:rPr>
              <w:t>:</w:t>
            </w:r>
            <w:r>
              <w:rPr>
                <w:rFonts w:hint="eastAsia"/>
                <w:color w:val="auto"/>
                <w:lang w:val="en-US" w:eastAsia="zh-CN"/>
              </w:rPr>
              <w:t>30</w:t>
            </w:r>
            <w:r>
              <w:rPr>
                <w:rStyle w:val="44"/>
                <w:rFonts w:hint="eastAsia" w:ascii="宋体" w:hAnsi="宋体"/>
                <w:color w:val="auto"/>
                <w:szCs w:val="21"/>
                <w:u w:val="none"/>
              </w:rPr>
              <w:t>。</w:t>
            </w:r>
            <w:bookmarkStart w:id="213" w:name="_GoBack"/>
            <w:bookmarkEnd w:id="213"/>
          </w:p>
          <w:p>
            <w:pPr>
              <w:widowControl/>
              <w:spacing w:line="440" w:lineRule="exact"/>
              <w:rPr>
                <w:color w:val="auto"/>
              </w:rPr>
            </w:pPr>
            <w:r>
              <w:rPr>
                <w:rStyle w:val="44"/>
                <w:rFonts w:hint="eastAsia"/>
                <w:b/>
                <w:color w:val="auto"/>
                <w:szCs w:val="21"/>
                <w:u w:val="none"/>
              </w:rPr>
              <w:t>注意事项：</w:t>
            </w:r>
            <w:r>
              <w:rPr>
                <w:rStyle w:val="44"/>
                <w:rFonts w:hint="eastAsia"/>
                <w:bCs/>
                <w:color w:val="auto"/>
                <w:u w:val="none"/>
              </w:rPr>
              <w:t>供应商法定代表人或委托代理人须按时登录政采云远程开标大厅，保持全程在线并关注评审磋商进度，评审期间磋商小组提出澄清等要求时，供应商须在规定时间内进行在线应答，否则按采购文件或政采云平台的相关规定执行。</w:t>
            </w:r>
            <w:r>
              <w:rPr>
                <w:rFonts w:ascii="宋体" w:hAnsi="宋体" w:cs="宋体"/>
                <w:color w:val="auto"/>
                <w:kern w:val="0"/>
                <w:szCs w:val="21"/>
              </w:rPr>
              <w:fldChar w:fldCharType="end"/>
            </w:r>
          </w:p>
        </w:tc>
      </w:tr>
      <w:tr>
        <w:tblPrEx>
          <w:tblCellMar>
            <w:top w:w="0" w:type="dxa"/>
            <w:left w:w="108" w:type="dxa"/>
            <w:bottom w:w="0" w:type="dxa"/>
            <w:right w:w="108" w:type="dxa"/>
          </w:tblCellMar>
        </w:tblPrEx>
        <w:trPr>
          <w:trHeight w:val="9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5</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4"/>
                <w:rFonts w:ascii="宋体" w:hAnsi="宋体" w:cs="宋体"/>
                <w:color w:val="auto"/>
                <w:kern w:val="0"/>
                <w:szCs w:val="21"/>
                <w:u w:val="none"/>
              </w:rPr>
            </w:pPr>
            <w:r>
              <w:rPr>
                <w:rFonts w:ascii="宋体" w:hAnsi="宋体" w:cs="宋体"/>
                <w:color w:val="auto"/>
                <w:kern w:val="0"/>
                <w:szCs w:val="21"/>
              </w:rPr>
              <w:fldChar w:fldCharType="begin"/>
            </w:r>
            <w:r>
              <w:rPr>
                <w:rFonts w:ascii="宋体" w:hAnsi="宋体" w:cs="宋体"/>
                <w:color w:val="auto"/>
                <w:kern w:val="0"/>
                <w:szCs w:val="21"/>
              </w:rPr>
              <w:instrText xml:space="preserve"> HYPERLINK  \l "_五、评审与磋商" </w:instrText>
            </w:r>
            <w:r>
              <w:rPr>
                <w:rFonts w:ascii="宋体" w:hAnsi="宋体" w:cs="宋体"/>
                <w:color w:val="auto"/>
                <w:kern w:val="0"/>
                <w:szCs w:val="21"/>
              </w:rPr>
              <w:fldChar w:fldCharType="separate"/>
            </w:r>
            <w:r>
              <w:rPr>
                <w:rStyle w:val="44"/>
                <w:rFonts w:ascii="宋体" w:hAnsi="宋体" w:cs="宋体"/>
                <w:color w:val="auto"/>
                <w:kern w:val="0"/>
                <w:szCs w:val="21"/>
                <w:u w:val="none"/>
              </w:rPr>
              <w:t>评审及磋商：</w:t>
            </w:r>
          </w:p>
          <w:p>
            <w:pPr>
              <w:widowControl/>
              <w:spacing w:line="440" w:lineRule="exact"/>
              <w:rPr>
                <w:rFonts w:ascii="宋体" w:hAnsi="宋体" w:cs="宋体"/>
                <w:color w:val="auto"/>
                <w:kern w:val="0"/>
                <w:szCs w:val="21"/>
              </w:rPr>
            </w:pPr>
            <w:r>
              <w:rPr>
                <w:rStyle w:val="44"/>
                <w:rFonts w:hint="eastAsia" w:ascii="宋体" w:hAnsi="宋体" w:cs="宋体"/>
                <w:color w:val="auto"/>
                <w:kern w:val="0"/>
                <w:szCs w:val="21"/>
                <w:u w:val="none"/>
              </w:rPr>
              <w:t>磋商小组成员根据磋商文件规定的评审程序、评审方法和评审标准进行独立评审，与符合条件的供应商就采购货物和服务事宜进行磋商，供应商按照磋商文件的要求提交报价。</w:t>
            </w:r>
            <w:r>
              <w:rPr>
                <w:rFonts w:ascii="宋体" w:hAnsi="宋体" w:cs="宋体"/>
                <w:color w:val="auto"/>
                <w:kern w:val="0"/>
                <w:szCs w:val="21"/>
              </w:rPr>
              <w:fldChar w:fldCharType="end"/>
            </w:r>
          </w:p>
        </w:tc>
      </w:tr>
      <w:tr>
        <w:tblPrEx>
          <w:tblCellMar>
            <w:top w:w="0" w:type="dxa"/>
            <w:left w:w="108" w:type="dxa"/>
            <w:bottom w:w="0" w:type="dxa"/>
            <w:right w:w="108" w:type="dxa"/>
          </w:tblCellMar>
        </w:tblPrEx>
        <w:trPr>
          <w:trHeight w:val="8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ascii="宋体" w:hAnsi="宋体" w:cs="宋体"/>
                <w:color w:val="auto"/>
                <w:kern w:val="0"/>
                <w:szCs w:val="21"/>
              </w:rPr>
            </w:pPr>
            <w:r>
              <w:rPr>
                <w:color w:val="auto"/>
              </w:rPr>
              <w:fldChar w:fldCharType="begin"/>
            </w:r>
            <w:r>
              <w:rPr>
                <w:color w:val="auto"/>
              </w:rPr>
              <w:instrText xml:space="preserve"> HYPERLINK \l "_第四章__评定标准及推荐原则" </w:instrText>
            </w:r>
            <w:r>
              <w:rPr>
                <w:color w:val="auto"/>
              </w:rPr>
              <w:fldChar w:fldCharType="separate"/>
            </w:r>
            <w:r>
              <w:rPr>
                <w:rStyle w:val="44"/>
                <w:rFonts w:hint="eastAsia" w:ascii="宋体" w:hAnsi="宋体" w:cs="宋体"/>
                <w:color w:val="auto"/>
                <w:kern w:val="0"/>
                <w:szCs w:val="21"/>
                <w:u w:val="none"/>
              </w:rPr>
              <w:t>评定方法：</w:t>
            </w:r>
            <w:r>
              <w:rPr>
                <w:rStyle w:val="44"/>
                <w:rFonts w:hint="eastAsia"/>
                <w:color w:val="auto"/>
                <w:u w:val="none"/>
              </w:rPr>
              <w:t>详见第四章《评定标准及推荐原则》。</w:t>
            </w:r>
            <w:r>
              <w:rPr>
                <w:rStyle w:val="44"/>
                <w:rFonts w:hint="eastAsia"/>
                <w:color w:val="auto"/>
                <w:u w:val="none"/>
              </w:rPr>
              <w:fldChar w:fldCharType="end"/>
            </w:r>
          </w:p>
        </w:tc>
      </w:tr>
      <w:tr>
        <w:tblPrEx>
          <w:tblCellMar>
            <w:top w:w="0" w:type="dxa"/>
            <w:left w:w="108" w:type="dxa"/>
            <w:bottom w:w="0" w:type="dxa"/>
            <w:right w:w="108" w:type="dxa"/>
          </w:tblCellMar>
        </w:tblPrEx>
        <w:trPr>
          <w:trHeight w:val="113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ascii="宋体" w:hAnsi="宋体" w:cs="宋体"/>
                <w:color w:val="auto"/>
                <w:kern w:val="0"/>
                <w:szCs w:val="21"/>
              </w:rPr>
            </w:pPr>
            <w:r>
              <w:rPr>
                <w:color w:val="auto"/>
              </w:rPr>
              <w:fldChar w:fldCharType="begin"/>
            </w:r>
            <w:r>
              <w:rPr>
                <w:color w:val="auto"/>
              </w:rPr>
              <w:instrText xml:space="preserve"> HYPERLINK \l "_十、其他事项" </w:instrText>
            </w:r>
            <w:r>
              <w:rPr>
                <w:color w:val="auto"/>
              </w:rPr>
              <w:fldChar w:fldCharType="separate"/>
            </w:r>
            <w:r>
              <w:rPr>
                <w:rStyle w:val="44"/>
                <w:rFonts w:hint="eastAsia" w:ascii="宋体" w:hAnsi="宋体" w:cs="宋体"/>
                <w:color w:val="auto"/>
                <w:kern w:val="0"/>
                <w:szCs w:val="21"/>
                <w:u w:val="none"/>
              </w:rPr>
              <w:t>代理服务费：按钦州市物价局“钦市价费〔2013﹞4号”文件，以差额定率累进法计算。成交供应商须按成交金额缴纳相应的代理服务费。</w:t>
            </w:r>
            <w:r>
              <w:rPr>
                <w:rStyle w:val="44"/>
                <w:rFonts w:hint="eastAsia" w:ascii="宋体" w:hAnsi="宋体" w:cs="宋体"/>
                <w:color w:val="auto"/>
                <w:kern w:val="0"/>
                <w:szCs w:val="21"/>
                <w:u w:val="none"/>
              </w:rPr>
              <w:fldChar w:fldCharType="end"/>
            </w:r>
          </w:p>
        </w:tc>
      </w:tr>
    </w:tbl>
    <w:p>
      <w:pPr>
        <w:rPr>
          <w:color w:val="auto"/>
        </w:rPr>
      </w:pPr>
      <w:bookmarkStart w:id="56" w:name="_Toc420505403"/>
    </w:p>
    <w:p>
      <w:pPr>
        <w:jc w:val="center"/>
        <w:rPr>
          <w:rFonts w:hint="eastAsia" w:ascii="黑体" w:hAnsi="黑体" w:eastAsia="黑体"/>
          <w:b/>
          <w:bCs/>
          <w:color w:val="auto"/>
          <w:sz w:val="32"/>
          <w:szCs w:val="32"/>
        </w:rPr>
      </w:pPr>
    </w:p>
    <w:p>
      <w:pPr>
        <w:jc w:val="center"/>
        <w:rPr>
          <w:rFonts w:hint="eastAsia" w:ascii="黑体" w:hAnsi="黑体" w:eastAsia="黑体"/>
          <w:b/>
          <w:bCs/>
          <w:color w:val="auto"/>
          <w:sz w:val="32"/>
          <w:szCs w:val="32"/>
        </w:rPr>
      </w:pPr>
    </w:p>
    <w:p>
      <w:pPr>
        <w:jc w:val="center"/>
        <w:rPr>
          <w:rFonts w:hint="eastAsia" w:ascii="黑体" w:hAnsi="黑体" w:eastAsia="黑体"/>
          <w:b/>
          <w:bCs/>
          <w:color w:val="auto"/>
          <w:sz w:val="32"/>
          <w:szCs w:val="32"/>
        </w:rPr>
      </w:pPr>
    </w:p>
    <w:p>
      <w:pPr>
        <w:jc w:val="center"/>
        <w:rPr>
          <w:rFonts w:hint="eastAsia" w:ascii="黑体" w:hAnsi="黑体" w:eastAsia="黑体"/>
          <w:b/>
          <w:bCs/>
          <w:color w:val="auto"/>
          <w:sz w:val="32"/>
          <w:szCs w:val="32"/>
        </w:rPr>
      </w:pPr>
    </w:p>
    <w:p>
      <w:pPr>
        <w:jc w:val="center"/>
        <w:rPr>
          <w:rFonts w:ascii="黑体" w:hAnsi="黑体" w:eastAsia="黑体"/>
          <w:b/>
          <w:bCs/>
          <w:color w:val="auto"/>
          <w:sz w:val="32"/>
          <w:szCs w:val="32"/>
        </w:rPr>
      </w:pPr>
      <w:r>
        <w:rPr>
          <w:rFonts w:hint="eastAsia" w:ascii="黑体" w:hAnsi="黑体" w:eastAsia="黑体"/>
          <w:b/>
          <w:bCs/>
          <w:color w:val="auto"/>
          <w:sz w:val="32"/>
          <w:szCs w:val="32"/>
        </w:rPr>
        <w:t>二、供应商须知</w:t>
      </w:r>
      <w:bookmarkEnd w:id="56"/>
    </w:p>
    <w:p>
      <w:pPr>
        <w:pStyle w:val="2"/>
        <w:spacing w:line="420" w:lineRule="exact"/>
        <w:rPr>
          <w:color w:val="auto"/>
        </w:rPr>
      </w:pPr>
      <w:bookmarkStart w:id="57" w:name="_一、总_则"/>
      <w:bookmarkEnd w:id="57"/>
      <w:r>
        <w:rPr>
          <w:rFonts w:hint="eastAsia"/>
          <w:color w:val="auto"/>
        </w:rPr>
        <w:t>一、总　则</w:t>
      </w:r>
    </w:p>
    <w:p>
      <w:pPr>
        <w:spacing w:line="406" w:lineRule="exact"/>
        <w:ind w:firstLine="210" w:firstLineChars="100"/>
        <w:rPr>
          <w:rFonts w:ascii="宋体" w:hAnsi="宋体"/>
          <w:color w:val="auto"/>
          <w:szCs w:val="21"/>
        </w:rPr>
      </w:pPr>
      <w:r>
        <w:rPr>
          <w:rFonts w:hint="eastAsia" w:ascii="宋体" w:hAnsi="宋体"/>
          <w:color w:val="auto"/>
          <w:szCs w:val="21"/>
        </w:rPr>
        <w:t>（一）适用范围</w:t>
      </w:r>
    </w:p>
    <w:p>
      <w:pPr>
        <w:spacing w:line="406" w:lineRule="exact"/>
        <w:ind w:right="-334" w:rightChars="-159" w:firstLine="420"/>
        <w:rPr>
          <w:color w:val="auto"/>
          <w:szCs w:val="21"/>
        </w:rPr>
      </w:pPr>
      <w:r>
        <w:rPr>
          <w:rFonts w:ascii="宋体"/>
          <w:color w:val="auto"/>
        </w:rPr>
        <w:t>1.</w:t>
      </w:r>
      <w:r>
        <w:rPr>
          <w:rFonts w:hint="eastAsia" w:ascii="宋体"/>
          <w:color w:val="auto"/>
        </w:rPr>
        <w:t>项目名称：</w:t>
      </w:r>
      <w:r>
        <w:rPr>
          <w:rFonts w:hint="eastAsia" w:ascii="宋体" w:hAnsi="宋体"/>
          <w:color w:val="auto"/>
          <w:szCs w:val="21"/>
          <w:lang w:val="en-US" w:eastAsia="zh-CN"/>
        </w:rPr>
        <w:t>2026年钦州市图书馆物业管理服务</w:t>
      </w:r>
    </w:p>
    <w:p>
      <w:pPr>
        <w:spacing w:line="406" w:lineRule="exact"/>
        <w:ind w:right="-334" w:rightChars="-159" w:firstLine="420"/>
        <w:rPr>
          <w:rFonts w:hint="eastAsia" w:eastAsia="宋体"/>
          <w:color w:val="auto"/>
          <w:lang w:eastAsia="zh-CN"/>
        </w:rPr>
      </w:pPr>
      <w:r>
        <w:rPr>
          <w:color w:val="auto"/>
          <w:szCs w:val="21"/>
        </w:rPr>
        <w:t>2.</w:t>
      </w:r>
      <w:r>
        <w:rPr>
          <w:rFonts w:hint="eastAsia"/>
          <w:color w:val="auto"/>
        </w:rPr>
        <w:t>项目编号：</w:t>
      </w:r>
      <w:r>
        <w:rPr>
          <w:rFonts w:hint="eastAsia"/>
          <w:color w:val="auto"/>
          <w:lang w:eastAsia="zh-CN"/>
        </w:rPr>
        <w:t>QZZC2026-C3-990122-QZSZ</w:t>
      </w:r>
    </w:p>
    <w:p>
      <w:pPr>
        <w:spacing w:line="406" w:lineRule="exact"/>
        <w:ind w:right="-334" w:rightChars="-159" w:firstLine="420"/>
        <w:rPr>
          <w:color w:val="auto"/>
          <w:szCs w:val="21"/>
        </w:rPr>
      </w:pPr>
      <w:r>
        <w:rPr>
          <w:rFonts w:hint="eastAsia" w:hAnsi="宋体"/>
          <w:color w:val="auto"/>
        </w:rPr>
        <w:t>本文件仅适用于本文件中所叙述的货物、服务类政府采购项目。</w:t>
      </w:r>
    </w:p>
    <w:p>
      <w:pPr>
        <w:spacing w:line="406" w:lineRule="exact"/>
        <w:ind w:firstLine="210" w:firstLineChars="100"/>
        <w:rPr>
          <w:rFonts w:ascii="宋体" w:hAnsi="宋体"/>
          <w:color w:val="auto"/>
          <w:szCs w:val="21"/>
        </w:rPr>
      </w:pPr>
      <w:r>
        <w:rPr>
          <w:rFonts w:hint="eastAsia" w:ascii="宋体" w:hAnsi="宋体"/>
          <w:color w:val="auto"/>
          <w:szCs w:val="21"/>
        </w:rPr>
        <w:t>（二）定义</w:t>
      </w:r>
    </w:p>
    <w:p>
      <w:pPr>
        <w:spacing w:line="406"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采购人</w:t>
      </w:r>
      <w:r>
        <w:rPr>
          <w:rFonts w:hint="eastAsia" w:ascii="宋体" w:hAnsi="宋体"/>
          <w:color w:val="auto"/>
          <w:szCs w:val="21"/>
        </w:rPr>
        <w:t>”</w:t>
      </w:r>
      <w:r>
        <w:rPr>
          <w:rFonts w:ascii="宋体" w:hAnsi="宋体"/>
          <w:color w:val="auto"/>
          <w:szCs w:val="21"/>
        </w:rPr>
        <w:t>是指依法进行政府采购的国家机关、事业单位、团体组织。</w:t>
      </w:r>
    </w:p>
    <w:p>
      <w:pPr>
        <w:spacing w:line="406" w:lineRule="exact"/>
        <w:ind w:firstLine="420" w:firstLineChars="200"/>
        <w:rPr>
          <w:rFonts w:ascii="宋体" w:hAnsi="宋体"/>
          <w:color w:val="auto"/>
          <w:szCs w:val="21"/>
        </w:rPr>
      </w:pPr>
      <w:r>
        <w:rPr>
          <w:rFonts w:hint="eastAsia" w:ascii="宋体" w:hAnsi="宋体"/>
          <w:color w:val="auto"/>
          <w:szCs w:val="21"/>
        </w:rPr>
        <w:t>2.“供应商”是指响应本文件要求，参加磋商的法人或其他组织。如果该供应商在本次采购项目中成交,即成为“成交供应商”。</w:t>
      </w:r>
    </w:p>
    <w:p>
      <w:pPr>
        <w:spacing w:line="406" w:lineRule="exact"/>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“采购代理机构”是指</w:t>
      </w:r>
      <w:r>
        <w:rPr>
          <w:rFonts w:hint="eastAsia" w:ascii="宋体" w:hAnsi="宋体"/>
          <w:color w:val="auto"/>
        </w:rPr>
        <w:t>钦州市政府采购中心。</w:t>
      </w:r>
    </w:p>
    <w:p>
      <w:pPr>
        <w:spacing w:line="406" w:lineRule="exact"/>
        <w:ind w:firstLine="420" w:firstLineChars="200"/>
        <w:rPr>
          <w:rFonts w:ascii="宋体" w:hAnsi="宋体"/>
          <w:color w:val="auto"/>
          <w:szCs w:val="21"/>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“货物和服务”是指本次采购文件中所采购的各种形态和种类的产品以及其提供的服务。</w:t>
      </w:r>
    </w:p>
    <w:p>
      <w:pPr>
        <w:spacing w:line="406" w:lineRule="exact"/>
        <w:ind w:firstLine="420" w:firstLineChars="200"/>
        <w:rPr>
          <w:rFonts w:ascii="宋体" w:hAnsi="宋体"/>
          <w:color w:val="auto"/>
          <w:szCs w:val="21"/>
        </w:rPr>
      </w:pPr>
      <w:r>
        <w:rPr>
          <w:rFonts w:hint="eastAsia" w:ascii="宋体" w:hAnsi="宋体"/>
          <w:color w:val="auto"/>
          <w:szCs w:val="21"/>
        </w:rPr>
        <w:t>5</w:t>
      </w:r>
      <w:r>
        <w:rPr>
          <w:rFonts w:ascii="宋体" w:hAnsi="宋体"/>
          <w:color w:val="auto"/>
          <w:szCs w:val="21"/>
        </w:rPr>
        <w:t>.</w:t>
      </w:r>
      <w:r>
        <w:rPr>
          <w:rFonts w:hint="eastAsia" w:ascii="宋体" w:hAnsi="宋体"/>
          <w:color w:val="auto"/>
          <w:szCs w:val="21"/>
        </w:rPr>
        <w:t>“竞争性磋商采购文件”是指采用竞争性磋商方式进行政府采购的指导文件，简称“磋商文件”或“采购文件”。</w:t>
      </w:r>
    </w:p>
    <w:p>
      <w:pPr>
        <w:spacing w:line="406" w:lineRule="exact"/>
        <w:ind w:firstLine="420" w:firstLineChars="200"/>
        <w:rPr>
          <w:rFonts w:ascii="宋体" w:hAnsi="宋体"/>
          <w:color w:val="auto"/>
          <w:szCs w:val="21"/>
        </w:rPr>
      </w:pPr>
      <w:r>
        <w:rPr>
          <w:rFonts w:ascii="宋体" w:hAnsi="宋体"/>
          <w:color w:val="auto"/>
          <w:szCs w:val="21"/>
        </w:rPr>
        <w:t>6.</w:t>
      </w:r>
      <w:r>
        <w:rPr>
          <w:rFonts w:hint="eastAsia" w:ascii="宋体" w:hAnsi="宋体"/>
          <w:color w:val="auto"/>
          <w:szCs w:val="21"/>
        </w:rPr>
        <w:t>“响应文件”是指供应商根据采购文件要求，编制包含技术、服务和报价等所有内容的响应文件。</w:t>
      </w:r>
    </w:p>
    <w:p>
      <w:pPr>
        <w:spacing w:line="406" w:lineRule="exact"/>
        <w:ind w:firstLine="420" w:firstLineChars="200"/>
        <w:rPr>
          <w:rFonts w:ascii="宋体" w:hAnsi="宋体"/>
          <w:color w:val="auto"/>
          <w:szCs w:val="21"/>
        </w:rPr>
      </w:pPr>
      <w:r>
        <w:rPr>
          <w:rFonts w:ascii="宋体" w:hAnsi="宋体"/>
          <w:color w:val="auto"/>
          <w:szCs w:val="21"/>
        </w:rPr>
        <w:t>7.</w:t>
      </w:r>
      <w:r>
        <w:rPr>
          <w:rFonts w:hint="eastAsia" w:ascii="宋体" w:hAnsi="宋体"/>
          <w:color w:val="auto"/>
          <w:szCs w:val="21"/>
        </w:rPr>
        <w:t>“书面形式”</w:t>
      </w:r>
      <w:r>
        <w:rPr>
          <w:rFonts w:ascii="Helvetica" w:hAnsi="Helvetica"/>
          <w:color w:val="auto"/>
          <w:szCs w:val="21"/>
        </w:rPr>
        <w:t>是</w:t>
      </w:r>
      <w:r>
        <w:rPr>
          <w:rFonts w:hint="eastAsia" w:ascii="Helvetica" w:hAnsi="Helvetica"/>
          <w:color w:val="auto"/>
          <w:szCs w:val="21"/>
        </w:rPr>
        <w:t>指</w:t>
      </w:r>
      <w:r>
        <w:rPr>
          <w:rFonts w:ascii="Helvetica" w:hAnsi="Helvetica"/>
          <w:color w:val="auto"/>
          <w:szCs w:val="21"/>
        </w:rPr>
        <w:t>合同书、信件、电报、电传、传真等可以有形地表现所载内容的形式。</w:t>
      </w:r>
    </w:p>
    <w:p>
      <w:pPr>
        <w:spacing w:line="406" w:lineRule="exact"/>
        <w:ind w:firstLine="211" w:firstLineChars="100"/>
        <w:rPr>
          <w:rFonts w:ascii="宋体" w:hAnsi="宋体"/>
          <w:b/>
          <w:color w:val="auto"/>
          <w:szCs w:val="21"/>
        </w:rPr>
      </w:pPr>
      <w:r>
        <w:rPr>
          <w:rFonts w:hint="eastAsia" w:ascii="宋体" w:hAnsi="宋体"/>
          <w:b/>
          <w:color w:val="auto"/>
          <w:szCs w:val="21"/>
        </w:rPr>
        <w:t>（三）供应商资格</w:t>
      </w:r>
    </w:p>
    <w:p>
      <w:pPr>
        <w:spacing w:line="406" w:lineRule="exact"/>
        <w:ind w:firstLine="420" w:firstLineChars="200"/>
        <w:rPr>
          <w:rFonts w:hint="eastAsia"/>
          <w:color w:val="auto"/>
          <w:lang w:val="en-US" w:eastAsia="zh-CN"/>
        </w:rPr>
      </w:pPr>
      <w:r>
        <w:rPr>
          <w:rFonts w:hint="eastAsia"/>
          <w:color w:val="auto"/>
          <w:lang w:val="en-US" w:eastAsia="zh-CN"/>
        </w:rPr>
        <w:t>供应商的资格要求详见“供应商须知前附表”。</w:t>
      </w:r>
    </w:p>
    <w:p>
      <w:pPr>
        <w:spacing w:line="406" w:lineRule="exact"/>
        <w:ind w:firstLine="211" w:firstLineChars="100"/>
        <w:rPr>
          <w:b/>
          <w:bCs/>
          <w:color w:val="auto"/>
        </w:rPr>
      </w:pPr>
      <w:r>
        <w:rPr>
          <w:rFonts w:hint="eastAsia"/>
          <w:b/>
          <w:bCs/>
          <w:color w:val="auto"/>
        </w:rPr>
        <w:t>（四）采购方式</w:t>
      </w:r>
    </w:p>
    <w:p>
      <w:pPr>
        <w:snapToGrid w:val="0"/>
        <w:spacing w:line="406" w:lineRule="exact"/>
        <w:ind w:firstLine="420" w:firstLineChars="200"/>
        <w:rPr>
          <w:rFonts w:ascii="宋体" w:hAnsi="宋体"/>
          <w:color w:val="auto"/>
          <w:szCs w:val="21"/>
        </w:rPr>
      </w:pPr>
      <w:r>
        <w:rPr>
          <w:rFonts w:hint="eastAsia" w:ascii="宋体" w:hAnsi="宋体"/>
          <w:color w:val="auto"/>
          <w:szCs w:val="21"/>
        </w:rPr>
        <w:t>竞争性磋商</w:t>
      </w:r>
    </w:p>
    <w:p>
      <w:pPr>
        <w:spacing w:line="406" w:lineRule="exact"/>
        <w:ind w:firstLine="211" w:firstLineChars="100"/>
        <w:rPr>
          <w:b/>
          <w:bCs/>
          <w:color w:val="auto"/>
        </w:rPr>
      </w:pPr>
      <w:bookmarkStart w:id="58" w:name="_Toc352700410"/>
      <w:bookmarkStart w:id="59" w:name="_Toc353785281"/>
      <w:bookmarkStart w:id="60" w:name="_Toc254970671"/>
      <w:bookmarkStart w:id="61" w:name="_Toc254970530"/>
      <w:r>
        <w:rPr>
          <w:rFonts w:hint="eastAsia"/>
          <w:b/>
          <w:bCs/>
          <w:color w:val="auto"/>
        </w:rPr>
        <w:t>（五）代理委托</w:t>
      </w:r>
      <w:bookmarkEnd w:id="58"/>
      <w:bookmarkEnd w:id="59"/>
      <w:bookmarkEnd w:id="60"/>
      <w:bookmarkEnd w:id="61"/>
    </w:p>
    <w:p>
      <w:pPr>
        <w:snapToGrid w:val="0"/>
        <w:spacing w:line="406" w:lineRule="exact"/>
        <w:ind w:firstLine="420" w:firstLineChars="200"/>
        <w:rPr>
          <w:rFonts w:ascii="宋体" w:hAnsi="宋体" w:cs="Courier New"/>
          <w:bCs/>
          <w:color w:val="auto"/>
          <w:szCs w:val="21"/>
        </w:rPr>
      </w:pPr>
      <w:r>
        <w:rPr>
          <w:rFonts w:hint="eastAsia" w:ascii="宋体" w:hAnsi="宋体" w:cs="Courier New"/>
          <w:bCs/>
          <w:color w:val="auto"/>
          <w:szCs w:val="21"/>
        </w:rPr>
        <w:t>委托磋商的供应商须提供授权委托书（格式见第六章）。</w:t>
      </w:r>
    </w:p>
    <w:p>
      <w:pPr>
        <w:spacing w:line="406" w:lineRule="exact"/>
        <w:ind w:firstLine="211" w:firstLineChars="100"/>
        <w:rPr>
          <w:b/>
          <w:bCs/>
          <w:color w:val="auto"/>
        </w:rPr>
      </w:pPr>
      <w:bookmarkStart w:id="62" w:name="_Toc352700411"/>
      <w:bookmarkStart w:id="63" w:name="_Toc254970531"/>
      <w:bookmarkStart w:id="64" w:name="_Toc254970672"/>
      <w:bookmarkStart w:id="65" w:name="_Toc353785282"/>
      <w:r>
        <w:rPr>
          <w:rFonts w:hint="eastAsia"/>
          <w:b/>
          <w:bCs/>
          <w:color w:val="auto"/>
        </w:rPr>
        <w:t>（六）磋商费用</w:t>
      </w:r>
      <w:bookmarkEnd w:id="62"/>
      <w:bookmarkEnd w:id="63"/>
      <w:bookmarkEnd w:id="64"/>
      <w:bookmarkEnd w:id="65"/>
    </w:p>
    <w:p>
      <w:pPr>
        <w:snapToGrid w:val="0"/>
        <w:spacing w:line="406" w:lineRule="exact"/>
        <w:ind w:firstLine="420" w:firstLineChars="200"/>
        <w:rPr>
          <w:rFonts w:ascii="宋体" w:hAnsi="宋体"/>
          <w:color w:val="auto"/>
          <w:szCs w:val="21"/>
        </w:rPr>
      </w:pPr>
      <w:r>
        <w:rPr>
          <w:rFonts w:hint="eastAsia" w:ascii="宋体" w:hAnsi="宋体"/>
          <w:color w:val="auto"/>
          <w:szCs w:val="21"/>
        </w:rPr>
        <w:t>供应商自行承担所有与磋商有关的全部费用。</w:t>
      </w:r>
    </w:p>
    <w:p>
      <w:pPr>
        <w:spacing w:line="406" w:lineRule="exact"/>
        <w:ind w:firstLine="211" w:firstLineChars="100"/>
        <w:rPr>
          <w:b/>
          <w:bCs/>
          <w:color w:val="auto"/>
        </w:rPr>
      </w:pPr>
      <w:bookmarkStart w:id="66" w:name="_Toc353785283"/>
      <w:bookmarkStart w:id="67" w:name="_Toc352700413"/>
      <w:r>
        <w:rPr>
          <w:rFonts w:hint="eastAsia"/>
          <w:b/>
          <w:bCs/>
          <w:color w:val="auto"/>
        </w:rPr>
        <w:t>（七）转包与分包</w:t>
      </w:r>
      <w:bookmarkEnd w:id="66"/>
      <w:bookmarkEnd w:id="67"/>
    </w:p>
    <w:p>
      <w:pPr>
        <w:snapToGrid w:val="0"/>
        <w:spacing w:line="406" w:lineRule="exact"/>
        <w:ind w:firstLine="420" w:firstLineChars="200"/>
        <w:rPr>
          <w:rFonts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本项目不允许转包。</w:t>
      </w:r>
    </w:p>
    <w:p>
      <w:pPr>
        <w:snapToGrid w:val="0"/>
        <w:spacing w:line="406" w:lineRule="exact"/>
        <w:ind w:firstLine="420" w:firstLineChars="200"/>
        <w:rPr>
          <w:rFonts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采购人允许采用分包方式履行合同的，应当在采购文件中明确可以分包履行的具体内容、金额或者比例。</w:t>
      </w:r>
    </w:p>
    <w:p>
      <w:pPr>
        <w:snapToGrid w:val="0"/>
        <w:spacing w:line="406" w:lineRule="exact"/>
        <w:ind w:firstLine="420" w:firstLineChars="200"/>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依据《政府采购促进中小企业发展管理办法》规定享受扶持政策获得政府采购合同的，小微企业不得将合同分包给大中型企业，中型企业不得将合同分包给大型企业。</w:t>
      </w:r>
    </w:p>
    <w:p>
      <w:pPr>
        <w:spacing w:line="406" w:lineRule="exact"/>
        <w:ind w:firstLine="211" w:firstLineChars="100"/>
        <w:rPr>
          <w:b/>
          <w:bCs/>
          <w:color w:val="auto"/>
        </w:rPr>
      </w:pPr>
      <w:bookmarkStart w:id="68" w:name="_Toc254970532"/>
      <w:bookmarkStart w:id="69" w:name="_Toc353785284"/>
      <w:bookmarkStart w:id="70" w:name="_Toc352700414"/>
      <w:bookmarkStart w:id="71" w:name="_Toc254970673"/>
      <w:r>
        <w:rPr>
          <w:rFonts w:hint="eastAsia"/>
          <w:b/>
          <w:bCs/>
          <w:color w:val="auto"/>
        </w:rPr>
        <w:t>（八）特别说明</w:t>
      </w:r>
      <w:bookmarkEnd w:id="68"/>
      <w:bookmarkEnd w:id="69"/>
      <w:bookmarkEnd w:id="70"/>
      <w:bookmarkEnd w:id="71"/>
    </w:p>
    <w:p>
      <w:pPr>
        <w:pStyle w:val="22"/>
        <w:snapToGrid w:val="0"/>
        <w:spacing w:line="406" w:lineRule="exact"/>
        <w:ind w:firstLine="420"/>
        <w:rPr>
          <w:rFonts w:hAnsi="宋体"/>
          <w:color w:val="auto"/>
        </w:rPr>
      </w:pPr>
      <w:r>
        <w:rPr>
          <w:rFonts w:hAnsi="宋体"/>
          <w:color w:val="auto"/>
        </w:rPr>
        <w:t>1.</w:t>
      </w:r>
      <w:r>
        <w:rPr>
          <w:rFonts w:hint="eastAsia" w:hAnsi="宋体"/>
          <w:color w:val="auto"/>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2"/>
        <w:snapToGrid w:val="0"/>
        <w:spacing w:line="406" w:lineRule="exact"/>
        <w:ind w:firstLine="420"/>
        <w:rPr>
          <w:rFonts w:hAnsi="宋体"/>
          <w:color w:val="auto"/>
        </w:rPr>
      </w:pPr>
      <w:r>
        <w:rPr>
          <w:rFonts w:hAnsi="宋体"/>
          <w:color w:val="auto"/>
        </w:rPr>
        <w:t>2.</w:t>
      </w:r>
      <w:r>
        <w:rPr>
          <w:rFonts w:hint="eastAsia" w:hAnsi="宋体"/>
          <w:color w:val="auto"/>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本中心将终止竞争性磋商采购活动，发布项目终止公告并说明原因，重新开展采购活动。</w:t>
      </w:r>
    </w:p>
    <w:p>
      <w:pPr>
        <w:spacing w:line="406" w:lineRule="exact"/>
        <w:ind w:firstLine="211" w:firstLineChars="100"/>
        <w:rPr>
          <w:b/>
          <w:bCs/>
          <w:color w:val="auto"/>
        </w:rPr>
      </w:pPr>
      <w:bookmarkStart w:id="72" w:name="_Toc254970533"/>
      <w:bookmarkStart w:id="73" w:name="_Toc352700415"/>
      <w:bookmarkStart w:id="74" w:name="_Toc353785285"/>
      <w:bookmarkStart w:id="75" w:name="_Toc254970674"/>
      <w:r>
        <w:rPr>
          <w:rFonts w:hint="eastAsia"/>
          <w:b/>
          <w:bCs/>
          <w:color w:val="auto"/>
        </w:rPr>
        <w:t>（九）询问、质疑和投诉</w:t>
      </w:r>
      <w:bookmarkEnd w:id="72"/>
      <w:bookmarkEnd w:id="73"/>
      <w:bookmarkEnd w:id="74"/>
      <w:bookmarkEnd w:id="75"/>
    </w:p>
    <w:p>
      <w:pPr>
        <w:pStyle w:val="22"/>
        <w:snapToGrid w:val="0"/>
        <w:spacing w:line="406" w:lineRule="exact"/>
        <w:ind w:firstLine="420"/>
        <w:rPr>
          <w:rFonts w:hAnsi="宋体"/>
          <w:bCs/>
          <w:color w:val="auto"/>
        </w:rPr>
      </w:pPr>
      <w:r>
        <w:rPr>
          <w:rFonts w:hAnsi="宋体"/>
          <w:bCs/>
          <w:color w:val="auto"/>
        </w:rPr>
        <w:t>1.</w:t>
      </w:r>
      <w:r>
        <w:rPr>
          <w:rFonts w:hint="eastAsia" w:ascii="Arial" w:hAnsi="Arial" w:cs="Arial"/>
          <w:color w:val="auto"/>
          <w:kern w:val="0"/>
        </w:rPr>
        <w:t>供应商</w:t>
      </w:r>
      <w:r>
        <w:rPr>
          <w:rFonts w:ascii="Arial" w:hAnsi="Arial" w:cs="Arial"/>
          <w:color w:val="auto"/>
          <w:kern w:val="0"/>
        </w:rPr>
        <w:t>对政府采购活动事项有疑问的，可以向采购人</w:t>
      </w:r>
      <w:r>
        <w:rPr>
          <w:rFonts w:hint="eastAsia" w:ascii="Arial" w:hAnsi="Arial" w:cs="Arial"/>
          <w:color w:val="auto"/>
          <w:kern w:val="0"/>
        </w:rPr>
        <w:t>或本中心</w:t>
      </w:r>
      <w:r>
        <w:rPr>
          <w:rFonts w:ascii="Arial" w:hAnsi="Arial" w:cs="Arial"/>
          <w:color w:val="auto"/>
          <w:kern w:val="0"/>
        </w:rPr>
        <w:t>提出询问，采购人</w:t>
      </w:r>
      <w:r>
        <w:rPr>
          <w:rFonts w:hint="eastAsia" w:ascii="Arial" w:hAnsi="Arial" w:cs="Arial"/>
          <w:color w:val="auto"/>
          <w:kern w:val="0"/>
        </w:rPr>
        <w:t>或本中心当在3个工作日内对供应商依法提出的询问作出答复</w:t>
      </w:r>
      <w:r>
        <w:rPr>
          <w:rFonts w:ascii="Arial" w:hAnsi="Arial" w:cs="Arial"/>
          <w:color w:val="auto"/>
          <w:kern w:val="0"/>
        </w:rPr>
        <w:t>，但答复的内容不得涉及商业秘密。</w:t>
      </w:r>
    </w:p>
    <w:p>
      <w:pPr>
        <w:pStyle w:val="22"/>
        <w:snapToGrid w:val="0"/>
        <w:spacing w:line="406" w:lineRule="exact"/>
        <w:ind w:firstLine="420"/>
        <w:rPr>
          <w:rFonts w:hAnsi="宋体"/>
          <w:bCs/>
          <w:color w:val="auto"/>
        </w:rPr>
      </w:pPr>
      <w:r>
        <w:rPr>
          <w:rFonts w:hAnsi="宋体"/>
          <w:bCs/>
          <w:color w:val="auto"/>
        </w:rPr>
        <w:t>2.</w:t>
      </w:r>
      <w:r>
        <w:rPr>
          <w:rFonts w:hint="eastAsia" w:hAnsi="宋体"/>
          <w:bCs/>
          <w:color w:val="auto"/>
        </w:rPr>
        <w:t>供应商认为采购文件、采购过程或成交结果使自己的合法权益受到损害的，</w:t>
      </w:r>
      <w:r>
        <w:rPr>
          <w:rFonts w:hAnsi="宋体"/>
          <w:bCs/>
          <w:color w:val="auto"/>
        </w:rPr>
        <w:t>可以在知道或者应知其权益受到损害之日起7个工作日内</w:t>
      </w:r>
      <w:r>
        <w:rPr>
          <w:rFonts w:hint="eastAsia" w:hAnsi="宋体"/>
          <w:bCs/>
          <w:color w:val="auto"/>
        </w:rPr>
        <w:t>，</w:t>
      </w:r>
      <w:r>
        <w:rPr>
          <w:rFonts w:cs="Arial"/>
          <w:color w:val="auto"/>
        </w:rPr>
        <w:t>以书面形式(</w:t>
      </w:r>
      <w:r>
        <w:rPr>
          <w:rFonts w:hint="eastAsia" w:cs="Arial"/>
          <w:color w:val="auto"/>
        </w:rPr>
        <w:t>政采云平台</w:t>
      </w:r>
      <w:r>
        <w:rPr>
          <w:rFonts w:cs="Arial"/>
          <w:color w:val="auto"/>
        </w:rPr>
        <w:t>)</w:t>
      </w:r>
      <w:r>
        <w:rPr>
          <w:rFonts w:hint="eastAsia" w:cs="Arial"/>
          <w:color w:val="auto"/>
        </w:rPr>
        <w:t>向</w:t>
      </w:r>
      <w:r>
        <w:rPr>
          <w:rFonts w:cs="Arial"/>
          <w:color w:val="auto"/>
        </w:rPr>
        <w:t>采购人、</w:t>
      </w:r>
      <w:r>
        <w:rPr>
          <w:rFonts w:hint="eastAsia" w:cs="Arial"/>
          <w:color w:val="auto"/>
        </w:rPr>
        <w:t>本中心</w:t>
      </w:r>
      <w:r>
        <w:rPr>
          <w:rFonts w:cs="Arial"/>
          <w:color w:val="auto"/>
        </w:rPr>
        <w:t>提出质疑。</w:t>
      </w:r>
      <w:r>
        <w:rPr>
          <w:rFonts w:hint="eastAsia" w:hAnsi="宋体"/>
          <w:bCs/>
          <w:color w:val="auto"/>
        </w:rPr>
        <w:t>供应商必须在法定质疑期内一次性提出针对同一采购程序环节的质疑。</w:t>
      </w:r>
      <w:r>
        <w:rPr>
          <w:rFonts w:hint="eastAsia" w:hAnsi="宋体" w:cs="宋体"/>
          <w:color w:val="auto"/>
        </w:rPr>
        <w:t>供应商应知其权益受到损害之日，是指：</w:t>
      </w:r>
    </w:p>
    <w:p>
      <w:pPr>
        <w:pStyle w:val="22"/>
        <w:adjustRightInd w:val="0"/>
        <w:snapToGrid w:val="0"/>
        <w:spacing w:line="406" w:lineRule="exact"/>
        <w:ind w:firstLine="308" w:firstLineChars="147"/>
        <w:rPr>
          <w:rFonts w:hAnsi="宋体"/>
          <w:bCs/>
          <w:color w:val="auto"/>
        </w:rPr>
      </w:pPr>
      <w:r>
        <w:rPr>
          <w:rFonts w:hint="eastAsia" w:hAnsi="宋体"/>
          <w:bCs/>
          <w:color w:val="auto"/>
        </w:rPr>
        <w:t>(</w:t>
      </w:r>
      <w:r>
        <w:rPr>
          <w:rFonts w:hAnsi="宋体"/>
          <w:bCs/>
          <w:color w:val="auto"/>
        </w:rPr>
        <w:t>1)</w:t>
      </w:r>
      <w:r>
        <w:rPr>
          <w:rFonts w:hint="eastAsia" w:hAnsi="宋体"/>
          <w:bCs/>
          <w:color w:val="auto"/>
        </w:rPr>
        <w:t>对采购文件提出质疑的，为获取采购文件之日；</w:t>
      </w:r>
    </w:p>
    <w:p>
      <w:pPr>
        <w:pStyle w:val="22"/>
        <w:adjustRightInd w:val="0"/>
        <w:snapToGrid w:val="0"/>
        <w:spacing w:line="406" w:lineRule="exact"/>
        <w:ind w:firstLine="308" w:firstLineChars="147"/>
        <w:rPr>
          <w:rFonts w:hAnsi="宋体"/>
          <w:bCs/>
          <w:color w:val="auto"/>
        </w:rPr>
      </w:pPr>
      <w:r>
        <w:rPr>
          <w:rFonts w:hint="eastAsia" w:hAnsi="宋体"/>
          <w:bCs/>
          <w:color w:val="auto"/>
        </w:rPr>
        <w:t>(</w:t>
      </w:r>
      <w:r>
        <w:rPr>
          <w:rFonts w:hAnsi="宋体"/>
          <w:bCs/>
          <w:color w:val="auto"/>
        </w:rPr>
        <w:t>2)</w:t>
      </w:r>
      <w:r>
        <w:rPr>
          <w:rFonts w:hint="eastAsia" w:hAnsi="宋体"/>
          <w:bCs/>
          <w:color w:val="auto"/>
        </w:rPr>
        <w:t>对采购过程提出质疑的，为各采购程序环节结束之日；</w:t>
      </w:r>
    </w:p>
    <w:p>
      <w:pPr>
        <w:widowControl/>
        <w:adjustRightInd w:val="0"/>
        <w:snapToGrid w:val="0"/>
        <w:spacing w:line="406" w:lineRule="exact"/>
        <w:ind w:firstLine="102" w:firstLineChars="49"/>
        <w:jc w:val="left"/>
        <w:rPr>
          <w:rFonts w:ascii="宋体" w:hAnsi="宋体" w:cs="Courier New"/>
          <w:bCs/>
          <w:color w:val="auto"/>
          <w:szCs w:val="21"/>
        </w:rPr>
      </w:pPr>
      <w:r>
        <w:rPr>
          <w:rFonts w:hint="eastAsia" w:ascii="宋体" w:hAnsi="宋体" w:cs="Courier New"/>
          <w:bCs/>
          <w:color w:val="auto"/>
          <w:szCs w:val="21"/>
        </w:rPr>
        <w:t xml:space="preserve">  (</w:t>
      </w:r>
      <w:r>
        <w:rPr>
          <w:rFonts w:ascii="宋体" w:hAnsi="宋体" w:cs="Courier New"/>
          <w:bCs/>
          <w:color w:val="auto"/>
          <w:szCs w:val="21"/>
        </w:rPr>
        <w:t>3)</w:t>
      </w:r>
      <w:r>
        <w:rPr>
          <w:rFonts w:hint="eastAsia" w:ascii="宋体" w:hAnsi="宋体" w:cs="Courier New"/>
          <w:bCs/>
          <w:color w:val="auto"/>
          <w:szCs w:val="21"/>
        </w:rPr>
        <w:t>对成交结果提出质疑的，为成交结果公告期限届满之日。</w:t>
      </w:r>
    </w:p>
    <w:p>
      <w:pPr>
        <w:widowControl/>
        <w:adjustRightInd w:val="0"/>
        <w:snapToGrid w:val="0"/>
        <w:spacing w:line="406" w:lineRule="exact"/>
        <w:ind w:firstLine="420"/>
        <w:jc w:val="left"/>
        <w:rPr>
          <w:rFonts w:ascii="宋体" w:hAnsi="宋体" w:cs="Courier New"/>
          <w:bCs/>
          <w:color w:val="auto"/>
          <w:szCs w:val="21"/>
        </w:rPr>
      </w:pPr>
      <w:r>
        <w:rPr>
          <w:rFonts w:ascii="宋体" w:hAnsi="宋体" w:cs="Courier New"/>
          <w:bCs/>
          <w:color w:val="auto"/>
          <w:szCs w:val="21"/>
        </w:rPr>
        <w:t>3.</w:t>
      </w:r>
      <w:r>
        <w:rPr>
          <w:rFonts w:hint="eastAsia" w:hAnsi="宋体"/>
          <w:color w:val="auto"/>
        </w:rPr>
        <w:t>供应商对采购人、本中心质疑答复不满意或者采购人、本中心未在规定时间内作出答复的，可以在答复期满后十五个工作日内向同级采购监管部门投诉。</w:t>
      </w:r>
    </w:p>
    <w:p>
      <w:pPr>
        <w:pStyle w:val="22"/>
        <w:snapToGrid w:val="0"/>
        <w:spacing w:line="406" w:lineRule="exact"/>
        <w:ind w:firstLine="420"/>
        <w:rPr>
          <w:rFonts w:hAnsi="宋体"/>
          <w:bCs/>
          <w:color w:val="auto"/>
        </w:rPr>
      </w:pPr>
      <w:r>
        <w:rPr>
          <w:rFonts w:hAnsi="宋体"/>
          <w:bCs/>
          <w:color w:val="auto"/>
        </w:rPr>
        <w:t>4.</w:t>
      </w:r>
      <w:r>
        <w:rPr>
          <w:rFonts w:hint="eastAsia" w:hAnsi="宋体"/>
          <w:bCs/>
          <w:color w:val="auto"/>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spacing w:line="406" w:lineRule="exact"/>
        <w:ind w:firstLine="420"/>
        <w:rPr>
          <w:color w:val="auto"/>
        </w:rPr>
      </w:pPr>
      <w:r>
        <w:rPr>
          <w:rFonts w:hint="eastAsia"/>
          <w:color w:val="auto"/>
        </w:rPr>
        <w:t>质疑部门联系方式：钦州市政府采购中心    0777-288600</w:t>
      </w:r>
      <w:r>
        <w:rPr>
          <w:color w:val="auto"/>
        </w:rPr>
        <w:t>2</w:t>
      </w:r>
    </w:p>
    <w:p>
      <w:pPr>
        <w:spacing w:line="406" w:lineRule="exact"/>
        <w:ind w:firstLine="420"/>
        <w:rPr>
          <w:rFonts w:hint="default" w:eastAsia="宋体"/>
          <w:color w:val="auto"/>
          <w:lang w:val="en-US" w:eastAsia="zh-CN"/>
        </w:rPr>
      </w:pPr>
      <w:r>
        <w:rPr>
          <w:rFonts w:hint="eastAsia"/>
          <w:color w:val="auto"/>
        </w:rPr>
        <w:t>采购监管部门联系方式：</w:t>
      </w:r>
      <w:r>
        <w:rPr>
          <w:rFonts w:hint="eastAsia"/>
          <w:color w:val="auto"/>
          <w:lang w:val="en-US" w:eastAsia="zh-CN"/>
        </w:rPr>
        <w:t>钦州市财政局</w:t>
      </w:r>
      <w:r>
        <w:rPr>
          <w:rFonts w:hint="eastAsia"/>
          <w:color w:val="auto"/>
        </w:rPr>
        <w:t xml:space="preserve">   </w:t>
      </w:r>
      <w:r>
        <w:rPr>
          <w:rFonts w:hint="eastAsia"/>
          <w:color w:val="auto"/>
          <w:lang w:val="en-US" w:eastAsia="zh-CN"/>
        </w:rPr>
        <w:t xml:space="preserve">   </w:t>
      </w:r>
      <w:r>
        <w:rPr>
          <w:rFonts w:hint="eastAsia"/>
          <w:color w:val="auto"/>
        </w:rPr>
        <w:t>077</w:t>
      </w:r>
      <w:r>
        <w:rPr>
          <w:rFonts w:hint="eastAsia"/>
          <w:color w:val="auto"/>
          <w:lang w:val="en-US" w:eastAsia="zh-CN"/>
        </w:rPr>
        <w:t>7</w:t>
      </w:r>
      <w:r>
        <w:rPr>
          <w:rFonts w:hint="eastAsia"/>
          <w:color w:val="auto"/>
        </w:rPr>
        <w:t>-</w:t>
      </w:r>
      <w:r>
        <w:rPr>
          <w:rFonts w:hint="eastAsia"/>
          <w:color w:val="auto"/>
          <w:lang w:val="en-US" w:eastAsia="zh-CN"/>
        </w:rPr>
        <w:t>2895258</w:t>
      </w:r>
    </w:p>
    <w:p>
      <w:pPr>
        <w:spacing w:line="406" w:lineRule="exact"/>
        <w:ind w:firstLine="211" w:firstLineChars="100"/>
        <w:rPr>
          <w:b/>
          <w:bCs/>
          <w:color w:val="auto"/>
        </w:rPr>
      </w:pPr>
      <w:r>
        <w:rPr>
          <w:rFonts w:hint="eastAsia"/>
          <w:b/>
          <w:bCs/>
          <w:color w:val="auto"/>
        </w:rPr>
        <w:t xml:space="preserve">（十）查询媒体 </w:t>
      </w:r>
      <w:r>
        <w:rPr>
          <w:rFonts w:hint="eastAsia"/>
          <w:color w:val="auto"/>
        </w:rPr>
        <w:t>中国政府采购网、</w:t>
      </w:r>
      <w:r>
        <w:rPr>
          <w:color w:val="auto"/>
        </w:rPr>
        <w:fldChar w:fldCharType="begin"/>
      </w:r>
      <w:r>
        <w:rPr>
          <w:color w:val="auto"/>
        </w:rPr>
        <w:instrText xml:space="preserve"> HYPERLINK "http://zfcg.gxzf.gov.cn/" </w:instrText>
      </w:r>
      <w:r>
        <w:rPr>
          <w:color w:val="auto"/>
        </w:rPr>
        <w:fldChar w:fldCharType="separate"/>
      </w:r>
      <w:r>
        <w:rPr>
          <w:rStyle w:val="44"/>
          <w:rFonts w:hint="eastAsia" w:hAnsi="宋体"/>
          <w:color w:val="auto"/>
          <w:u w:val="none"/>
        </w:rPr>
        <w:t>广西政府采购网</w:t>
      </w:r>
      <w:r>
        <w:rPr>
          <w:rStyle w:val="44"/>
          <w:rFonts w:hint="eastAsia" w:hAnsi="宋体"/>
          <w:color w:val="auto"/>
          <w:u w:val="none"/>
        </w:rPr>
        <w:fldChar w:fldCharType="end"/>
      </w:r>
      <w:r>
        <w:rPr>
          <w:rFonts w:hint="eastAsia" w:hAnsi="宋体"/>
          <w:color w:val="auto"/>
        </w:rPr>
        <w:t>。</w:t>
      </w:r>
    </w:p>
    <w:p>
      <w:pPr>
        <w:pStyle w:val="2"/>
        <w:spacing w:line="406" w:lineRule="exact"/>
        <w:rPr>
          <w:color w:val="auto"/>
        </w:rPr>
      </w:pPr>
      <w:bookmarkStart w:id="76" w:name="_Toc352700416"/>
      <w:bookmarkStart w:id="77" w:name="_Toc353785286"/>
      <w:r>
        <w:rPr>
          <w:rFonts w:hint="eastAsia"/>
          <w:color w:val="auto"/>
        </w:rPr>
        <w:t>二、竞争性磋商采购文件</w:t>
      </w:r>
      <w:bookmarkEnd w:id="76"/>
      <w:bookmarkEnd w:id="77"/>
    </w:p>
    <w:p>
      <w:pPr>
        <w:spacing w:line="406" w:lineRule="exact"/>
        <w:ind w:firstLine="211" w:firstLineChars="100"/>
        <w:rPr>
          <w:b/>
          <w:bCs/>
          <w:color w:val="auto"/>
        </w:rPr>
      </w:pPr>
      <w:bookmarkStart w:id="78" w:name="_Toc353785287"/>
      <w:bookmarkStart w:id="79" w:name="_Toc352700417"/>
      <w:r>
        <w:rPr>
          <w:rFonts w:hint="eastAsia"/>
          <w:b/>
          <w:bCs/>
          <w:color w:val="auto"/>
        </w:rPr>
        <w:t>（一）竞争性磋商采购文件的组成</w:t>
      </w:r>
      <w:bookmarkEnd w:id="78"/>
      <w:bookmarkEnd w:id="79"/>
    </w:p>
    <w:p>
      <w:pPr>
        <w:pStyle w:val="22"/>
        <w:snapToGrid w:val="0"/>
        <w:spacing w:line="406" w:lineRule="exact"/>
        <w:ind w:firstLine="420" w:firstLineChars="200"/>
        <w:rPr>
          <w:rFonts w:hAnsi="宋体"/>
          <w:color w:val="auto"/>
        </w:rPr>
      </w:pPr>
      <w:r>
        <w:rPr>
          <w:rFonts w:hint="eastAsia" w:hAnsi="宋体"/>
          <w:color w:val="auto"/>
        </w:rPr>
        <w:t>第一章 竞争性磋商公告</w:t>
      </w:r>
    </w:p>
    <w:p>
      <w:pPr>
        <w:pStyle w:val="22"/>
        <w:snapToGrid w:val="0"/>
        <w:spacing w:line="406" w:lineRule="exact"/>
        <w:ind w:firstLine="420" w:firstLineChars="200"/>
        <w:rPr>
          <w:rFonts w:hAnsi="宋体"/>
          <w:color w:val="auto"/>
        </w:rPr>
      </w:pPr>
      <w:r>
        <w:rPr>
          <w:rFonts w:hint="eastAsia" w:hAnsi="宋体"/>
          <w:color w:val="auto"/>
        </w:rPr>
        <w:t>第二章 项目需求</w:t>
      </w:r>
    </w:p>
    <w:p>
      <w:pPr>
        <w:pStyle w:val="22"/>
        <w:snapToGrid w:val="0"/>
        <w:spacing w:line="406" w:lineRule="exact"/>
        <w:ind w:firstLine="420" w:firstLineChars="200"/>
        <w:rPr>
          <w:rFonts w:hAnsi="宋体"/>
          <w:color w:val="auto"/>
        </w:rPr>
      </w:pPr>
      <w:r>
        <w:rPr>
          <w:rFonts w:hint="eastAsia" w:hAnsi="宋体"/>
          <w:color w:val="auto"/>
        </w:rPr>
        <w:t>第三章 供应商须知</w:t>
      </w:r>
    </w:p>
    <w:p>
      <w:pPr>
        <w:pStyle w:val="22"/>
        <w:snapToGrid w:val="0"/>
        <w:spacing w:line="406" w:lineRule="exact"/>
        <w:ind w:firstLine="420" w:firstLineChars="200"/>
        <w:rPr>
          <w:rFonts w:hAnsi="宋体"/>
          <w:color w:val="auto"/>
        </w:rPr>
      </w:pPr>
      <w:r>
        <w:rPr>
          <w:rFonts w:hint="eastAsia" w:hAnsi="宋体"/>
          <w:color w:val="auto"/>
        </w:rPr>
        <w:t>第四章 评定标准及推荐原则</w:t>
      </w:r>
    </w:p>
    <w:p>
      <w:pPr>
        <w:pStyle w:val="22"/>
        <w:snapToGrid w:val="0"/>
        <w:spacing w:line="406" w:lineRule="exact"/>
        <w:ind w:firstLine="420" w:firstLineChars="200"/>
        <w:rPr>
          <w:rFonts w:hAnsi="宋体"/>
          <w:color w:val="auto"/>
        </w:rPr>
      </w:pPr>
      <w:r>
        <w:rPr>
          <w:rFonts w:hint="eastAsia" w:hAnsi="宋体"/>
          <w:color w:val="auto"/>
        </w:rPr>
        <w:t>第五章 合同文本</w:t>
      </w:r>
    </w:p>
    <w:p>
      <w:pPr>
        <w:pStyle w:val="22"/>
        <w:snapToGrid w:val="0"/>
        <w:spacing w:line="406" w:lineRule="exact"/>
        <w:ind w:firstLine="420" w:firstLineChars="200"/>
        <w:rPr>
          <w:rFonts w:hAnsi="宋体"/>
          <w:color w:val="auto"/>
        </w:rPr>
      </w:pPr>
      <w:r>
        <w:rPr>
          <w:rFonts w:hint="eastAsia" w:hAnsi="宋体"/>
          <w:color w:val="auto"/>
        </w:rPr>
        <w:t>第六章 响应文件格式</w:t>
      </w:r>
    </w:p>
    <w:p>
      <w:pPr>
        <w:spacing w:line="406" w:lineRule="exact"/>
        <w:ind w:firstLine="211" w:firstLineChars="100"/>
        <w:rPr>
          <w:b/>
          <w:bCs/>
          <w:color w:val="auto"/>
        </w:rPr>
      </w:pPr>
      <w:bookmarkStart w:id="80" w:name="_Toc353785289"/>
      <w:bookmarkStart w:id="81" w:name="_Toc352700419"/>
      <w:r>
        <w:rPr>
          <w:rFonts w:hint="eastAsia"/>
          <w:b/>
          <w:bCs/>
          <w:color w:val="auto"/>
        </w:rPr>
        <w:t>（二）竞争性磋商采购文件的澄清与修改</w:t>
      </w:r>
      <w:bookmarkEnd w:id="80"/>
      <w:bookmarkEnd w:id="81"/>
    </w:p>
    <w:p>
      <w:pPr>
        <w:pStyle w:val="22"/>
        <w:snapToGrid w:val="0"/>
        <w:spacing w:line="406" w:lineRule="exact"/>
        <w:ind w:firstLine="420"/>
        <w:jc w:val="left"/>
        <w:rPr>
          <w:rFonts w:hAnsi="宋体"/>
          <w:color w:val="auto"/>
        </w:rPr>
      </w:pPr>
      <w:r>
        <w:rPr>
          <w:rFonts w:hint="eastAsia" w:hAnsi="宋体"/>
          <w:color w:val="auto"/>
        </w:rPr>
        <w:t>1</w:t>
      </w:r>
      <w:r>
        <w:rPr>
          <w:rFonts w:hAnsi="宋体"/>
          <w:color w:val="auto"/>
        </w:rPr>
        <w:t>.</w:t>
      </w:r>
      <w:r>
        <w:rPr>
          <w:rFonts w:hint="eastAsia" w:hAnsi="宋体"/>
          <w:color w:val="auto"/>
        </w:rPr>
        <w:t>提交首次响应文件截止之日前，采购人、本中心或者磋商小组可以对已发出的磋商文件进行必要的澄清或者修改，澄清或者修改的内容作为磋商文件的组成部分。澄清或者修改应当在原公告发布媒体上发布澄清公告。澄清或者修改的内容可能影响响应文件编制的，采购人、本中心应当在提交首次响应文件截止至少</w:t>
      </w:r>
      <w:r>
        <w:rPr>
          <w:rFonts w:hAnsi="宋体"/>
          <w:color w:val="auto"/>
        </w:rPr>
        <w:t>5</w:t>
      </w:r>
      <w:r>
        <w:rPr>
          <w:rFonts w:hint="eastAsia" w:hAnsi="宋体"/>
          <w:color w:val="auto"/>
        </w:rPr>
        <w:t>日前，以书面形式通知所有依法获取磋商文件的供应商，不足</w:t>
      </w:r>
      <w:r>
        <w:rPr>
          <w:rFonts w:hAnsi="宋体"/>
          <w:color w:val="auto"/>
        </w:rPr>
        <w:t>5</w:t>
      </w:r>
      <w:r>
        <w:rPr>
          <w:rFonts w:hint="eastAsia" w:hAnsi="宋体"/>
          <w:color w:val="auto"/>
        </w:rPr>
        <w:t>日的，采购人、本中心应当顺延提交首次响应文件截止之日。</w:t>
      </w:r>
    </w:p>
    <w:p>
      <w:pPr>
        <w:pStyle w:val="22"/>
        <w:snapToGrid w:val="0"/>
        <w:spacing w:line="406" w:lineRule="exact"/>
        <w:ind w:firstLine="420"/>
        <w:jc w:val="left"/>
        <w:rPr>
          <w:rFonts w:hAnsi="宋体"/>
          <w:color w:val="auto"/>
        </w:rPr>
      </w:pPr>
      <w:r>
        <w:rPr>
          <w:rFonts w:hint="eastAsia" w:hAnsi="宋体"/>
          <w:color w:val="auto"/>
        </w:rPr>
        <w:t>2</w:t>
      </w:r>
      <w:r>
        <w:rPr>
          <w:rFonts w:hAnsi="宋体"/>
          <w:color w:val="auto"/>
        </w:rPr>
        <w:t>.</w:t>
      </w:r>
      <w:r>
        <w:rPr>
          <w:rFonts w:hint="eastAsia" w:hAnsi="宋体"/>
          <w:color w:val="auto"/>
        </w:rPr>
        <w:t>提供期限届满后，获取磋商文件的供应商不足3家的，本中心可以顺延提供期限，并予公告。</w:t>
      </w:r>
    </w:p>
    <w:p>
      <w:pPr>
        <w:pStyle w:val="2"/>
        <w:spacing w:line="406" w:lineRule="exact"/>
        <w:rPr>
          <w:color w:val="auto"/>
        </w:rPr>
      </w:pPr>
      <w:bookmarkStart w:id="82" w:name="_三、响应文件"/>
      <w:bookmarkEnd w:id="82"/>
      <w:r>
        <w:rPr>
          <w:rFonts w:hint="eastAsia"/>
          <w:color w:val="auto"/>
        </w:rPr>
        <w:t>三、响应文件</w:t>
      </w:r>
    </w:p>
    <w:p>
      <w:pPr>
        <w:spacing w:line="406" w:lineRule="exact"/>
        <w:ind w:firstLine="211" w:firstLineChars="100"/>
        <w:rPr>
          <w:rFonts w:hAnsi="宋体"/>
          <w:b/>
          <w:bCs/>
          <w:color w:val="auto"/>
        </w:rPr>
      </w:pPr>
      <w:r>
        <w:rPr>
          <w:rFonts w:hint="eastAsia" w:hAnsi="宋体"/>
          <w:b/>
          <w:bCs/>
          <w:color w:val="auto"/>
        </w:rPr>
        <w:t>（一）供应商的风险</w:t>
      </w:r>
    </w:p>
    <w:p>
      <w:pPr>
        <w:spacing w:line="406" w:lineRule="exact"/>
        <w:ind w:firstLine="420"/>
        <w:rPr>
          <w:rFonts w:hAnsi="宋体"/>
          <w:color w:val="auto"/>
        </w:rPr>
      </w:pPr>
      <w:r>
        <w:rPr>
          <w:rFonts w:hAnsi="宋体"/>
          <w:color w:val="auto"/>
        </w:rPr>
        <w:t>1.</w:t>
      </w:r>
      <w:r>
        <w:rPr>
          <w:rFonts w:hint="eastAsia" w:hAnsi="宋体"/>
          <w:color w:val="auto"/>
        </w:rPr>
        <w:t>供应商应当按照磋商文件的要求编制响应文件，并对其提交的响应文件的真实性、合法性承担法律责任。</w:t>
      </w:r>
    </w:p>
    <w:p>
      <w:pPr>
        <w:spacing w:line="406" w:lineRule="exact"/>
        <w:ind w:firstLine="420"/>
        <w:rPr>
          <w:rFonts w:hAnsi="宋体"/>
          <w:color w:val="auto"/>
        </w:rPr>
      </w:pPr>
      <w:r>
        <w:rPr>
          <w:rFonts w:hAnsi="宋体"/>
          <w:color w:val="auto"/>
        </w:rPr>
        <w:t>2.</w:t>
      </w:r>
      <w:r>
        <w:rPr>
          <w:rFonts w:hint="eastAsia" w:hAnsi="宋体"/>
          <w:color w:val="auto"/>
        </w:rPr>
        <w:t>供应商在采购活动中提供任何虚假材料的，磋商小组将报财政部门查处。</w:t>
      </w:r>
    </w:p>
    <w:p>
      <w:pPr>
        <w:snapToGrid w:val="0"/>
        <w:spacing w:line="406" w:lineRule="exact"/>
        <w:ind w:firstLine="211" w:firstLineChars="100"/>
        <w:rPr>
          <w:rFonts w:ascii="宋体" w:hAnsi="宋体"/>
          <w:b/>
          <w:color w:val="auto"/>
          <w:szCs w:val="21"/>
        </w:rPr>
      </w:pPr>
      <w:r>
        <w:rPr>
          <w:rFonts w:hint="eastAsia" w:hAnsi="宋体"/>
          <w:b/>
          <w:bCs/>
          <w:color w:val="auto"/>
        </w:rPr>
        <w:t>（二）</w:t>
      </w:r>
      <w:r>
        <w:rPr>
          <w:rFonts w:hint="eastAsia" w:ascii="宋体" w:hAnsi="宋体"/>
          <w:b/>
          <w:color w:val="auto"/>
          <w:szCs w:val="21"/>
        </w:rPr>
        <w:t>响应文件的组成</w:t>
      </w:r>
    </w:p>
    <w:p>
      <w:pPr>
        <w:snapToGrid w:val="0"/>
        <w:spacing w:line="406" w:lineRule="exact"/>
        <w:ind w:firstLine="422"/>
        <w:rPr>
          <w:rFonts w:ascii="宋体" w:hAnsi="宋体"/>
          <w:b/>
          <w:color w:val="auto"/>
          <w:szCs w:val="21"/>
        </w:rPr>
      </w:pPr>
      <w:bookmarkStart w:id="83" w:name="_Hlk92285760"/>
      <w:r>
        <w:rPr>
          <w:rFonts w:ascii="宋体" w:hAnsi="宋体"/>
          <w:b/>
          <w:color w:val="auto"/>
          <w:szCs w:val="21"/>
        </w:rPr>
        <w:t>1.</w:t>
      </w:r>
      <w:r>
        <w:rPr>
          <w:rFonts w:hint="eastAsia" w:ascii="宋体" w:hAnsi="宋体"/>
          <w:b/>
          <w:color w:val="auto"/>
          <w:szCs w:val="21"/>
        </w:rPr>
        <w:t>资格文件：</w:t>
      </w:r>
    </w:p>
    <w:p>
      <w:pPr>
        <w:tabs>
          <w:tab w:val="left" w:pos="3870"/>
          <w:tab w:val="left" w:pos="4085"/>
        </w:tabs>
        <w:snapToGrid w:val="0"/>
        <w:spacing w:line="406" w:lineRule="exact"/>
        <w:ind w:firstLine="420"/>
        <w:rPr>
          <w:rFonts w:ascii="宋体" w:hAnsi="宋体"/>
          <w:color w:val="auto"/>
          <w:szCs w:val="21"/>
        </w:rPr>
      </w:pPr>
      <w:r>
        <w:rPr>
          <w:rFonts w:hint="eastAsia" w:ascii="宋体" w:hAnsi="宋体" w:cs="宋体"/>
          <w:bCs/>
          <w:color w:val="auto"/>
          <w:kern w:val="0"/>
          <w:szCs w:val="21"/>
        </w:rPr>
        <w:t>★</w:t>
      </w:r>
      <w:bookmarkStart w:id="84" w:name="_Hlk90369149"/>
      <w:r>
        <w:rPr>
          <w:rFonts w:hint="eastAsia" w:ascii="宋体" w:hAnsi="宋体"/>
          <w:color w:val="auto"/>
          <w:szCs w:val="21"/>
        </w:rPr>
        <w:t>(</w:t>
      </w:r>
      <w:r>
        <w:rPr>
          <w:rFonts w:ascii="宋体" w:hAnsi="宋体"/>
          <w:color w:val="auto"/>
          <w:szCs w:val="21"/>
        </w:rPr>
        <w:t>1)</w:t>
      </w:r>
      <w:r>
        <w:rPr>
          <w:rFonts w:hint="eastAsia" w:ascii="宋体" w:hAnsi="宋体"/>
          <w:color w:val="auto"/>
          <w:szCs w:val="21"/>
        </w:rPr>
        <w:t>法人或者其他组织的营业执照等证明文件</w:t>
      </w:r>
    </w:p>
    <w:bookmarkEnd w:id="84"/>
    <w:p>
      <w:pPr>
        <w:tabs>
          <w:tab w:val="left" w:pos="3870"/>
          <w:tab w:val="left" w:pos="4085"/>
        </w:tabs>
        <w:snapToGrid w:val="0"/>
        <w:spacing w:line="406" w:lineRule="exact"/>
        <w:ind w:firstLine="420"/>
        <w:rPr>
          <w:rFonts w:ascii="宋体" w:hAnsi="宋体" w:cs="宋体"/>
          <w:color w:val="auto"/>
          <w:szCs w:val="21"/>
        </w:rPr>
      </w:pPr>
      <w:r>
        <w:rPr>
          <w:rFonts w:hint="eastAsia" w:ascii="宋体" w:hAnsi="宋体" w:cs="宋体"/>
          <w:bCs/>
          <w:color w:val="auto"/>
          <w:kern w:val="0"/>
          <w:szCs w:val="21"/>
        </w:rPr>
        <w:t>★(</w:t>
      </w:r>
      <w:r>
        <w:rPr>
          <w:rFonts w:ascii="宋体" w:hAnsi="宋体" w:cs="宋体"/>
          <w:bCs/>
          <w:color w:val="auto"/>
          <w:kern w:val="0"/>
          <w:szCs w:val="21"/>
        </w:rPr>
        <w:t>2)</w:t>
      </w:r>
      <w:r>
        <w:rPr>
          <w:rFonts w:hint="eastAsia" w:ascii="宋体" w:hAnsi="宋体"/>
          <w:color w:val="auto"/>
          <w:szCs w:val="21"/>
        </w:rPr>
        <w:t>供应商具备参加政府采购活动条件的承诺书</w:t>
      </w:r>
      <w:r>
        <w:rPr>
          <w:rFonts w:hint="eastAsia" w:ascii="宋体" w:hAnsi="宋体" w:cs="宋体"/>
          <w:color w:val="auto"/>
          <w:szCs w:val="21"/>
        </w:rPr>
        <w:t>(格式见第六章</w:t>
      </w:r>
      <w:r>
        <w:rPr>
          <w:rFonts w:ascii="宋体" w:hAnsi="宋体" w:cs="宋体"/>
          <w:color w:val="auto"/>
          <w:szCs w:val="21"/>
        </w:rPr>
        <w:t>）</w:t>
      </w:r>
    </w:p>
    <w:p>
      <w:pPr>
        <w:tabs>
          <w:tab w:val="left" w:pos="3870"/>
          <w:tab w:val="left" w:pos="4085"/>
        </w:tabs>
        <w:snapToGrid w:val="0"/>
        <w:spacing w:line="406" w:lineRule="exact"/>
        <w:ind w:firstLine="420"/>
        <w:rPr>
          <w:rFonts w:hAnsi="宋体"/>
          <w:color w:val="auto"/>
          <w:spacing w:val="-4"/>
        </w:rPr>
      </w:pPr>
      <w:r>
        <w:rPr>
          <w:rFonts w:hint="eastAsia" w:ascii="宋体" w:hAnsi="宋体" w:cs="宋体"/>
          <w:bCs/>
          <w:color w:val="auto"/>
          <w:kern w:val="0"/>
          <w:szCs w:val="21"/>
        </w:rPr>
        <w:t>★(</w:t>
      </w:r>
      <w:r>
        <w:rPr>
          <w:rFonts w:ascii="宋体" w:hAnsi="宋体" w:cs="宋体"/>
          <w:bCs/>
          <w:color w:val="auto"/>
          <w:kern w:val="0"/>
          <w:szCs w:val="21"/>
        </w:rPr>
        <w:t>3)</w:t>
      </w:r>
      <w:r>
        <w:rPr>
          <w:rFonts w:hint="eastAsia" w:hAnsi="宋体"/>
          <w:color w:val="auto"/>
          <w:spacing w:val="-4"/>
        </w:rPr>
        <w:t>参加政府采购活动前3年内在经营活动中没有重大违法记录的书面声明</w:t>
      </w:r>
      <w:bookmarkStart w:id="85" w:name="_Hlk108683109"/>
      <w:r>
        <w:rPr>
          <w:rFonts w:hint="eastAsia" w:hAnsi="宋体"/>
          <w:color w:val="auto"/>
          <w:spacing w:val="-4"/>
        </w:rPr>
        <w:t>(格式见第六章)</w:t>
      </w:r>
      <w:bookmarkEnd w:id="85"/>
    </w:p>
    <w:p>
      <w:pPr>
        <w:tabs>
          <w:tab w:val="left" w:pos="3870"/>
          <w:tab w:val="left" w:pos="4085"/>
        </w:tabs>
        <w:snapToGrid w:val="0"/>
        <w:spacing w:line="406" w:lineRule="exact"/>
        <w:ind w:firstLine="420"/>
        <w:rPr>
          <w:rFonts w:ascii="宋体" w:hAnsi="宋体" w:cs="宋体"/>
          <w:bCs/>
          <w:color w:val="auto"/>
          <w:kern w:val="0"/>
          <w:szCs w:val="21"/>
        </w:rPr>
      </w:pPr>
      <w:bookmarkStart w:id="86" w:name="_Hlk111726071"/>
      <w:r>
        <w:rPr>
          <w:rFonts w:hint="eastAsia" w:ascii="宋体" w:hAnsi="宋体" w:cs="宋体"/>
          <w:bCs/>
          <w:color w:val="auto"/>
          <w:kern w:val="0"/>
          <w:szCs w:val="21"/>
        </w:rPr>
        <w:t>★(</w:t>
      </w:r>
      <w:r>
        <w:rPr>
          <w:rFonts w:ascii="宋体" w:hAnsi="宋体" w:cs="宋体"/>
          <w:bCs/>
          <w:color w:val="auto"/>
          <w:kern w:val="0"/>
          <w:szCs w:val="21"/>
        </w:rPr>
        <w:t>4)</w:t>
      </w:r>
      <w:bookmarkStart w:id="87" w:name="OLE_LINK6"/>
      <w:r>
        <w:rPr>
          <w:rFonts w:hint="eastAsia" w:ascii="宋体" w:hAnsi="宋体" w:cs="宋体"/>
          <w:color w:val="auto"/>
          <w:szCs w:val="21"/>
        </w:rPr>
        <w:t>《中小企业声明函》（属于残疾人福利性单位的提供残疾人福利性单位声明函，属于监狱企业的提供由省级以上监狱管理局、戒毒管理局（含新疆生产建设兵团）出具的属于监狱企业的证明文件）(格式见第六章)</w:t>
      </w:r>
    </w:p>
    <w:bookmarkEnd w:id="86"/>
    <w:bookmarkEnd w:id="87"/>
    <w:p>
      <w:pPr>
        <w:snapToGrid w:val="0"/>
        <w:spacing w:line="406" w:lineRule="exact"/>
        <w:ind w:firstLine="422"/>
        <w:rPr>
          <w:rFonts w:ascii="宋体" w:hAnsi="宋体"/>
          <w:b/>
          <w:color w:val="auto"/>
          <w:szCs w:val="21"/>
        </w:rPr>
      </w:pPr>
      <w:r>
        <w:rPr>
          <w:rFonts w:ascii="宋体" w:hAnsi="宋体"/>
          <w:b/>
          <w:color w:val="auto"/>
          <w:szCs w:val="21"/>
        </w:rPr>
        <w:t>2.</w:t>
      </w:r>
      <w:r>
        <w:rPr>
          <w:rFonts w:hint="eastAsia" w:ascii="宋体" w:hAnsi="宋体"/>
          <w:b/>
          <w:color w:val="auto"/>
          <w:szCs w:val="21"/>
        </w:rPr>
        <w:t>商务技术文件：</w:t>
      </w:r>
    </w:p>
    <w:p>
      <w:pPr>
        <w:snapToGrid w:val="0"/>
        <w:spacing w:line="406" w:lineRule="exact"/>
        <w:ind w:firstLine="420" w:firstLineChars="200"/>
        <w:rPr>
          <w:rFonts w:ascii="宋体" w:hAnsi="宋体"/>
          <w:color w:val="auto"/>
          <w:szCs w:val="21"/>
        </w:rPr>
      </w:pPr>
      <w:r>
        <w:rPr>
          <w:rFonts w:hint="eastAsia" w:ascii="宋体" w:hAnsi="宋体" w:cs="宋体"/>
          <w:bCs/>
          <w:color w:val="auto"/>
          <w:kern w:val="0"/>
          <w:szCs w:val="21"/>
        </w:rPr>
        <w:t>★</w:t>
      </w:r>
      <w:r>
        <w:rPr>
          <w:rFonts w:hint="eastAsia" w:ascii="宋体" w:hAnsi="宋体"/>
          <w:color w:val="auto"/>
          <w:szCs w:val="21"/>
        </w:rPr>
        <w:t>(</w:t>
      </w:r>
      <w:r>
        <w:rPr>
          <w:rFonts w:hint="eastAsia" w:ascii="宋体" w:hAnsi="宋体"/>
          <w:color w:val="auto"/>
          <w:szCs w:val="21"/>
          <w:lang w:val="en-US" w:eastAsia="zh-CN"/>
        </w:rPr>
        <w:t>1</w:t>
      </w:r>
      <w:r>
        <w:rPr>
          <w:rFonts w:ascii="宋体" w:hAnsi="宋体"/>
          <w:color w:val="auto"/>
          <w:szCs w:val="21"/>
        </w:rPr>
        <w:t>)</w:t>
      </w:r>
      <w:r>
        <w:rPr>
          <w:rFonts w:hint="eastAsia" w:ascii="宋体" w:hAnsi="宋体"/>
          <w:color w:val="auto"/>
          <w:szCs w:val="21"/>
        </w:rPr>
        <w:t>磋商函（格式见第六章）</w:t>
      </w:r>
    </w:p>
    <w:p>
      <w:pPr>
        <w:tabs>
          <w:tab w:val="left" w:pos="3870"/>
          <w:tab w:val="left" w:pos="4085"/>
        </w:tabs>
        <w:snapToGrid w:val="0"/>
        <w:spacing w:line="406" w:lineRule="exact"/>
        <w:ind w:firstLine="420" w:firstLineChars="200"/>
        <w:rPr>
          <w:rFonts w:ascii="宋体" w:hAnsi="宋体"/>
          <w:color w:val="auto"/>
          <w:szCs w:val="21"/>
        </w:rPr>
      </w:pPr>
      <w:r>
        <w:rPr>
          <w:rFonts w:hint="eastAsia" w:ascii="宋体" w:hAnsi="宋体" w:cs="宋体"/>
          <w:bCs/>
          <w:color w:val="auto"/>
          <w:kern w:val="0"/>
          <w:szCs w:val="21"/>
        </w:rPr>
        <w:t>★</w:t>
      </w:r>
      <w:r>
        <w:rPr>
          <w:rFonts w:hint="eastAsia" w:ascii="宋体" w:hAnsi="宋体"/>
          <w:color w:val="auto"/>
          <w:szCs w:val="21"/>
        </w:rPr>
        <w:t>(</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法定代表人身份证</w:t>
      </w:r>
    </w:p>
    <w:p>
      <w:pPr>
        <w:tabs>
          <w:tab w:val="left" w:pos="3870"/>
          <w:tab w:val="left" w:pos="4085"/>
        </w:tabs>
        <w:snapToGrid w:val="0"/>
        <w:spacing w:line="406"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ascii="宋体" w:hAnsi="宋体"/>
          <w:color w:val="auto"/>
          <w:szCs w:val="21"/>
        </w:rPr>
        <w:t>)</w:t>
      </w:r>
      <w:r>
        <w:rPr>
          <w:rFonts w:hint="eastAsia" w:ascii="宋体" w:hAnsi="宋体"/>
          <w:color w:val="auto"/>
          <w:szCs w:val="21"/>
        </w:rPr>
        <w:t>法定代表人授权委托书和代理人身份证（委托代理时必须提供，格式见第六章）</w:t>
      </w:r>
    </w:p>
    <w:p>
      <w:pPr>
        <w:snapToGrid w:val="0"/>
        <w:spacing w:line="406" w:lineRule="exact"/>
        <w:ind w:firstLine="422" w:firstLineChars="200"/>
        <w:rPr>
          <w:rFonts w:ascii="宋体" w:hAnsi="宋体"/>
          <w:color w:val="auto"/>
          <w:szCs w:val="21"/>
        </w:rPr>
      </w:pPr>
      <w:r>
        <w:rPr>
          <w:rFonts w:hint="eastAsia" w:ascii="宋体" w:hAnsi="宋体"/>
          <w:b/>
          <w:color w:val="auto"/>
          <w:szCs w:val="21"/>
        </w:rPr>
        <w:t>★</w:t>
      </w:r>
      <w:r>
        <w:rPr>
          <w:rFonts w:hint="eastAsia" w:ascii="宋体" w:hAnsi="宋体"/>
          <w:color w:val="auto"/>
          <w:szCs w:val="21"/>
        </w:rPr>
        <w:t>(</w:t>
      </w:r>
      <w:r>
        <w:rPr>
          <w:rFonts w:hint="eastAsia" w:ascii="宋体" w:hAnsi="宋体"/>
          <w:color w:val="auto"/>
          <w:szCs w:val="21"/>
          <w:lang w:val="en-US" w:eastAsia="zh-CN"/>
        </w:rPr>
        <w:t>4</w:t>
      </w:r>
      <w:r>
        <w:rPr>
          <w:rFonts w:ascii="宋体" w:hAnsi="宋体"/>
          <w:color w:val="auto"/>
          <w:szCs w:val="21"/>
        </w:rPr>
        <w:t>)</w:t>
      </w:r>
      <w:r>
        <w:rPr>
          <w:rFonts w:ascii="宋体" w:hAnsi="宋体"/>
          <w:color w:val="auto"/>
        </w:rPr>
        <w:t>商务响应表(格式见第六章)</w:t>
      </w:r>
    </w:p>
    <w:p>
      <w:pPr>
        <w:snapToGrid w:val="0"/>
        <w:spacing w:line="406" w:lineRule="exact"/>
        <w:ind w:firstLine="422" w:firstLineChars="200"/>
        <w:rPr>
          <w:rFonts w:ascii="宋体" w:hAnsi="宋体"/>
          <w:color w:val="auto"/>
        </w:rPr>
      </w:pPr>
      <w:r>
        <w:rPr>
          <w:rFonts w:hint="eastAsia" w:ascii="宋体" w:hAnsi="宋体"/>
          <w:b/>
          <w:color w:val="auto"/>
          <w:szCs w:val="21"/>
        </w:rPr>
        <w:t>★</w:t>
      </w:r>
      <w:r>
        <w:rPr>
          <w:rFonts w:hint="eastAsia" w:ascii="宋体" w:hAnsi="宋体"/>
          <w:color w:val="auto"/>
        </w:rPr>
        <w:t>(</w:t>
      </w:r>
      <w:r>
        <w:rPr>
          <w:rFonts w:hint="eastAsia" w:ascii="宋体" w:hAnsi="宋体"/>
          <w:color w:val="auto"/>
          <w:lang w:val="en-US" w:eastAsia="zh-CN"/>
        </w:rPr>
        <w:t>5</w:t>
      </w:r>
      <w:r>
        <w:rPr>
          <w:rFonts w:ascii="宋体" w:hAnsi="宋体"/>
          <w:color w:val="auto"/>
        </w:rPr>
        <w:t>)</w:t>
      </w:r>
      <w:r>
        <w:rPr>
          <w:rFonts w:hint="eastAsia" w:ascii="宋体" w:hAnsi="宋体"/>
          <w:color w:val="auto"/>
          <w:szCs w:val="21"/>
        </w:rPr>
        <w:t>技术响应表</w:t>
      </w:r>
      <w:bookmarkStart w:id="88" w:name="_Hlk92285954"/>
      <w:r>
        <w:rPr>
          <w:rFonts w:ascii="宋体" w:hAnsi="宋体"/>
          <w:color w:val="auto"/>
        </w:rPr>
        <w:t>(格式见第六章)</w:t>
      </w:r>
      <w:bookmarkEnd w:id="88"/>
    </w:p>
    <w:p>
      <w:pPr>
        <w:snapToGrid w:val="0"/>
        <w:spacing w:line="406" w:lineRule="exact"/>
        <w:ind w:firstLine="422" w:firstLineChars="200"/>
        <w:rPr>
          <w:rFonts w:hint="eastAsia" w:ascii="宋体" w:hAnsi="宋体"/>
          <w:color w:val="auto"/>
          <w:szCs w:val="21"/>
        </w:rPr>
      </w:pPr>
      <w:r>
        <w:rPr>
          <w:rFonts w:hint="eastAsia" w:ascii="宋体" w:hAnsi="宋体"/>
          <w:b/>
          <w:color w:val="auto"/>
          <w:szCs w:val="21"/>
        </w:rPr>
        <w:t>★</w:t>
      </w: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w:t>
      </w:r>
      <w:r>
        <w:rPr>
          <w:rFonts w:hint="eastAsia" w:ascii="宋体" w:hAnsi="宋体"/>
          <w:color w:val="auto"/>
          <w:szCs w:val="21"/>
          <w:lang w:val="en-US" w:eastAsia="zh-CN"/>
        </w:rPr>
        <w:t>技术</w:t>
      </w:r>
      <w:r>
        <w:rPr>
          <w:rFonts w:hint="eastAsia" w:ascii="宋体" w:hAnsi="宋体"/>
          <w:color w:val="auto"/>
          <w:szCs w:val="21"/>
        </w:rPr>
        <w:t>方案（格式自拟）</w:t>
      </w:r>
    </w:p>
    <w:p>
      <w:pPr>
        <w:snapToGrid w:val="0"/>
        <w:spacing w:line="406" w:lineRule="exact"/>
        <w:ind w:firstLine="630" w:firstLineChars="300"/>
        <w:rPr>
          <w:rFonts w:hint="eastAsia" w:ascii="宋体" w:hAnsi="宋体"/>
          <w:color w:val="auto"/>
          <w:szCs w:val="21"/>
          <w:lang w:val="en-US" w:eastAsia="zh-CN"/>
        </w:rPr>
      </w:pPr>
      <w:r>
        <w:rPr>
          <w:rFonts w:hint="eastAsia" w:ascii="宋体" w:hAnsi="宋体"/>
          <w:color w:val="auto"/>
          <w:szCs w:val="21"/>
        </w:rPr>
        <w:t>(</w:t>
      </w:r>
      <w:r>
        <w:rPr>
          <w:rFonts w:hint="eastAsia" w:ascii="宋体" w:hAnsi="宋体"/>
          <w:color w:val="auto"/>
          <w:szCs w:val="21"/>
          <w:lang w:val="en-US" w:eastAsia="zh-CN"/>
        </w:rPr>
        <w:t>7</w:t>
      </w:r>
      <w:r>
        <w:rPr>
          <w:rFonts w:hint="eastAsia" w:ascii="宋体" w:hAnsi="宋体"/>
          <w:color w:val="auto"/>
          <w:szCs w:val="21"/>
        </w:rPr>
        <w:t>)</w:t>
      </w:r>
      <w:r>
        <w:rPr>
          <w:rFonts w:hint="eastAsia" w:ascii="宋体" w:hAnsi="宋体"/>
          <w:color w:val="auto"/>
          <w:szCs w:val="21"/>
          <w:lang w:val="en-US" w:eastAsia="zh-CN"/>
        </w:rPr>
        <w:t>项目实施人员一览表</w:t>
      </w:r>
      <w:r>
        <w:rPr>
          <w:rFonts w:ascii="宋体" w:hAnsi="宋体"/>
          <w:color w:val="auto"/>
        </w:rPr>
        <w:t>(格式见第六章)</w:t>
      </w:r>
    </w:p>
    <w:p>
      <w:pPr>
        <w:snapToGrid w:val="0"/>
        <w:spacing w:line="406" w:lineRule="exact"/>
        <w:ind w:firstLine="630" w:firstLineChars="300"/>
        <w:rPr>
          <w:color w:val="auto"/>
        </w:rPr>
      </w:pPr>
      <w:r>
        <w:rPr>
          <w:rFonts w:hint="eastAsia" w:ascii="宋体" w:hAnsi="宋体"/>
          <w:color w:val="auto"/>
          <w:szCs w:val="21"/>
        </w:rPr>
        <w:t>(</w:t>
      </w:r>
      <w:r>
        <w:rPr>
          <w:rFonts w:hint="eastAsia" w:ascii="宋体" w:hAnsi="宋体"/>
          <w:color w:val="auto"/>
          <w:szCs w:val="21"/>
          <w:lang w:val="en-US" w:eastAsia="zh-CN"/>
        </w:rPr>
        <w:t>8</w:t>
      </w:r>
      <w:r>
        <w:rPr>
          <w:rFonts w:hint="eastAsia" w:ascii="宋体" w:hAnsi="宋体"/>
          <w:color w:val="auto"/>
          <w:szCs w:val="21"/>
        </w:rPr>
        <w:t>)供应商认为有必要提</w:t>
      </w:r>
      <w:r>
        <w:rPr>
          <w:rFonts w:hint="eastAsia" w:ascii="宋体" w:hAnsi="宋体"/>
          <w:bCs/>
          <w:color w:val="auto"/>
          <w:szCs w:val="21"/>
        </w:rPr>
        <w:t>供的声明或材料</w:t>
      </w:r>
    </w:p>
    <w:p>
      <w:pPr>
        <w:snapToGrid w:val="0"/>
        <w:spacing w:line="406" w:lineRule="exact"/>
        <w:ind w:firstLine="422"/>
        <w:rPr>
          <w:rFonts w:ascii="宋体" w:hAnsi="宋体"/>
          <w:b/>
          <w:color w:val="auto"/>
          <w:szCs w:val="21"/>
        </w:rPr>
      </w:pPr>
      <w:r>
        <w:rPr>
          <w:rFonts w:ascii="宋体" w:hAnsi="宋体"/>
          <w:b/>
          <w:color w:val="auto"/>
          <w:szCs w:val="21"/>
        </w:rPr>
        <w:t>3.</w:t>
      </w:r>
      <w:r>
        <w:rPr>
          <w:rFonts w:hint="eastAsia" w:ascii="宋体" w:hAnsi="宋体"/>
          <w:b/>
          <w:color w:val="auto"/>
          <w:szCs w:val="21"/>
        </w:rPr>
        <w:t>报价文件</w:t>
      </w:r>
    </w:p>
    <w:p>
      <w:pPr>
        <w:snapToGrid w:val="0"/>
        <w:spacing w:line="406" w:lineRule="exact"/>
        <w:rPr>
          <w:rFonts w:ascii="宋体" w:hAnsi="宋体"/>
          <w:bCs/>
          <w:color w:val="auto"/>
          <w:szCs w:val="21"/>
        </w:rPr>
      </w:pPr>
      <w:bookmarkStart w:id="89" w:name="_Hlk92265738"/>
      <w:r>
        <w:rPr>
          <w:rFonts w:hint="eastAsia" w:ascii="宋体" w:hAnsi="宋体"/>
          <w:bCs/>
          <w:color w:val="auto"/>
          <w:szCs w:val="21"/>
        </w:rPr>
        <w:t xml:space="preserve"> </w:t>
      </w:r>
      <w:r>
        <w:rPr>
          <w:rFonts w:ascii="宋体" w:hAnsi="宋体"/>
          <w:bCs/>
          <w:color w:val="auto"/>
          <w:szCs w:val="21"/>
        </w:rPr>
        <w:t xml:space="preserve">   </w:t>
      </w:r>
      <w:r>
        <w:rPr>
          <w:rFonts w:hint="eastAsia" w:ascii="宋体" w:hAnsi="宋体"/>
          <w:bCs/>
          <w:color w:val="auto"/>
          <w:szCs w:val="21"/>
        </w:rPr>
        <w:t>★报价明细表</w:t>
      </w:r>
      <w:bookmarkEnd w:id="89"/>
      <w:r>
        <w:rPr>
          <w:rFonts w:hint="eastAsia" w:ascii="宋体" w:hAnsi="宋体"/>
          <w:bCs/>
          <w:color w:val="auto"/>
          <w:szCs w:val="21"/>
        </w:rPr>
        <w:t>(格式见第六章)。</w:t>
      </w:r>
    </w:p>
    <w:bookmarkEnd w:id="83"/>
    <w:p>
      <w:pPr>
        <w:snapToGrid w:val="0"/>
        <w:spacing w:line="406" w:lineRule="exact"/>
        <w:ind w:firstLine="422"/>
        <w:rPr>
          <w:rFonts w:ascii="宋体" w:hAnsi="宋体"/>
          <w:color w:val="auto"/>
          <w:szCs w:val="21"/>
        </w:rPr>
      </w:pPr>
      <w:r>
        <w:rPr>
          <w:rFonts w:hint="eastAsia" w:ascii="宋体" w:hAnsi="宋体"/>
          <w:color w:val="auto"/>
          <w:szCs w:val="21"/>
        </w:rPr>
        <w:t>注：①标注★号的材料均为必须提供的材料须由供应商加盖公章，授权委托书必须由法定代表人签名，否则视为无效响应文件。</w:t>
      </w:r>
    </w:p>
    <w:p>
      <w:pPr>
        <w:spacing w:line="406" w:lineRule="exact"/>
        <w:ind w:firstLine="210" w:firstLineChars="100"/>
        <w:rPr>
          <w:rFonts w:ascii="宋体" w:hAnsi="宋体" w:cs="Courier New"/>
          <w:color w:val="auto"/>
          <w:szCs w:val="21"/>
        </w:rPr>
      </w:pPr>
      <w:bookmarkStart w:id="90" w:name="_Hlk90906323"/>
      <w:r>
        <w:rPr>
          <w:rFonts w:hint="eastAsia" w:ascii="宋体" w:hAnsi="宋体"/>
          <w:color w:val="auto"/>
          <w:szCs w:val="21"/>
        </w:rPr>
        <w:t>②</w:t>
      </w:r>
      <w:bookmarkStart w:id="91" w:name="_Hlk111726335"/>
      <w:r>
        <w:rPr>
          <w:rFonts w:hint="eastAsia" w:ascii="宋体" w:hAnsi="宋体" w:cs="Courier New"/>
          <w:color w:val="auto"/>
          <w:szCs w:val="21"/>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91"/>
    </w:p>
    <w:p>
      <w:pPr>
        <w:spacing w:line="406" w:lineRule="exact"/>
        <w:ind w:firstLine="211" w:firstLineChars="100"/>
        <w:rPr>
          <w:rFonts w:ascii="宋体" w:hAnsi="宋体"/>
          <w:b/>
          <w:bCs/>
          <w:color w:val="auto"/>
          <w:szCs w:val="21"/>
        </w:rPr>
      </w:pPr>
      <w:r>
        <w:rPr>
          <w:rFonts w:hint="eastAsia" w:ascii="宋体" w:hAnsi="宋体"/>
          <w:b/>
          <w:color w:val="auto"/>
          <w:szCs w:val="21"/>
        </w:rPr>
        <w:t>（三）</w:t>
      </w:r>
      <w:bookmarkStart w:id="92" w:name="_Toc254970537"/>
      <w:bookmarkStart w:id="93" w:name="_Toc353785292"/>
      <w:bookmarkStart w:id="94" w:name="_Toc254970678"/>
      <w:bookmarkStart w:id="95" w:name="_Toc352700422"/>
      <w:r>
        <w:rPr>
          <w:rFonts w:hint="eastAsia" w:ascii="宋体" w:hAnsi="宋体"/>
          <w:b/>
          <w:bCs/>
          <w:color w:val="auto"/>
          <w:szCs w:val="21"/>
        </w:rPr>
        <w:t>响应文件的编制、签署及加密</w:t>
      </w:r>
    </w:p>
    <w:p>
      <w:pPr>
        <w:spacing w:line="406" w:lineRule="exact"/>
        <w:ind w:firstLine="420"/>
        <w:rPr>
          <w:rFonts w:ascii="宋体" w:hAnsi="宋体"/>
          <w:color w:val="auto"/>
          <w:szCs w:val="21"/>
        </w:rPr>
      </w:pPr>
      <w:r>
        <w:rPr>
          <w:rFonts w:ascii="宋体" w:hAnsi="宋体"/>
          <w:color w:val="auto"/>
          <w:szCs w:val="21"/>
        </w:rPr>
        <w:t>1.</w:t>
      </w:r>
      <w:r>
        <w:rPr>
          <w:rFonts w:hint="eastAsia" w:ascii="宋体" w:hAnsi="宋体"/>
          <w:color w:val="auto"/>
          <w:szCs w:val="21"/>
        </w:rPr>
        <w:t>供应商应认真阅读、并充分理解采购文件的全部内容(包括所有的补充、修改内容)，承诺履行其各项条款的规定并按要求编制，响应文件应为电子文件或扫描件(样品除外)。</w:t>
      </w:r>
    </w:p>
    <w:p>
      <w:pPr>
        <w:spacing w:line="406" w:lineRule="exact"/>
        <w:ind w:firstLine="420"/>
        <w:rPr>
          <w:rFonts w:ascii="宋体" w:hAnsi="宋体"/>
          <w:color w:val="auto"/>
          <w:szCs w:val="21"/>
        </w:rPr>
      </w:pPr>
      <w:r>
        <w:rPr>
          <w:rFonts w:ascii="宋体" w:hAnsi="宋体"/>
          <w:color w:val="auto"/>
          <w:szCs w:val="21"/>
        </w:rPr>
        <w:t>2.</w:t>
      </w:r>
      <w:r>
        <w:rPr>
          <w:rFonts w:hint="eastAsia" w:ascii="宋体" w:hAnsi="宋体"/>
          <w:color w:val="auto"/>
          <w:szCs w:val="21"/>
        </w:rPr>
        <w:t>供应商应通过政采云投标客户端编制加密响应文件。</w:t>
      </w:r>
    </w:p>
    <w:p>
      <w:pPr>
        <w:spacing w:line="406" w:lineRule="exact"/>
        <w:ind w:firstLine="420"/>
        <w:rPr>
          <w:rFonts w:ascii="宋体" w:hAnsi="宋体"/>
          <w:color w:val="auto"/>
          <w:szCs w:val="21"/>
        </w:rPr>
      </w:pPr>
      <w:r>
        <w:rPr>
          <w:rFonts w:ascii="宋体" w:hAnsi="宋体"/>
          <w:color w:val="auto"/>
          <w:szCs w:val="21"/>
        </w:rPr>
        <w:t>3.</w:t>
      </w:r>
      <w:r>
        <w:rPr>
          <w:rFonts w:hint="eastAsia" w:ascii="宋体" w:hAnsi="宋体"/>
          <w:color w:val="auto"/>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06" w:lineRule="exact"/>
        <w:rPr>
          <w:rFonts w:ascii="宋体" w:hAnsi="宋体"/>
          <w:b/>
          <w:bCs/>
          <w:color w:val="auto"/>
          <w:szCs w:val="21"/>
        </w:rPr>
      </w:pPr>
      <w:r>
        <w:rPr>
          <w:rFonts w:ascii="宋体" w:hAnsi="宋体"/>
          <w:color w:val="auto"/>
          <w:szCs w:val="21"/>
        </w:rPr>
        <w:tab/>
      </w:r>
      <w:r>
        <w:rPr>
          <w:rFonts w:ascii="宋体" w:hAnsi="宋体"/>
          <w:b/>
          <w:bCs/>
          <w:color w:val="auto"/>
          <w:szCs w:val="21"/>
        </w:rPr>
        <w:t>4.</w:t>
      </w:r>
      <w:r>
        <w:rPr>
          <w:rFonts w:hint="eastAsia" w:ascii="宋体" w:hAnsi="宋体"/>
          <w:b/>
          <w:bCs/>
          <w:color w:val="auto"/>
          <w:szCs w:val="21"/>
        </w:rPr>
        <w:t>响应文件由供应商在规定位置由法定代表人或授权委托人签名（可为电子签名）、填写供应商名称并加盖公章(简称“盖章”，可为电子公章)，供应商名称应写全称。</w:t>
      </w:r>
    </w:p>
    <w:p>
      <w:pPr>
        <w:snapToGrid w:val="0"/>
        <w:spacing w:line="406" w:lineRule="exact"/>
        <w:ind w:firstLine="210" w:firstLineChars="100"/>
        <w:rPr>
          <w:rFonts w:ascii="宋体" w:hAnsi="宋体"/>
          <w:b/>
          <w:bCs/>
          <w:color w:val="auto"/>
          <w:szCs w:val="21"/>
        </w:rPr>
      </w:pPr>
      <w:r>
        <w:rPr>
          <w:rFonts w:ascii="宋体" w:hAnsi="宋体"/>
          <w:color w:val="auto"/>
          <w:szCs w:val="21"/>
        </w:rPr>
        <w:tab/>
      </w:r>
      <w:r>
        <w:rPr>
          <w:rFonts w:ascii="宋体" w:hAnsi="宋体"/>
          <w:color w:val="auto"/>
          <w:szCs w:val="21"/>
        </w:rPr>
        <w:t>5.</w:t>
      </w:r>
      <w:r>
        <w:rPr>
          <w:rFonts w:hint="eastAsia" w:ascii="宋体" w:hAnsi="宋体"/>
          <w:color w:val="auto"/>
          <w:szCs w:val="21"/>
        </w:rPr>
        <w:t>响应文件内容不完整、编排混乱、不清晰等原因导致被误读或漏读的责任和后果由供应商承担。</w:t>
      </w:r>
    </w:p>
    <w:bookmarkEnd w:id="90"/>
    <w:p>
      <w:pPr>
        <w:spacing w:line="406" w:lineRule="exact"/>
        <w:ind w:firstLine="211" w:firstLineChars="100"/>
        <w:rPr>
          <w:color w:val="auto"/>
        </w:rPr>
      </w:pPr>
      <w:r>
        <w:rPr>
          <w:rFonts w:hint="eastAsia"/>
          <w:b/>
          <w:bCs/>
          <w:color w:val="auto"/>
        </w:rPr>
        <w:t>（四）响应文件的语言及计量</w:t>
      </w:r>
      <w:bookmarkEnd w:id="92"/>
      <w:bookmarkEnd w:id="93"/>
      <w:bookmarkEnd w:id="94"/>
      <w:bookmarkEnd w:id="95"/>
    </w:p>
    <w:p>
      <w:pPr>
        <w:snapToGrid w:val="0"/>
        <w:spacing w:line="406" w:lineRule="exact"/>
        <w:ind w:firstLine="420"/>
        <w:rPr>
          <w:rFonts w:ascii="宋体" w:hAnsi="宋体"/>
          <w:color w:val="auto"/>
          <w:szCs w:val="21"/>
        </w:rPr>
      </w:pPr>
      <w:r>
        <w:rPr>
          <w:rFonts w:ascii="宋体" w:hAnsi="宋体"/>
          <w:color w:val="auto"/>
          <w:szCs w:val="21"/>
        </w:rPr>
        <w:t>1.</w:t>
      </w:r>
      <w:r>
        <w:rPr>
          <w:rFonts w:hint="eastAsia" w:ascii="宋体" w:hAnsi="宋体"/>
          <w:color w:val="auto"/>
          <w:szCs w:val="21"/>
        </w:rPr>
        <w:t>响应文件以及供应商与采购人、本中心就有关事宜的所有来往函电，均应以中文汉语书写。除签名、盖章、专用名称等特殊情形外，以中文汉语以外的文字表述的视为无效文件。</w:t>
      </w:r>
    </w:p>
    <w:p>
      <w:pPr>
        <w:snapToGrid w:val="0"/>
        <w:spacing w:line="406" w:lineRule="exact"/>
        <w:ind w:firstLine="420"/>
        <w:rPr>
          <w:rFonts w:ascii="宋体" w:hAnsi="宋体"/>
          <w:color w:val="auto"/>
          <w:szCs w:val="21"/>
        </w:rPr>
      </w:pPr>
      <w:r>
        <w:rPr>
          <w:rFonts w:ascii="宋体" w:hAnsi="宋体"/>
          <w:color w:val="auto"/>
          <w:szCs w:val="21"/>
        </w:rPr>
        <w:t>2.响应</w:t>
      </w:r>
      <w:r>
        <w:rPr>
          <w:rFonts w:hint="eastAsia" w:ascii="宋体" w:hAnsi="宋体"/>
          <w:color w:val="auto"/>
          <w:szCs w:val="21"/>
        </w:rPr>
        <w:t>文件的计量单位，采购文件已有明确规定的，使用采购文件规定的计量单位；采购文件没有规定的，应采用中华人民共和国法定计量单位（货币单位：人民币元），否则视为无效响应文件。</w:t>
      </w:r>
    </w:p>
    <w:p>
      <w:pPr>
        <w:pStyle w:val="2"/>
        <w:spacing w:before="0" w:after="0" w:line="406" w:lineRule="exact"/>
        <w:ind w:firstLine="211" w:firstLineChars="100"/>
        <w:rPr>
          <w:rFonts w:ascii="宋体" w:hAnsi="宋体" w:eastAsia="宋体"/>
          <w:color w:val="auto"/>
          <w:sz w:val="21"/>
          <w:szCs w:val="21"/>
        </w:rPr>
      </w:pPr>
      <w:bookmarkStart w:id="96" w:name="_（五）报价"/>
      <w:bookmarkEnd w:id="96"/>
      <w:bookmarkStart w:id="97" w:name="_Toc254970538"/>
      <w:bookmarkStart w:id="98" w:name="_Toc352700423"/>
      <w:bookmarkStart w:id="99" w:name="_Toc254970679"/>
      <w:bookmarkStart w:id="100" w:name="_Toc353785293"/>
      <w:r>
        <w:rPr>
          <w:rFonts w:hint="eastAsia" w:ascii="宋体" w:hAnsi="宋体" w:eastAsia="宋体"/>
          <w:color w:val="auto"/>
          <w:sz w:val="21"/>
          <w:szCs w:val="21"/>
        </w:rPr>
        <w:t>（五）报价</w:t>
      </w:r>
      <w:bookmarkEnd w:id="97"/>
      <w:bookmarkEnd w:id="98"/>
      <w:bookmarkEnd w:id="99"/>
      <w:bookmarkEnd w:id="100"/>
    </w:p>
    <w:p>
      <w:pPr>
        <w:pStyle w:val="22"/>
        <w:snapToGrid w:val="0"/>
        <w:spacing w:line="406" w:lineRule="exact"/>
        <w:ind w:firstLine="420"/>
        <w:rPr>
          <w:rFonts w:hAnsi="宋体"/>
          <w:color w:val="auto"/>
        </w:rPr>
      </w:pPr>
      <w:r>
        <w:rPr>
          <w:rFonts w:hAnsi="宋体"/>
          <w:color w:val="auto"/>
        </w:rPr>
        <w:t>1.</w:t>
      </w:r>
      <w:r>
        <w:rPr>
          <w:rFonts w:hint="eastAsia" w:hAnsi="宋体"/>
          <w:color w:val="auto"/>
        </w:rPr>
        <w:t>采购文件中未列明，而供应商认为必需的费用也须列入总报价。在合同实施时，采购人将不予支付成交供应商没有列入总报价的项目费用，并认为此项费用已包含在总报价中。</w:t>
      </w:r>
    </w:p>
    <w:p>
      <w:pPr>
        <w:pStyle w:val="22"/>
        <w:snapToGrid w:val="0"/>
        <w:spacing w:line="406" w:lineRule="exact"/>
        <w:ind w:firstLine="420"/>
        <w:rPr>
          <w:color w:val="auto"/>
        </w:rPr>
      </w:pPr>
      <w:r>
        <w:rPr>
          <w:rFonts w:hAnsi="宋体"/>
          <w:color w:val="auto"/>
        </w:rPr>
        <w:t>2</w:t>
      </w:r>
      <w:r>
        <w:rPr>
          <w:rFonts w:hint="eastAsia" w:hAnsi="宋体"/>
          <w:color w:val="auto"/>
        </w:rPr>
        <w:t>供应商</w:t>
      </w:r>
      <w:r>
        <w:rPr>
          <w:rFonts w:hint="eastAsia"/>
          <w:color w:val="auto"/>
        </w:rPr>
        <w:t>必须就《项目需求》货物和服务的内容作完整唯一报价</w:t>
      </w:r>
      <w:r>
        <w:rPr>
          <w:rFonts w:hint="eastAsia" w:hAnsi="宋体"/>
          <w:color w:val="auto"/>
        </w:rPr>
        <w:t>，有选择的或有条件的报价视为无效响应文件。</w:t>
      </w:r>
    </w:p>
    <w:p>
      <w:pPr>
        <w:tabs>
          <w:tab w:val="left" w:pos="525"/>
        </w:tabs>
        <w:snapToGrid w:val="0"/>
        <w:spacing w:line="406" w:lineRule="exact"/>
        <w:ind w:firstLine="420"/>
        <w:rPr>
          <w:rFonts w:ascii="宋体" w:hAnsi="宋体"/>
          <w:color w:val="auto"/>
          <w:szCs w:val="21"/>
        </w:rPr>
      </w:pPr>
      <w:r>
        <w:rPr>
          <w:rFonts w:ascii="宋体" w:hAnsi="宋体"/>
          <w:color w:val="auto"/>
          <w:szCs w:val="21"/>
        </w:rPr>
        <w:t>3.</w:t>
      </w:r>
      <w:r>
        <w:rPr>
          <w:rFonts w:hint="eastAsia" w:ascii="宋体" w:hAnsi="宋体"/>
          <w:color w:val="auto"/>
          <w:szCs w:val="21"/>
        </w:rPr>
        <w:t>供应商的报价必须按采购文件或政府采购云平台规定的格式填写，并在规定时间内提交最后报价。</w:t>
      </w:r>
    </w:p>
    <w:p>
      <w:pPr>
        <w:tabs>
          <w:tab w:val="left" w:pos="525"/>
        </w:tabs>
        <w:snapToGrid w:val="0"/>
        <w:spacing w:line="406" w:lineRule="exact"/>
        <w:ind w:firstLine="420"/>
        <w:rPr>
          <w:rFonts w:ascii="宋体" w:hAnsi="宋体"/>
          <w:color w:val="auto"/>
          <w:szCs w:val="21"/>
        </w:rPr>
      </w:pPr>
      <w:r>
        <w:rPr>
          <w:rFonts w:ascii="宋体" w:hAnsi="宋体"/>
          <w:color w:val="auto"/>
          <w:szCs w:val="21"/>
        </w:rPr>
        <w:t>4.</w:t>
      </w:r>
      <w:r>
        <w:rPr>
          <w:rFonts w:hint="eastAsia" w:ascii="宋体" w:hAnsi="宋体"/>
          <w:color w:val="auto"/>
          <w:szCs w:val="21"/>
        </w:rPr>
        <w:t>最后报价是供应商响应文件的有效组成部分。</w:t>
      </w:r>
    </w:p>
    <w:p>
      <w:pPr>
        <w:spacing w:line="406" w:lineRule="exact"/>
        <w:ind w:firstLine="211" w:firstLineChars="100"/>
        <w:rPr>
          <w:b/>
          <w:bCs/>
          <w:color w:val="auto"/>
        </w:rPr>
      </w:pPr>
      <w:bookmarkStart w:id="101" w:name="_（六）磋商保证金"/>
      <w:bookmarkEnd w:id="101"/>
      <w:r>
        <w:rPr>
          <w:rFonts w:hint="eastAsia"/>
          <w:b/>
          <w:bCs/>
          <w:color w:val="auto"/>
        </w:rPr>
        <w:t>（</w:t>
      </w:r>
      <w:r>
        <w:rPr>
          <w:rFonts w:hint="eastAsia"/>
          <w:b/>
          <w:bCs/>
          <w:color w:val="auto"/>
          <w:lang w:val="en-US" w:eastAsia="zh-CN"/>
        </w:rPr>
        <w:t>六</w:t>
      </w:r>
      <w:r>
        <w:rPr>
          <w:rFonts w:hint="eastAsia"/>
          <w:b/>
          <w:bCs/>
          <w:color w:val="auto"/>
        </w:rPr>
        <w:t>）响应文件的上传、提交、修改、撤回</w:t>
      </w:r>
    </w:p>
    <w:p>
      <w:pPr>
        <w:snapToGrid w:val="0"/>
        <w:spacing w:line="406"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响应文件的上传和提交:供应商须将编制好的加密响应文件上传至政府采购云平台，并在响应文件提交截止时间前提交，否则</w:t>
      </w:r>
      <w:bookmarkStart w:id="102" w:name="_Hlk91772691"/>
      <w:r>
        <w:rPr>
          <w:rFonts w:hint="eastAsia" w:ascii="宋体" w:hAnsi="宋体"/>
          <w:color w:val="auto"/>
          <w:szCs w:val="21"/>
        </w:rPr>
        <w:t>政府采购云平台</w:t>
      </w:r>
      <w:bookmarkEnd w:id="102"/>
      <w:r>
        <w:rPr>
          <w:rFonts w:hint="eastAsia" w:ascii="宋体" w:hAnsi="宋体"/>
          <w:color w:val="auto"/>
          <w:szCs w:val="21"/>
        </w:rPr>
        <w:t>将予以拒收。</w:t>
      </w:r>
    </w:p>
    <w:p>
      <w:pPr>
        <w:snapToGrid w:val="0"/>
        <w:spacing w:line="406"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响应文件的修改和撤回：</w:t>
      </w:r>
      <w:r>
        <w:rPr>
          <w:rFonts w:hint="eastAsia"/>
          <w:color w:val="auto"/>
          <w:szCs w:val="21"/>
        </w:rPr>
        <w:t>供应商在提交响应文件截止时间前，可以对所提交的响应文件进行补充、修改或者撤回</w:t>
      </w:r>
      <w:r>
        <w:rPr>
          <w:rFonts w:hint="eastAsia" w:ascii="宋体" w:hAnsi="宋体"/>
          <w:color w:val="auto"/>
          <w:szCs w:val="21"/>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color w:val="auto"/>
          <w:szCs w:val="21"/>
        </w:rPr>
        <w:t>补充、修改的内容作为响应文件的组成部分。补充、修改的内容与响应文件不一致的，以补充、修改的内容为准。</w:t>
      </w:r>
    </w:p>
    <w:p>
      <w:pPr>
        <w:pStyle w:val="2"/>
        <w:spacing w:line="406" w:lineRule="exact"/>
        <w:rPr>
          <w:color w:val="auto"/>
        </w:rPr>
      </w:pPr>
      <w:bookmarkStart w:id="103" w:name="_四、响应文件开启"/>
      <w:bookmarkEnd w:id="103"/>
      <w:r>
        <w:rPr>
          <w:rFonts w:hint="eastAsia"/>
          <w:color w:val="auto"/>
        </w:rPr>
        <w:t>四、</w:t>
      </w:r>
      <w:bookmarkStart w:id="104" w:name="_Toc352700430"/>
      <w:bookmarkStart w:id="105" w:name="_Toc353785300"/>
      <w:r>
        <w:rPr>
          <w:rFonts w:hint="eastAsia"/>
          <w:color w:val="auto"/>
        </w:rPr>
        <w:t>响应文件开启</w:t>
      </w:r>
    </w:p>
    <w:bookmarkEnd w:id="104"/>
    <w:bookmarkEnd w:id="105"/>
    <w:p>
      <w:pPr>
        <w:spacing w:line="406" w:lineRule="exact"/>
        <w:ind w:firstLine="210" w:firstLineChars="100"/>
        <w:rPr>
          <w:rFonts w:ascii="方正小标宋_GBK" w:hAnsi="Arial" w:eastAsia="方正小标宋_GBK"/>
          <w:bCs/>
          <w:color w:val="auto"/>
          <w:sz w:val="24"/>
        </w:rPr>
      </w:pPr>
      <w:r>
        <w:rPr>
          <w:rFonts w:hint="eastAsia"/>
          <w:color w:val="auto"/>
        </w:rPr>
        <w:t>（一）本中心将在响应文件提交截止时间后在</w:t>
      </w:r>
      <w:bookmarkStart w:id="106" w:name="_Hlk90300735"/>
      <w:r>
        <w:rPr>
          <w:rFonts w:hint="eastAsia"/>
          <w:color w:val="auto"/>
        </w:rPr>
        <w:t>政采云远程开标大厅</w:t>
      </w:r>
      <w:bookmarkEnd w:id="106"/>
      <w:r>
        <w:rPr>
          <w:rFonts w:hint="eastAsia"/>
          <w:color w:val="auto"/>
        </w:rPr>
        <w:t>进行响应文件开启，供应商法定代表人或委托代理人须按时登录</w:t>
      </w:r>
      <w:bookmarkStart w:id="107" w:name="_Hlk90300780"/>
      <w:r>
        <w:rPr>
          <w:rFonts w:hint="eastAsia"/>
          <w:color w:val="auto"/>
        </w:rPr>
        <w:t>政采云远程开标大厅</w:t>
      </w:r>
      <w:bookmarkEnd w:id="107"/>
      <w:r>
        <w:rPr>
          <w:rFonts w:hint="eastAsia"/>
          <w:color w:val="auto"/>
        </w:rPr>
        <w:t>（政府采购云平台-应用中心-项目采购-开标评标），保持全程在线并关注评审、磋商进度，评审期间磋商小组提出澄清等要求时，供应商须在规定时间内进行应答，否则按采购文件或政采云平台的相关规定执行。</w:t>
      </w:r>
      <w:bookmarkStart w:id="108" w:name="_Toc353785301"/>
      <w:bookmarkStart w:id="109" w:name="_Toc352700431"/>
    </w:p>
    <w:p>
      <w:pPr>
        <w:spacing w:line="406" w:lineRule="exact"/>
        <w:ind w:firstLine="210" w:firstLineChars="100"/>
        <w:rPr>
          <w:rFonts w:ascii="方正小标宋_GBK" w:hAnsi="Arial" w:eastAsia="方正小标宋_GBK"/>
          <w:bCs/>
          <w:color w:val="auto"/>
          <w:sz w:val="24"/>
        </w:rPr>
      </w:pPr>
      <w:r>
        <w:rPr>
          <w:rFonts w:hint="eastAsia"/>
          <w:color w:val="auto"/>
        </w:rPr>
        <w:t>（二）</w:t>
      </w:r>
      <w:bookmarkEnd w:id="108"/>
      <w:bookmarkEnd w:id="109"/>
      <w:r>
        <w:rPr>
          <w:rFonts w:hint="eastAsia"/>
          <w:color w:val="auto"/>
        </w:rPr>
        <w:t>解密</w:t>
      </w:r>
    </w:p>
    <w:p>
      <w:pPr>
        <w:spacing w:line="406" w:lineRule="exact"/>
        <w:ind w:firstLine="420" w:firstLineChars="200"/>
        <w:rPr>
          <w:color w:val="auto"/>
        </w:rPr>
      </w:pPr>
      <w:r>
        <w:rPr>
          <w:rFonts w:hint="eastAsia"/>
          <w:color w:val="auto"/>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磋商。</w:t>
      </w:r>
    </w:p>
    <w:p>
      <w:pPr>
        <w:spacing w:line="406" w:lineRule="exact"/>
        <w:ind w:firstLine="211" w:firstLineChars="100"/>
        <w:rPr>
          <w:b/>
          <w:bCs/>
          <w:color w:val="auto"/>
        </w:rPr>
      </w:pPr>
      <w:r>
        <w:rPr>
          <w:rFonts w:hint="eastAsia"/>
          <w:b/>
          <w:bCs/>
          <w:color w:val="auto"/>
        </w:rPr>
        <w:t>（三）资格审查</w:t>
      </w:r>
    </w:p>
    <w:p>
      <w:pPr>
        <w:spacing w:line="406" w:lineRule="exact"/>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采购人依法对供应商的资格进行审查，资格性审查时，如发现下列情形之一的，响应文件将被视为无效：</w:t>
      </w:r>
    </w:p>
    <w:p>
      <w:pPr>
        <w:spacing w:line="406" w:lineRule="exact"/>
        <w:ind w:firstLine="420" w:firstLineChars="200"/>
        <w:rPr>
          <w:rFonts w:ascii="宋体" w:hAnsi="宋体"/>
          <w:color w:val="auto"/>
          <w:szCs w:val="21"/>
        </w:rPr>
      </w:pPr>
      <w:r>
        <w:rPr>
          <w:rFonts w:hint="eastAsia" w:ascii="宋体" w:hAnsi="宋体"/>
          <w:color w:val="auto"/>
          <w:szCs w:val="21"/>
        </w:rPr>
        <w:t>(1)超越了按照法律法规规定必须获得行政许可或者行政审批的经营范围的；</w:t>
      </w:r>
    </w:p>
    <w:p>
      <w:pPr>
        <w:spacing w:line="406" w:lineRule="exact"/>
        <w:ind w:firstLine="420" w:firstLineChars="200"/>
        <w:rPr>
          <w:rFonts w:ascii="宋体" w:hAnsi="宋体"/>
          <w:color w:val="auto"/>
          <w:szCs w:val="21"/>
        </w:rPr>
      </w:pPr>
      <w:r>
        <w:rPr>
          <w:rFonts w:hint="eastAsia" w:ascii="宋体" w:hAnsi="宋体"/>
          <w:color w:val="auto"/>
          <w:szCs w:val="21"/>
        </w:rPr>
        <w:t>(2)资格证明文件不全的，或者不符合采购文件标明的资格要求的。</w:t>
      </w:r>
    </w:p>
    <w:p>
      <w:pPr>
        <w:snapToGrid w:val="0"/>
        <w:spacing w:line="406" w:lineRule="exact"/>
        <w:ind w:firstLine="420"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2"/>
        <w:spacing w:line="406" w:lineRule="exact"/>
        <w:rPr>
          <w:rFonts w:ascii="宋体" w:hAnsi="宋体"/>
          <w:color w:val="auto"/>
          <w:szCs w:val="21"/>
        </w:rPr>
      </w:pPr>
      <w:bookmarkStart w:id="110" w:name="_五、评审与磋商"/>
      <w:bookmarkEnd w:id="110"/>
      <w:bookmarkStart w:id="111" w:name="_Toc352700432"/>
      <w:bookmarkStart w:id="112" w:name="_Toc353785302"/>
      <w:bookmarkStart w:id="113" w:name="_Toc254970545"/>
      <w:bookmarkStart w:id="114" w:name="_Toc254970686"/>
      <w:r>
        <w:rPr>
          <w:rFonts w:hint="eastAsia"/>
          <w:color w:val="auto"/>
        </w:rPr>
        <w:t>五、</w:t>
      </w:r>
      <w:bookmarkEnd w:id="111"/>
      <w:bookmarkEnd w:id="112"/>
      <w:bookmarkEnd w:id="113"/>
      <w:bookmarkEnd w:id="114"/>
      <w:r>
        <w:rPr>
          <w:rFonts w:hint="eastAsia" w:ascii="宋体" w:hAnsi="宋体"/>
          <w:color w:val="auto"/>
          <w:szCs w:val="21"/>
        </w:rPr>
        <w:t>评审与磋商</w:t>
      </w:r>
    </w:p>
    <w:p>
      <w:pPr>
        <w:snapToGrid w:val="0"/>
        <w:spacing w:line="406" w:lineRule="exact"/>
        <w:ind w:firstLine="211" w:firstLineChars="100"/>
        <w:rPr>
          <w:rFonts w:ascii="宋体" w:hAnsi="宋体"/>
          <w:b/>
          <w:bCs/>
          <w:color w:val="auto"/>
          <w:szCs w:val="21"/>
        </w:rPr>
      </w:pPr>
      <w:bookmarkStart w:id="115" w:name="_Toc352700433"/>
      <w:bookmarkStart w:id="116" w:name="_Toc353785303"/>
      <w:r>
        <w:rPr>
          <w:rFonts w:hint="eastAsia" w:ascii="宋体" w:hAnsi="宋体"/>
          <w:b/>
          <w:bCs/>
          <w:color w:val="auto"/>
          <w:szCs w:val="21"/>
        </w:rPr>
        <w:t>（一）评审原则：</w:t>
      </w:r>
    </w:p>
    <w:p>
      <w:pPr>
        <w:snapToGrid w:val="0"/>
        <w:spacing w:line="406"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磋商小组必须公平、公正、客观，不带任何倾向性和启发性；不得向外界透露任何与评审有关的内容；任何单位和个人不得干扰、影响评审的正常进行；磋商小组及有关工作人员不得私下接触供应商。</w:t>
      </w:r>
    </w:p>
    <w:p>
      <w:pPr>
        <w:snapToGrid w:val="0"/>
        <w:spacing w:line="406" w:lineRule="exact"/>
        <w:ind w:firstLine="420" w:firstLineChars="200"/>
        <w:rPr>
          <w:rFonts w:ascii="宋体" w:hAnsi="宋体" w:cs="Courier New"/>
          <w:color w:val="auto"/>
          <w:szCs w:val="21"/>
        </w:rPr>
      </w:pPr>
      <w:r>
        <w:rPr>
          <w:rFonts w:ascii="宋体" w:hAnsi="宋体"/>
          <w:color w:val="auto"/>
          <w:szCs w:val="21"/>
        </w:rPr>
        <w:t>2.</w:t>
      </w:r>
      <w:r>
        <w:rPr>
          <w:rFonts w:hint="eastAsia" w:ascii="宋体" w:hAnsi="宋体" w:cs="Courier New"/>
          <w:color w:val="auto"/>
          <w:szCs w:val="21"/>
        </w:rPr>
        <w:t>本项目采用不公开方式评审，评审的依据为采购文件和响应文件。</w:t>
      </w:r>
    </w:p>
    <w:p>
      <w:pPr>
        <w:snapToGrid w:val="0"/>
        <w:spacing w:line="406" w:lineRule="exact"/>
        <w:ind w:firstLine="211" w:firstLineChars="100"/>
        <w:rPr>
          <w:rFonts w:ascii="宋体" w:hAnsi="宋体"/>
          <w:b/>
          <w:bCs/>
          <w:color w:val="auto"/>
          <w:szCs w:val="21"/>
        </w:rPr>
      </w:pPr>
      <w:r>
        <w:rPr>
          <w:rFonts w:hint="eastAsia"/>
          <w:b/>
          <w:bCs/>
          <w:color w:val="auto"/>
        </w:rPr>
        <w:t>（二）成立磋商小组</w:t>
      </w:r>
    </w:p>
    <w:p>
      <w:pPr>
        <w:snapToGrid w:val="0"/>
        <w:spacing w:line="406" w:lineRule="exact"/>
        <w:ind w:firstLine="420" w:firstLineChars="200"/>
        <w:rPr>
          <w:rFonts w:ascii="宋体" w:hAnsi="宋体"/>
          <w:color w:val="auto"/>
          <w:szCs w:val="21"/>
        </w:rPr>
      </w:pPr>
      <w:r>
        <w:rPr>
          <w:rFonts w:hint="eastAsia" w:ascii="宋体" w:hAnsi="宋体" w:cs="Courier New"/>
          <w:bCs/>
          <w:color w:val="auto"/>
          <w:szCs w:val="21"/>
        </w:rPr>
        <w:t>磋商小组</w:t>
      </w:r>
      <w:bookmarkEnd w:id="115"/>
      <w:bookmarkEnd w:id="116"/>
      <w:r>
        <w:rPr>
          <w:rFonts w:hint="eastAsia" w:ascii="宋体" w:hAnsi="宋体" w:cs="Courier New"/>
          <w:bCs/>
          <w:color w:val="auto"/>
          <w:szCs w:val="21"/>
        </w:rPr>
        <w:t>由采购人代表和评审专家共3人以上单数组成，其中评审专家人数不得少于磋商小组成员总数的2/3。</w:t>
      </w:r>
    </w:p>
    <w:p>
      <w:pPr>
        <w:spacing w:line="406" w:lineRule="exact"/>
        <w:ind w:firstLine="211" w:firstLineChars="100"/>
        <w:rPr>
          <w:rFonts w:ascii="宋体" w:hAnsi="宋体" w:cs="Courier New"/>
          <w:color w:val="auto"/>
          <w:szCs w:val="21"/>
        </w:rPr>
      </w:pPr>
      <w:r>
        <w:rPr>
          <w:rFonts w:hint="eastAsia" w:ascii="宋体" w:hAnsi="宋体"/>
          <w:b/>
          <w:bCs/>
          <w:color w:val="auto"/>
          <w:szCs w:val="21"/>
        </w:rPr>
        <w:t>（三）实质性审查</w:t>
      </w:r>
    </w:p>
    <w:p>
      <w:pPr>
        <w:snapToGrid w:val="0"/>
        <w:spacing w:line="406" w:lineRule="exact"/>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磋商小组成员根据磋商文件规定的评审程序、评审方法和评审标准进行独立评审。未实质性响应磋商文件的响应文件按无效响应处理，磋商小组应当告知提交响应文件的供应商。</w:t>
      </w:r>
    </w:p>
    <w:p>
      <w:pPr>
        <w:snapToGrid w:val="0"/>
        <w:spacing w:line="406" w:lineRule="exact"/>
        <w:ind w:firstLine="422" w:firstLineChars="200"/>
        <w:rPr>
          <w:rFonts w:ascii="宋体" w:hAnsi="宋体"/>
          <w:b/>
          <w:bCs/>
          <w:color w:val="auto"/>
          <w:szCs w:val="21"/>
        </w:rPr>
      </w:pPr>
      <w:r>
        <w:rPr>
          <w:rFonts w:hint="eastAsia" w:ascii="宋体" w:hAnsi="宋体"/>
          <w:b/>
          <w:bCs/>
          <w:color w:val="auto"/>
          <w:szCs w:val="21"/>
        </w:rPr>
        <w:t>2</w:t>
      </w:r>
      <w:r>
        <w:rPr>
          <w:rFonts w:ascii="宋体" w:hAnsi="宋体"/>
          <w:b/>
          <w:bCs/>
          <w:color w:val="auto"/>
          <w:szCs w:val="21"/>
        </w:rPr>
        <w:t>.</w:t>
      </w:r>
      <w:r>
        <w:rPr>
          <w:rFonts w:hint="eastAsia" w:ascii="宋体" w:hAnsi="宋体"/>
          <w:b/>
          <w:bCs/>
          <w:color w:val="auto"/>
          <w:szCs w:val="21"/>
        </w:rPr>
        <w:t>实质性审查时，如发现下列情形之一的，响应文件将被视为无效：</w:t>
      </w:r>
    </w:p>
    <w:p>
      <w:pPr>
        <w:snapToGrid w:val="0"/>
        <w:spacing w:line="406" w:lineRule="exact"/>
        <w:ind w:firstLine="525" w:firstLineChars="250"/>
        <w:rPr>
          <w:rFonts w:ascii="宋体" w:hAnsi="宋体"/>
          <w:color w:val="auto"/>
          <w:szCs w:val="21"/>
        </w:rPr>
      </w:pPr>
      <w:r>
        <w:rPr>
          <w:rFonts w:hint="eastAsia" w:ascii="宋体" w:hAnsi="宋体"/>
          <w:color w:val="auto"/>
          <w:szCs w:val="21"/>
        </w:rPr>
        <w:t>①应交未交磋商保证金的；</w:t>
      </w:r>
    </w:p>
    <w:p>
      <w:pPr>
        <w:snapToGrid w:val="0"/>
        <w:spacing w:line="406" w:lineRule="exact"/>
        <w:ind w:firstLine="525" w:firstLineChars="250"/>
        <w:rPr>
          <w:rFonts w:ascii="宋体" w:hAnsi="宋体"/>
          <w:color w:val="auto"/>
          <w:szCs w:val="21"/>
        </w:rPr>
      </w:pPr>
      <w:r>
        <w:rPr>
          <w:rFonts w:hint="eastAsia" w:ascii="宋体" w:hAnsi="宋体"/>
          <w:color w:val="auto"/>
          <w:szCs w:val="21"/>
        </w:rPr>
        <w:t>②响应文件未按响应文件编制要求提供或内容虚假的；</w:t>
      </w:r>
    </w:p>
    <w:p>
      <w:pPr>
        <w:snapToGrid w:val="0"/>
        <w:spacing w:line="406" w:lineRule="exact"/>
        <w:ind w:firstLine="525" w:firstLineChars="250"/>
        <w:rPr>
          <w:rFonts w:ascii="宋体" w:hAnsi="宋体"/>
          <w:color w:val="auto"/>
          <w:szCs w:val="21"/>
        </w:rPr>
      </w:pPr>
      <w:r>
        <w:rPr>
          <w:rFonts w:hint="eastAsia" w:ascii="宋体" w:hAnsi="宋体"/>
          <w:color w:val="auto"/>
          <w:szCs w:val="21"/>
        </w:rPr>
        <w:t>③响应文件无法定代表人或其委托代理人签署、未提供授权委托书，或未按规定盖章的；</w:t>
      </w:r>
    </w:p>
    <w:p>
      <w:pPr>
        <w:snapToGrid w:val="0"/>
        <w:spacing w:line="406" w:lineRule="exact"/>
        <w:ind w:firstLine="525" w:firstLineChars="250"/>
        <w:rPr>
          <w:rFonts w:ascii="宋体" w:hAnsi="宋体"/>
          <w:color w:val="auto"/>
          <w:szCs w:val="21"/>
        </w:rPr>
      </w:pPr>
      <w:r>
        <w:rPr>
          <w:rFonts w:hint="eastAsia" w:ascii="宋体" w:hAnsi="宋体"/>
          <w:color w:val="auto"/>
          <w:szCs w:val="21"/>
        </w:rPr>
        <w:t>④供应商代表未能出具身份证明或与法定代表人委托代理人身份不符的；</w:t>
      </w:r>
    </w:p>
    <w:p>
      <w:pPr>
        <w:snapToGrid w:val="0"/>
        <w:spacing w:line="406" w:lineRule="exact"/>
        <w:ind w:firstLine="525" w:firstLineChars="250"/>
        <w:rPr>
          <w:rFonts w:ascii="宋体" w:hAnsi="宋体"/>
          <w:color w:val="auto"/>
          <w:szCs w:val="21"/>
        </w:rPr>
      </w:pPr>
      <w:r>
        <w:rPr>
          <w:rFonts w:hint="eastAsia" w:ascii="宋体" w:hAnsi="宋体"/>
          <w:color w:val="auto"/>
          <w:szCs w:val="21"/>
        </w:rPr>
        <w:t>⑤经磋商未实质性响应采购文件采购需求的技术、服务要求的；</w:t>
      </w:r>
    </w:p>
    <w:p>
      <w:pPr>
        <w:snapToGrid w:val="0"/>
        <w:spacing w:line="406" w:lineRule="exact"/>
        <w:ind w:firstLine="525" w:firstLineChars="250"/>
        <w:rPr>
          <w:rFonts w:ascii="宋体" w:hAnsi="宋体"/>
          <w:color w:val="auto"/>
          <w:szCs w:val="21"/>
        </w:rPr>
      </w:pPr>
      <w:r>
        <w:rPr>
          <w:rFonts w:hint="eastAsia" w:ascii="宋体" w:hAnsi="宋体"/>
          <w:color w:val="auto"/>
          <w:szCs w:val="21"/>
        </w:rPr>
        <w:t>⑥经磋商</w:t>
      </w:r>
      <w:r>
        <w:rPr>
          <w:rFonts w:hint="eastAsia" w:ascii="宋体" w:hAnsi="宋体"/>
          <w:color w:val="auto"/>
          <w:spacing w:val="-4"/>
          <w:szCs w:val="21"/>
        </w:rPr>
        <w:t>不符合采购文件要求的质量标准，或者与采购文件中的技术指标、功能、服务事项发生较大偏离，已不符合采购人需求的；</w:t>
      </w:r>
    </w:p>
    <w:p>
      <w:pPr>
        <w:snapToGrid w:val="0"/>
        <w:spacing w:line="406" w:lineRule="exact"/>
        <w:ind w:firstLine="505" w:firstLineChars="250"/>
        <w:rPr>
          <w:rFonts w:ascii="宋体" w:hAnsi="宋体"/>
          <w:color w:val="auto"/>
          <w:szCs w:val="21"/>
        </w:rPr>
      </w:pPr>
      <w:r>
        <w:rPr>
          <w:rFonts w:hint="eastAsia" w:ascii="宋体" w:hAnsi="宋体"/>
          <w:color w:val="auto"/>
          <w:spacing w:val="-4"/>
          <w:szCs w:val="21"/>
        </w:rPr>
        <w:t>⑦</w:t>
      </w:r>
      <w:r>
        <w:rPr>
          <w:rFonts w:hint="eastAsia" w:ascii="宋体" w:hAnsi="宋体"/>
          <w:color w:val="auto"/>
          <w:szCs w:val="21"/>
        </w:rPr>
        <w:t>响应文件有采购人不能接受的附加条件的；</w:t>
      </w:r>
    </w:p>
    <w:p>
      <w:pPr>
        <w:snapToGrid w:val="0"/>
        <w:spacing w:line="406" w:lineRule="exact"/>
        <w:ind w:firstLine="525" w:firstLineChars="250"/>
        <w:rPr>
          <w:rFonts w:ascii="宋体" w:hAnsi="宋体"/>
          <w:color w:val="auto"/>
          <w:spacing w:val="-4"/>
          <w:szCs w:val="21"/>
        </w:rPr>
      </w:pPr>
      <w:r>
        <w:rPr>
          <w:rFonts w:hint="eastAsia" w:ascii="宋体" w:hAnsi="宋体"/>
          <w:color w:val="auto"/>
          <w:szCs w:val="21"/>
        </w:rPr>
        <w:t>⑧</w:t>
      </w:r>
      <w:r>
        <w:rPr>
          <w:rFonts w:hint="eastAsia" w:ascii="宋体" w:hAnsi="宋体"/>
          <w:color w:val="auto"/>
          <w:spacing w:val="-4"/>
          <w:szCs w:val="21"/>
        </w:rPr>
        <w:t>响应文件技术方案不明确，存在一个或一个以上备选(替代)响应方案的；</w:t>
      </w:r>
    </w:p>
    <w:p>
      <w:pPr>
        <w:snapToGrid w:val="0"/>
        <w:spacing w:line="406" w:lineRule="exact"/>
        <w:ind w:firstLine="505" w:firstLineChars="250"/>
        <w:rPr>
          <w:rFonts w:ascii="宋体" w:hAnsi="宋体"/>
          <w:color w:val="auto"/>
          <w:szCs w:val="21"/>
        </w:rPr>
      </w:pPr>
      <w:r>
        <w:rPr>
          <w:rFonts w:hint="eastAsia" w:ascii="宋体" w:hAnsi="宋体"/>
          <w:color w:val="auto"/>
          <w:spacing w:val="-4"/>
          <w:szCs w:val="21"/>
        </w:rPr>
        <w:t>⑨</w:t>
      </w:r>
      <w:r>
        <w:rPr>
          <w:rFonts w:hint="eastAsia" w:ascii="宋体" w:hAnsi="宋体"/>
          <w:color w:val="auto"/>
          <w:szCs w:val="21"/>
        </w:rPr>
        <w:t>响应文件的实质性内容未使用中文表述、意思表述不明确、前后矛盾或者使用计量单位不符合采购文件要求的。</w:t>
      </w:r>
    </w:p>
    <w:p>
      <w:pPr>
        <w:spacing w:line="406" w:lineRule="exact"/>
        <w:ind w:firstLine="211" w:firstLineChars="100"/>
        <w:rPr>
          <w:b/>
          <w:bCs/>
          <w:color w:val="auto"/>
        </w:rPr>
      </w:pPr>
      <w:r>
        <w:rPr>
          <w:rFonts w:hint="eastAsia"/>
          <w:b/>
          <w:bCs/>
          <w:color w:val="auto"/>
        </w:rPr>
        <w:t>（四）磋商</w:t>
      </w:r>
    </w:p>
    <w:p>
      <w:pPr>
        <w:pStyle w:val="22"/>
        <w:spacing w:line="406" w:lineRule="exact"/>
        <w:ind w:firstLine="420" w:firstLineChars="200"/>
        <w:rPr>
          <w:rFonts w:hAnsi="宋体"/>
          <w:bCs/>
          <w:color w:val="auto"/>
        </w:rPr>
      </w:pPr>
      <w:r>
        <w:rPr>
          <w:rFonts w:hint="eastAsia" w:hAnsi="宋体"/>
          <w:bCs/>
          <w:color w:val="auto"/>
        </w:rPr>
        <w:t>1</w:t>
      </w:r>
      <w:r>
        <w:rPr>
          <w:rFonts w:hAnsi="宋体"/>
          <w:bCs/>
          <w:color w:val="auto"/>
        </w:rPr>
        <w:t>.</w:t>
      </w:r>
      <w:r>
        <w:rPr>
          <w:rFonts w:hint="eastAsia" w:hAnsi="宋体"/>
          <w:bCs/>
          <w:color w:val="auto"/>
        </w:rPr>
        <w:t>磋商小组所有成员应当集中与单一供应商分别进行磋商，并给予所有参加磋商的供应商平等的磋商机会。</w:t>
      </w:r>
    </w:p>
    <w:p>
      <w:pPr>
        <w:pStyle w:val="22"/>
        <w:spacing w:line="406" w:lineRule="exact"/>
        <w:ind w:firstLine="420" w:firstLineChars="200"/>
        <w:rPr>
          <w:rFonts w:hAnsi="宋体"/>
          <w:bCs/>
          <w:color w:val="auto"/>
        </w:rPr>
      </w:pPr>
      <w:r>
        <w:rPr>
          <w:rFonts w:hAnsi="宋体"/>
          <w:bCs/>
          <w:color w:val="auto"/>
        </w:rPr>
        <w:t>2.</w:t>
      </w:r>
      <w:r>
        <w:rPr>
          <w:rFonts w:hint="eastAsia" w:hAnsi="宋体"/>
          <w:bCs/>
          <w:color w:val="auto"/>
        </w:rPr>
        <w:t>磋商小组可以根据磋商文件和磋商情况实质性变动采购需求中的技术、服务要求以及合同草案条款，但不得变动磋商文件中的其他内容。实质性变动的内容，须经采购人代表确认。</w:t>
      </w:r>
    </w:p>
    <w:p>
      <w:pPr>
        <w:pStyle w:val="22"/>
        <w:spacing w:line="406" w:lineRule="exact"/>
        <w:ind w:firstLine="420" w:firstLineChars="200"/>
        <w:rPr>
          <w:rFonts w:hAnsi="宋体"/>
          <w:bCs/>
          <w:color w:val="auto"/>
        </w:rPr>
      </w:pPr>
      <w:r>
        <w:rPr>
          <w:rFonts w:hAnsi="宋体"/>
          <w:bCs/>
          <w:color w:val="auto"/>
        </w:rPr>
        <w:t>3.</w:t>
      </w:r>
      <w:r>
        <w:rPr>
          <w:rFonts w:hint="eastAsia" w:hAnsi="宋体"/>
          <w:bCs/>
          <w:color w:val="auto"/>
        </w:rPr>
        <w:t>对磋商文件作出的实质性变动是磋商文件的有效组成部分，磋商小组应当及时以书面形式同时通知所有参加磋商的供应商。</w:t>
      </w:r>
    </w:p>
    <w:p>
      <w:pPr>
        <w:pStyle w:val="22"/>
        <w:spacing w:line="406" w:lineRule="exact"/>
        <w:ind w:firstLine="420" w:firstLineChars="200"/>
        <w:rPr>
          <w:rFonts w:hAnsi="宋体"/>
          <w:bCs/>
          <w:color w:val="auto"/>
        </w:rPr>
      </w:pPr>
      <w:r>
        <w:rPr>
          <w:rFonts w:hAnsi="宋体"/>
          <w:bCs/>
          <w:color w:val="auto"/>
        </w:rPr>
        <w:t>4.</w:t>
      </w:r>
      <w:r>
        <w:rPr>
          <w:rFonts w:hint="eastAsia" w:hAnsi="宋体"/>
          <w:bCs/>
          <w:color w:val="auto"/>
        </w:rPr>
        <w:t>供应商应当按照磋商文件的变动情况和磋商小组的要求重新提交响应文件，并由其法定代表人或授权代表签名或者加盖公章。由授权代表签名的，应当附法定代表人授权书。供应商为自然人的，应当由本人签名并附身份证明。逾时不提交的，视同退出磋商。</w:t>
      </w:r>
    </w:p>
    <w:p>
      <w:pPr>
        <w:pStyle w:val="22"/>
        <w:spacing w:line="406" w:lineRule="exact"/>
        <w:ind w:firstLine="420" w:firstLineChars="200"/>
        <w:rPr>
          <w:rFonts w:hAnsi="宋体"/>
          <w:bCs/>
          <w:color w:val="auto"/>
        </w:rPr>
      </w:pPr>
      <w:r>
        <w:rPr>
          <w:rFonts w:hAnsi="宋体"/>
          <w:bCs/>
          <w:color w:val="auto"/>
        </w:rPr>
        <w:t>5.</w:t>
      </w:r>
      <w:r>
        <w:rPr>
          <w:rFonts w:hint="eastAsia" w:hAnsi="宋体"/>
          <w:bCs/>
          <w:color w:val="auto"/>
        </w:rPr>
        <w:t>已提交响应文件的供应商，在提交最后报价之前，可以根据磋商情况退出磋商。</w:t>
      </w:r>
    </w:p>
    <w:p>
      <w:pPr>
        <w:spacing w:line="406" w:lineRule="exact"/>
        <w:ind w:firstLine="211" w:firstLineChars="100"/>
        <w:rPr>
          <w:b/>
          <w:bCs/>
          <w:color w:val="auto"/>
        </w:rPr>
      </w:pPr>
      <w:r>
        <w:rPr>
          <w:rFonts w:hint="eastAsia"/>
          <w:b/>
          <w:bCs/>
          <w:color w:val="auto"/>
        </w:rPr>
        <w:t>（五）最后报价</w:t>
      </w:r>
    </w:p>
    <w:p>
      <w:pPr>
        <w:spacing w:line="406" w:lineRule="exact"/>
        <w:ind w:firstLine="420" w:firstLineChars="200"/>
        <w:rPr>
          <w:color w:val="auto"/>
        </w:rPr>
      </w:pPr>
      <w:r>
        <w:rPr>
          <w:color w:val="auto"/>
        </w:rPr>
        <w:t>1.</w:t>
      </w:r>
      <w:r>
        <w:rPr>
          <w:rFonts w:hint="eastAsia"/>
          <w:color w:val="auto"/>
        </w:rPr>
        <w:t>磋商文件能够详细列明采购标的的技术、服务要求的，磋商结束后，磋商小组应当要求所有实质性响应的供应商在规定时间内提交最后报价，提交最后报价的供应商不得少于3家。</w:t>
      </w:r>
    </w:p>
    <w:p>
      <w:pPr>
        <w:spacing w:line="406" w:lineRule="exact"/>
        <w:ind w:firstLine="420" w:firstLineChars="200"/>
        <w:rPr>
          <w:color w:val="auto"/>
        </w:rPr>
      </w:pPr>
      <w:r>
        <w:rPr>
          <w:rFonts w:hint="eastAsia"/>
          <w:color w:val="auto"/>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06" w:lineRule="exact"/>
        <w:ind w:firstLine="420" w:firstLineChars="200"/>
        <w:rPr>
          <w:color w:val="auto"/>
        </w:rPr>
      </w:pPr>
      <w:bookmarkStart w:id="117" w:name="_Hlk101270484"/>
      <w:r>
        <w:rPr>
          <w:rFonts w:hint="eastAsia"/>
          <w:color w:val="auto"/>
        </w:rPr>
        <w:t>市场竞争不充分的科研项目，以及需要扶持的科技成果转化项目</w:t>
      </w:r>
      <w:bookmarkEnd w:id="117"/>
      <w:r>
        <w:rPr>
          <w:rFonts w:hint="eastAsia"/>
          <w:color w:val="auto"/>
        </w:rPr>
        <w:t>提交最后报价的供应商可以为2家。</w:t>
      </w:r>
    </w:p>
    <w:p>
      <w:pPr>
        <w:spacing w:line="406" w:lineRule="exact"/>
        <w:ind w:firstLine="420" w:firstLineChars="200"/>
        <w:rPr>
          <w:color w:val="auto"/>
        </w:rPr>
      </w:pPr>
      <w:r>
        <w:rPr>
          <w:color w:val="auto"/>
        </w:rPr>
        <w:t>2.</w:t>
      </w:r>
      <w:r>
        <w:rPr>
          <w:rFonts w:hint="eastAsia"/>
          <w:color w:val="auto"/>
        </w:rPr>
        <w:t>最后报价应由其法定代表人或授权代表签名或者加盖公章，最后报价即系供应商响应报价。</w:t>
      </w:r>
    </w:p>
    <w:p>
      <w:pPr>
        <w:snapToGrid w:val="0"/>
        <w:spacing w:line="406" w:lineRule="exact"/>
        <w:ind w:firstLine="422" w:firstLineChars="200"/>
        <w:rPr>
          <w:rFonts w:ascii="宋体" w:hAnsi="宋体"/>
          <w:color w:val="auto"/>
          <w:szCs w:val="21"/>
        </w:rPr>
      </w:pPr>
      <w:r>
        <w:rPr>
          <w:rFonts w:hint="eastAsia"/>
          <w:b/>
          <w:bCs/>
          <w:color w:val="auto"/>
        </w:rPr>
        <w:t>3</w:t>
      </w:r>
      <w:r>
        <w:rPr>
          <w:b/>
          <w:bCs/>
          <w:color w:val="auto"/>
        </w:rPr>
        <w:t>.</w:t>
      </w:r>
      <w:r>
        <w:rPr>
          <w:rFonts w:hint="eastAsia" w:ascii="宋体" w:hAnsi="宋体" w:cs="Courier New"/>
          <w:b/>
          <w:color w:val="auto"/>
          <w:szCs w:val="21"/>
        </w:rPr>
        <w:t>在报价评审时，如发现下列情形之一的，响应文件将被视为无效：</w:t>
      </w:r>
    </w:p>
    <w:p>
      <w:pPr>
        <w:snapToGrid w:val="0"/>
        <w:spacing w:line="406"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报价未采用人民币或者未按照采购文件标明的币种报价的；</w:t>
      </w:r>
    </w:p>
    <w:p>
      <w:pPr>
        <w:snapToGrid w:val="0"/>
        <w:spacing w:line="406"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报价明细表中货物品牌、规格、型号、服务事项未明确或与响应文件中相应内容不一致的；</w:t>
      </w:r>
    </w:p>
    <w:p>
      <w:pPr>
        <w:snapToGrid w:val="0"/>
        <w:spacing w:line="406" w:lineRule="exact"/>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报价具有选择性的；</w:t>
      </w:r>
    </w:p>
    <w:p>
      <w:pPr>
        <w:snapToGrid w:val="0"/>
        <w:spacing w:line="406" w:lineRule="exact"/>
        <w:ind w:firstLine="420" w:firstLineChars="200"/>
        <w:rPr>
          <w:rFonts w:hint="eastAsia" w:ascii="宋体" w:hAnsi="宋体"/>
          <w:color w:val="auto"/>
          <w:szCs w:val="21"/>
        </w:rPr>
      </w:pPr>
      <w:r>
        <w:rPr>
          <w:rFonts w:ascii="宋体" w:hAnsi="宋体"/>
          <w:color w:val="auto"/>
          <w:szCs w:val="21"/>
        </w:rPr>
        <w:t>(4)</w:t>
      </w:r>
      <w:r>
        <w:rPr>
          <w:rFonts w:hint="eastAsia" w:ascii="宋体" w:hAnsi="宋体"/>
          <w:color w:val="auto"/>
          <w:szCs w:val="21"/>
        </w:rPr>
        <w:t>报价未按采购文件或政府采购云平台规定的格式填写，或未在规定时间内提交最后报价的。</w:t>
      </w:r>
    </w:p>
    <w:p>
      <w:pPr>
        <w:widowControl/>
        <w:spacing w:line="540" w:lineRule="exact"/>
        <w:ind w:firstLine="402" w:firstLineChars="200"/>
        <w:jc w:val="left"/>
        <w:rPr>
          <w:rFonts w:hint="eastAsia" w:ascii="宋体" w:hAnsi="宋体" w:eastAsia="宋体" w:cs="宋体"/>
          <w:b/>
          <w:bCs/>
          <w:color w:val="auto"/>
          <w:sz w:val="20"/>
          <w:szCs w:val="20"/>
        </w:rPr>
      </w:pPr>
      <w:r>
        <w:rPr>
          <w:rFonts w:hint="eastAsia" w:ascii="宋体" w:hAnsi="宋体" w:cs="宋体"/>
          <w:b/>
          <w:bCs/>
          <w:color w:val="auto"/>
          <w:sz w:val="20"/>
          <w:szCs w:val="20"/>
          <w:lang w:val="en-US" w:eastAsia="zh-CN"/>
        </w:rPr>
        <w:t>4.</w:t>
      </w:r>
      <w:r>
        <w:rPr>
          <w:rFonts w:hint="eastAsia" w:ascii="宋体" w:hAnsi="宋体" w:cs="宋体"/>
          <w:b/>
          <w:bCs/>
          <w:color w:val="auto"/>
          <w:sz w:val="20"/>
          <w:szCs w:val="20"/>
          <w:lang w:eastAsia="zh-CN"/>
        </w:rPr>
        <w:t>磋商小组</w:t>
      </w:r>
      <w:r>
        <w:rPr>
          <w:rFonts w:hint="eastAsia" w:ascii="宋体" w:hAnsi="宋体" w:eastAsia="宋体" w:cs="宋体"/>
          <w:b/>
          <w:bCs/>
          <w:color w:val="auto"/>
          <w:sz w:val="20"/>
          <w:szCs w:val="20"/>
        </w:rPr>
        <w:t>在评审中发现下列情形之一的，应当</w:t>
      </w:r>
      <w:bookmarkStart w:id="118" w:name="OLE_LINK2"/>
      <w:r>
        <w:rPr>
          <w:rFonts w:hint="eastAsia" w:ascii="宋体" w:hAnsi="宋体" w:eastAsia="宋体" w:cs="宋体"/>
          <w:b/>
          <w:bCs/>
          <w:color w:val="auto"/>
          <w:sz w:val="20"/>
          <w:szCs w:val="20"/>
        </w:rPr>
        <w:t>启动异常低价响应审查程序</w:t>
      </w:r>
      <w:bookmarkEnd w:id="118"/>
      <w:r>
        <w:rPr>
          <w:rFonts w:hint="eastAsia" w:ascii="宋体" w:hAnsi="宋体" w:eastAsia="宋体" w:cs="宋体"/>
          <w:b/>
          <w:bCs/>
          <w:color w:val="auto"/>
          <w:sz w:val="20"/>
          <w:szCs w:val="20"/>
        </w:rPr>
        <w:t>：</w:t>
      </w:r>
    </w:p>
    <w:p>
      <w:pPr>
        <w:pStyle w:val="22"/>
        <w:spacing w:line="406" w:lineRule="exact"/>
        <w:ind w:firstLine="420" w:firstLineChars="200"/>
        <w:rPr>
          <w:rFonts w:hint="eastAsia" w:hAnsi="宋体"/>
          <w:bCs/>
          <w:color w:val="auto"/>
        </w:rPr>
      </w:pPr>
      <w:r>
        <w:rPr>
          <w:rFonts w:hint="eastAsia" w:hAnsi="宋体"/>
          <w:bCs/>
          <w:color w:val="auto"/>
          <w:lang w:eastAsia="zh-CN"/>
        </w:rPr>
        <w:t>（</w:t>
      </w:r>
      <w:r>
        <w:rPr>
          <w:rFonts w:hint="eastAsia" w:hAnsi="宋体"/>
          <w:bCs/>
          <w:color w:val="auto"/>
          <w:lang w:val="en-US" w:eastAsia="zh-CN"/>
        </w:rPr>
        <w:t>1</w:t>
      </w:r>
      <w:r>
        <w:rPr>
          <w:rFonts w:hint="eastAsia" w:hAnsi="宋体"/>
          <w:bCs/>
          <w:color w:val="auto"/>
          <w:lang w:eastAsia="zh-CN"/>
        </w:rPr>
        <w:t>）响应报价</w:t>
      </w:r>
      <w:r>
        <w:rPr>
          <w:rFonts w:hint="eastAsia" w:hAnsi="宋体"/>
          <w:bCs/>
          <w:color w:val="auto"/>
        </w:rPr>
        <w:t>低于全部通过符合性审查供应商</w:t>
      </w:r>
      <w:r>
        <w:rPr>
          <w:rFonts w:hint="eastAsia" w:hAnsi="宋体"/>
          <w:bCs/>
          <w:color w:val="auto"/>
          <w:lang w:eastAsia="zh-CN"/>
        </w:rPr>
        <w:t>响应报价</w:t>
      </w:r>
      <w:r>
        <w:rPr>
          <w:rFonts w:hint="eastAsia" w:hAnsi="宋体"/>
          <w:bCs/>
          <w:color w:val="auto"/>
        </w:rPr>
        <w:t>平均值50%的，即</w:t>
      </w:r>
      <w:r>
        <w:rPr>
          <w:rFonts w:hint="eastAsia" w:hAnsi="宋体"/>
          <w:bCs/>
          <w:color w:val="auto"/>
          <w:lang w:eastAsia="zh-CN"/>
        </w:rPr>
        <w:t>响应报价</w:t>
      </w:r>
      <w:r>
        <w:rPr>
          <w:rFonts w:hint="eastAsia" w:hAnsi="宋体"/>
          <w:bCs/>
          <w:color w:val="auto"/>
        </w:rPr>
        <w:t>＜全部通过符合性审查供应商</w:t>
      </w:r>
      <w:r>
        <w:rPr>
          <w:rFonts w:hint="eastAsia" w:hAnsi="宋体"/>
          <w:bCs/>
          <w:color w:val="auto"/>
          <w:lang w:eastAsia="zh-CN"/>
        </w:rPr>
        <w:t>响应报价</w:t>
      </w:r>
      <w:r>
        <w:rPr>
          <w:rFonts w:hint="eastAsia" w:hAnsi="宋体"/>
          <w:bCs/>
          <w:color w:val="auto"/>
        </w:rPr>
        <w:t>平均值×50%；</w:t>
      </w:r>
    </w:p>
    <w:p>
      <w:pPr>
        <w:pStyle w:val="22"/>
        <w:spacing w:line="406" w:lineRule="exact"/>
        <w:ind w:firstLine="420" w:firstLineChars="200"/>
        <w:rPr>
          <w:rFonts w:hint="eastAsia" w:hAnsi="宋体"/>
          <w:bCs/>
          <w:color w:val="auto"/>
        </w:rPr>
      </w:pPr>
      <w:r>
        <w:rPr>
          <w:rFonts w:hint="eastAsia" w:hAnsi="宋体"/>
          <w:bCs/>
          <w:color w:val="auto"/>
          <w:lang w:eastAsia="zh-CN"/>
        </w:rPr>
        <w:t>（</w:t>
      </w:r>
      <w:r>
        <w:rPr>
          <w:rFonts w:hint="eastAsia" w:hAnsi="宋体"/>
          <w:bCs/>
          <w:color w:val="auto"/>
          <w:lang w:val="en-US" w:eastAsia="zh-CN"/>
        </w:rPr>
        <w:t>2</w:t>
      </w:r>
      <w:r>
        <w:rPr>
          <w:rFonts w:hint="eastAsia" w:hAnsi="宋体"/>
          <w:bCs/>
          <w:color w:val="auto"/>
          <w:lang w:eastAsia="zh-CN"/>
        </w:rPr>
        <w:t>）响应报价</w:t>
      </w:r>
      <w:r>
        <w:rPr>
          <w:rFonts w:hint="eastAsia" w:hAnsi="宋体"/>
          <w:bCs/>
          <w:color w:val="auto"/>
        </w:rPr>
        <w:t>低于通过符合性审查的次低报价供应商</w:t>
      </w:r>
      <w:r>
        <w:rPr>
          <w:rFonts w:hint="eastAsia" w:hAnsi="宋体"/>
          <w:bCs/>
          <w:color w:val="auto"/>
          <w:lang w:eastAsia="zh-CN"/>
        </w:rPr>
        <w:t>响应报价</w:t>
      </w:r>
      <w:r>
        <w:rPr>
          <w:rFonts w:hint="eastAsia" w:hAnsi="宋体"/>
          <w:bCs/>
          <w:color w:val="auto"/>
        </w:rPr>
        <w:t>50%的，即</w:t>
      </w:r>
      <w:r>
        <w:rPr>
          <w:rFonts w:hint="eastAsia" w:hAnsi="宋体"/>
          <w:bCs/>
          <w:color w:val="auto"/>
          <w:lang w:eastAsia="zh-CN"/>
        </w:rPr>
        <w:t>响应报价</w:t>
      </w:r>
      <w:r>
        <w:rPr>
          <w:rFonts w:hint="eastAsia" w:hAnsi="宋体"/>
          <w:bCs/>
          <w:color w:val="auto"/>
        </w:rPr>
        <w:t>＜通过符合性审查的次低报价供应商</w:t>
      </w:r>
      <w:r>
        <w:rPr>
          <w:rFonts w:hint="eastAsia" w:hAnsi="宋体"/>
          <w:bCs/>
          <w:color w:val="auto"/>
          <w:lang w:eastAsia="zh-CN"/>
        </w:rPr>
        <w:t>响应报价</w:t>
      </w:r>
      <w:r>
        <w:rPr>
          <w:rFonts w:hint="eastAsia" w:hAnsi="宋体"/>
          <w:bCs/>
          <w:color w:val="auto"/>
        </w:rPr>
        <w:t>×50%；</w:t>
      </w:r>
    </w:p>
    <w:p>
      <w:pPr>
        <w:pStyle w:val="22"/>
        <w:spacing w:line="406" w:lineRule="exact"/>
        <w:ind w:firstLine="420" w:firstLineChars="200"/>
        <w:rPr>
          <w:rFonts w:hint="eastAsia" w:hAnsi="宋体"/>
          <w:bCs/>
          <w:color w:val="auto"/>
        </w:rPr>
      </w:pPr>
      <w:r>
        <w:rPr>
          <w:rFonts w:hint="eastAsia" w:hAnsi="宋体"/>
          <w:bCs/>
          <w:color w:val="auto"/>
          <w:lang w:eastAsia="zh-CN"/>
        </w:rPr>
        <w:t>（</w:t>
      </w:r>
      <w:r>
        <w:rPr>
          <w:rFonts w:hint="eastAsia" w:hAnsi="宋体"/>
          <w:bCs/>
          <w:color w:val="auto"/>
          <w:lang w:val="en-US" w:eastAsia="zh-CN"/>
        </w:rPr>
        <w:t>3</w:t>
      </w:r>
      <w:r>
        <w:rPr>
          <w:rFonts w:hint="eastAsia" w:hAnsi="宋体"/>
          <w:bCs/>
          <w:color w:val="auto"/>
          <w:lang w:eastAsia="zh-CN"/>
        </w:rPr>
        <w:t>）响应报价</w:t>
      </w:r>
      <w:r>
        <w:rPr>
          <w:rFonts w:hint="eastAsia" w:hAnsi="宋体"/>
          <w:bCs/>
          <w:color w:val="auto"/>
        </w:rPr>
        <w:t>低于采购项目最高限价45%的，即</w:t>
      </w:r>
      <w:r>
        <w:rPr>
          <w:rFonts w:hint="eastAsia" w:hAnsi="宋体"/>
          <w:bCs/>
          <w:color w:val="auto"/>
          <w:lang w:eastAsia="zh-CN"/>
        </w:rPr>
        <w:t>响应报价</w:t>
      </w:r>
      <w:r>
        <w:rPr>
          <w:rFonts w:hint="eastAsia" w:hAnsi="宋体"/>
          <w:bCs/>
          <w:color w:val="auto"/>
        </w:rPr>
        <w:t>＜采购项目最高限价×45%；</w:t>
      </w:r>
    </w:p>
    <w:p>
      <w:pPr>
        <w:pStyle w:val="22"/>
        <w:spacing w:line="406" w:lineRule="exact"/>
        <w:ind w:firstLine="420" w:firstLineChars="200"/>
        <w:rPr>
          <w:rFonts w:hint="eastAsia" w:hAnsi="宋体"/>
          <w:bCs/>
          <w:color w:val="auto"/>
        </w:rPr>
      </w:pPr>
      <w:r>
        <w:rPr>
          <w:rFonts w:hint="eastAsia" w:hAnsi="宋体"/>
          <w:bCs/>
          <w:color w:val="auto"/>
          <w:lang w:eastAsia="zh-CN"/>
        </w:rPr>
        <w:t>（</w:t>
      </w:r>
      <w:r>
        <w:rPr>
          <w:rFonts w:hint="eastAsia" w:hAnsi="宋体"/>
          <w:bCs/>
          <w:color w:val="auto"/>
          <w:lang w:val="en-US" w:eastAsia="zh-CN"/>
        </w:rPr>
        <w:t>4</w:t>
      </w:r>
      <w:r>
        <w:rPr>
          <w:rFonts w:hint="eastAsia" w:hAnsi="宋体"/>
          <w:bCs/>
          <w:color w:val="auto"/>
          <w:lang w:eastAsia="zh-CN"/>
        </w:rPr>
        <w:t>）磋商小组</w:t>
      </w:r>
      <w:r>
        <w:rPr>
          <w:rFonts w:hint="eastAsia" w:hAnsi="宋体"/>
          <w:bCs/>
          <w:color w:val="auto"/>
        </w:rPr>
        <w:t>基于专业判断，认为供应商报价过低，有可能影响产品质量或者不能诚信履约的其他情形。</w:t>
      </w:r>
    </w:p>
    <w:p>
      <w:pPr>
        <w:pStyle w:val="22"/>
        <w:spacing w:line="406" w:lineRule="exact"/>
        <w:ind w:firstLine="420" w:firstLineChars="200"/>
        <w:rPr>
          <w:rFonts w:hint="eastAsia" w:hAnsi="宋体"/>
          <w:bCs/>
          <w:color w:val="auto"/>
        </w:rPr>
      </w:pPr>
      <w:r>
        <w:rPr>
          <w:rFonts w:hint="eastAsia" w:hAnsi="宋体"/>
          <w:bCs/>
          <w:color w:val="auto"/>
          <w:lang w:eastAsia="zh-CN"/>
        </w:rPr>
        <w:t>磋商小组</w:t>
      </w:r>
      <w:r>
        <w:rPr>
          <w:rFonts w:hint="eastAsia" w:hAnsi="宋体"/>
          <w:bCs/>
          <w:color w:val="auto"/>
        </w:rPr>
        <w:t>启动异常低价响应审查后，属于前述第</w:t>
      </w:r>
      <w:r>
        <w:rPr>
          <w:rFonts w:hint="eastAsia" w:hAnsi="宋体"/>
          <w:bCs/>
          <w:color w:val="auto"/>
          <w:lang w:eastAsia="zh-CN"/>
        </w:rPr>
        <w:t>（</w:t>
      </w:r>
      <w:r>
        <w:rPr>
          <w:rFonts w:hint="eastAsia" w:hAnsi="宋体"/>
          <w:bCs/>
          <w:color w:val="auto"/>
          <w:lang w:val="en-US" w:eastAsia="zh-CN"/>
        </w:rPr>
        <w:t>1</w:t>
      </w:r>
      <w:r>
        <w:rPr>
          <w:rFonts w:hint="eastAsia" w:hAnsi="宋体"/>
          <w:bCs/>
          <w:color w:val="auto"/>
          <w:lang w:eastAsia="zh-CN"/>
        </w:rPr>
        <w:t>）</w:t>
      </w:r>
      <w:r>
        <w:rPr>
          <w:rFonts w:hint="eastAsia" w:hAnsi="宋体"/>
          <w:bCs/>
          <w:color w:val="auto"/>
        </w:rPr>
        <w:t>项至第</w:t>
      </w:r>
      <w:r>
        <w:rPr>
          <w:rFonts w:hint="eastAsia" w:hAnsi="宋体"/>
          <w:bCs/>
          <w:color w:val="auto"/>
          <w:lang w:eastAsia="zh-CN"/>
        </w:rPr>
        <w:t>（</w:t>
      </w:r>
      <w:r>
        <w:rPr>
          <w:rFonts w:hint="eastAsia" w:hAnsi="宋体"/>
          <w:bCs/>
          <w:color w:val="auto"/>
          <w:lang w:val="en-US" w:eastAsia="zh-CN"/>
        </w:rPr>
        <w:t>4</w:t>
      </w:r>
      <w:r>
        <w:rPr>
          <w:rFonts w:hint="eastAsia" w:hAnsi="宋体"/>
          <w:bCs/>
          <w:color w:val="auto"/>
          <w:lang w:eastAsia="zh-CN"/>
        </w:rPr>
        <w:t>）</w:t>
      </w:r>
      <w:r>
        <w:rPr>
          <w:rFonts w:hint="eastAsia" w:hAnsi="宋体"/>
          <w:bCs/>
          <w:color w:val="auto"/>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hAnsi="宋体"/>
          <w:bCs/>
          <w:color w:val="auto"/>
          <w:lang w:eastAsia="zh-CN"/>
        </w:rPr>
        <w:t>（</w:t>
      </w:r>
      <w:r>
        <w:rPr>
          <w:rFonts w:hint="eastAsia" w:hAnsi="宋体"/>
          <w:bCs/>
          <w:color w:val="auto"/>
          <w:lang w:val="en-US" w:eastAsia="zh-CN"/>
        </w:rPr>
        <w:t>3</w:t>
      </w:r>
      <w:r>
        <w:rPr>
          <w:rFonts w:hint="eastAsia" w:hAnsi="宋体"/>
          <w:bCs/>
          <w:color w:val="auto"/>
          <w:lang w:eastAsia="zh-CN"/>
        </w:rPr>
        <w:t>）</w:t>
      </w:r>
      <w:r>
        <w:rPr>
          <w:rFonts w:hint="eastAsia" w:hAnsi="宋体"/>
          <w:bCs/>
          <w:color w:val="auto"/>
        </w:rPr>
        <w:t>项情形，供应商已随响应文件一并提交相关书面说明及必要的证明材料的，可不再重复提交。</w:t>
      </w:r>
    </w:p>
    <w:p>
      <w:pPr>
        <w:pStyle w:val="22"/>
        <w:spacing w:line="406" w:lineRule="exact"/>
        <w:ind w:firstLine="420" w:firstLineChars="200"/>
        <w:rPr>
          <w:rFonts w:hint="eastAsia" w:hAnsi="宋体"/>
          <w:b/>
          <w:bCs w:val="0"/>
          <w:color w:val="auto"/>
        </w:rPr>
      </w:pPr>
      <w:r>
        <w:rPr>
          <w:rFonts w:hint="eastAsia" w:hAnsi="宋体"/>
          <w:bCs/>
          <w:color w:val="auto"/>
          <w:lang w:eastAsia="zh-CN"/>
        </w:rPr>
        <w:t>磋商小组</w:t>
      </w:r>
      <w:r>
        <w:rPr>
          <w:rFonts w:hint="eastAsia" w:hAnsi="宋体"/>
          <w:bCs/>
          <w:color w:val="auto"/>
        </w:rPr>
        <w:t>依据专业经验，参考同类项目中标（成交）价格、类似产品市场价格水平、行业人工费用标准、国家有关部门指导行业协会发布的行业平均成本等情况，对报价合理性进行判断。</w:t>
      </w:r>
      <w:r>
        <w:rPr>
          <w:rFonts w:hint="eastAsia" w:hAnsi="宋体"/>
          <w:b/>
          <w:bCs w:val="0"/>
          <w:color w:val="auto"/>
        </w:rPr>
        <w:t>相关供应商不能提供书面说明、证明材料，或者提供的书面说明、证明材料不能证明其报价合理性的，</w:t>
      </w:r>
      <w:r>
        <w:rPr>
          <w:rFonts w:hint="eastAsia" w:hAnsi="宋体"/>
          <w:b/>
          <w:bCs w:val="0"/>
          <w:color w:val="auto"/>
          <w:lang w:eastAsia="zh-CN"/>
        </w:rPr>
        <w:t>磋商小组</w:t>
      </w:r>
      <w:r>
        <w:rPr>
          <w:rFonts w:hint="eastAsia" w:hAnsi="宋体"/>
          <w:b/>
          <w:bCs w:val="0"/>
          <w:color w:val="auto"/>
        </w:rPr>
        <w:t>应当将其作为无效响应处理。</w:t>
      </w:r>
    </w:p>
    <w:p>
      <w:pPr>
        <w:pStyle w:val="22"/>
        <w:spacing w:line="406" w:lineRule="exact"/>
        <w:ind w:firstLine="420" w:firstLineChars="200"/>
        <w:rPr>
          <w:rFonts w:hint="eastAsia" w:hAnsi="宋体"/>
          <w:bCs/>
          <w:color w:val="auto"/>
        </w:rPr>
      </w:pPr>
      <w:r>
        <w:rPr>
          <w:rFonts w:hint="eastAsia" w:hAnsi="宋体"/>
          <w:bCs/>
          <w:color w:val="auto"/>
        </w:rPr>
        <w:t>采购人、采购代理机构应当为</w:t>
      </w:r>
      <w:r>
        <w:rPr>
          <w:rFonts w:hint="eastAsia" w:hAnsi="宋体"/>
          <w:bCs/>
          <w:color w:val="auto"/>
          <w:lang w:eastAsia="zh-CN"/>
        </w:rPr>
        <w:t>磋商小组</w:t>
      </w:r>
      <w:r>
        <w:rPr>
          <w:rFonts w:hint="eastAsia" w:hAnsi="宋体"/>
          <w:bCs/>
          <w:color w:val="auto"/>
        </w:rPr>
        <w:t>在评审现场及时获取同类项目中标（成交）价格、类似产品市场价格水平、行业人工费用标准、国家有关部门指导行业协会发布的行业平均成本等相关信息资料提供便利。</w:t>
      </w:r>
      <w:r>
        <w:rPr>
          <w:rFonts w:hint="eastAsia" w:hAnsi="宋体"/>
          <w:bCs/>
          <w:color w:val="auto"/>
          <w:lang w:eastAsia="zh-CN"/>
        </w:rPr>
        <w:t>磋商小组</w:t>
      </w:r>
      <w:r>
        <w:rPr>
          <w:rFonts w:hint="eastAsia" w:hAnsi="宋体"/>
          <w:bCs/>
          <w:color w:val="auto"/>
        </w:rPr>
        <w:t>借助互联网等渠道查询相关信息的，应当严格遵守评审工作纪律，不得实施影响评审公正的行为。</w:t>
      </w:r>
    </w:p>
    <w:p>
      <w:pPr>
        <w:pStyle w:val="22"/>
        <w:spacing w:line="406" w:lineRule="exact"/>
        <w:ind w:firstLine="420" w:firstLineChars="200"/>
        <w:rPr>
          <w:rFonts w:hint="eastAsia" w:hAnsi="宋体"/>
          <w:bCs/>
          <w:color w:val="auto"/>
        </w:rPr>
      </w:pPr>
      <w:r>
        <w:rPr>
          <w:rFonts w:hint="eastAsia" w:hAnsi="宋体"/>
          <w:bCs/>
          <w:color w:val="auto"/>
        </w:rPr>
        <w:t>异常低价响应审查的启动原因、审查意见和审查结果应当在评审报告中记录，并随供应商提供的相关书面说明及证明材料，以及</w:t>
      </w:r>
      <w:r>
        <w:rPr>
          <w:rFonts w:hint="eastAsia" w:hAnsi="宋体"/>
          <w:bCs/>
          <w:color w:val="auto"/>
          <w:lang w:eastAsia="zh-CN"/>
        </w:rPr>
        <w:t>磋商小组</w:t>
      </w:r>
      <w:r>
        <w:rPr>
          <w:rFonts w:hint="eastAsia" w:hAnsi="宋体"/>
          <w:bCs/>
          <w:color w:val="auto"/>
        </w:rPr>
        <w:t>有关互联网浏览、查询历史一并归档。</w:t>
      </w:r>
    </w:p>
    <w:p>
      <w:pPr>
        <w:spacing w:line="406" w:lineRule="exact"/>
        <w:ind w:firstLine="211" w:firstLineChars="100"/>
        <w:rPr>
          <w:b/>
          <w:bCs/>
          <w:color w:val="auto"/>
        </w:rPr>
      </w:pPr>
      <w:r>
        <w:rPr>
          <w:rFonts w:hint="eastAsia"/>
          <w:b/>
          <w:bCs/>
          <w:color w:val="auto"/>
        </w:rPr>
        <w:t>（六）澄清、说明或者更正的形式</w:t>
      </w:r>
    </w:p>
    <w:p>
      <w:pPr>
        <w:pStyle w:val="22"/>
        <w:spacing w:line="406" w:lineRule="exact"/>
        <w:ind w:firstLine="420"/>
        <w:rPr>
          <w:rFonts w:hAnsi="宋体"/>
          <w:bCs/>
          <w:color w:val="auto"/>
        </w:rPr>
      </w:pPr>
      <w:r>
        <w:rPr>
          <w:rFonts w:hint="eastAsia" w:hAnsi="宋体"/>
          <w:bCs/>
          <w:color w:val="auto"/>
        </w:rPr>
        <w:t>1</w:t>
      </w:r>
      <w:r>
        <w:rPr>
          <w:rFonts w:hAnsi="宋体"/>
          <w:bCs/>
          <w:color w:val="auto"/>
        </w:rPr>
        <w:t>.</w:t>
      </w:r>
      <w:r>
        <w:rPr>
          <w:rFonts w:hint="eastAsia" w:hAnsi="宋体"/>
          <w:bCs/>
          <w:color w:val="auto"/>
        </w:rPr>
        <w:t>磋商小组在对响应文件的有效性、完整性和响应程度进行审查时，可以要求供应商对响应文件中含义不明确、同类问题表述不一致或者有明显文字和计算错误的内容等作出必要的</w:t>
      </w:r>
      <w:bookmarkStart w:id="119" w:name="_Hlk92462362"/>
      <w:r>
        <w:rPr>
          <w:rFonts w:hint="eastAsia" w:hAnsi="宋体"/>
          <w:bCs/>
          <w:color w:val="auto"/>
        </w:rPr>
        <w:t>澄清、说明或者更正</w:t>
      </w:r>
      <w:bookmarkEnd w:id="119"/>
      <w:r>
        <w:rPr>
          <w:rFonts w:hint="eastAsia" w:hAnsi="宋体"/>
          <w:bCs/>
          <w:color w:val="auto"/>
        </w:rPr>
        <w:t>。供应商的澄清、说明或者更正不得超出响应文件的范围或者改变响应文件的实质性内容。</w:t>
      </w:r>
    </w:p>
    <w:p>
      <w:pPr>
        <w:pStyle w:val="22"/>
        <w:spacing w:line="406" w:lineRule="exact"/>
        <w:ind w:firstLine="420"/>
        <w:rPr>
          <w:rFonts w:hAnsi="宋体"/>
          <w:bCs/>
          <w:color w:val="auto"/>
        </w:rPr>
      </w:pPr>
      <w:r>
        <w:rPr>
          <w:rFonts w:hint="eastAsia" w:hAnsi="宋体"/>
          <w:bCs/>
          <w:color w:val="auto"/>
        </w:rPr>
        <w:t>2</w:t>
      </w:r>
      <w:r>
        <w:rPr>
          <w:rFonts w:hAnsi="宋体"/>
          <w:bCs/>
          <w:color w:val="auto"/>
        </w:rPr>
        <w:t>.</w:t>
      </w:r>
      <w:r>
        <w:rPr>
          <w:rFonts w:hint="eastAsia" w:hAnsi="宋体"/>
          <w:bCs/>
          <w:color w:val="auto"/>
        </w:rPr>
        <w:t>磋商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06" w:lineRule="exact"/>
        <w:ind w:firstLine="211" w:firstLineChars="100"/>
        <w:rPr>
          <w:b/>
          <w:bCs/>
          <w:color w:val="auto"/>
        </w:rPr>
      </w:pPr>
      <w:r>
        <w:rPr>
          <w:rFonts w:hint="eastAsia"/>
          <w:b/>
          <w:bCs/>
          <w:color w:val="auto"/>
        </w:rPr>
        <w:t>（七）综合评分</w:t>
      </w:r>
    </w:p>
    <w:p>
      <w:pPr>
        <w:spacing w:line="406" w:lineRule="exact"/>
        <w:ind w:firstLine="420" w:firstLineChars="200"/>
        <w:rPr>
          <w:rFonts w:ascii="宋体" w:hAnsi="Courier New" w:cs="Courier New"/>
          <w:color w:val="auto"/>
          <w:szCs w:val="21"/>
        </w:rPr>
      </w:pPr>
      <w:r>
        <w:rPr>
          <w:rFonts w:hint="eastAsia" w:ascii="宋体" w:hAnsi="Courier New" w:cs="Courier New"/>
          <w:color w:val="auto"/>
          <w:szCs w:val="21"/>
        </w:rPr>
        <w:t>1</w:t>
      </w:r>
      <w:r>
        <w:rPr>
          <w:rFonts w:ascii="宋体" w:hAnsi="Courier New" w:cs="Courier New"/>
          <w:color w:val="auto"/>
          <w:szCs w:val="21"/>
        </w:rPr>
        <w:t>.</w:t>
      </w:r>
      <w:r>
        <w:rPr>
          <w:rFonts w:hint="eastAsia" w:ascii="宋体" w:hAnsi="Courier New" w:cs="Courier New"/>
          <w:color w:val="auto"/>
          <w:szCs w:val="21"/>
        </w:rPr>
        <w:t>经磋商确定最终采购需求和提交最后报价的供应商后，由磋商小组采用综合评分法对提交最后报价的供应商的响应文件和最后报价进行综合评分。</w:t>
      </w:r>
    </w:p>
    <w:p>
      <w:pPr>
        <w:spacing w:line="406" w:lineRule="exact"/>
        <w:ind w:firstLine="420" w:firstLineChars="200"/>
        <w:rPr>
          <w:color w:val="auto"/>
        </w:rPr>
      </w:pPr>
      <w:r>
        <w:rPr>
          <w:rFonts w:hint="eastAsia" w:ascii="宋体" w:hAnsi="Courier New" w:cs="Courier New"/>
          <w:color w:val="auto"/>
          <w:szCs w:val="21"/>
        </w:rPr>
        <w:t>2</w:t>
      </w:r>
      <w:r>
        <w:rPr>
          <w:rFonts w:ascii="宋体" w:hAnsi="Courier New" w:cs="Courier New"/>
          <w:color w:val="auto"/>
          <w:szCs w:val="21"/>
        </w:rPr>
        <w:t>.</w:t>
      </w:r>
      <w:r>
        <w:rPr>
          <w:rFonts w:hint="eastAsia" w:ascii="宋体" w:hAnsi="Courier New" w:cs="Courier New"/>
          <w:color w:val="auto"/>
          <w:szCs w:val="21"/>
        </w:rPr>
        <w:t>综合评分法：响应文件满足磋商文件全部实质性要求且按评审因素的量化指标评审得分最高的供应商为成交候选供应商，详见第四章《评定标准及推荐原则》。</w:t>
      </w:r>
    </w:p>
    <w:p>
      <w:pPr>
        <w:pStyle w:val="22"/>
        <w:spacing w:line="406" w:lineRule="exact"/>
        <w:ind w:firstLine="211" w:firstLineChars="100"/>
        <w:rPr>
          <w:rFonts w:hAnsi="宋体"/>
          <w:b/>
          <w:color w:val="auto"/>
        </w:rPr>
      </w:pPr>
      <w:r>
        <w:rPr>
          <w:rFonts w:hint="eastAsia" w:hAnsi="宋体"/>
          <w:b/>
          <w:color w:val="auto"/>
        </w:rPr>
        <w:t>（八）供应商有下列情形之一的，属于恶意串通：</w:t>
      </w:r>
    </w:p>
    <w:p>
      <w:pPr>
        <w:pStyle w:val="22"/>
        <w:spacing w:line="406" w:lineRule="exact"/>
        <w:ind w:firstLine="420" w:firstLineChars="200"/>
        <w:rPr>
          <w:rFonts w:hAnsi="宋体" w:cs="Times New Roman"/>
          <w:color w:val="auto"/>
        </w:rPr>
      </w:pPr>
      <w:r>
        <w:rPr>
          <w:rFonts w:hint="eastAsia" w:hAnsi="宋体" w:cs="Times New Roman"/>
          <w:color w:val="auto"/>
        </w:rPr>
        <w:t>1</w:t>
      </w:r>
      <w:r>
        <w:rPr>
          <w:rFonts w:hAnsi="宋体" w:cs="Times New Roman"/>
          <w:color w:val="auto"/>
        </w:rPr>
        <w:t>.</w:t>
      </w:r>
      <w:r>
        <w:rPr>
          <w:rFonts w:hint="eastAsia" w:hAnsi="宋体" w:cs="Times New Roman"/>
          <w:color w:val="auto"/>
        </w:rPr>
        <w:t>供应商直接或者间接从采购人或者采购代理机构处获得其他供应商的相关情况并修改其响应文件；</w:t>
      </w:r>
    </w:p>
    <w:p>
      <w:pPr>
        <w:pStyle w:val="22"/>
        <w:spacing w:line="406" w:lineRule="exact"/>
        <w:ind w:firstLine="420" w:firstLineChars="200"/>
        <w:rPr>
          <w:rFonts w:hAnsi="宋体" w:cs="Times New Roman"/>
          <w:color w:val="auto"/>
        </w:rPr>
      </w:pPr>
      <w:r>
        <w:rPr>
          <w:rFonts w:hint="eastAsia" w:hAnsi="宋体" w:cs="Times New Roman"/>
          <w:color w:val="auto"/>
        </w:rPr>
        <w:t>2</w:t>
      </w:r>
      <w:r>
        <w:rPr>
          <w:rFonts w:hAnsi="宋体" w:cs="Times New Roman"/>
          <w:color w:val="auto"/>
        </w:rPr>
        <w:t>.</w:t>
      </w:r>
      <w:r>
        <w:rPr>
          <w:rFonts w:hint="eastAsia" w:hAnsi="宋体" w:cs="Times New Roman"/>
          <w:color w:val="auto"/>
        </w:rPr>
        <w:t>供应商按照采购人或者采购代理机构的授意撤换、修改响应文件；</w:t>
      </w:r>
    </w:p>
    <w:p>
      <w:pPr>
        <w:pStyle w:val="22"/>
        <w:spacing w:line="406" w:lineRule="exact"/>
        <w:ind w:firstLine="420" w:firstLineChars="200"/>
        <w:rPr>
          <w:rFonts w:hAnsi="宋体" w:cs="Times New Roman"/>
          <w:color w:val="auto"/>
        </w:rPr>
      </w:pPr>
      <w:r>
        <w:rPr>
          <w:rFonts w:hint="eastAsia" w:hAnsi="宋体" w:cs="Times New Roman"/>
          <w:color w:val="auto"/>
        </w:rPr>
        <w:t>3</w:t>
      </w:r>
      <w:r>
        <w:rPr>
          <w:rFonts w:hAnsi="宋体" w:cs="Times New Roman"/>
          <w:color w:val="auto"/>
        </w:rPr>
        <w:t>.</w:t>
      </w:r>
      <w:r>
        <w:rPr>
          <w:rFonts w:hint="eastAsia" w:hAnsi="宋体" w:cs="Times New Roman"/>
          <w:color w:val="auto"/>
        </w:rPr>
        <w:t>供应商之间协商报价、技术方案等响应文件的实质性内容；</w:t>
      </w:r>
    </w:p>
    <w:p>
      <w:pPr>
        <w:pStyle w:val="22"/>
        <w:spacing w:line="406" w:lineRule="exact"/>
        <w:ind w:firstLine="420" w:firstLineChars="200"/>
        <w:rPr>
          <w:rFonts w:hAnsi="宋体" w:cs="Times New Roman"/>
          <w:color w:val="auto"/>
        </w:rPr>
      </w:pPr>
      <w:r>
        <w:rPr>
          <w:rFonts w:hint="eastAsia" w:hAnsi="宋体" w:cs="Times New Roman"/>
          <w:color w:val="auto"/>
        </w:rPr>
        <w:t>4</w:t>
      </w:r>
      <w:r>
        <w:rPr>
          <w:rFonts w:hAnsi="宋体" w:cs="Times New Roman"/>
          <w:color w:val="auto"/>
        </w:rPr>
        <w:t>.</w:t>
      </w:r>
      <w:r>
        <w:rPr>
          <w:rFonts w:hint="eastAsia" w:hAnsi="宋体" w:cs="Times New Roman"/>
          <w:color w:val="auto"/>
        </w:rPr>
        <w:t>属于同一集团、协会、商会等组织成员的供应商按照该组织要求协同参加政府采购活动；</w:t>
      </w:r>
    </w:p>
    <w:p>
      <w:pPr>
        <w:pStyle w:val="22"/>
        <w:spacing w:line="406" w:lineRule="exact"/>
        <w:ind w:firstLine="420" w:firstLineChars="200"/>
        <w:rPr>
          <w:rFonts w:hAnsi="宋体" w:cs="Times New Roman"/>
          <w:color w:val="auto"/>
        </w:rPr>
      </w:pPr>
      <w:r>
        <w:rPr>
          <w:rFonts w:hint="eastAsia" w:hAnsi="宋体" w:cs="Times New Roman"/>
          <w:color w:val="auto"/>
        </w:rPr>
        <w:t>5</w:t>
      </w:r>
      <w:r>
        <w:rPr>
          <w:rFonts w:hAnsi="宋体" w:cs="Times New Roman"/>
          <w:color w:val="auto"/>
        </w:rPr>
        <w:t>.</w:t>
      </w:r>
      <w:r>
        <w:rPr>
          <w:rFonts w:hint="eastAsia" w:hAnsi="宋体" w:cs="Times New Roman"/>
          <w:color w:val="auto"/>
        </w:rPr>
        <w:t>供应商之间事先约定由某一特定供应商成交；</w:t>
      </w:r>
    </w:p>
    <w:p>
      <w:pPr>
        <w:pStyle w:val="22"/>
        <w:spacing w:line="406" w:lineRule="exact"/>
        <w:ind w:firstLine="420" w:firstLineChars="200"/>
        <w:rPr>
          <w:rFonts w:hAnsi="宋体" w:cs="Times New Roman"/>
          <w:color w:val="auto"/>
        </w:rPr>
      </w:pPr>
      <w:r>
        <w:rPr>
          <w:rFonts w:hint="eastAsia" w:hAnsi="宋体" w:cs="Times New Roman"/>
          <w:color w:val="auto"/>
        </w:rPr>
        <w:t>6</w:t>
      </w:r>
      <w:r>
        <w:rPr>
          <w:rFonts w:hAnsi="宋体" w:cs="Times New Roman"/>
          <w:color w:val="auto"/>
        </w:rPr>
        <w:t>.</w:t>
      </w:r>
      <w:r>
        <w:rPr>
          <w:rFonts w:hint="eastAsia" w:hAnsi="宋体" w:cs="Times New Roman"/>
          <w:color w:val="auto"/>
        </w:rPr>
        <w:t>供应商之间商定部分供应商放弃参加政府采购活动或者放弃成交；</w:t>
      </w:r>
    </w:p>
    <w:p>
      <w:pPr>
        <w:pStyle w:val="22"/>
        <w:spacing w:line="406" w:lineRule="exact"/>
        <w:ind w:firstLine="420" w:firstLineChars="200"/>
        <w:rPr>
          <w:rFonts w:hAnsi="宋体" w:cs="Times New Roman"/>
          <w:color w:val="auto"/>
        </w:rPr>
      </w:pPr>
      <w:r>
        <w:rPr>
          <w:rFonts w:hint="eastAsia" w:hAnsi="宋体" w:cs="Times New Roman"/>
          <w:color w:val="auto"/>
        </w:rPr>
        <w:t>7</w:t>
      </w:r>
      <w:r>
        <w:rPr>
          <w:rFonts w:hAnsi="宋体" w:cs="Times New Roman"/>
          <w:color w:val="auto"/>
        </w:rPr>
        <w:t>.</w:t>
      </w:r>
      <w:r>
        <w:rPr>
          <w:rFonts w:hint="eastAsia" w:hAnsi="宋体" w:cs="Times New Roman"/>
          <w:color w:val="auto"/>
        </w:rPr>
        <w:t>供应商与采购人或者采购代理机构之间、供应商相互之间，为谋求特定供应商成交或者排斥其他供应商的其他串通行为。</w:t>
      </w:r>
    </w:p>
    <w:p>
      <w:pPr>
        <w:pStyle w:val="22"/>
        <w:spacing w:line="406" w:lineRule="exact"/>
        <w:ind w:firstLine="211" w:firstLineChars="100"/>
        <w:rPr>
          <w:rFonts w:hAnsi="宋体"/>
          <w:b/>
          <w:color w:val="auto"/>
        </w:rPr>
      </w:pPr>
      <w:r>
        <w:rPr>
          <w:rFonts w:hint="eastAsia" w:hAnsi="宋体"/>
          <w:b/>
          <w:color w:val="auto"/>
        </w:rPr>
        <w:t>（九）评审报告</w:t>
      </w:r>
    </w:p>
    <w:p>
      <w:pPr>
        <w:widowControl/>
        <w:tabs>
          <w:tab w:val="left" w:pos="540"/>
        </w:tabs>
        <w:spacing w:line="406" w:lineRule="exact"/>
        <w:ind w:firstLine="420" w:firstLineChars="200"/>
        <w:jc w:val="left"/>
        <w:rPr>
          <w:color w:val="auto"/>
          <w:szCs w:val="21"/>
        </w:rPr>
      </w:pPr>
      <w:r>
        <w:rPr>
          <w:rFonts w:hint="eastAsia"/>
          <w:color w:val="auto"/>
          <w:szCs w:val="21"/>
        </w:rPr>
        <w:t>1</w:t>
      </w:r>
      <w:r>
        <w:rPr>
          <w:color w:val="auto"/>
          <w:szCs w:val="21"/>
        </w:rPr>
        <w:t>.</w:t>
      </w:r>
      <w:r>
        <w:rPr>
          <w:rFonts w:hint="eastAsia"/>
          <w:color w:val="auto"/>
          <w:szCs w:val="21"/>
        </w:rPr>
        <w:t>磋商小组应当根据评审记录和评审结果编写评审报告，主要内容包括：</w:t>
      </w:r>
    </w:p>
    <w:p>
      <w:pPr>
        <w:widowControl/>
        <w:tabs>
          <w:tab w:val="left" w:pos="540"/>
        </w:tabs>
        <w:spacing w:line="406" w:lineRule="exact"/>
        <w:ind w:firstLine="420" w:firstLineChars="200"/>
        <w:jc w:val="left"/>
        <w:rPr>
          <w:color w:val="auto"/>
          <w:szCs w:val="21"/>
        </w:rPr>
      </w:pPr>
      <w:r>
        <w:rPr>
          <w:rFonts w:hint="eastAsia"/>
          <w:color w:val="auto"/>
          <w:szCs w:val="21"/>
        </w:rPr>
        <w:t>(</w:t>
      </w:r>
      <w:r>
        <w:rPr>
          <w:color w:val="auto"/>
          <w:szCs w:val="21"/>
        </w:rPr>
        <w:t>1)</w:t>
      </w:r>
      <w:r>
        <w:rPr>
          <w:rFonts w:hint="eastAsia"/>
          <w:color w:val="auto"/>
          <w:szCs w:val="21"/>
        </w:rPr>
        <w:t>邀请供应商参加采购活动的具体方式和相关情况；</w:t>
      </w:r>
    </w:p>
    <w:p>
      <w:pPr>
        <w:widowControl/>
        <w:tabs>
          <w:tab w:val="left" w:pos="540"/>
        </w:tabs>
        <w:spacing w:line="406" w:lineRule="exact"/>
        <w:ind w:firstLine="420" w:firstLineChars="200"/>
        <w:jc w:val="left"/>
        <w:rPr>
          <w:color w:val="auto"/>
          <w:szCs w:val="21"/>
        </w:rPr>
      </w:pPr>
      <w:r>
        <w:rPr>
          <w:rFonts w:hint="eastAsia"/>
          <w:color w:val="auto"/>
          <w:szCs w:val="21"/>
        </w:rPr>
        <w:t>(</w:t>
      </w:r>
      <w:r>
        <w:rPr>
          <w:color w:val="auto"/>
          <w:szCs w:val="21"/>
        </w:rPr>
        <w:t>2)</w:t>
      </w:r>
      <w:r>
        <w:rPr>
          <w:rFonts w:hint="eastAsia"/>
          <w:color w:val="auto"/>
          <w:szCs w:val="21"/>
        </w:rPr>
        <w:t>响应文件开启日期和地点；</w:t>
      </w:r>
    </w:p>
    <w:p>
      <w:pPr>
        <w:widowControl/>
        <w:tabs>
          <w:tab w:val="left" w:pos="540"/>
        </w:tabs>
        <w:spacing w:line="406" w:lineRule="exact"/>
        <w:ind w:firstLine="420" w:firstLineChars="200"/>
        <w:jc w:val="left"/>
        <w:rPr>
          <w:color w:val="auto"/>
          <w:szCs w:val="21"/>
        </w:rPr>
      </w:pPr>
      <w:r>
        <w:rPr>
          <w:rFonts w:hint="eastAsia"/>
          <w:color w:val="auto"/>
          <w:szCs w:val="21"/>
        </w:rPr>
        <w:t>(</w:t>
      </w:r>
      <w:r>
        <w:rPr>
          <w:color w:val="auto"/>
          <w:szCs w:val="21"/>
        </w:rPr>
        <w:t>3)</w:t>
      </w:r>
      <w:r>
        <w:rPr>
          <w:rFonts w:hint="eastAsia"/>
          <w:color w:val="auto"/>
          <w:szCs w:val="21"/>
        </w:rPr>
        <w:t>获取磋商文件的供应商名单和磋商小组成员名单；</w:t>
      </w:r>
    </w:p>
    <w:p>
      <w:pPr>
        <w:widowControl/>
        <w:tabs>
          <w:tab w:val="left" w:pos="540"/>
        </w:tabs>
        <w:spacing w:line="406" w:lineRule="exact"/>
        <w:ind w:firstLine="420" w:firstLineChars="200"/>
        <w:jc w:val="left"/>
        <w:rPr>
          <w:color w:val="auto"/>
          <w:szCs w:val="21"/>
        </w:rPr>
      </w:pPr>
      <w:r>
        <w:rPr>
          <w:rFonts w:hint="eastAsia"/>
          <w:color w:val="auto"/>
          <w:szCs w:val="21"/>
        </w:rPr>
        <w:t>(</w:t>
      </w:r>
      <w:r>
        <w:rPr>
          <w:color w:val="auto"/>
          <w:szCs w:val="21"/>
        </w:rPr>
        <w:t>4)</w:t>
      </w:r>
      <w:r>
        <w:rPr>
          <w:rFonts w:hint="eastAsia"/>
          <w:color w:val="auto"/>
          <w:szCs w:val="21"/>
        </w:rPr>
        <w:t>评审情况记录和说明，包括对供应商的资格审查情况、供应商响应文件评审情况、磋商情况、报价情况等；</w:t>
      </w:r>
    </w:p>
    <w:p>
      <w:pPr>
        <w:widowControl/>
        <w:tabs>
          <w:tab w:val="left" w:pos="540"/>
        </w:tabs>
        <w:spacing w:line="406" w:lineRule="exact"/>
        <w:ind w:firstLine="420" w:firstLineChars="200"/>
        <w:jc w:val="left"/>
        <w:rPr>
          <w:color w:val="auto"/>
          <w:szCs w:val="21"/>
        </w:rPr>
      </w:pPr>
      <w:r>
        <w:rPr>
          <w:rFonts w:hint="eastAsia"/>
          <w:color w:val="auto"/>
          <w:szCs w:val="21"/>
        </w:rPr>
        <w:t>(</w:t>
      </w:r>
      <w:r>
        <w:rPr>
          <w:color w:val="auto"/>
          <w:szCs w:val="21"/>
        </w:rPr>
        <w:t>5)</w:t>
      </w:r>
      <w:r>
        <w:rPr>
          <w:rFonts w:hint="eastAsia"/>
          <w:color w:val="auto"/>
          <w:szCs w:val="21"/>
        </w:rPr>
        <w:t>提出的成交候选供应商的排序名单及理由。</w:t>
      </w:r>
    </w:p>
    <w:p>
      <w:pPr>
        <w:widowControl/>
        <w:tabs>
          <w:tab w:val="left" w:pos="540"/>
        </w:tabs>
        <w:spacing w:line="406" w:lineRule="exact"/>
        <w:ind w:firstLine="420" w:firstLineChars="200"/>
        <w:jc w:val="left"/>
        <w:rPr>
          <w:color w:val="auto"/>
          <w:szCs w:val="21"/>
        </w:rPr>
      </w:pPr>
      <w:r>
        <w:rPr>
          <w:rFonts w:hint="eastAsia"/>
          <w:color w:val="auto"/>
          <w:szCs w:val="21"/>
        </w:rPr>
        <w:t>2</w:t>
      </w:r>
      <w:r>
        <w:rPr>
          <w:color w:val="auto"/>
          <w:szCs w:val="21"/>
        </w:rPr>
        <w:t>.</w:t>
      </w:r>
      <w:r>
        <w:rPr>
          <w:rFonts w:hint="eastAsia"/>
          <w:color w:val="auto"/>
          <w:szCs w:val="21"/>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pStyle w:val="22"/>
        <w:spacing w:line="406" w:lineRule="exact"/>
        <w:ind w:firstLine="211" w:firstLineChars="100"/>
        <w:rPr>
          <w:rFonts w:hAnsi="宋体"/>
          <w:color w:val="auto"/>
        </w:rPr>
      </w:pPr>
      <w:r>
        <w:rPr>
          <w:rFonts w:hint="eastAsia" w:hAnsi="宋体"/>
          <w:b/>
          <w:bCs/>
          <w:color w:val="auto"/>
        </w:rPr>
        <w:t>（十）</w:t>
      </w:r>
      <w:r>
        <w:rPr>
          <w:rFonts w:hint="eastAsia" w:hAnsi="宋体"/>
          <w:b/>
          <w:color w:val="auto"/>
        </w:rPr>
        <w:t>出现下列情形之一的，本中心将终止竞争性磋商采购活动：</w:t>
      </w:r>
    </w:p>
    <w:p>
      <w:pPr>
        <w:pStyle w:val="22"/>
        <w:spacing w:line="406" w:lineRule="exact"/>
        <w:ind w:firstLine="420" w:firstLineChars="200"/>
        <w:rPr>
          <w:rFonts w:hAnsi="宋体"/>
          <w:color w:val="auto"/>
        </w:rPr>
      </w:pPr>
      <w:r>
        <w:rPr>
          <w:rFonts w:hint="eastAsia" w:hAnsi="宋体"/>
          <w:color w:val="auto"/>
        </w:rPr>
        <w:t>1</w:t>
      </w:r>
      <w:r>
        <w:rPr>
          <w:rFonts w:hAnsi="宋体"/>
          <w:color w:val="auto"/>
        </w:rPr>
        <w:t>.</w:t>
      </w:r>
      <w:r>
        <w:rPr>
          <w:rFonts w:hint="eastAsia" w:hAnsi="宋体"/>
          <w:color w:val="auto"/>
        </w:rPr>
        <w:t>因情况变化，不再符合规定的竞争性磋商采购方式适用情形的；</w:t>
      </w:r>
    </w:p>
    <w:p>
      <w:pPr>
        <w:pStyle w:val="22"/>
        <w:spacing w:line="406" w:lineRule="exact"/>
        <w:ind w:firstLine="420" w:firstLineChars="200"/>
        <w:rPr>
          <w:rFonts w:hAnsi="宋体"/>
          <w:color w:val="auto"/>
        </w:rPr>
      </w:pPr>
      <w:r>
        <w:rPr>
          <w:rFonts w:hint="eastAsia" w:hAnsi="宋体"/>
          <w:color w:val="auto"/>
        </w:rPr>
        <w:t>2</w:t>
      </w:r>
      <w:r>
        <w:rPr>
          <w:rFonts w:hAnsi="宋体"/>
          <w:color w:val="auto"/>
        </w:rPr>
        <w:t>.</w:t>
      </w:r>
      <w:r>
        <w:rPr>
          <w:rFonts w:hint="eastAsia" w:hAnsi="宋体"/>
          <w:color w:val="auto"/>
        </w:rPr>
        <w:t>出现影响采购公正的违法、违规行为的；</w:t>
      </w:r>
    </w:p>
    <w:p>
      <w:pPr>
        <w:pStyle w:val="22"/>
        <w:spacing w:line="406" w:lineRule="exact"/>
        <w:ind w:firstLine="420" w:firstLineChars="200"/>
        <w:rPr>
          <w:rFonts w:hAnsi="宋体"/>
          <w:color w:val="auto"/>
        </w:rPr>
      </w:pPr>
      <w:r>
        <w:rPr>
          <w:rFonts w:hint="eastAsia" w:hAnsi="宋体"/>
          <w:color w:val="auto"/>
        </w:rPr>
        <w:t>3</w:t>
      </w:r>
      <w:r>
        <w:rPr>
          <w:rFonts w:hAnsi="宋体"/>
          <w:color w:val="auto"/>
        </w:rPr>
        <w:t>.</w:t>
      </w:r>
      <w:r>
        <w:rPr>
          <w:rFonts w:hint="eastAsia" w:hAnsi="宋体"/>
          <w:color w:val="auto"/>
        </w:rPr>
        <w:t>除特殊情况外，在采购过程中符合要求的供应商或者报价未超过采购预算的供应商不足3家的。</w:t>
      </w:r>
    </w:p>
    <w:p>
      <w:pPr>
        <w:pStyle w:val="2"/>
        <w:spacing w:line="406" w:lineRule="exact"/>
        <w:rPr>
          <w:color w:val="auto"/>
        </w:rPr>
      </w:pPr>
      <w:r>
        <w:rPr>
          <w:rFonts w:hint="eastAsia"/>
          <w:color w:val="auto"/>
        </w:rPr>
        <w:t>六、确定成交供应商</w:t>
      </w:r>
    </w:p>
    <w:p>
      <w:pPr>
        <w:pStyle w:val="22"/>
        <w:spacing w:line="406" w:lineRule="exact"/>
        <w:ind w:firstLine="420"/>
        <w:rPr>
          <w:rFonts w:hAnsi="宋体"/>
          <w:color w:val="auto"/>
        </w:rPr>
      </w:pPr>
      <w:r>
        <w:rPr>
          <w:rFonts w:hint="eastAsia" w:hAnsi="宋体"/>
          <w:color w:val="auto"/>
        </w:rPr>
        <w:t>1</w:t>
      </w:r>
      <w:r>
        <w:rPr>
          <w:rFonts w:hAnsi="宋体"/>
          <w:color w:val="auto"/>
        </w:rPr>
        <w:t>.</w:t>
      </w:r>
      <w:r>
        <w:rPr>
          <w:rFonts w:hint="eastAsia" w:hAnsi="宋体"/>
          <w:color w:val="auto"/>
        </w:rPr>
        <w:t>本中心应当在评审结束后2个工作日内将评审报告送采购人确认。</w:t>
      </w:r>
    </w:p>
    <w:p>
      <w:pPr>
        <w:pStyle w:val="22"/>
        <w:spacing w:line="406" w:lineRule="exact"/>
        <w:ind w:firstLine="420"/>
        <w:rPr>
          <w:rFonts w:hAnsi="宋体"/>
          <w:color w:val="auto"/>
        </w:rPr>
      </w:pPr>
      <w:r>
        <w:rPr>
          <w:rFonts w:hAnsi="宋体"/>
          <w:color w:val="auto"/>
        </w:rPr>
        <w:t>2.</w:t>
      </w:r>
      <w:r>
        <w:rPr>
          <w:rFonts w:hint="eastAsia" w:hAnsi="宋体"/>
          <w:color w:val="auto"/>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2"/>
        <w:spacing w:line="406" w:lineRule="exact"/>
        <w:rPr>
          <w:color w:val="auto"/>
        </w:rPr>
      </w:pPr>
      <w:r>
        <w:rPr>
          <w:rFonts w:hint="eastAsia"/>
          <w:color w:val="auto"/>
        </w:rPr>
        <w:t>七、结果公告</w:t>
      </w:r>
    </w:p>
    <w:p>
      <w:pPr>
        <w:pStyle w:val="22"/>
        <w:spacing w:line="406" w:lineRule="exact"/>
        <w:ind w:firstLine="420" w:firstLineChars="200"/>
        <w:rPr>
          <w:rFonts w:hAnsi="宋体"/>
          <w:color w:val="auto"/>
        </w:rPr>
      </w:pPr>
      <w:r>
        <w:rPr>
          <w:rFonts w:hint="eastAsia" w:hAnsi="宋体"/>
          <w:color w:val="auto"/>
        </w:rPr>
        <w:t>本中心在成交供应商确定后2个工作日内，</w:t>
      </w:r>
      <w:r>
        <w:rPr>
          <w:rFonts w:hint="eastAsia"/>
          <w:color w:val="auto"/>
        </w:rPr>
        <w:t>在省级以上财政部门指定的媒体上公告</w:t>
      </w:r>
      <w:r>
        <w:rPr>
          <w:rFonts w:hint="eastAsia" w:hAnsi="宋体"/>
          <w:color w:val="auto"/>
        </w:rPr>
        <w:t>成交结果，同时向成交供应商发出成交通知书。</w:t>
      </w:r>
    </w:p>
    <w:p>
      <w:pPr>
        <w:pStyle w:val="2"/>
        <w:spacing w:line="406" w:lineRule="exact"/>
        <w:rPr>
          <w:color w:val="auto"/>
        </w:rPr>
      </w:pPr>
      <w:r>
        <w:rPr>
          <w:rFonts w:hint="eastAsia"/>
          <w:color w:val="auto"/>
        </w:rPr>
        <w:t>八、签订合同</w:t>
      </w:r>
    </w:p>
    <w:p>
      <w:pPr>
        <w:spacing w:line="406" w:lineRule="exact"/>
        <w:ind w:firstLine="210" w:firstLineChars="100"/>
        <w:rPr>
          <w:rFonts w:ascii="宋体" w:hAnsi="宋体" w:cs="Courier New"/>
          <w:color w:val="auto"/>
          <w:szCs w:val="21"/>
        </w:rPr>
      </w:pPr>
      <w:r>
        <w:rPr>
          <w:rFonts w:hint="eastAsia" w:ascii="宋体" w:hAnsi="宋体"/>
          <w:color w:val="auto"/>
          <w:szCs w:val="21"/>
        </w:rPr>
        <w:t>（一）</w:t>
      </w:r>
      <w:r>
        <w:rPr>
          <w:rFonts w:hint="eastAsia" w:ascii="宋体" w:hAnsi="宋体" w:cs="Courier New"/>
          <w:color w:val="auto"/>
          <w:szCs w:val="21"/>
        </w:rPr>
        <w:t>采购人与成交供应商应当在成交通知书发出之日起</w:t>
      </w:r>
      <w:r>
        <w:rPr>
          <w:rFonts w:hint="eastAsia" w:ascii="宋体" w:hAnsi="宋体" w:cs="Courier New"/>
          <w:color w:val="auto"/>
          <w:szCs w:val="21"/>
          <w:lang w:val="en-US" w:eastAsia="zh-CN"/>
        </w:rPr>
        <w:t>10</w:t>
      </w:r>
      <w:r>
        <w:rPr>
          <w:rFonts w:hint="eastAsia" w:ascii="宋体" w:hAnsi="宋体" w:cs="Courier New"/>
          <w:color w:val="auto"/>
          <w:szCs w:val="21"/>
        </w:rPr>
        <w:t>日内，按照磋商文件确定的合同文本以及采购标的、规格型号、采购金额、采购数量、技术和服务要求等事项签订政府采购合同。</w:t>
      </w:r>
    </w:p>
    <w:p>
      <w:pPr>
        <w:widowControl/>
        <w:spacing w:line="406" w:lineRule="exact"/>
        <w:ind w:firstLine="210" w:firstLineChars="100"/>
        <w:jc w:val="left"/>
        <w:rPr>
          <w:rFonts w:ascii="宋体" w:hAnsi="宋体" w:cs="宋体"/>
          <w:color w:val="auto"/>
          <w:kern w:val="0"/>
          <w:szCs w:val="21"/>
        </w:rPr>
      </w:pPr>
      <w:r>
        <w:rPr>
          <w:rFonts w:hint="eastAsia" w:ascii="宋体" w:hAnsi="宋体" w:cs="Courier New"/>
          <w:color w:val="auto"/>
          <w:szCs w:val="21"/>
        </w:rPr>
        <w:t>（二）</w:t>
      </w:r>
      <w:r>
        <w:rPr>
          <w:rFonts w:hint="eastAsia" w:ascii="宋体" w:hAnsi="宋体" w:cs="宋体"/>
          <w:color w:val="auto"/>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06" w:lineRule="exact"/>
        <w:ind w:firstLine="210" w:firstLineChars="100"/>
        <w:jc w:val="left"/>
        <w:rPr>
          <w:rFonts w:hint="eastAsia" w:ascii="宋体" w:hAnsi="宋体" w:cs="宋体"/>
          <w:color w:val="auto"/>
          <w:kern w:val="0"/>
          <w:szCs w:val="21"/>
        </w:rPr>
      </w:pPr>
      <w:r>
        <w:rPr>
          <w:rFonts w:hint="eastAsia" w:ascii="宋体" w:hAnsi="宋体" w:cs="宋体"/>
          <w:color w:val="auto"/>
          <w:kern w:val="0"/>
          <w:szCs w:val="21"/>
        </w:rPr>
        <w:t>（三）供应商可凭成交通知书或政府采购合同等在内的相关材料、信息，通过中征应收账款融资服务平台向银行业金融机构在线申请“政采贷”融资。</w:t>
      </w:r>
    </w:p>
    <w:p>
      <w:pPr>
        <w:widowControl/>
        <w:spacing w:line="406" w:lineRule="exact"/>
        <w:ind w:firstLine="210" w:firstLineChars="100"/>
        <w:jc w:val="left"/>
        <w:rPr>
          <w:rFonts w:ascii="宋体" w:hAnsi="宋体" w:cs="宋体"/>
          <w:color w:val="auto"/>
          <w:kern w:val="0"/>
          <w:szCs w:val="21"/>
        </w:rPr>
      </w:pPr>
      <w:r>
        <w:rPr>
          <w:rFonts w:hint="eastAsia" w:ascii="宋体" w:hAnsi="宋体" w:cs="宋体"/>
          <w:color w:val="auto"/>
          <w:kern w:val="0"/>
          <w:szCs w:val="21"/>
        </w:rPr>
        <w:t>（四）除不可抗力等因素外，成交后无正当理由拒不与采购人签订政府采购合同的，应当承担相应的法律责任。</w:t>
      </w:r>
    </w:p>
    <w:p>
      <w:pPr>
        <w:widowControl/>
        <w:spacing w:line="406" w:lineRule="exact"/>
        <w:ind w:firstLine="210" w:firstLineChars="100"/>
        <w:jc w:val="left"/>
        <w:rPr>
          <w:rFonts w:ascii="宋体" w:hAnsi="宋体" w:cs="宋体"/>
          <w:color w:val="auto"/>
          <w:kern w:val="0"/>
          <w:szCs w:val="21"/>
        </w:rPr>
      </w:pPr>
      <w:r>
        <w:rPr>
          <w:rFonts w:hint="eastAsia" w:ascii="宋体" w:hAnsi="宋体" w:cs="宋体"/>
          <w:color w:val="auto"/>
          <w:kern w:val="0"/>
          <w:szCs w:val="21"/>
        </w:rPr>
        <w:t>（五）</w:t>
      </w:r>
      <w:r>
        <w:rPr>
          <w:rFonts w:ascii="Arial" w:hAnsi="Arial" w:cs="Arial"/>
          <w:color w:val="auto"/>
          <w:kern w:val="0"/>
          <w:szCs w:val="21"/>
        </w:rPr>
        <w:t>政府采购合同</w:t>
      </w:r>
      <w:r>
        <w:rPr>
          <w:rFonts w:hint="eastAsia" w:hAnsi="宋体"/>
          <w:color w:val="auto"/>
        </w:rPr>
        <w:t>适用《中华人民共和国民法典》</w:t>
      </w:r>
      <w:r>
        <w:rPr>
          <w:rFonts w:ascii="Arial" w:hAnsi="Arial" w:cs="Arial"/>
          <w:color w:val="auto"/>
          <w:kern w:val="0"/>
          <w:szCs w:val="21"/>
        </w:rPr>
        <w:t>。</w:t>
      </w:r>
    </w:p>
    <w:p>
      <w:pPr>
        <w:widowControl/>
        <w:spacing w:line="406" w:lineRule="exact"/>
        <w:ind w:firstLine="210" w:firstLineChars="100"/>
        <w:jc w:val="left"/>
        <w:rPr>
          <w:rFonts w:ascii="宋体" w:hAnsi="宋体" w:cs="宋体"/>
          <w:color w:val="auto"/>
          <w:kern w:val="0"/>
          <w:szCs w:val="21"/>
        </w:rPr>
      </w:pPr>
      <w:r>
        <w:rPr>
          <w:rFonts w:hint="eastAsia" w:ascii="宋体" w:hAnsi="宋体" w:cs="宋体"/>
          <w:color w:val="auto"/>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2"/>
        <w:spacing w:line="406" w:lineRule="exact"/>
        <w:rPr>
          <w:color w:val="auto"/>
        </w:rPr>
      </w:pPr>
      <w:r>
        <w:rPr>
          <w:rFonts w:hint="eastAsia"/>
          <w:color w:val="auto"/>
        </w:rPr>
        <w:t>九、适用法律</w:t>
      </w:r>
    </w:p>
    <w:p>
      <w:pPr>
        <w:spacing w:line="406" w:lineRule="exact"/>
        <w:ind w:firstLine="420" w:firstLineChars="200"/>
        <w:rPr>
          <w:rFonts w:ascii="宋体" w:hAnsi="宋体"/>
          <w:color w:val="auto"/>
          <w:szCs w:val="21"/>
        </w:rPr>
      </w:pPr>
      <w:bookmarkStart w:id="120" w:name="_Hlk92794186"/>
      <w:r>
        <w:rPr>
          <w:rFonts w:hint="eastAsia" w:ascii="宋体" w:hAnsi="宋体"/>
          <w:color w:val="auto"/>
          <w:szCs w:val="21"/>
        </w:rPr>
        <w:t>本项目采购活动适用于《中华人民共和国政府采购法》及其实施条例、《政府采购竞争性磋商采购方式管理暂行办法》等规定。</w:t>
      </w:r>
    </w:p>
    <w:bookmarkEnd w:id="120"/>
    <w:p>
      <w:pPr>
        <w:pStyle w:val="2"/>
        <w:spacing w:line="406" w:lineRule="exact"/>
        <w:rPr>
          <w:color w:val="auto"/>
        </w:rPr>
      </w:pPr>
      <w:bookmarkStart w:id="121" w:name="_十、其他事项"/>
      <w:bookmarkEnd w:id="121"/>
      <w:r>
        <w:rPr>
          <w:rFonts w:hint="eastAsia"/>
          <w:color w:val="auto"/>
        </w:rPr>
        <w:t>十、其他事项</w:t>
      </w:r>
    </w:p>
    <w:p>
      <w:pPr>
        <w:spacing w:line="406" w:lineRule="exact"/>
        <w:ind w:firstLine="210" w:firstLineChars="100"/>
        <w:rPr>
          <w:rFonts w:hAnsi="宋体"/>
          <w:color w:val="auto"/>
        </w:rPr>
      </w:pPr>
      <w:bookmarkStart w:id="122" w:name="_Hlk94168058"/>
      <w:r>
        <w:rPr>
          <w:rFonts w:hint="eastAsia" w:hAnsi="宋体"/>
          <w:color w:val="auto"/>
        </w:rPr>
        <w:t>（一）</w:t>
      </w:r>
      <w:bookmarkEnd w:id="122"/>
      <w:r>
        <w:rPr>
          <w:rFonts w:hint="eastAsia" w:hAnsi="宋体"/>
          <w:color w:val="auto"/>
        </w:rPr>
        <w:t>代理服务费</w:t>
      </w:r>
    </w:p>
    <w:p>
      <w:pPr>
        <w:spacing w:line="406" w:lineRule="exact"/>
        <w:ind w:firstLine="420" w:firstLineChars="200"/>
        <w:rPr>
          <w:rFonts w:hAnsi="宋体"/>
          <w:color w:val="auto"/>
        </w:rPr>
      </w:pPr>
      <w:r>
        <w:rPr>
          <w:rFonts w:hint="eastAsia" w:hAnsi="宋体"/>
          <w:color w:val="auto"/>
        </w:rPr>
        <w:t>1</w:t>
      </w:r>
      <w:r>
        <w:rPr>
          <w:rFonts w:hAnsi="宋体"/>
          <w:color w:val="auto"/>
        </w:rPr>
        <w:t>.</w:t>
      </w:r>
      <w:r>
        <w:rPr>
          <w:rFonts w:hint="eastAsia" w:hAnsi="宋体"/>
          <w:color w:val="auto"/>
        </w:rPr>
        <w:t>本中心按钦州市物价局“钦市价费〔2013﹞4号”文件规定向成交供应商收取代理服务费，成交供应商须向本中心一次付清代理服务费。</w:t>
      </w:r>
    </w:p>
    <w:p>
      <w:pPr>
        <w:spacing w:line="406" w:lineRule="exact"/>
        <w:ind w:firstLine="420" w:firstLineChars="200"/>
        <w:rPr>
          <w:rFonts w:hint="eastAsia" w:hAnsi="宋体"/>
          <w:bCs/>
          <w:color w:val="auto"/>
        </w:rPr>
      </w:pPr>
      <w:r>
        <w:rPr>
          <w:rFonts w:hint="eastAsia" w:hAnsi="宋体"/>
          <w:color w:val="auto"/>
        </w:rPr>
        <w:t>2</w:t>
      </w:r>
      <w:r>
        <w:rPr>
          <w:rFonts w:hAnsi="宋体"/>
          <w:color w:val="auto"/>
        </w:rPr>
        <w:t>.</w:t>
      </w:r>
      <w:r>
        <w:rPr>
          <w:rFonts w:hint="eastAsia" w:hAnsi="宋体"/>
          <w:bCs/>
          <w:color w:val="auto"/>
        </w:rPr>
        <w:t>代理服务收费标准：</w:t>
      </w:r>
    </w:p>
    <w:p>
      <w:pPr>
        <w:rPr>
          <w:color w:val="auto"/>
        </w:rPr>
      </w:pPr>
    </w:p>
    <w:tbl>
      <w:tblPr>
        <w:tblStyle w:val="37"/>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Ansi="宋体"/>
                <w:color w:val="auto"/>
              </w:rPr>
            </w:pPr>
            <w:r>
              <w:rPr>
                <w:rFonts w:hAnsi="宋体"/>
                <w:color w:val="auto"/>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color w:val="auto"/>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color w:val="auto"/>
              </w:rPr>
              <w:t>采购类型</w:t>
            </w:r>
          </w:p>
          <w:p>
            <w:pPr>
              <w:spacing w:line="330" w:lineRule="exact"/>
              <w:rPr>
                <w:rFonts w:hAnsi="宋体"/>
                <w:color w:val="auto"/>
              </w:rPr>
            </w:pPr>
          </w:p>
          <w:p>
            <w:pPr>
              <w:spacing w:line="330" w:lineRule="exact"/>
              <w:ind w:firstLine="1575" w:firstLineChars="750"/>
              <w:jc w:val="left"/>
              <w:rPr>
                <w:rFonts w:hAnsi="宋体"/>
                <w:color w:val="auto"/>
              </w:rPr>
            </w:pPr>
            <w:r>
              <w:rPr>
                <w:rFonts w:hint="eastAsia" w:hAnsi="宋体"/>
                <w:color w:val="auto"/>
              </w:rPr>
              <w:t>费率</w:t>
            </w:r>
          </w:p>
          <w:p>
            <w:pPr>
              <w:spacing w:line="330" w:lineRule="exact"/>
              <w:ind w:leftChars="-1" w:hanging="2" w:hangingChars="1"/>
              <w:jc w:val="left"/>
              <w:rPr>
                <w:rFonts w:hAnsi="宋体"/>
                <w:color w:val="auto"/>
              </w:rPr>
            </w:pPr>
          </w:p>
          <w:p>
            <w:pPr>
              <w:spacing w:line="330" w:lineRule="exact"/>
              <w:ind w:leftChars="-1" w:hanging="2" w:hangingChars="1"/>
              <w:jc w:val="left"/>
              <w:rPr>
                <w:rFonts w:hAnsi="宋体"/>
                <w:color w:val="auto"/>
              </w:rPr>
            </w:pPr>
          </w:p>
          <w:p>
            <w:pPr>
              <w:spacing w:line="330" w:lineRule="exact"/>
              <w:jc w:val="left"/>
              <w:rPr>
                <w:rFonts w:hAnsi="宋体"/>
                <w:color w:val="auto"/>
              </w:rPr>
            </w:pPr>
            <w:r>
              <w:rPr>
                <w:rFonts w:hint="eastAsia" w:hAnsi="宋体"/>
                <w:color w:val="auto"/>
              </w:rPr>
              <w:t>成交金额（万元）</w:t>
            </w:r>
          </w:p>
        </w:tc>
        <w:tc>
          <w:tcPr>
            <w:tcW w:w="5708" w:type="dxa"/>
            <w:gridSpan w:val="3"/>
            <w:vAlign w:val="center"/>
          </w:tcPr>
          <w:p>
            <w:pPr>
              <w:spacing w:line="330" w:lineRule="exact"/>
              <w:jc w:val="center"/>
              <w:rPr>
                <w:rFonts w:hAnsi="宋体"/>
                <w:color w:val="auto"/>
              </w:rPr>
            </w:pPr>
            <w:r>
              <w:rPr>
                <w:rFonts w:hint="eastAsia" w:hAnsi="宋体"/>
                <w:color w:val="auto"/>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Ansi="宋体"/>
                <w:color w:val="auto"/>
              </w:rPr>
            </w:pPr>
          </w:p>
        </w:tc>
        <w:tc>
          <w:tcPr>
            <w:tcW w:w="1932" w:type="dxa"/>
            <w:vAlign w:val="center"/>
          </w:tcPr>
          <w:p>
            <w:pPr>
              <w:spacing w:line="330" w:lineRule="exact"/>
              <w:jc w:val="center"/>
              <w:rPr>
                <w:rFonts w:hAnsi="宋体"/>
                <w:color w:val="auto"/>
              </w:rPr>
            </w:pPr>
            <w:r>
              <w:rPr>
                <w:rFonts w:hint="eastAsia" w:hAnsi="宋体"/>
                <w:color w:val="auto"/>
              </w:rPr>
              <w:t>货物类</w:t>
            </w:r>
          </w:p>
        </w:tc>
        <w:tc>
          <w:tcPr>
            <w:tcW w:w="1800" w:type="dxa"/>
            <w:vAlign w:val="center"/>
          </w:tcPr>
          <w:p>
            <w:pPr>
              <w:spacing w:line="330" w:lineRule="exact"/>
              <w:jc w:val="center"/>
              <w:rPr>
                <w:rFonts w:hAnsi="宋体"/>
                <w:color w:val="auto"/>
              </w:rPr>
            </w:pPr>
            <w:r>
              <w:rPr>
                <w:rFonts w:hint="eastAsia" w:hAnsi="宋体"/>
                <w:color w:val="auto"/>
              </w:rPr>
              <w:t>服务类</w:t>
            </w:r>
          </w:p>
        </w:tc>
        <w:tc>
          <w:tcPr>
            <w:tcW w:w="1976" w:type="dxa"/>
            <w:vAlign w:val="center"/>
          </w:tcPr>
          <w:p>
            <w:pPr>
              <w:widowControl/>
              <w:spacing w:line="330" w:lineRule="exact"/>
              <w:jc w:val="center"/>
              <w:rPr>
                <w:rFonts w:hAnsi="宋体"/>
                <w:color w:val="auto"/>
              </w:rPr>
            </w:pPr>
            <w:r>
              <w:rPr>
                <w:rFonts w:hint="eastAsia" w:hAnsi="宋体"/>
                <w:color w:val="auto"/>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Ansi="宋体"/>
                <w:color w:val="auto"/>
              </w:rPr>
            </w:pPr>
            <w:r>
              <w:rPr>
                <w:rFonts w:hint="eastAsia" w:hAnsi="宋体"/>
                <w:color w:val="auto"/>
              </w:rPr>
              <w:t>100以下</w:t>
            </w:r>
          </w:p>
        </w:tc>
        <w:tc>
          <w:tcPr>
            <w:tcW w:w="1932" w:type="dxa"/>
            <w:vAlign w:val="center"/>
          </w:tcPr>
          <w:p>
            <w:pPr>
              <w:spacing w:line="330" w:lineRule="exact"/>
              <w:jc w:val="center"/>
              <w:rPr>
                <w:rFonts w:hAnsi="宋体"/>
                <w:color w:val="auto"/>
              </w:rPr>
            </w:pPr>
            <w:r>
              <w:rPr>
                <w:rFonts w:hint="eastAsia" w:hAnsi="宋体"/>
                <w:color w:val="auto"/>
              </w:rPr>
              <w:t>1.2%</w:t>
            </w:r>
          </w:p>
        </w:tc>
        <w:tc>
          <w:tcPr>
            <w:tcW w:w="1800" w:type="dxa"/>
            <w:vAlign w:val="center"/>
          </w:tcPr>
          <w:p>
            <w:pPr>
              <w:spacing w:line="330" w:lineRule="exact"/>
              <w:jc w:val="center"/>
              <w:rPr>
                <w:rFonts w:hAnsi="宋体"/>
                <w:color w:val="auto"/>
              </w:rPr>
            </w:pPr>
            <w:r>
              <w:rPr>
                <w:rFonts w:hint="eastAsia" w:hAnsi="宋体"/>
                <w:color w:val="auto"/>
              </w:rPr>
              <w:t>1.2%</w:t>
            </w:r>
          </w:p>
        </w:tc>
        <w:tc>
          <w:tcPr>
            <w:tcW w:w="1976" w:type="dxa"/>
            <w:vAlign w:val="center"/>
          </w:tcPr>
          <w:p>
            <w:pPr>
              <w:spacing w:line="330" w:lineRule="exact"/>
              <w:jc w:val="center"/>
              <w:rPr>
                <w:rFonts w:hAnsi="宋体"/>
                <w:color w:val="auto"/>
              </w:rPr>
            </w:pPr>
            <w:r>
              <w:rPr>
                <w:rFonts w:hint="eastAsia" w:hAnsi="宋体"/>
                <w:color w:val="auto"/>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Ansi="宋体"/>
                <w:color w:val="auto"/>
              </w:rPr>
            </w:pPr>
            <w:r>
              <w:rPr>
                <w:rFonts w:hint="eastAsia" w:hAnsi="宋体"/>
                <w:color w:val="auto"/>
              </w:rPr>
              <w:t>100-500</w:t>
            </w:r>
          </w:p>
        </w:tc>
        <w:tc>
          <w:tcPr>
            <w:tcW w:w="1932" w:type="dxa"/>
            <w:vAlign w:val="center"/>
          </w:tcPr>
          <w:p>
            <w:pPr>
              <w:spacing w:line="330" w:lineRule="exact"/>
              <w:jc w:val="center"/>
              <w:rPr>
                <w:rFonts w:hAnsi="宋体"/>
                <w:color w:val="auto"/>
              </w:rPr>
            </w:pPr>
            <w:r>
              <w:rPr>
                <w:rFonts w:hint="eastAsia" w:hAnsi="宋体"/>
                <w:color w:val="auto"/>
              </w:rPr>
              <w:t>0.88%</w:t>
            </w:r>
          </w:p>
        </w:tc>
        <w:tc>
          <w:tcPr>
            <w:tcW w:w="1800" w:type="dxa"/>
            <w:vAlign w:val="center"/>
          </w:tcPr>
          <w:p>
            <w:pPr>
              <w:spacing w:line="330" w:lineRule="exact"/>
              <w:jc w:val="center"/>
              <w:rPr>
                <w:rFonts w:hAnsi="宋体"/>
                <w:color w:val="auto"/>
              </w:rPr>
            </w:pPr>
            <w:r>
              <w:rPr>
                <w:rFonts w:hint="eastAsia" w:hAnsi="宋体"/>
                <w:color w:val="auto"/>
              </w:rPr>
              <w:t>0.64%</w:t>
            </w:r>
          </w:p>
        </w:tc>
        <w:tc>
          <w:tcPr>
            <w:tcW w:w="1976" w:type="dxa"/>
            <w:vAlign w:val="center"/>
          </w:tcPr>
          <w:p>
            <w:pPr>
              <w:spacing w:line="330" w:lineRule="exact"/>
              <w:jc w:val="center"/>
              <w:rPr>
                <w:rFonts w:hAnsi="宋体"/>
                <w:color w:val="auto"/>
              </w:rPr>
            </w:pPr>
            <w:r>
              <w:rPr>
                <w:rFonts w:hint="eastAsia" w:hAnsi="宋体"/>
                <w:color w:val="auto"/>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Ansi="宋体"/>
                <w:color w:val="auto"/>
              </w:rPr>
            </w:pPr>
            <w:r>
              <w:rPr>
                <w:rFonts w:hint="eastAsia" w:hAnsi="宋体"/>
                <w:color w:val="auto"/>
              </w:rPr>
              <w:t>500-1000</w:t>
            </w:r>
          </w:p>
        </w:tc>
        <w:tc>
          <w:tcPr>
            <w:tcW w:w="1932" w:type="dxa"/>
            <w:vAlign w:val="center"/>
          </w:tcPr>
          <w:p>
            <w:pPr>
              <w:spacing w:line="330" w:lineRule="exact"/>
              <w:jc w:val="center"/>
              <w:rPr>
                <w:rFonts w:hAnsi="宋体"/>
                <w:color w:val="auto"/>
              </w:rPr>
            </w:pPr>
            <w:r>
              <w:rPr>
                <w:rFonts w:hint="eastAsia" w:hAnsi="宋体"/>
                <w:color w:val="auto"/>
              </w:rPr>
              <w:t>0.64%</w:t>
            </w:r>
          </w:p>
        </w:tc>
        <w:tc>
          <w:tcPr>
            <w:tcW w:w="1800" w:type="dxa"/>
            <w:vAlign w:val="center"/>
          </w:tcPr>
          <w:p>
            <w:pPr>
              <w:spacing w:line="330" w:lineRule="exact"/>
              <w:jc w:val="center"/>
              <w:rPr>
                <w:rFonts w:hAnsi="宋体"/>
                <w:color w:val="auto"/>
              </w:rPr>
            </w:pPr>
            <w:r>
              <w:rPr>
                <w:rFonts w:hint="eastAsia" w:hAnsi="宋体"/>
                <w:color w:val="auto"/>
              </w:rPr>
              <w:t>0.36%</w:t>
            </w:r>
          </w:p>
        </w:tc>
        <w:tc>
          <w:tcPr>
            <w:tcW w:w="1976" w:type="dxa"/>
            <w:vAlign w:val="center"/>
          </w:tcPr>
          <w:p>
            <w:pPr>
              <w:spacing w:line="330" w:lineRule="exact"/>
              <w:jc w:val="center"/>
              <w:rPr>
                <w:rFonts w:hAnsi="宋体"/>
                <w:color w:val="auto"/>
              </w:rPr>
            </w:pPr>
            <w:r>
              <w:rPr>
                <w:rFonts w:hint="eastAsia" w:hAnsi="宋体"/>
                <w:color w:val="auto"/>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Ansi="宋体"/>
                <w:color w:val="auto"/>
              </w:rPr>
            </w:pPr>
            <w:r>
              <w:rPr>
                <w:rFonts w:hint="eastAsia" w:hAnsi="宋体"/>
                <w:color w:val="auto"/>
              </w:rPr>
              <w:t>1000-5000</w:t>
            </w:r>
          </w:p>
        </w:tc>
        <w:tc>
          <w:tcPr>
            <w:tcW w:w="1932" w:type="dxa"/>
            <w:vAlign w:val="center"/>
          </w:tcPr>
          <w:p>
            <w:pPr>
              <w:spacing w:line="330" w:lineRule="exact"/>
              <w:jc w:val="center"/>
              <w:rPr>
                <w:rFonts w:hAnsi="宋体"/>
                <w:color w:val="auto"/>
              </w:rPr>
            </w:pPr>
            <w:r>
              <w:rPr>
                <w:rFonts w:hint="eastAsia" w:hAnsi="宋体"/>
                <w:color w:val="auto"/>
              </w:rPr>
              <w:t>0.4%</w:t>
            </w:r>
          </w:p>
        </w:tc>
        <w:tc>
          <w:tcPr>
            <w:tcW w:w="1800" w:type="dxa"/>
            <w:vAlign w:val="center"/>
          </w:tcPr>
          <w:p>
            <w:pPr>
              <w:spacing w:line="330" w:lineRule="exact"/>
              <w:jc w:val="center"/>
              <w:rPr>
                <w:rFonts w:hAnsi="宋体"/>
                <w:color w:val="auto"/>
              </w:rPr>
            </w:pPr>
            <w:r>
              <w:rPr>
                <w:rFonts w:hint="eastAsia" w:hAnsi="宋体"/>
                <w:color w:val="auto"/>
              </w:rPr>
              <w:t>0.2%</w:t>
            </w:r>
          </w:p>
        </w:tc>
        <w:tc>
          <w:tcPr>
            <w:tcW w:w="1976" w:type="dxa"/>
            <w:vAlign w:val="center"/>
          </w:tcPr>
          <w:p>
            <w:pPr>
              <w:spacing w:line="330" w:lineRule="exact"/>
              <w:jc w:val="center"/>
              <w:rPr>
                <w:rFonts w:hAnsi="宋体"/>
                <w:color w:val="auto"/>
              </w:rPr>
            </w:pPr>
            <w:r>
              <w:rPr>
                <w:rFonts w:hint="eastAsia" w:hAnsi="宋体"/>
                <w:color w:val="auto"/>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Ansi="宋体"/>
                <w:color w:val="auto"/>
              </w:rPr>
            </w:pPr>
            <w:r>
              <w:rPr>
                <w:rFonts w:hint="eastAsia" w:hAnsi="宋体"/>
                <w:color w:val="auto"/>
              </w:rPr>
              <w:t>5000-10000</w:t>
            </w:r>
          </w:p>
        </w:tc>
        <w:tc>
          <w:tcPr>
            <w:tcW w:w="1932" w:type="dxa"/>
            <w:vAlign w:val="center"/>
          </w:tcPr>
          <w:p>
            <w:pPr>
              <w:spacing w:line="330" w:lineRule="exact"/>
              <w:jc w:val="center"/>
              <w:rPr>
                <w:rFonts w:hAnsi="宋体"/>
                <w:color w:val="auto"/>
              </w:rPr>
            </w:pPr>
            <w:r>
              <w:rPr>
                <w:rFonts w:hint="eastAsia" w:hAnsi="宋体"/>
                <w:color w:val="auto"/>
              </w:rPr>
              <w:t>0.2%</w:t>
            </w:r>
          </w:p>
        </w:tc>
        <w:tc>
          <w:tcPr>
            <w:tcW w:w="1800" w:type="dxa"/>
            <w:vAlign w:val="center"/>
          </w:tcPr>
          <w:p>
            <w:pPr>
              <w:spacing w:line="330" w:lineRule="exact"/>
              <w:jc w:val="center"/>
              <w:rPr>
                <w:rFonts w:hAnsi="宋体"/>
                <w:color w:val="auto"/>
              </w:rPr>
            </w:pPr>
            <w:r>
              <w:rPr>
                <w:rFonts w:hint="eastAsia" w:hAnsi="宋体"/>
                <w:color w:val="auto"/>
              </w:rPr>
              <w:t>0.08%</w:t>
            </w:r>
          </w:p>
        </w:tc>
        <w:tc>
          <w:tcPr>
            <w:tcW w:w="1976" w:type="dxa"/>
            <w:vAlign w:val="center"/>
          </w:tcPr>
          <w:p>
            <w:pPr>
              <w:spacing w:line="330" w:lineRule="exact"/>
              <w:jc w:val="center"/>
              <w:rPr>
                <w:rFonts w:hAnsi="宋体"/>
                <w:color w:val="auto"/>
              </w:rPr>
            </w:pPr>
            <w:r>
              <w:rPr>
                <w:rFonts w:hint="eastAsia" w:hAnsi="宋体"/>
                <w:color w:val="auto"/>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Ansi="宋体"/>
                <w:color w:val="auto"/>
              </w:rPr>
            </w:pPr>
            <w:r>
              <w:rPr>
                <w:rFonts w:hint="eastAsia" w:hAnsi="宋体"/>
                <w:color w:val="auto"/>
              </w:rPr>
              <w:t>10000-100000</w:t>
            </w:r>
          </w:p>
        </w:tc>
        <w:tc>
          <w:tcPr>
            <w:tcW w:w="1932" w:type="dxa"/>
            <w:vAlign w:val="center"/>
          </w:tcPr>
          <w:p>
            <w:pPr>
              <w:spacing w:line="330" w:lineRule="exact"/>
              <w:jc w:val="center"/>
              <w:rPr>
                <w:rFonts w:hAnsi="宋体"/>
                <w:color w:val="auto"/>
              </w:rPr>
            </w:pPr>
            <w:r>
              <w:rPr>
                <w:rFonts w:hint="eastAsia" w:hAnsi="宋体"/>
                <w:color w:val="auto"/>
              </w:rPr>
              <w:t>0.04%</w:t>
            </w:r>
          </w:p>
        </w:tc>
        <w:tc>
          <w:tcPr>
            <w:tcW w:w="1800" w:type="dxa"/>
            <w:vAlign w:val="center"/>
          </w:tcPr>
          <w:p>
            <w:pPr>
              <w:spacing w:line="330" w:lineRule="exact"/>
              <w:jc w:val="center"/>
              <w:rPr>
                <w:rFonts w:hAnsi="宋体"/>
                <w:color w:val="auto"/>
              </w:rPr>
            </w:pPr>
            <w:r>
              <w:rPr>
                <w:rFonts w:hint="eastAsia" w:hAnsi="宋体"/>
                <w:color w:val="auto"/>
              </w:rPr>
              <w:t>0.04%</w:t>
            </w:r>
          </w:p>
        </w:tc>
        <w:tc>
          <w:tcPr>
            <w:tcW w:w="1976" w:type="dxa"/>
            <w:vAlign w:val="center"/>
          </w:tcPr>
          <w:p>
            <w:pPr>
              <w:spacing w:line="330" w:lineRule="exact"/>
              <w:jc w:val="center"/>
              <w:rPr>
                <w:rFonts w:hAnsi="宋体"/>
                <w:color w:val="auto"/>
              </w:rPr>
            </w:pPr>
            <w:r>
              <w:rPr>
                <w:rFonts w:hint="eastAsia" w:hAnsi="宋体"/>
                <w:color w:val="auto"/>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Ansi="宋体"/>
                <w:color w:val="auto"/>
              </w:rPr>
            </w:pPr>
            <w:r>
              <w:rPr>
                <w:rFonts w:hint="eastAsia" w:hAnsi="宋体"/>
                <w:color w:val="auto"/>
              </w:rPr>
              <w:t>100000以上</w:t>
            </w:r>
          </w:p>
        </w:tc>
        <w:tc>
          <w:tcPr>
            <w:tcW w:w="1932" w:type="dxa"/>
            <w:vAlign w:val="center"/>
          </w:tcPr>
          <w:p>
            <w:pPr>
              <w:spacing w:line="330" w:lineRule="exact"/>
              <w:jc w:val="center"/>
              <w:rPr>
                <w:rFonts w:hAnsi="宋体"/>
                <w:color w:val="auto"/>
              </w:rPr>
            </w:pPr>
            <w:r>
              <w:rPr>
                <w:rFonts w:hint="eastAsia" w:hAnsi="宋体"/>
                <w:color w:val="auto"/>
              </w:rPr>
              <w:t>0.008%</w:t>
            </w:r>
          </w:p>
        </w:tc>
        <w:tc>
          <w:tcPr>
            <w:tcW w:w="1800" w:type="dxa"/>
            <w:vAlign w:val="center"/>
          </w:tcPr>
          <w:p>
            <w:pPr>
              <w:spacing w:line="330" w:lineRule="exact"/>
              <w:jc w:val="center"/>
              <w:rPr>
                <w:rFonts w:hAnsi="宋体"/>
                <w:color w:val="auto"/>
              </w:rPr>
            </w:pPr>
            <w:r>
              <w:rPr>
                <w:rFonts w:hint="eastAsia" w:hAnsi="宋体"/>
                <w:color w:val="auto"/>
              </w:rPr>
              <w:t>0.008%</w:t>
            </w:r>
          </w:p>
        </w:tc>
        <w:tc>
          <w:tcPr>
            <w:tcW w:w="1976" w:type="dxa"/>
            <w:vAlign w:val="center"/>
          </w:tcPr>
          <w:p>
            <w:pPr>
              <w:spacing w:line="330" w:lineRule="exact"/>
              <w:jc w:val="center"/>
              <w:rPr>
                <w:rFonts w:hAnsi="宋体"/>
                <w:color w:val="auto"/>
              </w:rPr>
            </w:pPr>
            <w:r>
              <w:rPr>
                <w:rFonts w:hint="eastAsia" w:hAnsi="宋体"/>
                <w:color w:val="auto"/>
              </w:rPr>
              <w:t>0.008%</w:t>
            </w:r>
          </w:p>
        </w:tc>
      </w:tr>
    </w:tbl>
    <w:p>
      <w:pPr>
        <w:pStyle w:val="22"/>
        <w:spacing w:line="430" w:lineRule="exact"/>
        <w:ind w:firstLine="420" w:firstLineChars="200"/>
        <w:rPr>
          <w:rFonts w:hAnsi="宋体"/>
          <w:b/>
          <w:color w:val="auto"/>
        </w:rPr>
      </w:pPr>
      <w:r>
        <w:rPr>
          <w:rFonts w:hint="eastAsia" w:hAnsi="宋体"/>
          <w:color w:val="auto"/>
        </w:rPr>
        <w:t>注：代理服务收费按差额定率累进法计算，本项目收费标准按以上标准的60%执行</w:t>
      </w:r>
    </w:p>
    <w:p>
      <w:pPr>
        <w:pStyle w:val="22"/>
        <w:spacing w:line="430" w:lineRule="exact"/>
        <w:ind w:firstLine="210" w:firstLineChars="100"/>
        <w:rPr>
          <w:rFonts w:hAnsi="宋体"/>
          <w:color w:val="auto"/>
          <w:spacing w:val="-4"/>
        </w:rPr>
      </w:pPr>
      <w:r>
        <w:rPr>
          <w:rFonts w:hint="eastAsia" w:hAnsi="宋体"/>
          <w:bCs/>
          <w:color w:val="auto"/>
        </w:rPr>
        <w:t>（二）解释权：</w:t>
      </w:r>
      <w:r>
        <w:rPr>
          <w:rFonts w:hint="eastAsia" w:hAnsi="宋体"/>
          <w:color w:val="auto"/>
          <w:spacing w:val="-4"/>
        </w:rPr>
        <w:t>本采购文件解释权属本中心。</w:t>
      </w:r>
    </w:p>
    <w:p>
      <w:pPr>
        <w:pStyle w:val="22"/>
        <w:spacing w:line="430" w:lineRule="exact"/>
        <w:ind w:firstLine="210" w:firstLineChars="100"/>
        <w:rPr>
          <w:rFonts w:hAnsi="宋体"/>
          <w:color w:val="auto"/>
          <w:spacing w:val="-4"/>
        </w:rPr>
      </w:pPr>
      <w:r>
        <w:rPr>
          <w:rFonts w:hint="eastAsia" w:hAnsi="宋体"/>
          <w:bCs/>
          <w:color w:val="auto"/>
        </w:rPr>
        <w:t>（三）有关事宜</w:t>
      </w:r>
    </w:p>
    <w:p>
      <w:pPr>
        <w:spacing w:line="430" w:lineRule="exact"/>
        <w:ind w:firstLine="420" w:firstLineChars="200"/>
        <w:rPr>
          <w:color w:val="auto"/>
        </w:rPr>
      </w:pPr>
      <w:r>
        <w:rPr>
          <w:rFonts w:hint="eastAsia"/>
          <w:color w:val="auto"/>
        </w:rPr>
        <w:t>所有与采购文件有关的函件请按下列通讯地址联系：</w:t>
      </w:r>
    </w:p>
    <w:p>
      <w:pPr>
        <w:widowControl/>
        <w:spacing w:line="430" w:lineRule="exact"/>
        <w:ind w:firstLine="420" w:firstLineChars="200"/>
        <w:jc w:val="left"/>
        <w:rPr>
          <w:color w:val="auto"/>
        </w:rPr>
      </w:pPr>
      <w:r>
        <w:rPr>
          <w:rFonts w:hint="eastAsia"/>
          <w:color w:val="auto"/>
        </w:rPr>
        <w:t>钦州市政府采购中心</w:t>
      </w:r>
    </w:p>
    <w:p>
      <w:pPr>
        <w:widowControl/>
        <w:spacing w:line="430" w:lineRule="exact"/>
        <w:ind w:firstLine="420" w:firstLineChars="200"/>
        <w:jc w:val="left"/>
        <w:rPr>
          <w:color w:val="auto"/>
        </w:rPr>
      </w:pPr>
      <w:r>
        <w:rPr>
          <w:rFonts w:hint="eastAsia"/>
          <w:color w:val="auto"/>
        </w:rPr>
        <w:t>通讯地址：钦州市金海湾东大街8号</w:t>
      </w:r>
    </w:p>
    <w:p>
      <w:pPr>
        <w:widowControl/>
        <w:spacing w:line="430" w:lineRule="exact"/>
        <w:ind w:firstLine="420" w:firstLineChars="200"/>
        <w:jc w:val="left"/>
        <w:rPr>
          <w:color w:val="auto"/>
        </w:rPr>
      </w:pPr>
      <w:r>
        <w:rPr>
          <w:rFonts w:hint="eastAsia"/>
          <w:color w:val="auto"/>
        </w:rPr>
        <w:t>邮政编码：535000</w:t>
      </w:r>
    </w:p>
    <w:p>
      <w:pPr>
        <w:widowControl/>
        <w:spacing w:line="430" w:lineRule="exact"/>
        <w:ind w:firstLine="420" w:firstLineChars="200"/>
        <w:jc w:val="left"/>
        <w:rPr>
          <w:color w:val="auto"/>
        </w:rPr>
      </w:pPr>
      <w:bookmarkStart w:id="123" w:name="_Hlk108515537"/>
      <w:r>
        <w:rPr>
          <w:rFonts w:hint="eastAsia" w:hAnsi="宋体"/>
          <w:color w:val="auto"/>
        </w:rPr>
        <w:t>钦州市政府采购中心联系方式</w:t>
      </w:r>
      <w:r>
        <w:rPr>
          <w:rFonts w:hint="eastAsia"/>
          <w:color w:val="auto"/>
        </w:rPr>
        <w:t>：</w:t>
      </w:r>
    </w:p>
    <w:p>
      <w:pPr>
        <w:widowControl/>
        <w:spacing w:line="430" w:lineRule="exact"/>
        <w:ind w:firstLine="420" w:firstLineChars="200"/>
        <w:jc w:val="left"/>
        <w:rPr>
          <w:color w:val="auto"/>
        </w:rPr>
      </w:pPr>
      <w:r>
        <w:rPr>
          <w:rFonts w:hint="eastAsia"/>
          <w:color w:val="auto"/>
        </w:rPr>
        <w:t>(1)采购部(采购文件)</w:t>
      </w:r>
    </w:p>
    <w:p>
      <w:pPr>
        <w:widowControl/>
        <w:spacing w:line="430" w:lineRule="exact"/>
        <w:ind w:firstLine="420" w:firstLineChars="200"/>
        <w:jc w:val="left"/>
        <w:rPr>
          <w:color w:val="auto"/>
        </w:rPr>
      </w:pPr>
      <w:r>
        <w:rPr>
          <w:rFonts w:hint="eastAsia"/>
          <w:color w:val="auto"/>
        </w:rPr>
        <w:t>联系人：</w:t>
      </w:r>
      <w:r>
        <w:rPr>
          <w:rFonts w:hint="eastAsia"/>
          <w:color w:val="auto"/>
          <w:lang w:val="en-US" w:eastAsia="zh-CN"/>
        </w:rPr>
        <w:t>苏晓婷</w:t>
      </w:r>
      <w:r>
        <w:rPr>
          <w:rFonts w:hint="eastAsia"/>
          <w:color w:val="auto"/>
        </w:rPr>
        <w:t xml:space="preserve"> </w:t>
      </w:r>
      <w:r>
        <w:rPr>
          <w:color w:val="auto"/>
        </w:rPr>
        <w:t xml:space="preserve"> </w:t>
      </w:r>
      <w:r>
        <w:rPr>
          <w:rFonts w:hint="eastAsia"/>
          <w:color w:val="auto"/>
        </w:rPr>
        <w:t xml:space="preserve"> 联系方式：0777-2886022</w:t>
      </w:r>
    </w:p>
    <w:p>
      <w:pPr>
        <w:widowControl/>
        <w:spacing w:line="430" w:lineRule="exact"/>
        <w:ind w:firstLine="420" w:firstLineChars="200"/>
        <w:jc w:val="left"/>
        <w:rPr>
          <w:color w:val="auto"/>
        </w:rPr>
      </w:pPr>
      <w:r>
        <w:rPr>
          <w:rFonts w:hint="eastAsia"/>
          <w:color w:val="auto"/>
        </w:rPr>
        <w:t>(2)综合二部(评审、磋商、成交及合同管理)</w:t>
      </w:r>
    </w:p>
    <w:p>
      <w:pPr>
        <w:widowControl/>
        <w:spacing w:line="430" w:lineRule="exact"/>
        <w:ind w:firstLine="420" w:firstLineChars="200"/>
        <w:jc w:val="left"/>
        <w:rPr>
          <w:color w:val="auto"/>
        </w:rPr>
      </w:pPr>
      <w:r>
        <w:rPr>
          <w:rFonts w:hint="eastAsia"/>
          <w:color w:val="auto"/>
        </w:rPr>
        <w:t>联系人：</w:t>
      </w:r>
      <w:r>
        <w:rPr>
          <w:rFonts w:hint="eastAsia" w:hAnsi="宋体"/>
          <w:color w:val="auto"/>
        </w:rPr>
        <w:t>陈侃、陈启梅</w:t>
      </w:r>
      <w:r>
        <w:rPr>
          <w:rFonts w:hint="eastAsia"/>
          <w:color w:val="auto"/>
        </w:rPr>
        <w:t xml:space="preserve"> </w:t>
      </w:r>
      <w:r>
        <w:rPr>
          <w:color w:val="auto"/>
        </w:rPr>
        <w:t xml:space="preserve">  </w:t>
      </w:r>
      <w:r>
        <w:rPr>
          <w:rFonts w:hint="eastAsia"/>
          <w:color w:val="auto"/>
        </w:rPr>
        <w:t>联系方式：0777-2886006</w:t>
      </w:r>
    </w:p>
    <w:p>
      <w:pPr>
        <w:widowControl/>
        <w:spacing w:line="430" w:lineRule="exact"/>
        <w:ind w:firstLine="420" w:firstLineChars="200"/>
        <w:jc w:val="left"/>
        <w:rPr>
          <w:color w:val="auto"/>
        </w:rPr>
      </w:pPr>
      <w:r>
        <w:rPr>
          <w:color w:val="auto"/>
        </w:rPr>
        <w:t>(</w:t>
      </w:r>
      <w:r>
        <w:rPr>
          <w:rFonts w:hint="eastAsia"/>
          <w:color w:val="auto"/>
          <w:lang w:val="en-US" w:eastAsia="zh-CN"/>
        </w:rPr>
        <w:t>3</w:t>
      </w:r>
      <w:r>
        <w:rPr>
          <w:color w:val="auto"/>
        </w:rPr>
        <w:t>)</w:t>
      </w:r>
      <w:r>
        <w:rPr>
          <w:rFonts w:hint="eastAsia"/>
          <w:color w:val="auto"/>
        </w:rPr>
        <w:t>政采云技术支持热线：</w:t>
      </w:r>
      <w:r>
        <w:rPr>
          <w:rFonts w:hAnsi="宋体"/>
          <w:color w:val="auto"/>
        </w:rPr>
        <w:t>95763</w:t>
      </w:r>
    </w:p>
    <w:bookmarkEnd w:id="123"/>
    <w:p>
      <w:pPr>
        <w:widowControl/>
        <w:jc w:val="left"/>
        <w:rPr>
          <w:color w:val="auto"/>
        </w:rPr>
      </w:pPr>
      <w:r>
        <w:rPr>
          <w:color w:val="auto"/>
        </w:rPr>
        <w:br w:type="page"/>
      </w:r>
    </w:p>
    <w:p>
      <w:pPr>
        <w:widowControl/>
        <w:jc w:val="left"/>
        <w:rPr>
          <w:color w:val="auto"/>
        </w:rPr>
      </w:pPr>
    </w:p>
    <w:p>
      <w:pPr>
        <w:spacing w:line="320" w:lineRule="exact"/>
        <w:rPr>
          <w:color w:val="auto"/>
        </w:rPr>
      </w:pPr>
    </w:p>
    <w:p>
      <w:pPr>
        <w:widowControl/>
        <w:spacing w:line="320" w:lineRule="exact"/>
        <w:jc w:val="left"/>
        <w:rPr>
          <w:color w:val="auto"/>
        </w:rPr>
      </w:pPr>
    </w:p>
    <w:p>
      <w:pPr>
        <w:spacing w:line="320" w:lineRule="exact"/>
        <w:rPr>
          <w:color w:val="auto"/>
        </w:rPr>
      </w:pPr>
    </w:p>
    <w:p>
      <w:pPr>
        <w:spacing w:line="320" w:lineRule="exact"/>
        <w:rPr>
          <w:color w:val="auto"/>
        </w:rPr>
      </w:pPr>
    </w:p>
    <w:p>
      <w:pPr>
        <w:spacing w:line="320" w:lineRule="exact"/>
        <w:rPr>
          <w:color w:val="auto"/>
        </w:rPr>
      </w:pPr>
    </w:p>
    <w:p>
      <w:pPr>
        <w:spacing w:line="320" w:lineRule="exact"/>
        <w:rPr>
          <w:color w:val="auto"/>
        </w:rPr>
      </w:pPr>
    </w:p>
    <w:p>
      <w:pPr>
        <w:spacing w:line="320" w:lineRule="exact"/>
        <w:rPr>
          <w:color w:val="auto"/>
        </w:rPr>
      </w:pPr>
    </w:p>
    <w:p>
      <w:pPr>
        <w:spacing w:line="320" w:lineRule="exact"/>
        <w:rPr>
          <w:color w:val="auto"/>
        </w:rPr>
      </w:pPr>
    </w:p>
    <w:p>
      <w:pPr>
        <w:spacing w:line="320" w:lineRule="exact"/>
        <w:rPr>
          <w:color w:val="auto"/>
        </w:rPr>
      </w:pPr>
    </w:p>
    <w:p>
      <w:pPr>
        <w:spacing w:line="320" w:lineRule="exact"/>
        <w:rPr>
          <w:color w:val="auto"/>
        </w:rPr>
      </w:pPr>
    </w:p>
    <w:p>
      <w:pPr>
        <w:spacing w:line="320" w:lineRule="exact"/>
        <w:rPr>
          <w:color w:val="auto"/>
        </w:rPr>
      </w:pPr>
    </w:p>
    <w:p>
      <w:pPr>
        <w:spacing w:line="320" w:lineRule="exact"/>
        <w:rPr>
          <w:color w:val="auto"/>
        </w:rPr>
      </w:pPr>
    </w:p>
    <w:p>
      <w:pPr>
        <w:spacing w:line="320" w:lineRule="exact"/>
        <w:rPr>
          <w:color w:val="auto"/>
        </w:rPr>
      </w:pPr>
    </w:p>
    <w:p>
      <w:pPr>
        <w:pStyle w:val="3"/>
        <w:spacing w:line="400" w:lineRule="exact"/>
        <w:rPr>
          <w:rFonts w:ascii="方正小标宋_GBK" w:hAnsi="宋体" w:eastAsia="方正小标宋_GBK"/>
          <w:color w:val="auto"/>
        </w:rPr>
      </w:pPr>
      <w:bookmarkStart w:id="124" w:name="_第四章__评定标准及推荐原则"/>
      <w:bookmarkEnd w:id="124"/>
      <w:bookmarkStart w:id="125" w:name="_Toc92355026"/>
      <w:r>
        <w:rPr>
          <w:rFonts w:hint="eastAsia" w:ascii="方正小标宋_GBK" w:hAnsi="宋体" w:eastAsia="方正小标宋_GBK"/>
          <w:color w:val="auto"/>
        </w:rPr>
        <w:t>第四章  评定标准及推荐原则</w:t>
      </w:r>
      <w:bookmarkEnd w:id="125"/>
    </w:p>
    <w:p>
      <w:pPr>
        <w:pStyle w:val="22"/>
        <w:spacing w:line="280" w:lineRule="exact"/>
        <w:jc w:val="center"/>
        <w:rPr>
          <w:rFonts w:hAnsi="宋体"/>
          <w:b/>
          <w:bCs/>
          <w:color w:val="auto"/>
          <w:sz w:val="30"/>
          <w:szCs w:val="30"/>
        </w:rPr>
      </w:pPr>
      <w:r>
        <w:rPr>
          <w:rFonts w:hAnsi="宋体"/>
          <w:b/>
          <w:bCs/>
          <w:color w:val="auto"/>
        </w:rPr>
        <w:br w:type="page"/>
      </w:r>
    </w:p>
    <w:p>
      <w:pPr>
        <w:pStyle w:val="22"/>
        <w:spacing w:line="500" w:lineRule="exact"/>
        <w:jc w:val="center"/>
        <w:rPr>
          <w:rFonts w:hint="eastAsia" w:hAnsi="宋体"/>
          <w:b/>
          <w:bCs/>
          <w:color w:val="auto"/>
          <w:sz w:val="44"/>
          <w:szCs w:val="44"/>
        </w:rPr>
      </w:pPr>
      <w:bookmarkStart w:id="126" w:name="_Hlk92463826"/>
      <w:r>
        <w:rPr>
          <w:rFonts w:hint="eastAsia" w:hAnsi="宋体"/>
          <w:b/>
          <w:bCs/>
          <w:color w:val="auto"/>
          <w:sz w:val="44"/>
          <w:szCs w:val="44"/>
        </w:rPr>
        <w:t>评定标准及推荐原则</w:t>
      </w:r>
    </w:p>
    <w:bookmarkEnd w:id="126"/>
    <w:p>
      <w:pPr>
        <w:rPr>
          <w:color w:val="auto"/>
        </w:rPr>
      </w:pPr>
    </w:p>
    <w:p>
      <w:pPr>
        <w:pStyle w:val="22"/>
        <w:spacing w:line="460" w:lineRule="exact"/>
        <w:rPr>
          <w:rFonts w:hint="eastAsia" w:hAnsi="宋体"/>
          <w:b/>
          <w:bCs/>
          <w:color w:val="auto"/>
        </w:rPr>
      </w:pPr>
      <w:r>
        <w:rPr>
          <w:rFonts w:hint="eastAsia" w:hAnsi="宋体"/>
          <w:b/>
          <w:bCs/>
          <w:color w:val="auto"/>
        </w:rPr>
        <w:t>一、评审原则</w:t>
      </w:r>
    </w:p>
    <w:p>
      <w:pPr>
        <w:pStyle w:val="22"/>
        <w:spacing w:line="460" w:lineRule="exact"/>
        <w:ind w:firstLine="210" w:firstLineChars="100"/>
        <w:rPr>
          <w:rFonts w:hint="eastAsia" w:hAnsi="宋体"/>
          <w:bCs/>
          <w:color w:val="auto"/>
        </w:rPr>
      </w:pPr>
      <w:r>
        <w:rPr>
          <w:rFonts w:hint="eastAsia" w:hAnsi="宋体"/>
          <w:bCs/>
          <w:color w:val="auto"/>
        </w:rPr>
        <w:t>(一)</w:t>
      </w:r>
      <w:r>
        <w:rPr>
          <w:rFonts w:hint="eastAsia" w:hAnsi="宋体"/>
          <w:color w:val="auto"/>
        </w:rPr>
        <w:t>评审依据：以竞争性磋商采购文件和响应文件为评定依据。</w:t>
      </w:r>
    </w:p>
    <w:p>
      <w:pPr>
        <w:pStyle w:val="22"/>
        <w:spacing w:line="460" w:lineRule="exact"/>
        <w:ind w:firstLine="210" w:firstLineChars="100"/>
        <w:rPr>
          <w:rFonts w:hint="eastAsia" w:hAnsi="宋体"/>
          <w:bCs/>
          <w:color w:val="auto"/>
        </w:rPr>
      </w:pPr>
      <w:r>
        <w:rPr>
          <w:rFonts w:hint="eastAsia" w:hAnsi="宋体"/>
          <w:bCs/>
          <w:color w:val="auto"/>
        </w:rPr>
        <w:t>(二)磋商小组：</w:t>
      </w:r>
      <w:bookmarkStart w:id="127" w:name="_Hlk89353643"/>
      <w:r>
        <w:rPr>
          <w:rFonts w:hint="eastAsia" w:hAnsi="宋体"/>
          <w:bCs/>
          <w:color w:val="auto"/>
        </w:rPr>
        <w:t>由采购人代表和评审专家共3人以上单数组成，其中评审专家人数不得少于磋商小组成员总数的2/3。</w:t>
      </w:r>
      <w:bookmarkEnd w:id="127"/>
    </w:p>
    <w:p>
      <w:pPr>
        <w:pStyle w:val="22"/>
        <w:spacing w:line="460" w:lineRule="exact"/>
        <w:ind w:firstLine="210" w:firstLineChars="100"/>
        <w:jc w:val="left"/>
        <w:rPr>
          <w:rFonts w:hint="eastAsia" w:hAnsi="宋体"/>
          <w:color w:val="auto"/>
        </w:rPr>
      </w:pPr>
      <w:r>
        <w:rPr>
          <w:rFonts w:hint="eastAsia" w:hAnsi="宋体"/>
          <w:bCs/>
          <w:color w:val="auto"/>
        </w:rPr>
        <w:t>(三</w:t>
      </w:r>
      <w:r>
        <w:rPr>
          <w:rFonts w:hAnsi="宋体"/>
          <w:bCs/>
          <w:color w:val="auto"/>
        </w:rPr>
        <w:t>)</w:t>
      </w:r>
      <w:r>
        <w:rPr>
          <w:rFonts w:hint="eastAsia" w:hAnsi="宋体"/>
          <w:color w:val="auto"/>
        </w:rPr>
        <w:t>评分方式：磋商小组各成员独立对每个有效响应文件进行评价、打分，汇总每个供应商每项评分因素的得分。</w:t>
      </w:r>
    </w:p>
    <w:p>
      <w:pPr>
        <w:pStyle w:val="22"/>
        <w:spacing w:line="460" w:lineRule="exact"/>
        <w:rPr>
          <w:rFonts w:hint="eastAsia" w:hAnsi="宋体"/>
          <w:b/>
          <w:bCs/>
          <w:color w:val="auto"/>
        </w:rPr>
      </w:pPr>
      <w:r>
        <w:rPr>
          <w:rFonts w:hint="eastAsia" w:hAnsi="宋体"/>
          <w:b/>
          <w:bCs/>
          <w:color w:val="auto"/>
        </w:rPr>
        <w:t>二、评分细则</w:t>
      </w:r>
    </w:p>
    <w:p>
      <w:pPr>
        <w:spacing w:line="460" w:lineRule="exact"/>
        <w:ind w:firstLine="211" w:firstLineChars="100"/>
        <w:rPr>
          <w:b/>
          <w:bCs/>
          <w:color w:val="auto"/>
        </w:rPr>
      </w:pPr>
      <w:r>
        <w:rPr>
          <w:rFonts w:hint="eastAsia"/>
          <w:b/>
          <w:bCs/>
          <w:color w:val="auto"/>
        </w:rPr>
        <w:t>（一）磋商报价得分（30分）</w:t>
      </w:r>
    </w:p>
    <w:p>
      <w:pPr>
        <w:spacing w:line="460" w:lineRule="exact"/>
        <w:ind w:firstLine="420"/>
        <w:jc w:val="left"/>
        <w:rPr>
          <w:rFonts w:hint="eastAsia" w:ascii="宋体" w:hAnsi="宋体" w:cs="Courier New"/>
          <w:color w:val="auto"/>
          <w:szCs w:val="21"/>
        </w:rPr>
      </w:pPr>
      <w:r>
        <w:rPr>
          <w:rFonts w:ascii="宋体" w:hAnsi="宋体" w:cs="Courier New"/>
          <w:color w:val="auto"/>
          <w:szCs w:val="21"/>
        </w:rPr>
        <w:t>满足磋商文件要求且最后报价最低的供应商的价格为磋商基准价，其价格分为满分。其他供应商的价格分统一按照下列公式计算：</w:t>
      </w:r>
    </w:p>
    <w:p>
      <w:pPr>
        <w:spacing w:line="460" w:lineRule="exact"/>
        <w:jc w:val="left"/>
        <w:rPr>
          <w:rFonts w:hint="eastAsia" w:ascii="宋体" w:hAnsi="宋体" w:cs="Courier New"/>
          <w:color w:val="auto"/>
          <w:szCs w:val="21"/>
        </w:rPr>
      </w:pPr>
      <w:r>
        <w:rPr>
          <w:rFonts w:ascii="宋体" w:hAnsi="宋体" w:cs="Courier New"/>
          <w:color w:val="auto"/>
          <w:szCs w:val="21"/>
        </w:rPr>
        <w:t>　　磋商报价得分=（磋商基准价/最后</w:t>
      </w:r>
      <w:r>
        <w:rPr>
          <w:rFonts w:hint="eastAsia" w:ascii="宋体" w:hAnsi="宋体" w:cs="Courier New"/>
          <w:color w:val="auto"/>
          <w:szCs w:val="21"/>
        </w:rPr>
        <w:t>磋商</w:t>
      </w:r>
      <w:r>
        <w:rPr>
          <w:rFonts w:ascii="宋体" w:hAnsi="宋体" w:cs="Courier New"/>
          <w:color w:val="auto"/>
          <w:szCs w:val="21"/>
        </w:rPr>
        <w:t>报价）×</w:t>
      </w:r>
      <w:r>
        <w:rPr>
          <w:rFonts w:hint="eastAsia" w:ascii="宋体" w:hAnsi="宋体" w:cs="Courier New"/>
          <w:color w:val="auto"/>
          <w:szCs w:val="21"/>
        </w:rPr>
        <w:t>3</w:t>
      </w:r>
      <w:r>
        <w:rPr>
          <w:rFonts w:ascii="宋体" w:hAnsi="宋体" w:cs="Courier New"/>
          <w:color w:val="auto"/>
          <w:szCs w:val="21"/>
        </w:rPr>
        <w:t>0</w:t>
      </w:r>
      <w:r>
        <w:rPr>
          <w:rFonts w:hint="eastAsia" w:ascii="宋体" w:hAnsi="宋体" w:cs="Courier New"/>
          <w:color w:val="auto"/>
          <w:szCs w:val="21"/>
        </w:rPr>
        <w:t>分</w:t>
      </w:r>
    </w:p>
    <w:p>
      <w:pPr>
        <w:spacing w:line="460" w:lineRule="exact"/>
        <w:ind w:firstLine="211" w:firstLineChars="100"/>
        <w:rPr>
          <w:rFonts w:ascii="宋体" w:cs="Courier New"/>
          <w:b/>
          <w:bCs/>
          <w:color w:val="auto"/>
          <w:szCs w:val="21"/>
        </w:rPr>
      </w:pPr>
      <w:r>
        <w:rPr>
          <w:rFonts w:hint="eastAsia" w:ascii="宋体" w:cs="Courier New"/>
          <w:b/>
          <w:bCs/>
          <w:color w:val="auto"/>
          <w:szCs w:val="21"/>
        </w:rPr>
        <w:t>（二）技术商务分</w:t>
      </w:r>
      <w:r>
        <w:rPr>
          <w:rFonts w:hint="eastAsia" w:ascii="宋体" w:hAnsi="宋体" w:cs="宋体"/>
          <w:b/>
          <w:bCs/>
          <w:color w:val="auto"/>
        </w:rPr>
        <w:t>（70分）</w:t>
      </w:r>
    </w:p>
    <w:p>
      <w:pPr>
        <w:spacing w:line="500" w:lineRule="exact"/>
        <w:ind w:firstLine="284"/>
        <w:rPr>
          <w:rFonts w:hint="eastAsia" w:ascii="宋体" w:hAnsi="宋体" w:cs="宋体"/>
          <w:b/>
          <w:bCs/>
          <w:color w:val="auto"/>
        </w:rPr>
      </w:pPr>
      <w:r>
        <w:rPr>
          <w:rFonts w:hint="eastAsia" w:ascii="宋体" w:hAnsi="宋体" w:cs="宋体"/>
          <w:b/>
          <w:bCs/>
          <w:color w:val="auto"/>
        </w:rPr>
        <w:t>1</w:t>
      </w:r>
      <w:r>
        <w:rPr>
          <w:rFonts w:ascii="宋体" w:hAnsi="宋体" w:cs="宋体"/>
          <w:b/>
          <w:bCs/>
          <w:color w:val="auto"/>
        </w:rPr>
        <w:t>.</w:t>
      </w:r>
      <w:r>
        <w:rPr>
          <w:rFonts w:hint="eastAsia" w:ascii="宋体" w:hAnsi="宋体" w:cs="宋体"/>
          <w:b/>
          <w:bCs/>
          <w:color w:val="auto"/>
        </w:rPr>
        <w:t>技术分（59分）</w:t>
      </w:r>
    </w:p>
    <w:p>
      <w:pPr>
        <w:spacing w:line="500" w:lineRule="exact"/>
        <w:ind w:firstLine="284"/>
        <w:rPr>
          <w:rFonts w:hint="eastAsia" w:ascii="宋体" w:hAnsi="宋体" w:cs="宋体"/>
          <w:color w:val="auto"/>
        </w:rPr>
      </w:pPr>
      <w:bookmarkStart w:id="128" w:name="_Hlk124258602"/>
      <w:r>
        <w:rPr>
          <w:rFonts w:ascii="宋体" w:hAnsi="宋体" w:cs="宋体"/>
          <w:color w:val="auto"/>
        </w:rPr>
        <w:t>1.1</w:t>
      </w:r>
      <w:r>
        <w:rPr>
          <w:rFonts w:hint="eastAsia" w:ascii="宋体" w:hAnsi="宋体" w:cs="宋体"/>
          <w:color w:val="auto"/>
        </w:rPr>
        <w:t>物业服务方案分（53分）</w:t>
      </w:r>
    </w:p>
    <w:p>
      <w:pPr>
        <w:spacing w:line="500" w:lineRule="exact"/>
        <w:ind w:firstLine="284"/>
        <w:rPr>
          <w:rFonts w:hint="eastAsia" w:ascii="宋体" w:hAnsi="宋体" w:cs="宋体"/>
          <w:color w:val="auto"/>
        </w:rPr>
      </w:pPr>
      <w:r>
        <w:rPr>
          <w:rFonts w:hint="eastAsia" w:ascii="宋体" w:hAnsi="宋体" w:cs="宋体"/>
          <w:color w:val="auto"/>
        </w:rPr>
        <w:t>由评审小组各成员会对供应商提供的物业服务方案按以下规则进行评分：</w:t>
      </w:r>
    </w:p>
    <w:p>
      <w:pPr>
        <w:spacing w:line="500" w:lineRule="exact"/>
        <w:ind w:firstLine="284"/>
        <w:rPr>
          <w:rFonts w:hint="eastAsia" w:ascii="宋体" w:hAnsi="宋体" w:cs="宋体"/>
          <w:color w:val="auto"/>
        </w:rPr>
      </w:pPr>
      <w:r>
        <w:rPr>
          <w:rFonts w:hint="eastAsia" w:ascii="宋体" w:hAnsi="宋体" w:cs="宋体"/>
          <w:color w:val="auto"/>
        </w:rPr>
        <w:t>1.1.1供应商提供的管理制度包括但不限于①各部门（行政、财务、人事等）人员管理制度，内部管理架构设置、②员工制度及管理机制、③岗位责任制及监督机制、④档案管理制度、⑤信息反馈处理机制及激励机制满足项目需求实施的，每项得2分，否则不得分，满分10分。</w:t>
      </w:r>
    </w:p>
    <w:p>
      <w:pPr>
        <w:spacing w:line="500" w:lineRule="exact"/>
        <w:ind w:firstLine="284"/>
        <w:rPr>
          <w:rFonts w:hint="eastAsia" w:ascii="宋体" w:hAnsi="宋体" w:cs="宋体"/>
          <w:color w:val="auto"/>
        </w:rPr>
      </w:pPr>
      <w:r>
        <w:rPr>
          <w:rFonts w:hint="eastAsia" w:ascii="宋体" w:hAnsi="宋体" w:cs="宋体"/>
          <w:color w:val="auto"/>
        </w:rPr>
        <w:t>1.1.2供应商提供的服务工作方案包含①对服务内容、服务要求及规定、②人员的派遣分配，人员配置规划、③安全保卫（消防监控）、④公共服务秩序管理、⑤清洁保洁、⑥水电维护满足项目需求实施的，每项得3分，否则不得分，满分18分。</w:t>
      </w:r>
    </w:p>
    <w:p>
      <w:pPr>
        <w:spacing w:line="500" w:lineRule="exact"/>
        <w:ind w:firstLine="284"/>
        <w:rPr>
          <w:rFonts w:hint="eastAsia" w:ascii="宋体" w:hAnsi="宋体" w:cs="宋体"/>
          <w:color w:val="auto"/>
        </w:rPr>
      </w:pPr>
      <w:r>
        <w:rPr>
          <w:rFonts w:hint="eastAsia" w:ascii="宋体" w:hAnsi="宋体" w:cs="宋体"/>
          <w:color w:val="auto"/>
        </w:rPr>
        <w:t>1.1.3</w:t>
      </w:r>
      <w:bookmarkStart w:id="129" w:name="_Hlk185414821"/>
      <w:r>
        <w:rPr>
          <w:rFonts w:hint="eastAsia" w:ascii="宋体" w:hAnsi="宋体" w:cs="宋体"/>
          <w:color w:val="auto"/>
        </w:rPr>
        <w:t>供应商提供</w:t>
      </w:r>
      <w:bookmarkEnd w:id="129"/>
      <w:r>
        <w:rPr>
          <w:rFonts w:hint="eastAsia" w:ascii="宋体" w:hAnsi="宋体" w:cs="宋体"/>
          <w:color w:val="auto"/>
        </w:rPr>
        <w:t>针对本项目场馆的应急处置方案（13分）：</w:t>
      </w:r>
    </w:p>
    <w:p>
      <w:pPr>
        <w:spacing w:line="500" w:lineRule="exact"/>
        <w:ind w:firstLine="284"/>
        <w:rPr>
          <w:rFonts w:hint="eastAsia" w:ascii="宋体" w:hAnsi="宋体" w:cs="宋体"/>
          <w:color w:val="auto"/>
        </w:rPr>
      </w:pPr>
      <w:r>
        <w:rPr>
          <w:rFonts w:hint="eastAsia" w:ascii="宋体" w:hAnsi="宋体" w:cs="宋体"/>
          <w:color w:val="auto"/>
        </w:rPr>
        <w:t>1.1.3.1应急处置方案有对项目地周边环境有准确描述的得1分，否则不得分。</w:t>
      </w:r>
    </w:p>
    <w:p>
      <w:pPr>
        <w:spacing w:line="500" w:lineRule="exact"/>
        <w:ind w:firstLine="284"/>
        <w:rPr>
          <w:rFonts w:hint="eastAsia" w:ascii="宋体" w:hAnsi="宋体" w:cs="宋体"/>
          <w:color w:val="auto"/>
        </w:rPr>
      </w:pPr>
      <w:r>
        <w:rPr>
          <w:rFonts w:hint="eastAsia" w:ascii="宋体" w:hAnsi="宋体" w:cs="宋体"/>
          <w:color w:val="auto"/>
        </w:rPr>
        <w:t>1.1.3.2应急处置方案根据项目场馆环境制定的突发事件处理方案（包括但不限于火灾、洪水含大雨造成的水灾、地震、暴力事件、意外伤害、拥挤踩踏、突发疾病、电力中断等突发情况）的，每种应急情形处理方案得1分，否则不得分，满分8分。</w:t>
      </w:r>
    </w:p>
    <w:p>
      <w:pPr>
        <w:spacing w:line="500" w:lineRule="exact"/>
        <w:ind w:firstLine="284"/>
        <w:rPr>
          <w:rFonts w:hint="eastAsia" w:ascii="宋体" w:hAnsi="宋体" w:cs="宋体"/>
          <w:bCs/>
          <w:color w:val="auto"/>
          <w:szCs w:val="21"/>
        </w:rPr>
      </w:pPr>
      <w:r>
        <w:rPr>
          <w:rFonts w:hint="eastAsia" w:ascii="宋体" w:hAnsi="宋体" w:cs="宋体"/>
          <w:color w:val="auto"/>
        </w:rPr>
        <w:t>1.1.3.3供应商提供真实</w:t>
      </w:r>
      <w:r>
        <w:rPr>
          <w:rFonts w:hint="eastAsia" w:ascii="宋体" w:hAnsi="宋体" w:cs="宋体"/>
          <w:color w:val="auto"/>
          <w:lang w:val="en-US" w:eastAsia="zh-CN"/>
        </w:rPr>
        <w:t>应急</w:t>
      </w:r>
      <w:r>
        <w:rPr>
          <w:rFonts w:hint="eastAsia" w:ascii="宋体" w:hAnsi="宋体" w:cs="宋体"/>
          <w:color w:val="auto"/>
        </w:rPr>
        <w:t>处置的案例或演习（须提供相关案例或演习的图文证明），每项得1分，满分4分。</w:t>
      </w:r>
    </w:p>
    <w:p>
      <w:pPr>
        <w:spacing w:line="500" w:lineRule="exact"/>
        <w:ind w:firstLine="284"/>
        <w:rPr>
          <w:rFonts w:hint="eastAsia" w:ascii="宋体" w:hAnsi="宋体" w:cs="宋体"/>
          <w:color w:val="auto"/>
        </w:rPr>
      </w:pPr>
      <w:r>
        <w:rPr>
          <w:rFonts w:hint="eastAsia" w:ascii="宋体" w:hAnsi="宋体" w:cs="宋体"/>
          <w:bCs/>
          <w:color w:val="auto"/>
          <w:szCs w:val="21"/>
        </w:rPr>
        <w:t>1.1.4供应商提供的人员培训方案包含①对各类人员的培训计划、②考核方式、③言行规范、④仪表仪容、⑤公众形象、⑥技能满足项目需求实施的，每项得2分，否则不得分，满分12分</w:t>
      </w:r>
      <w:r>
        <w:rPr>
          <w:rFonts w:hint="eastAsia" w:ascii="宋体" w:hAnsi="宋体" w:cs="宋体"/>
          <w:color w:val="auto"/>
        </w:rPr>
        <w:t>。</w:t>
      </w:r>
    </w:p>
    <w:p>
      <w:pPr>
        <w:spacing w:line="500" w:lineRule="exact"/>
        <w:ind w:firstLine="284"/>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2服务人员分（6分）</w:t>
      </w:r>
    </w:p>
    <w:p>
      <w:pPr>
        <w:spacing w:line="500" w:lineRule="exact"/>
        <w:ind w:firstLine="284"/>
        <w:rPr>
          <w:rFonts w:hint="eastAsia" w:ascii="宋体" w:hAnsi="宋体" w:cs="宋体"/>
          <w:color w:val="auto"/>
        </w:rPr>
      </w:pPr>
      <w:r>
        <w:rPr>
          <w:rFonts w:hint="eastAsia" w:ascii="宋体" w:hAnsi="宋体" w:cs="宋体"/>
          <w:color w:val="auto"/>
        </w:rPr>
        <w:t>由评审小组各成员会对供应商提供的服务人员按以下规则进行评分：</w:t>
      </w:r>
    </w:p>
    <w:p>
      <w:pPr>
        <w:spacing w:line="500" w:lineRule="exact"/>
        <w:ind w:firstLine="284"/>
        <w:rPr>
          <w:rFonts w:hint="eastAsia" w:ascii="宋体" w:hAnsi="宋体" w:cs="宋体"/>
          <w:color w:val="auto"/>
        </w:rPr>
      </w:pPr>
      <w:r>
        <w:rPr>
          <w:rFonts w:hint="eastAsia" w:ascii="宋体" w:hAnsi="宋体" w:cs="宋体"/>
          <w:color w:val="auto"/>
        </w:rPr>
        <w:t>1.2.1供应商拟投入本项目的项目主管具有大学或以上学历、具有消防设施操作员证书（中级或以上），每满足一项得1分，满分2分。</w:t>
      </w:r>
    </w:p>
    <w:p>
      <w:pPr>
        <w:spacing w:line="500" w:lineRule="exact"/>
        <w:ind w:firstLine="284"/>
        <w:rPr>
          <w:rFonts w:hint="eastAsia" w:ascii="宋体" w:hAnsi="宋体" w:cs="宋体"/>
          <w:color w:val="auto"/>
        </w:rPr>
      </w:pPr>
      <w:r>
        <w:rPr>
          <w:rFonts w:hint="eastAsia" w:ascii="宋体" w:hAnsi="宋体" w:cs="宋体"/>
          <w:color w:val="auto"/>
        </w:rPr>
        <w:t>1.2.2 供应商拟投入本项目的</w:t>
      </w:r>
      <w:r>
        <w:rPr>
          <w:rFonts w:hint="eastAsia"/>
          <w:color w:val="auto"/>
          <w:lang w:val="en-US" w:eastAsia="zh-CN"/>
        </w:rPr>
        <w:t>安全保卫员或夜晚值班保安</w:t>
      </w:r>
      <w:r>
        <w:rPr>
          <w:rFonts w:hint="eastAsia" w:ascii="宋体" w:hAnsi="宋体" w:cs="宋体"/>
          <w:color w:val="auto"/>
        </w:rPr>
        <w:t>中具有转业证或退伍证的，每人得1分，满分2分。</w:t>
      </w:r>
    </w:p>
    <w:p>
      <w:pPr>
        <w:spacing w:line="500" w:lineRule="exact"/>
        <w:ind w:firstLine="284"/>
        <w:rPr>
          <w:rFonts w:hint="eastAsia" w:ascii="宋体" w:hAnsi="宋体" w:cs="宋体"/>
          <w:color w:val="auto"/>
        </w:rPr>
      </w:pPr>
      <w:r>
        <w:rPr>
          <w:rFonts w:hint="eastAsia" w:ascii="宋体" w:hAnsi="宋体" w:cs="宋体"/>
          <w:color w:val="auto"/>
        </w:rPr>
        <w:t xml:space="preserve">1.2.3 </w:t>
      </w:r>
      <w:r>
        <w:rPr>
          <w:rFonts w:hint="eastAsia" w:ascii="宋体" w:hAnsi="宋体" w:cs="宋体"/>
          <w:color w:val="auto"/>
          <w:kern w:val="0"/>
          <w:szCs w:val="21"/>
        </w:rPr>
        <w:t>供应商拟投入本项目的</w:t>
      </w:r>
      <w:r>
        <w:rPr>
          <w:rFonts w:hint="eastAsia"/>
          <w:color w:val="auto"/>
          <w:lang w:val="en-US" w:eastAsia="zh-CN"/>
        </w:rPr>
        <w:t>24小时监控室员</w:t>
      </w:r>
      <w:r>
        <w:rPr>
          <w:rFonts w:hint="eastAsia" w:ascii="宋体" w:hAnsi="宋体" w:cs="宋体"/>
          <w:color w:val="auto"/>
          <w:kern w:val="0"/>
          <w:szCs w:val="21"/>
        </w:rPr>
        <w:t>中具有</w:t>
      </w:r>
      <w:r>
        <w:rPr>
          <w:rFonts w:hint="default"/>
          <w:color w:val="auto"/>
          <w:lang w:val="en-US" w:eastAsia="zh-CN"/>
        </w:rPr>
        <w:t>消防设施操作员职业资格证书</w:t>
      </w:r>
      <w:r>
        <w:rPr>
          <w:rFonts w:hint="eastAsia" w:ascii="宋体" w:hAnsi="宋体" w:cs="宋体"/>
          <w:color w:val="auto"/>
          <w:kern w:val="0"/>
          <w:szCs w:val="21"/>
        </w:rPr>
        <w:t>的，每人得1分，满分2分。</w:t>
      </w:r>
    </w:p>
    <w:p>
      <w:pPr>
        <w:spacing w:line="500" w:lineRule="exact"/>
        <w:ind w:firstLine="284"/>
        <w:rPr>
          <w:rFonts w:hint="eastAsia" w:ascii="宋体" w:hAnsi="宋体" w:cs="宋体"/>
          <w:color w:val="auto"/>
        </w:rPr>
      </w:pPr>
      <w:r>
        <w:rPr>
          <w:rFonts w:hint="eastAsia" w:ascii="宋体" w:hAnsi="宋体" w:cs="宋体"/>
          <w:color w:val="auto"/>
        </w:rPr>
        <w:t>注：须提供拟投入人员的学历/转业/退伍证明或相关专业技能证书并加盖供应商公章，否则不得分。</w:t>
      </w:r>
    </w:p>
    <w:p>
      <w:pPr>
        <w:spacing w:line="500" w:lineRule="exact"/>
        <w:ind w:firstLine="284"/>
        <w:rPr>
          <w:rFonts w:hint="eastAsia" w:ascii="宋体" w:hAnsi="宋体" w:cs="宋体"/>
          <w:color w:val="auto"/>
        </w:rPr>
      </w:pPr>
      <w:r>
        <w:rPr>
          <w:rFonts w:ascii="宋体" w:hAnsi="宋体" w:cs="宋体"/>
          <w:b/>
          <w:bCs/>
          <w:color w:val="auto"/>
        </w:rPr>
        <w:t>2.</w:t>
      </w:r>
      <w:r>
        <w:rPr>
          <w:rFonts w:hint="eastAsia" w:ascii="宋体" w:hAnsi="宋体" w:cs="宋体"/>
          <w:b/>
          <w:bCs/>
          <w:color w:val="auto"/>
        </w:rPr>
        <w:t>商务分（11分）</w:t>
      </w:r>
    </w:p>
    <w:p>
      <w:pPr>
        <w:spacing w:line="500" w:lineRule="exact"/>
        <w:ind w:firstLine="284"/>
        <w:rPr>
          <w:rFonts w:hint="eastAsia" w:ascii="宋体" w:hAnsi="宋体" w:cs="宋体"/>
          <w:color w:val="auto"/>
          <w:kern w:val="0"/>
          <w:szCs w:val="21"/>
          <w:lang w:bidi="ar"/>
        </w:rPr>
      </w:pPr>
      <w:r>
        <w:rPr>
          <w:rFonts w:ascii="宋体" w:hAnsi="宋体" w:cs="宋体"/>
          <w:color w:val="auto"/>
        </w:rPr>
        <w:t>2.1</w:t>
      </w:r>
      <w:r>
        <w:rPr>
          <w:rFonts w:hint="eastAsia" w:ascii="宋体" w:hAnsi="宋体" w:cs="宋体"/>
          <w:color w:val="auto"/>
        </w:rPr>
        <w:t>供应商具备质量管理体系认证证书、环境管理体系认证证书、职业健康安全管理体系认证证书</w:t>
      </w:r>
      <w:r>
        <w:rPr>
          <w:rFonts w:hint="eastAsia" w:ascii="宋体" w:hAnsi="宋体" w:cs="宋体"/>
          <w:color w:val="auto"/>
          <w:kern w:val="0"/>
          <w:szCs w:val="21"/>
          <w:lang w:bidi="ar"/>
        </w:rPr>
        <w:t>的，每项得1分，满分3分</w:t>
      </w:r>
      <w:r>
        <w:rPr>
          <w:rFonts w:hint="eastAsia" w:ascii="宋体" w:hAnsi="宋体" w:cs="宋体"/>
          <w:color w:val="auto"/>
        </w:rPr>
        <w:t>。(</w:t>
      </w:r>
      <w:bookmarkStart w:id="130" w:name="_Hlk118885054"/>
      <w:r>
        <w:rPr>
          <w:rFonts w:hint="eastAsia" w:ascii="宋体" w:hAnsi="宋体" w:cs="宋体"/>
          <w:color w:val="auto"/>
        </w:rPr>
        <w:t>须提供相关证书扫描件</w:t>
      </w:r>
      <w:bookmarkEnd w:id="130"/>
      <w:r>
        <w:rPr>
          <w:rFonts w:ascii="宋体" w:hAnsi="宋体" w:cs="宋体"/>
          <w:color w:val="auto"/>
        </w:rPr>
        <w:t>)</w:t>
      </w:r>
    </w:p>
    <w:p>
      <w:pPr>
        <w:spacing w:line="500" w:lineRule="exact"/>
        <w:ind w:firstLine="284"/>
        <w:rPr>
          <w:rFonts w:hint="eastAsia" w:ascii="宋体" w:hAnsi="宋体" w:cs="宋体"/>
          <w:color w:val="auto"/>
        </w:rPr>
      </w:pPr>
      <w:r>
        <w:rPr>
          <w:rFonts w:hint="eastAsia" w:ascii="宋体" w:hAnsi="宋体" w:cs="宋体"/>
          <w:color w:val="auto"/>
        </w:rPr>
        <w:t>2</w:t>
      </w:r>
      <w:r>
        <w:rPr>
          <w:rFonts w:ascii="宋体" w:hAnsi="宋体" w:cs="宋体"/>
          <w:color w:val="auto"/>
        </w:rPr>
        <w:t>.2</w:t>
      </w:r>
      <w:r>
        <w:rPr>
          <w:rFonts w:hint="eastAsia" w:ascii="宋体" w:hAnsi="宋体" w:cs="宋体"/>
          <w:color w:val="auto"/>
        </w:rPr>
        <w:t>供应商自2021年以来具有类似物业服务业绩的，每项得1分，满分5分。(须提供包括合同名称、标的、金额、期限、签字盖章内容的关键页扫描件，同一项目多份合同按一项业绩计算)</w:t>
      </w:r>
    </w:p>
    <w:p>
      <w:pPr>
        <w:spacing w:line="500" w:lineRule="exact"/>
        <w:ind w:firstLine="284"/>
        <w:rPr>
          <w:rFonts w:hint="eastAsia" w:ascii="宋体" w:hAnsi="宋体" w:cs="宋体"/>
          <w:color w:val="auto"/>
        </w:rPr>
      </w:pPr>
      <w:r>
        <w:rPr>
          <w:rFonts w:hint="eastAsia" w:ascii="宋体" w:hAnsi="宋体" w:cs="宋体"/>
          <w:color w:val="auto"/>
        </w:rPr>
        <w:t>2.3</w:t>
      </w:r>
      <w:r>
        <w:rPr>
          <w:rFonts w:hint="eastAsia" w:ascii="宋体" w:hAnsi="宋体" w:cs="宋体"/>
          <w:color w:val="auto"/>
          <w:kern w:val="0"/>
          <w:szCs w:val="21"/>
        </w:rPr>
        <w:t>供应商或其所服务项目自2021年以来获得行政部门颁发的物业服务相关荣誉奖项的，每项得1分，满分3分。</w:t>
      </w:r>
      <w:r>
        <w:rPr>
          <w:rFonts w:hint="eastAsia" w:ascii="宋体" w:hAnsi="宋体" w:cs="宋体"/>
          <w:color w:val="auto"/>
        </w:rPr>
        <w:t>(须提供相关证书扫描件</w:t>
      </w:r>
      <w:r>
        <w:rPr>
          <w:rFonts w:ascii="宋体" w:hAnsi="宋体" w:cs="宋体"/>
          <w:color w:val="auto"/>
        </w:rPr>
        <w:t>)</w:t>
      </w:r>
    </w:p>
    <w:bookmarkEnd w:id="128"/>
    <w:p>
      <w:pPr>
        <w:spacing w:line="460" w:lineRule="exact"/>
        <w:rPr>
          <w:color w:val="auto"/>
        </w:rPr>
      </w:pPr>
      <w:r>
        <w:rPr>
          <w:rFonts w:hint="eastAsia"/>
          <w:color w:val="auto"/>
        </w:rPr>
        <w:t>三、总得分=磋商报价得分+技术商务分</w:t>
      </w:r>
    </w:p>
    <w:p>
      <w:pPr>
        <w:pStyle w:val="22"/>
        <w:spacing w:line="460" w:lineRule="exact"/>
        <w:rPr>
          <w:rFonts w:hint="eastAsia" w:hAnsi="宋体"/>
          <w:color w:val="auto"/>
        </w:rPr>
      </w:pPr>
      <w:r>
        <w:rPr>
          <w:rFonts w:hint="eastAsia"/>
          <w:color w:val="auto"/>
        </w:rPr>
        <w:t>四</w:t>
      </w:r>
      <w:r>
        <w:rPr>
          <w:rFonts w:hint="eastAsia" w:hAnsi="宋体"/>
          <w:color w:val="auto"/>
        </w:rPr>
        <w:t>、成交供应商的推荐</w:t>
      </w:r>
    </w:p>
    <w:p>
      <w:pPr>
        <w:pStyle w:val="22"/>
        <w:spacing w:line="460" w:lineRule="exact"/>
        <w:ind w:firstLine="420"/>
        <w:rPr>
          <w:rFonts w:hint="eastAsia" w:ascii="仿宋_GB2312" w:hAnsi="宋体" w:eastAsia="仿宋_GB2312"/>
          <w:color w:val="auto"/>
          <w:sz w:val="28"/>
          <w:szCs w:val="28"/>
        </w:rPr>
      </w:pPr>
      <w:r>
        <w:rPr>
          <w:rFonts w:hint="eastAsia"/>
          <w:color w:val="auto"/>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市场竞争不充分的科研项目，以及需要扶持的科技成果转化项目或政府购买服务项目，可以推荐2家成交候选供应商。</w:t>
      </w:r>
    </w:p>
    <w:p>
      <w:pPr>
        <w:widowControl/>
        <w:jc w:val="left"/>
        <w:rPr>
          <w:rFonts w:cs="Courier New"/>
          <w:b/>
          <w:bCs/>
          <w:color w:val="auto"/>
          <w:sz w:val="32"/>
          <w:szCs w:val="32"/>
        </w:rPr>
      </w:pPr>
      <w:r>
        <w:rPr>
          <w:rFonts w:cs="Courier New"/>
          <w:color w:val="auto"/>
        </w:rPr>
        <w:br w:type="page"/>
      </w:r>
    </w:p>
    <w:p>
      <w:pPr>
        <w:spacing w:line="440" w:lineRule="exact"/>
        <w:ind w:firstLine="211" w:firstLineChars="100"/>
        <w:rPr>
          <w:rFonts w:hint="eastAsia" w:ascii="宋体" w:cs="Courier New"/>
          <w:b/>
          <w:bCs/>
          <w:color w:val="auto"/>
          <w:szCs w:val="21"/>
        </w:rPr>
      </w:pPr>
    </w:p>
    <w:p>
      <w:pPr>
        <w:spacing w:line="440" w:lineRule="exact"/>
        <w:ind w:firstLine="211" w:firstLineChars="100"/>
        <w:rPr>
          <w:rFonts w:hint="eastAsia" w:ascii="宋体" w:cs="Courier New"/>
          <w:b/>
          <w:bCs/>
          <w:color w:val="auto"/>
          <w:szCs w:val="21"/>
        </w:rPr>
      </w:pPr>
    </w:p>
    <w:p>
      <w:pPr>
        <w:spacing w:line="440" w:lineRule="exact"/>
        <w:ind w:firstLine="211" w:firstLineChars="100"/>
        <w:rPr>
          <w:rFonts w:hint="eastAsia" w:ascii="宋体" w:cs="Courier New"/>
          <w:b/>
          <w:bCs/>
          <w:color w:val="auto"/>
          <w:szCs w:val="21"/>
        </w:rPr>
      </w:pPr>
    </w:p>
    <w:p>
      <w:pPr>
        <w:spacing w:line="440" w:lineRule="exact"/>
        <w:ind w:firstLine="211" w:firstLineChars="100"/>
        <w:rPr>
          <w:rFonts w:hint="eastAsia" w:ascii="宋体" w:cs="Courier New"/>
          <w:b/>
          <w:bCs/>
          <w:color w:val="auto"/>
          <w:szCs w:val="21"/>
        </w:rPr>
      </w:pPr>
    </w:p>
    <w:p>
      <w:pPr>
        <w:spacing w:line="440" w:lineRule="exact"/>
        <w:ind w:firstLine="211" w:firstLineChars="100"/>
        <w:rPr>
          <w:rFonts w:hint="eastAsia" w:ascii="宋体" w:cs="Courier New"/>
          <w:b/>
          <w:bCs/>
          <w:color w:val="auto"/>
          <w:szCs w:val="21"/>
        </w:rPr>
      </w:pPr>
    </w:p>
    <w:p>
      <w:pPr>
        <w:spacing w:line="440" w:lineRule="exact"/>
        <w:ind w:firstLine="211" w:firstLineChars="100"/>
        <w:rPr>
          <w:rFonts w:hint="eastAsia" w:ascii="宋体" w:cs="Courier New"/>
          <w:b/>
          <w:bCs/>
          <w:color w:val="auto"/>
          <w:szCs w:val="21"/>
        </w:rPr>
      </w:pPr>
    </w:p>
    <w:p>
      <w:pPr>
        <w:spacing w:line="440" w:lineRule="exact"/>
        <w:ind w:firstLine="211" w:firstLineChars="100"/>
        <w:rPr>
          <w:rFonts w:hint="eastAsia" w:ascii="宋体" w:cs="Courier New"/>
          <w:b/>
          <w:bCs/>
          <w:color w:val="auto"/>
          <w:szCs w:val="21"/>
        </w:rPr>
      </w:pPr>
    </w:p>
    <w:p>
      <w:pPr>
        <w:spacing w:line="440" w:lineRule="exact"/>
        <w:ind w:firstLine="211" w:firstLineChars="100"/>
        <w:rPr>
          <w:rFonts w:hint="eastAsia" w:ascii="宋体" w:cs="Courier New"/>
          <w:b/>
          <w:bCs/>
          <w:color w:val="auto"/>
          <w:szCs w:val="21"/>
        </w:rPr>
      </w:pPr>
    </w:p>
    <w:p>
      <w:pPr>
        <w:spacing w:line="440" w:lineRule="exact"/>
        <w:ind w:firstLine="211" w:firstLineChars="100"/>
        <w:rPr>
          <w:rFonts w:hint="eastAsia" w:ascii="宋体" w:cs="Courier New"/>
          <w:b/>
          <w:bCs/>
          <w:color w:val="auto"/>
          <w:szCs w:val="21"/>
        </w:rPr>
      </w:pPr>
    </w:p>
    <w:p>
      <w:pPr>
        <w:spacing w:line="440" w:lineRule="exact"/>
        <w:ind w:firstLine="211" w:firstLineChars="100"/>
        <w:rPr>
          <w:rFonts w:hint="eastAsia" w:ascii="宋体" w:cs="Courier New"/>
          <w:b/>
          <w:bCs/>
          <w:color w:val="auto"/>
          <w:szCs w:val="21"/>
        </w:rPr>
      </w:pPr>
    </w:p>
    <w:p>
      <w:pPr>
        <w:spacing w:line="440" w:lineRule="exact"/>
        <w:ind w:firstLine="211" w:firstLineChars="100"/>
        <w:rPr>
          <w:rFonts w:hint="eastAsia" w:ascii="宋体" w:cs="Courier New"/>
          <w:b/>
          <w:bCs/>
          <w:color w:val="auto"/>
          <w:szCs w:val="21"/>
        </w:rPr>
      </w:pPr>
    </w:p>
    <w:p>
      <w:pPr>
        <w:spacing w:line="440" w:lineRule="exact"/>
        <w:ind w:firstLine="211" w:firstLineChars="100"/>
        <w:rPr>
          <w:rFonts w:hint="eastAsia" w:ascii="宋体" w:cs="Courier New"/>
          <w:b/>
          <w:bCs/>
          <w:color w:val="auto"/>
          <w:szCs w:val="21"/>
        </w:rPr>
      </w:pPr>
    </w:p>
    <w:p>
      <w:pPr>
        <w:rPr>
          <w:color w:val="auto"/>
        </w:rPr>
      </w:pPr>
    </w:p>
    <w:p>
      <w:pPr>
        <w:rPr>
          <w:color w:val="auto"/>
        </w:rPr>
      </w:pPr>
    </w:p>
    <w:p>
      <w:pPr>
        <w:rPr>
          <w:color w:val="auto"/>
        </w:rPr>
      </w:pPr>
    </w:p>
    <w:p>
      <w:pPr>
        <w:pStyle w:val="3"/>
        <w:spacing w:line="400" w:lineRule="exact"/>
        <w:rPr>
          <w:rFonts w:ascii="方正小标宋_GBK" w:eastAsia="方正小标宋_GBK"/>
          <w:color w:val="auto"/>
        </w:rPr>
      </w:pPr>
      <w:bookmarkStart w:id="131" w:name="_Toc92355027"/>
      <w:r>
        <w:rPr>
          <w:rFonts w:hint="eastAsia" w:ascii="方正小标宋_GBK" w:eastAsia="方正小标宋_GBK"/>
          <w:color w:val="auto"/>
        </w:rPr>
        <w:t>第五章  合同文本</w:t>
      </w:r>
      <w:bookmarkEnd w:id="131"/>
    </w:p>
    <w:p>
      <w:pPr>
        <w:pStyle w:val="22"/>
        <w:jc w:val="center"/>
        <w:rPr>
          <w:rFonts w:ascii="Times New Roman" w:hAnsi="宋体"/>
          <w:b/>
          <w:bCs/>
          <w:color w:val="auto"/>
          <w:sz w:val="28"/>
          <w:szCs w:val="28"/>
        </w:rPr>
      </w:pPr>
      <w:r>
        <w:rPr>
          <w:rFonts w:hint="eastAsia" w:ascii="Times New Roman" w:hAnsi="宋体"/>
          <w:b/>
          <w:bCs/>
          <w:color w:val="auto"/>
          <w:sz w:val="28"/>
          <w:szCs w:val="28"/>
        </w:rPr>
        <w:t>（参考格式）</w:t>
      </w:r>
    </w:p>
    <w:p>
      <w:pPr>
        <w:pStyle w:val="22"/>
        <w:spacing w:line="340" w:lineRule="exact"/>
        <w:rPr>
          <w:rFonts w:hint="eastAsia" w:ascii="宋体" w:hAnsi="宋体" w:eastAsia="宋体"/>
          <w:b/>
          <w:color w:val="auto"/>
        </w:rPr>
      </w:pPr>
      <w:r>
        <w:rPr>
          <w:rFonts w:ascii="宋体" w:hAnsi="宋体"/>
          <w:bCs/>
          <w:color w:val="auto"/>
          <w:szCs w:val="21"/>
        </w:rPr>
        <w:br w:type="page"/>
      </w:r>
      <w:r>
        <w:rPr>
          <w:rFonts w:hint="eastAsia" w:ascii="宋体" w:hAnsi="宋体" w:eastAsia="宋体"/>
          <w:b/>
          <w:color w:val="auto"/>
        </w:rPr>
        <w:t>说明：</w:t>
      </w:r>
    </w:p>
    <w:p>
      <w:pPr>
        <w:pStyle w:val="22"/>
        <w:spacing w:line="340" w:lineRule="exact"/>
        <w:rPr>
          <w:rFonts w:hint="eastAsia" w:ascii="宋体" w:hAnsi="宋体" w:eastAsia="宋体"/>
          <w:b/>
          <w:color w:val="auto"/>
        </w:rPr>
      </w:pPr>
      <w:r>
        <w:rPr>
          <w:rFonts w:hint="eastAsia" w:ascii="宋体" w:hAnsi="宋体" w:eastAsia="宋体"/>
          <w:b/>
          <w:color w:val="auto"/>
        </w:rPr>
        <w:t>1</w:t>
      </w:r>
      <w:r>
        <w:rPr>
          <w:rFonts w:hint="eastAsia" w:hAnsi="宋体"/>
          <w:b/>
          <w:color w:val="auto"/>
          <w:lang w:val="en-US" w:eastAsia="zh-CN"/>
        </w:rPr>
        <w:t>.</w:t>
      </w:r>
      <w:r>
        <w:rPr>
          <w:rFonts w:hint="eastAsia" w:ascii="宋体" w:hAnsi="宋体" w:eastAsia="宋体"/>
          <w:b/>
          <w:color w:val="auto"/>
        </w:rPr>
        <w:t>本合同书仅供签订正式合同时参考用。</w:t>
      </w:r>
    </w:p>
    <w:p>
      <w:pPr>
        <w:pStyle w:val="22"/>
        <w:spacing w:line="340" w:lineRule="exact"/>
        <w:rPr>
          <w:rFonts w:hint="eastAsia" w:ascii="宋体" w:hAnsi="宋体" w:eastAsia="宋体"/>
          <w:b/>
          <w:color w:val="auto"/>
        </w:rPr>
      </w:pPr>
      <w:r>
        <w:rPr>
          <w:rFonts w:hint="eastAsia" w:ascii="宋体" w:hAnsi="宋体" w:eastAsia="宋体"/>
          <w:b/>
          <w:color w:val="auto"/>
        </w:rPr>
        <w:t>2</w:t>
      </w:r>
      <w:r>
        <w:rPr>
          <w:rFonts w:hint="eastAsia" w:hAnsi="宋体"/>
          <w:b/>
          <w:color w:val="auto"/>
          <w:lang w:val="en-US" w:eastAsia="zh-CN"/>
        </w:rPr>
        <w:t>.</w:t>
      </w:r>
      <w:r>
        <w:rPr>
          <w:rFonts w:hint="eastAsia" w:ascii="宋体" w:hAnsi="宋体" w:eastAsia="宋体"/>
          <w:b/>
          <w:color w:val="auto"/>
        </w:rPr>
        <w:t>合同签订双方可根据项目的具体要求进行修订，但合同条款不得与采购文件和成交供应商响应文件有实质性偏离。</w:t>
      </w:r>
    </w:p>
    <w:p>
      <w:pPr>
        <w:pStyle w:val="22"/>
        <w:ind w:firstLine="2160" w:firstLineChars="600"/>
        <w:rPr>
          <w:bCs/>
          <w:color w:val="auto"/>
          <w:sz w:val="36"/>
          <w:szCs w:val="36"/>
          <w:u w:val="single"/>
        </w:rPr>
      </w:pPr>
    </w:p>
    <w:p>
      <w:pPr>
        <w:pStyle w:val="22"/>
        <w:ind w:firstLine="2160" w:firstLineChars="600"/>
        <w:rPr>
          <w:bCs/>
          <w:color w:val="auto"/>
          <w:sz w:val="36"/>
          <w:szCs w:val="36"/>
          <w:u w:val="single"/>
        </w:rPr>
      </w:pPr>
    </w:p>
    <w:p>
      <w:pPr>
        <w:pStyle w:val="22"/>
        <w:ind w:firstLine="2080" w:firstLineChars="400"/>
        <w:rPr>
          <w:bCs/>
          <w:color w:val="auto"/>
          <w:sz w:val="52"/>
          <w:szCs w:val="52"/>
        </w:rPr>
      </w:pPr>
      <w:r>
        <w:rPr>
          <w:rFonts w:hint="eastAsia"/>
          <w:bCs/>
          <w:color w:val="auto"/>
          <w:sz w:val="52"/>
          <w:szCs w:val="52"/>
          <w:u w:val="single"/>
        </w:rPr>
        <w:t xml:space="preserve">           </w:t>
      </w:r>
      <w:r>
        <w:rPr>
          <w:rFonts w:hint="eastAsia"/>
          <w:bCs/>
          <w:color w:val="auto"/>
          <w:sz w:val="52"/>
          <w:szCs w:val="52"/>
        </w:rPr>
        <w:t>政府采购合同</w:t>
      </w:r>
    </w:p>
    <w:p>
      <w:pPr>
        <w:spacing w:line="360" w:lineRule="auto"/>
        <w:rPr>
          <w:rFonts w:hint="eastAsia" w:ascii="宋体" w:hAnsi="宋体"/>
          <w:bCs/>
          <w:color w:val="auto"/>
          <w:sz w:val="24"/>
        </w:rPr>
      </w:pPr>
    </w:p>
    <w:p>
      <w:pPr>
        <w:spacing w:line="360" w:lineRule="auto"/>
        <w:rPr>
          <w:rFonts w:hint="eastAsia" w:ascii="宋体" w:hAnsi="宋体"/>
          <w:bCs/>
          <w:color w:val="auto"/>
          <w:sz w:val="24"/>
        </w:rPr>
      </w:pPr>
    </w:p>
    <w:p>
      <w:pPr>
        <w:spacing w:line="360" w:lineRule="auto"/>
        <w:rPr>
          <w:rFonts w:hint="eastAsia" w:ascii="宋体" w:hAnsi="宋体"/>
          <w:bCs/>
          <w:color w:val="auto"/>
          <w:sz w:val="24"/>
        </w:rPr>
      </w:pPr>
    </w:p>
    <w:p>
      <w:pPr>
        <w:spacing w:line="360" w:lineRule="auto"/>
        <w:rPr>
          <w:rFonts w:hint="eastAsia" w:ascii="宋体" w:hAnsi="宋体"/>
          <w:bCs/>
          <w:color w:val="auto"/>
          <w:sz w:val="24"/>
        </w:rPr>
      </w:pPr>
    </w:p>
    <w:p>
      <w:pPr>
        <w:pStyle w:val="4"/>
        <w:rPr>
          <w:color w:val="auto"/>
        </w:rPr>
      </w:pPr>
    </w:p>
    <w:p>
      <w:pPr>
        <w:spacing w:line="360" w:lineRule="auto"/>
        <w:rPr>
          <w:rFonts w:hint="eastAsia" w:ascii="宋体" w:hAnsi="宋体"/>
          <w:bCs/>
          <w:color w:val="auto"/>
          <w:sz w:val="24"/>
        </w:rPr>
      </w:pPr>
    </w:p>
    <w:tbl>
      <w:tblPr>
        <w:tblStyle w:val="37"/>
        <w:tblW w:w="0" w:type="auto"/>
        <w:jc w:val="center"/>
        <w:tblLayout w:type="fixed"/>
        <w:tblCellMar>
          <w:top w:w="0" w:type="dxa"/>
          <w:left w:w="108" w:type="dxa"/>
          <w:bottom w:w="0" w:type="dxa"/>
          <w:right w:w="108" w:type="dxa"/>
        </w:tblCellMar>
      </w:tblPr>
      <w:tblGrid>
        <w:gridCol w:w="6967"/>
      </w:tblGrid>
      <w:tr>
        <w:tblPrEx>
          <w:tblCellMar>
            <w:top w:w="0" w:type="dxa"/>
            <w:left w:w="108" w:type="dxa"/>
            <w:bottom w:w="0" w:type="dxa"/>
            <w:right w:w="108" w:type="dxa"/>
          </w:tblCellMar>
        </w:tblPrEx>
        <w:trPr>
          <w:trHeight w:val="446" w:hRule="atLeast"/>
          <w:jc w:val="center"/>
        </w:trPr>
        <w:tc>
          <w:tcPr>
            <w:tcW w:w="6967" w:type="dxa"/>
          </w:tcPr>
          <w:p>
            <w:pPr>
              <w:tabs>
                <w:tab w:val="left" w:pos="720"/>
              </w:tabs>
              <w:spacing w:line="360" w:lineRule="auto"/>
              <w:ind w:firstLine="480" w:firstLineChars="200"/>
              <w:rPr>
                <w:rFonts w:hint="eastAsia" w:ascii="宋体" w:hAnsi="宋体"/>
                <w:bCs/>
                <w:color w:val="auto"/>
                <w:sz w:val="24"/>
              </w:rPr>
            </w:pPr>
            <w:r>
              <w:rPr>
                <w:rFonts w:hint="eastAsia" w:ascii="宋体" w:hAnsi="宋体"/>
                <w:bCs/>
                <w:color w:val="auto"/>
                <w:sz w:val="24"/>
              </w:rPr>
              <w:t>合同编号：</w:t>
            </w:r>
            <w:r>
              <w:rPr>
                <w:rFonts w:hint="eastAsia" w:ascii="宋体" w:hAnsi="宋体"/>
                <w:bCs/>
                <w:color w:val="auto"/>
                <w:sz w:val="24"/>
                <w:u w:val="single"/>
              </w:rPr>
              <w:t xml:space="preserve">                        </w:t>
            </w:r>
            <w:r>
              <w:rPr>
                <w:rFonts w:hint="eastAsia" w:ascii="宋体" w:hAnsi="宋体"/>
                <w:bCs/>
                <w:color w:val="auto"/>
                <w:sz w:val="24"/>
              </w:rPr>
              <w:t xml:space="preserve">                         </w:t>
            </w:r>
          </w:p>
        </w:tc>
      </w:tr>
      <w:tr>
        <w:tblPrEx>
          <w:tblCellMar>
            <w:top w:w="0" w:type="dxa"/>
            <w:left w:w="108" w:type="dxa"/>
            <w:bottom w:w="0" w:type="dxa"/>
            <w:right w:w="108" w:type="dxa"/>
          </w:tblCellMar>
        </w:tblPrEx>
        <w:trPr>
          <w:trHeight w:val="446" w:hRule="atLeast"/>
          <w:jc w:val="center"/>
        </w:trPr>
        <w:tc>
          <w:tcPr>
            <w:tcW w:w="6967" w:type="dxa"/>
          </w:tcPr>
          <w:p>
            <w:pPr>
              <w:spacing w:line="360" w:lineRule="auto"/>
              <w:ind w:firstLine="480" w:firstLineChars="200"/>
              <w:rPr>
                <w:rFonts w:hint="eastAsia" w:ascii="宋体" w:hAnsi="宋体"/>
                <w:color w:val="auto"/>
                <w:sz w:val="24"/>
              </w:rPr>
            </w:pPr>
            <w:r>
              <w:rPr>
                <w:rFonts w:hint="eastAsia" w:ascii="宋体" w:hAnsi="宋体"/>
                <w:bCs/>
                <w:color w:val="auto"/>
                <w:sz w:val="24"/>
              </w:rPr>
              <w:t>项目名称：</w:t>
            </w:r>
            <w:r>
              <w:rPr>
                <w:rFonts w:hint="eastAsia" w:ascii="宋体" w:hAnsi="宋体"/>
                <w:bCs/>
                <w:color w:val="auto"/>
                <w:sz w:val="24"/>
                <w:u w:val="single"/>
              </w:rPr>
              <w:t xml:space="preserve">                        </w:t>
            </w:r>
            <w:r>
              <w:rPr>
                <w:rFonts w:hint="eastAsia" w:ascii="宋体" w:hAnsi="宋体"/>
                <w:bCs/>
                <w:color w:val="auto"/>
                <w:sz w:val="24"/>
              </w:rPr>
              <w:t xml:space="preserve"> </w:t>
            </w:r>
            <w:r>
              <w:rPr>
                <w:rFonts w:hint="eastAsia" w:ascii="宋体" w:hAnsi="宋体"/>
                <w:color w:val="auto"/>
                <w:sz w:val="24"/>
              </w:rPr>
              <w:t xml:space="preserve"> </w:t>
            </w:r>
          </w:p>
        </w:tc>
      </w:tr>
      <w:tr>
        <w:tblPrEx>
          <w:tblCellMar>
            <w:top w:w="0" w:type="dxa"/>
            <w:left w:w="108" w:type="dxa"/>
            <w:bottom w:w="0" w:type="dxa"/>
            <w:right w:w="108" w:type="dxa"/>
          </w:tblCellMar>
        </w:tblPrEx>
        <w:trPr>
          <w:trHeight w:val="446" w:hRule="atLeast"/>
          <w:jc w:val="center"/>
        </w:trPr>
        <w:tc>
          <w:tcPr>
            <w:tcW w:w="6967" w:type="dxa"/>
          </w:tcPr>
          <w:p>
            <w:pPr>
              <w:spacing w:line="500" w:lineRule="exact"/>
              <w:ind w:firstLine="480" w:firstLineChars="200"/>
              <w:rPr>
                <w:rFonts w:hint="eastAsia" w:ascii="宋体" w:hAnsi="宋体"/>
                <w:color w:val="auto"/>
                <w:sz w:val="24"/>
              </w:rPr>
            </w:pPr>
            <w:r>
              <w:rPr>
                <w:rFonts w:hint="eastAsia" w:ascii="宋体" w:hAnsi="宋体"/>
                <w:bCs/>
                <w:color w:val="auto"/>
                <w:sz w:val="24"/>
              </w:rPr>
              <w:t>项目编号：</w:t>
            </w:r>
            <w:r>
              <w:rPr>
                <w:rFonts w:hint="eastAsia" w:ascii="宋体" w:hAnsi="宋体"/>
                <w:bCs/>
                <w:color w:val="auto"/>
                <w:sz w:val="24"/>
                <w:u w:val="single"/>
              </w:rPr>
              <w:t xml:space="preserve">                        </w:t>
            </w:r>
            <w:r>
              <w:rPr>
                <w:rFonts w:hint="eastAsia" w:ascii="宋体" w:hAnsi="宋体"/>
                <w:bCs/>
                <w:color w:val="auto"/>
                <w:sz w:val="24"/>
              </w:rPr>
              <w:t xml:space="preserve"> </w:t>
            </w:r>
          </w:p>
        </w:tc>
      </w:tr>
      <w:tr>
        <w:tblPrEx>
          <w:tblCellMar>
            <w:top w:w="0" w:type="dxa"/>
            <w:left w:w="108" w:type="dxa"/>
            <w:bottom w:w="0" w:type="dxa"/>
            <w:right w:w="108" w:type="dxa"/>
          </w:tblCellMar>
        </w:tblPrEx>
        <w:trPr>
          <w:trHeight w:val="460" w:hRule="atLeast"/>
          <w:jc w:val="center"/>
        </w:trPr>
        <w:tc>
          <w:tcPr>
            <w:tcW w:w="6967" w:type="dxa"/>
          </w:tcPr>
          <w:p>
            <w:pPr>
              <w:tabs>
                <w:tab w:val="left" w:pos="720"/>
              </w:tabs>
              <w:spacing w:line="360" w:lineRule="auto"/>
              <w:rPr>
                <w:rFonts w:hint="eastAsia" w:ascii="宋体" w:hAnsi="宋体"/>
                <w:bCs/>
                <w:color w:val="auto"/>
                <w:sz w:val="24"/>
              </w:rPr>
            </w:pPr>
          </w:p>
        </w:tc>
      </w:tr>
    </w:tbl>
    <w:p>
      <w:pPr>
        <w:spacing w:line="500" w:lineRule="exact"/>
        <w:jc w:val="center"/>
        <w:rPr>
          <w:rFonts w:hint="eastAsia" w:ascii="宋体" w:hAnsi="宋体"/>
          <w:color w:val="auto"/>
          <w:sz w:val="24"/>
        </w:rPr>
      </w:pPr>
    </w:p>
    <w:p>
      <w:pPr>
        <w:spacing w:line="500" w:lineRule="exact"/>
        <w:jc w:val="center"/>
        <w:rPr>
          <w:rFonts w:hint="eastAsia" w:ascii="宋体" w:hAnsi="宋体"/>
          <w:color w:val="auto"/>
          <w:sz w:val="24"/>
        </w:rPr>
      </w:pPr>
    </w:p>
    <w:p>
      <w:pPr>
        <w:spacing w:line="500" w:lineRule="exact"/>
        <w:jc w:val="center"/>
        <w:rPr>
          <w:rFonts w:hint="eastAsia" w:ascii="宋体" w:hAnsi="宋体"/>
          <w:color w:val="auto"/>
          <w:sz w:val="24"/>
        </w:rPr>
      </w:pPr>
    </w:p>
    <w:p>
      <w:pPr>
        <w:rPr>
          <w:color w:val="auto"/>
        </w:rPr>
      </w:pPr>
    </w:p>
    <w:p>
      <w:pPr>
        <w:spacing w:line="500" w:lineRule="exact"/>
        <w:rPr>
          <w:rFonts w:hint="eastAsia" w:ascii="宋体" w:hAnsi="宋体"/>
          <w:color w:val="auto"/>
          <w:sz w:val="24"/>
        </w:rPr>
      </w:pPr>
    </w:p>
    <w:p>
      <w:pPr>
        <w:pStyle w:val="4"/>
        <w:rPr>
          <w:color w:val="auto"/>
        </w:rPr>
      </w:pPr>
    </w:p>
    <w:p>
      <w:pPr>
        <w:tabs>
          <w:tab w:val="left" w:pos="720"/>
        </w:tabs>
        <w:spacing w:line="500" w:lineRule="exact"/>
        <w:ind w:firstLine="2160" w:firstLineChars="900"/>
        <w:rPr>
          <w:rFonts w:hint="eastAsia" w:ascii="宋体" w:hAnsi="宋体"/>
          <w:color w:val="auto"/>
          <w:sz w:val="24"/>
        </w:rPr>
      </w:pPr>
      <w:r>
        <w:rPr>
          <w:rFonts w:hint="eastAsia" w:ascii="宋体" w:hAnsi="宋体"/>
          <w:color w:val="auto"/>
          <w:sz w:val="24"/>
        </w:rPr>
        <w:t>签订地点：</w:t>
      </w:r>
      <w:r>
        <w:rPr>
          <w:rFonts w:hint="eastAsia" w:ascii="宋体" w:hAnsi="宋体"/>
          <w:bCs/>
          <w:color w:val="auto"/>
          <w:sz w:val="24"/>
          <w:u w:val="single"/>
        </w:rPr>
        <w:t xml:space="preserve">                        </w:t>
      </w:r>
      <w:r>
        <w:rPr>
          <w:rFonts w:hint="eastAsia" w:ascii="宋体" w:hAnsi="宋体"/>
          <w:bCs/>
          <w:color w:val="auto"/>
          <w:sz w:val="24"/>
        </w:rPr>
        <w:t xml:space="preserve"> </w:t>
      </w:r>
    </w:p>
    <w:p>
      <w:pPr>
        <w:tabs>
          <w:tab w:val="left" w:pos="720"/>
        </w:tabs>
        <w:spacing w:line="500" w:lineRule="exact"/>
        <w:ind w:firstLine="2160" w:firstLineChars="900"/>
        <w:rPr>
          <w:rFonts w:hint="eastAsia" w:ascii="宋体" w:hAnsi="宋体"/>
          <w:color w:val="auto"/>
          <w:sz w:val="24"/>
        </w:rPr>
      </w:pPr>
      <w:r>
        <w:rPr>
          <w:rFonts w:hint="eastAsia" w:ascii="宋体" w:hAnsi="宋体"/>
          <w:color w:val="auto"/>
          <w:sz w:val="24"/>
        </w:rPr>
        <w:t>签订时间：</w:t>
      </w:r>
      <w:r>
        <w:rPr>
          <w:rFonts w:hint="eastAsia" w:ascii="宋体" w:hAnsi="宋体"/>
          <w:bCs/>
          <w:color w:val="auto"/>
          <w:sz w:val="24"/>
          <w:u w:val="single"/>
        </w:rPr>
        <w:t xml:space="preserve">                        </w:t>
      </w:r>
      <w:r>
        <w:rPr>
          <w:rFonts w:hint="eastAsia" w:ascii="宋体" w:hAnsi="宋体"/>
          <w:bCs/>
          <w:color w:val="auto"/>
          <w:sz w:val="24"/>
        </w:rPr>
        <w:t xml:space="preserve"> </w:t>
      </w:r>
    </w:p>
    <w:p>
      <w:pPr>
        <w:pStyle w:val="4"/>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钦州市图书馆202</w:t>
      </w:r>
      <w:r>
        <w:rPr>
          <w:rFonts w:hint="eastAsia" w:ascii="方正小标宋简体" w:hAnsi="方正小标宋简体" w:eastAsia="方正小标宋简体" w:cs="方正小标宋简体"/>
          <w:b w:val="0"/>
          <w:bCs w:val="0"/>
          <w:color w:val="auto"/>
          <w:sz w:val="44"/>
          <w:szCs w:val="44"/>
          <w:lang w:val="en-US" w:eastAsia="zh-CN"/>
        </w:rPr>
        <w:t>6</w:t>
      </w:r>
      <w:r>
        <w:rPr>
          <w:rFonts w:hint="eastAsia" w:ascii="方正小标宋简体" w:hAnsi="方正小标宋简体" w:eastAsia="方正小标宋简体" w:cs="方正小标宋简体"/>
          <w:b w:val="0"/>
          <w:bCs w:val="0"/>
          <w:color w:val="auto"/>
          <w:sz w:val="44"/>
          <w:szCs w:val="44"/>
        </w:rPr>
        <w:t>年物业服务合同</w:t>
      </w:r>
    </w:p>
    <w:p>
      <w:pPr>
        <w:tabs>
          <w:tab w:val="left" w:pos="720"/>
        </w:tabs>
        <w:spacing w:line="500" w:lineRule="exac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甲方（采购人）：钦州市图书馆</w:t>
      </w:r>
    </w:p>
    <w:p>
      <w:pPr>
        <w:tabs>
          <w:tab w:val="left" w:pos="720"/>
        </w:tabs>
        <w:spacing w:line="500" w:lineRule="exac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乙方（成交供应商人）：</w:t>
      </w:r>
      <w:r>
        <w:rPr>
          <w:rFonts w:hint="eastAsia" w:ascii="仿宋_GB2312" w:hAnsi="仿宋_GB2312" w:eastAsia="仿宋_GB2312" w:cs="仿宋_GB2312"/>
          <w:bCs/>
          <w:color w:val="auto"/>
          <w:sz w:val="32"/>
          <w:szCs w:val="32"/>
          <w:u w:val="single"/>
        </w:rPr>
        <w:t xml:space="preserve">                          </w:t>
      </w:r>
    </w:p>
    <w:p>
      <w:pPr>
        <w:tabs>
          <w:tab w:val="left" w:pos="720"/>
        </w:tabs>
        <w:spacing w:line="500" w:lineRule="exac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签订地点：钦州市图书馆 </w:t>
      </w:r>
    </w:p>
    <w:p>
      <w:pPr>
        <w:tabs>
          <w:tab w:val="left" w:pos="720"/>
        </w:tabs>
        <w:spacing w:line="500" w:lineRule="exact"/>
        <w:ind w:firstLine="560" w:firstLineChars="200"/>
        <w:rPr>
          <w:rFonts w:hint="eastAsia" w:ascii="仿宋_GB2312" w:hAnsi="仿宋_GB2312" w:eastAsia="仿宋_GB2312" w:cs="仿宋_GB2312"/>
          <w:bCs/>
          <w:color w:val="auto"/>
          <w:sz w:val="28"/>
          <w:szCs w:val="28"/>
        </w:rPr>
      </w:pPr>
    </w:p>
    <w:p>
      <w:pPr>
        <w:tabs>
          <w:tab w:val="left" w:pos="720"/>
        </w:tabs>
        <w:spacing w:line="4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根据《中华人民共和国政府采购法》、《中华人民共和国合同法》、《广西壮族自治区人民政府办公厅关于政府购买服务的实施意见》（桂政办发[2014]30号）和《钦州市人民政府办公室关于政府购买服务的实施意见》（钦政办〔2014〕88号）等相关规定，为保证所购的服务质量，明确双方的权利义务，甲乙双方在平等、自愿、协商一致的基础上，就有关事宜达成如下协议：</w:t>
      </w:r>
    </w:p>
    <w:p>
      <w:pPr>
        <w:tabs>
          <w:tab w:val="left" w:pos="720"/>
        </w:tabs>
        <w:spacing w:line="4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依据采购文件（含补充、修改文件）和乙方的响应文件（含澄清、补充文件），乙方向甲方提供物业管理服务。</w:t>
      </w:r>
    </w:p>
    <w:p>
      <w:pPr>
        <w:tabs>
          <w:tab w:val="left" w:pos="720"/>
        </w:tabs>
        <w:spacing w:line="460" w:lineRule="exact"/>
        <w:ind w:firstLine="546" w:firstLineChars="195"/>
        <w:rPr>
          <w:rFonts w:hint="eastAsia" w:ascii="黑体" w:hAnsi="黑体" w:eastAsia="黑体" w:cs="黑体"/>
          <w:bCs/>
          <w:color w:val="auto"/>
          <w:sz w:val="28"/>
          <w:szCs w:val="28"/>
        </w:rPr>
      </w:pPr>
      <w:r>
        <w:rPr>
          <w:rFonts w:hint="eastAsia" w:ascii="黑体" w:hAnsi="黑体" w:eastAsia="黑体" w:cs="黑体"/>
          <w:bCs/>
          <w:color w:val="auto"/>
          <w:sz w:val="28"/>
          <w:szCs w:val="28"/>
        </w:rPr>
        <w:t>一、物业基本情况</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1.物业名称：钦州市图书馆物业管理服务。</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2.座落位置：钦州市子材东大街10号。</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3.物业管理范围：(1）安监保卫服务；（2）公共服务秩序管理；（3）清洁保洁服务；（4）绿化带花、草、树、竹等植物的修剪养护；（5）场馆日常水电、设备设施维护服务。</w:t>
      </w:r>
    </w:p>
    <w:p>
      <w:pPr>
        <w:tabs>
          <w:tab w:val="left" w:pos="720"/>
        </w:tabs>
        <w:spacing w:line="460" w:lineRule="exact"/>
        <w:ind w:firstLine="546" w:firstLineChars="195"/>
        <w:rPr>
          <w:rFonts w:hint="eastAsia" w:ascii="黑体" w:hAnsi="黑体" w:eastAsia="黑体" w:cs="黑体"/>
          <w:bCs/>
          <w:color w:val="auto"/>
          <w:sz w:val="28"/>
          <w:szCs w:val="28"/>
        </w:rPr>
      </w:pPr>
      <w:r>
        <w:rPr>
          <w:rFonts w:hint="eastAsia" w:ascii="黑体" w:hAnsi="黑体" w:eastAsia="黑体" w:cs="黑体"/>
          <w:bCs/>
          <w:color w:val="auto"/>
          <w:sz w:val="28"/>
          <w:szCs w:val="28"/>
        </w:rPr>
        <w:t>二、委托管理事项</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包括：</w:t>
      </w:r>
    </w:p>
    <w:p>
      <w:pPr>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(1)“本馆”日常监护管理，含楼板、屋顶、梁、柱、内外墙体和基础等承重结构部位、外墙面、楼梯间、走廊通道、门厅、卫生间、茶水间、设备房等。</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(2)“本馆”设施设备、规划内配套服务设施（上下水管管道、公用照明、背景音乐、绿化、路灯、供水设备、配电系统、电梯、消防设备等）的维修，养护，管理和运行服务。</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 钦州市图书馆三楼报告厅和各展厅的日常管理和运行服务，按甲方要求，在职责范围内配合和协助做好展厅布展及撤展工作。</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(4)配合和协助钦州市图书馆在区域内开展各项活动。</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(5)公共环境（包括公共场地、房屋建筑物公用部位）的清洁卫生、垃圾的收集、清运。</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(6)日常治安、消防、车辆、秩序等管理。配合和协助当地派出所进行安全监控和巡视等护管工作。</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(7)物业管理档案、资料；消防安全，巡查相关台</w:t>
      </w:r>
      <w:r>
        <w:rPr>
          <w:rFonts w:hint="eastAsia" w:ascii="仿宋_GB2312" w:hAnsi="仿宋_GB2312" w:eastAsia="仿宋_GB2312" w:cs="仿宋_GB2312"/>
          <w:bCs/>
          <w:color w:val="auto"/>
          <w:sz w:val="28"/>
          <w:szCs w:val="28"/>
          <w:lang w:val="en-US" w:eastAsia="zh-CN"/>
        </w:rPr>
        <w:t>账</w:t>
      </w:r>
      <w:r>
        <w:rPr>
          <w:rFonts w:hint="eastAsia" w:ascii="仿宋_GB2312" w:hAnsi="仿宋_GB2312" w:eastAsia="仿宋_GB2312" w:cs="仿宋_GB2312"/>
          <w:bCs/>
          <w:color w:val="auto"/>
          <w:sz w:val="28"/>
          <w:szCs w:val="28"/>
        </w:rPr>
        <w:t>资料。</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黑体" w:hAnsi="黑体" w:eastAsia="黑体" w:cs="黑体"/>
          <w:bCs/>
          <w:color w:val="auto"/>
          <w:sz w:val="28"/>
          <w:szCs w:val="28"/>
        </w:rPr>
        <w:t>三、物业管理质量</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乙方的物业管理服务应达到相关的等级标准的规定。</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黑体" w:hAnsi="黑体" w:eastAsia="黑体" w:cs="黑体"/>
          <w:bCs/>
          <w:color w:val="auto"/>
          <w:sz w:val="28"/>
          <w:szCs w:val="28"/>
        </w:rPr>
        <w:t>四、委托管理期限</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委托管理期限为1年，自2025年  月  日至2026年  月 日。在此期间未履行合同，不遵守承诺或达不到甲方要求，甲方有权解除合同，其一切责任由乙方负责，乙方不得以任何理由向甲方提出任何索赔要求。</w:t>
      </w:r>
    </w:p>
    <w:p>
      <w:pPr>
        <w:tabs>
          <w:tab w:val="left" w:pos="720"/>
        </w:tabs>
        <w:spacing w:line="460" w:lineRule="exact"/>
        <w:ind w:firstLine="546" w:firstLineChars="195"/>
        <w:rPr>
          <w:rFonts w:hint="eastAsia" w:ascii="黑体" w:hAnsi="黑体" w:eastAsia="黑体" w:cs="黑体"/>
          <w:bCs/>
          <w:color w:val="auto"/>
          <w:sz w:val="28"/>
          <w:szCs w:val="28"/>
        </w:rPr>
      </w:pPr>
      <w:r>
        <w:rPr>
          <w:rFonts w:hint="eastAsia" w:ascii="黑体" w:hAnsi="黑体" w:eastAsia="黑体" w:cs="黑体"/>
          <w:bCs/>
          <w:color w:val="auto"/>
          <w:sz w:val="28"/>
          <w:szCs w:val="28"/>
        </w:rPr>
        <w:t>五、物业管理费及支付</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1.本合同所指的物业管理费是指乙方根据采购文件要求所投报的物业管理成交价。</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2.物业管理费为每年人民币</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元。此价格为包干价，不再增加任何费用；如遇突击任务需临时增加人员时，也不增加费用。</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3.验收合格后，乙方出具正规发票给甲方，凭甲方开具的《政府采购验收单》办理合同款项结算手续。</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支付合同款项时，一律不向乙方以外的任何第三方办理付款手续。开户行和帐号以政府采购合同签订的为准，如果乙方要求变更，则乙方必须提供加盖了财务专用章、法人代表签字的证明文件，报经甲方审查同意。除另有规定外，按人民币结算款项。</w:t>
      </w:r>
    </w:p>
    <w:p>
      <w:pPr>
        <w:widowControl/>
        <w:adjustRightInd w:val="0"/>
        <w:snapToGrid w:val="0"/>
        <w:spacing w:line="400" w:lineRule="exact"/>
        <w:ind w:firstLine="560" w:firstLineChars="20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5.支付方式及付款方式：</w:t>
      </w:r>
      <w:bookmarkStart w:id="132" w:name="_Hlk193181367"/>
      <w:r>
        <w:rPr>
          <w:rFonts w:hint="eastAsia" w:ascii="仿宋_GB2312" w:hAnsi="仿宋_GB2312" w:eastAsia="仿宋_GB2312" w:cs="仿宋_GB2312"/>
          <w:color w:val="auto"/>
          <w:kern w:val="0"/>
          <w:sz w:val="28"/>
          <w:szCs w:val="28"/>
        </w:rPr>
        <w:t>甲方按月向财政申请乙方物业服务的费用支付，具体根据财政部门和财务相关制度和程序要求拨付。</w:t>
      </w:r>
      <w:bookmarkEnd w:id="132"/>
      <w:r>
        <w:rPr>
          <w:rFonts w:hint="eastAsia" w:ascii="仿宋_GB2312" w:hAnsi="仿宋_GB2312" w:eastAsia="仿宋_GB2312" w:cs="仿宋_GB2312"/>
          <w:bCs/>
          <w:color w:val="auto"/>
          <w:sz w:val="28"/>
          <w:szCs w:val="28"/>
        </w:rPr>
        <w:t xml:space="preserve">                                               </w:t>
      </w:r>
    </w:p>
    <w:p>
      <w:pPr>
        <w:tabs>
          <w:tab w:val="left" w:pos="720"/>
        </w:tabs>
        <w:spacing w:line="460" w:lineRule="exact"/>
        <w:ind w:firstLine="560"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rPr>
        <w:t>六、双方权利义务</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（一）甲方的权利和义务</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1.代表和维护产权人、使用人的合法权益。积极协助乙方做好物业管理工作。</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2.审定乙方制定的物业管理制度及实施细则，并监督使用人遵守。</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3.审定乙方提出的物业管理年度计划、年度费用概预算、决算报告等。抽查物业管理经费的使用情况。</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4.对乙方的物业管理实施监督检查，每年进行4次全面的考核评定，考核实施细则按照采购文件规定执行，甲乙双方可进一步协商完善。</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负责对物业设施、设备进行清点、核查，在合同生效之日起20日内与乙方办理交接验收手续，移交相关的物业及其附属设施、设备、物业管理的原始资料和技术档案（工程建设竣工资料）等，并在乙方管理期满时予以收回。</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6.依照本合同约定，按时支付物业管理费。</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（二）乙方的权利和义务</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1.不得将物业管理项目转让给他人；未经甲方同意，也不得将项目分包给他人。</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2.严格遵守有关法律法规和采购文件的规定，对物业实行专业规范、安全高质的管理。</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3.接受物业管理行政主管部门和甲方的监督、指导。</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4.制定物业管理的各项办法、规章制度及岗位责任。建立健全本项目的物业管理档案，及时记载有关变动情况。</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5.拟定物业管理年度计划、费用概预算决算，每半年向甲方上报财务开支情况并作出说明。</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6.对管理范围内的物业和公用设施不得擅自占用或改变使用功能，如需在本物业内改扩建完善配套项目，须报甲方和有关部门批准后方可实施。</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7.对业主和使用人违反制度的行为，针对具体行为并根据情节轻重，采取批评、规劝、警告、制止等措施。</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8.对其员工管理应符合当地政府的有关规定及甲方有关的要求。员工证件应齐全，包括身份证等，有关证件复印件乙方应送甲方备案。乙方员工食宿自行安排。</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9.应按劳动部门的政策给员工办好社会养老保险并对保安工作人员办好意外伤害保险等手续，有关手续费用已含在本合同中。在合同执行期间，乙方人员工作时若发生工伤或保安人员发生意外伤害，由乙方承担全部民事责任，甲方不承担任何责任。</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10.本合同终止时，乙方须向甲方移交原委托管理的全部物业及其各类管理档案、财务等资料；移交其管理范围内的全部公共财产，并接受甲方指定专业机构的移交审核。向甲方移交时，要确保各项设施的性能良好。</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11.有权按时从甲方处支取物业管理费。</w:t>
      </w:r>
    </w:p>
    <w:p>
      <w:pPr>
        <w:tabs>
          <w:tab w:val="left" w:pos="720"/>
        </w:tabs>
        <w:spacing w:line="460" w:lineRule="exact"/>
        <w:ind w:firstLine="546" w:firstLineChars="195"/>
        <w:rPr>
          <w:rFonts w:hint="eastAsia" w:ascii="黑体" w:hAnsi="黑体" w:eastAsia="黑体" w:cs="黑体"/>
          <w:bCs/>
          <w:color w:val="auto"/>
          <w:sz w:val="28"/>
          <w:szCs w:val="28"/>
        </w:rPr>
      </w:pPr>
      <w:r>
        <w:rPr>
          <w:rFonts w:hint="eastAsia" w:ascii="黑体" w:hAnsi="黑体" w:eastAsia="黑体" w:cs="黑体"/>
          <w:bCs/>
          <w:color w:val="auto"/>
          <w:sz w:val="28"/>
          <w:szCs w:val="28"/>
        </w:rPr>
        <w:t>七、违约责任</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1.如因乙方管理不善，造成重大经济损失，经有关部门认定，甲方有权终止本合同，并追究乙方的经济责任。</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2.乙方未完成合同规定的各项管理目标，甲方可发出警告或整改通知，甲方连续二次或半年内三次发出警告或整改通知而又无彻底改善的，视为乙方无能力继续履行合同，甲方有权终止合同。</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3.乙方不能按时履行合同约定的，每延误一天应向甲方偿付不能按时履行部分款项</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百分比的违约金。</w:t>
      </w:r>
    </w:p>
    <w:p>
      <w:pPr>
        <w:tabs>
          <w:tab w:val="left" w:pos="720"/>
        </w:tabs>
        <w:spacing w:line="460" w:lineRule="exact"/>
        <w:ind w:firstLine="546" w:firstLineChars="195"/>
        <w:rPr>
          <w:rFonts w:hint="eastAsia" w:ascii="黑体" w:hAnsi="黑体" w:eastAsia="黑体" w:cs="黑体"/>
          <w:bCs/>
          <w:color w:val="auto"/>
          <w:sz w:val="28"/>
          <w:szCs w:val="28"/>
        </w:rPr>
      </w:pPr>
      <w:r>
        <w:rPr>
          <w:rFonts w:hint="eastAsia" w:ascii="黑体" w:hAnsi="黑体" w:eastAsia="黑体" w:cs="黑体"/>
          <w:bCs/>
          <w:color w:val="auto"/>
          <w:sz w:val="28"/>
          <w:szCs w:val="28"/>
        </w:rPr>
        <w:t>八、其他事项</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如遇突发或重大事件，乙方管理人员应在第一时间报告甲方有关部门，乙方项目负责人应在第一时间到达现场，适时处理或协助处理有关问题，甲方如认为情况危及到甲方的安定管理，乙方应无条件同意甲方直接调配乙方资源直至危机结束。</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2.委托管理楼宇内的设施，每年被盗率不得超过1‰件，超过此比率的，由乙方全额赔偿。委托管理区域内发生人身伤害事故，按照物业管理有关的法律、法规、文件规定，乙方承担相应的管理责任。</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乙方人员必须严格遵守操作规程，如因违反操作规程而造成甲方财物损失的，乙方应负全部赔偿责任。因房屋建筑质量、设备设施质量或安装技术等原因，达不到使用功能，造成重大事故的，由甲方承担责任并作善后处理，产生质量事故的直接原因，以政府主管部门的鉴定为准。</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4.由于乙方原因而损坏甲方财产的，由乙方负责赔偿。因甲方原因，造成乙方未完成规定管理目标或直接造成乙方经济损失的，甲方应给予乙方相应补偿。</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黑体" w:hAnsi="黑体" w:eastAsia="黑体" w:cs="黑体"/>
          <w:bCs/>
          <w:color w:val="auto"/>
          <w:sz w:val="28"/>
          <w:szCs w:val="28"/>
        </w:rPr>
        <w:t>九、不可抗力：</w:t>
      </w:r>
      <w:r>
        <w:rPr>
          <w:rFonts w:hint="eastAsia" w:ascii="仿宋_GB2312" w:hAnsi="仿宋_GB2312" w:eastAsia="仿宋_GB2312" w:cs="仿宋_GB2312"/>
          <w:bCs/>
          <w:color w:val="auto"/>
          <w:sz w:val="28"/>
          <w:szCs w:val="28"/>
        </w:rPr>
        <w:t>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黑体" w:hAnsi="黑体" w:eastAsia="黑体" w:cs="黑体"/>
          <w:bCs/>
          <w:color w:val="auto"/>
          <w:sz w:val="28"/>
          <w:szCs w:val="28"/>
        </w:rPr>
        <w:t>十、本合同的其他组成文件：</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1.采购文件（含补充、修改文件）</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2.乙方的响应文件（含澄清、补充文件）</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黑体" w:hAnsi="黑体" w:eastAsia="黑体" w:cs="黑体"/>
          <w:bCs/>
          <w:color w:val="auto"/>
          <w:sz w:val="28"/>
          <w:szCs w:val="28"/>
        </w:rPr>
        <w:t>十一、合同补充和修改：</w:t>
      </w:r>
      <w:r>
        <w:rPr>
          <w:rFonts w:hint="eastAsia" w:ascii="仿宋_GB2312" w:hAnsi="仿宋_GB2312" w:eastAsia="仿宋_GB2312" w:cs="仿宋_GB2312"/>
          <w:bCs/>
          <w:color w:val="auto"/>
          <w:sz w:val="28"/>
          <w:szCs w:val="28"/>
        </w:rPr>
        <w:t>对合同条款作任何改动或偏离，增加补充条款，均须由甲、乙双方签订书面的补充合同。</w:t>
      </w:r>
    </w:p>
    <w:p>
      <w:pPr>
        <w:tabs>
          <w:tab w:val="left" w:pos="720"/>
        </w:tabs>
        <w:spacing w:line="460" w:lineRule="exact"/>
        <w:ind w:firstLine="546" w:firstLineChars="195"/>
        <w:rPr>
          <w:rFonts w:hint="eastAsia" w:ascii="黑体" w:hAnsi="黑体" w:eastAsia="黑体" w:cs="黑体"/>
          <w:bCs/>
          <w:color w:val="auto"/>
          <w:sz w:val="28"/>
          <w:szCs w:val="28"/>
        </w:rPr>
      </w:pPr>
      <w:r>
        <w:rPr>
          <w:rFonts w:hint="eastAsia" w:ascii="黑体" w:hAnsi="黑体" w:eastAsia="黑体" w:cs="黑体"/>
          <w:bCs/>
          <w:color w:val="auto"/>
          <w:sz w:val="28"/>
          <w:szCs w:val="28"/>
        </w:rPr>
        <w:t>十二、违约终止合同</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1.在乙方收到甲方发出的违约通知后10天内，乙方仍未纠正其下述任何一种违约行为，甲方可向乙方发出终止合同通知，终止部分或全部合同，由此带来的一切损失由乙方承担：</w:t>
      </w:r>
    </w:p>
    <w:p>
      <w:pPr>
        <w:tabs>
          <w:tab w:val="left" w:pos="720"/>
        </w:tabs>
        <w:spacing w:line="4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（1）乙方未能在合同规定的期限内及时进场；</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（2）乙方提供的服务质量不符合合同规定，且未及时纠正的；</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（3）乙方未能履行合同项下的任何其它义务的。</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2.甲方终止部分合同，甲方可以按适当的条件和方式采购类似的由于乙方未交付部分的服务；乙方应承担甲方购买类似服务的额外费用并继续履行合同中未终止的部分。</w:t>
      </w:r>
    </w:p>
    <w:p>
      <w:pPr>
        <w:tabs>
          <w:tab w:val="left" w:pos="720"/>
        </w:tabs>
        <w:spacing w:line="460" w:lineRule="exact"/>
        <w:ind w:firstLine="546" w:firstLineChars="195"/>
        <w:rPr>
          <w:rFonts w:hint="eastAsia" w:ascii="黑体" w:hAnsi="黑体" w:eastAsia="黑体" w:cs="黑体"/>
          <w:bCs/>
          <w:color w:val="auto"/>
          <w:sz w:val="28"/>
          <w:szCs w:val="28"/>
        </w:rPr>
      </w:pPr>
      <w:r>
        <w:rPr>
          <w:rFonts w:hint="eastAsia" w:ascii="黑体" w:hAnsi="黑体" w:eastAsia="黑体" w:cs="黑体"/>
          <w:bCs/>
          <w:color w:val="auto"/>
          <w:sz w:val="28"/>
          <w:szCs w:val="28"/>
        </w:rPr>
        <w:t>十三、破产终止合同</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1.当乙方破产或无清偿能力时，乙方应书面通知甲方终止合同，在甲方知情而未收到乙方终止合同书面通知时，甲方亦可书面通知乙方终止合同。</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2.因不可抗力的自然灾害原因造成自然终止合同时按破产终止合同办法终止合同。</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黑体" w:hAnsi="黑体" w:eastAsia="黑体" w:cs="黑体"/>
          <w:bCs/>
          <w:color w:val="auto"/>
          <w:sz w:val="28"/>
          <w:szCs w:val="28"/>
        </w:rPr>
        <w:t>十四、合同纠纷</w:t>
      </w:r>
      <w:r>
        <w:rPr>
          <w:rFonts w:hint="eastAsia" w:ascii="仿宋_GB2312" w:hAnsi="仿宋_GB2312" w:eastAsia="仿宋_GB2312" w:cs="仿宋_GB2312"/>
          <w:bCs/>
          <w:color w:val="auto"/>
          <w:sz w:val="28"/>
          <w:szCs w:val="28"/>
        </w:rPr>
        <w:t>：如发生合同纠纷，甲、乙双方协商解决；协商不成时，可提请政府采购管理部门调解；调解不成的，可向钦州仲裁委员会进行仲裁。</w:t>
      </w:r>
    </w:p>
    <w:p>
      <w:pPr>
        <w:tabs>
          <w:tab w:val="left" w:pos="720"/>
        </w:tabs>
        <w:spacing w:line="460" w:lineRule="exact"/>
        <w:ind w:firstLine="560" w:firstLineChars="200"/>
        <w:rPr>
          <w:rFonts w:hint="eastAsia" w:ascii="仿宋_GB2312" w:hAnsi="仿宋_GB2312" w:eastAsia="仿宋_GB2312" w:cs="仿宋_GB2312"/>
          <w:bCs/>
          <w:color w:val="auto"/>
          <w:sz w:val="28"/>
          <w:szCs w:val="28"/>
        </w:rPr>
      </w:pPr>
      <w:r>
        <w:rPr>
          <w:rFonts w:hint="eastAsia" w:ascii="黑体" w:hAnsi="黑体" w:eastAsia="黑体" w:cs="黑体"/>
          <w:bCs/>
          <w:color w:val="auto"/>
          <w:sz w:val="28"/>
          <w:szCs w:val="28"/>
        </w:rPr>
        <w:t>十五、未尽事宜：</w:t>
      </w:r>
      <w:r>
        <w:rPr>
          <w:rFonts w:hint="eastAsia" w:ascii="仿宋_GB2312" w:hAnsi="仿宋_GB2312" w:eastAsia="仿宋_GB2312" w:cs="仿宋_GB2312"/>
          <w:bCs/>
          <w:color w:val="auto"/>
          <w:sz w:val="28"/>
          <w:szCs w:val="28"/>
        </w:rPr>
        <w:t>合同如有未尽事宜，须经甲、乙方双方共同协商，作出补充约定；补充约定与本合同具有同等效力。</w:t>
      </w:r>
    </w:p>
    <w:p>
      <w:pPr>
        <w:tabs>
          <w:tab w:val="left" w:pos="720"/>
        </w:tabs>
        <w:spacing w:line="460" w:lineRule="exact"/>
        <w:ind w:firstLine="546" w:firstLineChars="195"/>
        <w:rPr>
          <w:rFonts w:hint="eastAsia" w:ascii="仿宋_GB2312" w:hAnsi="仿宋_GB2312" w:eastAsia="仿宋_GB2312" w:cs="仿宋_GB2312"/>
          <w:bCs/>
          <w:color w:val="auto"/>
          <w:sz w:val="28"/>
          <w:szCs w:val="28"/>
        </w:rPr>
      </w:pPr>
      <w:r>
        <w:rPr>
          <w:rFonts w:hint="eastAsia" w:ascii="黑体" w:hAnsi="黑体" w:eastAsia="黑体" w:cs="黑体"/>
          <w:bCs/>
          <w:color w:val="auto"/>
          <w:sz w:val="28"/>
          <w:szCs w:val="28"/>
        </w:rPr>
        <w:t>十六、合同份数及生效：</w:t>
      </w:r>
      <w:r>
        <w:rPr>
          <w:rFonts w:hint="eastAsia" w:ascii="仿宋_GB2312" w:hAnsi="仿宋_GB2312" w:eastAsia="仿宋_GB2312" w:cs="仿宋_GB2312"/>
          <w:bCs/>
          <w:color w:val="auto"/>
          <w:sz w:val="28"/>
          <w:szCs w:val="28"/>
        </w:rPr>
        <w:t>本合同一式四份，甲方、乙方各一份，政府采购管理部门一份，采购代理机构一份。本合同经甲、乙双方盖章后生效。</w:t>
      </w:r>
    </w:p>
    <w:p>
      <w:pPr>
        <w:tabs>
          <w:tab w:val="left" w:pos="720"/>
        </w:tabs>
        <w:spacing w:line="460" w:lineRule="exact"/>
        <w:ind w:firstLine="200"/>
        <w:rPr>
          <w:rFonts w:hint="eastAsia" w:ascii="仿宋_GB2312" w:hAnsi="仿宋_GB2312" w:eastAsia="仿宋_GB2312" w:cs="仿宋_GB2312"/>
          <w:bCs/>
          <w:color w:val="auto"/>
          <w:sz w:val="28"/>
          <w:szCs w:val="28"/>
        </w:rPr>
      </w:pPr>
    </w:p>
    <w:p>
      <w:pPr>
        <w:tabs>
          <w:tab w:val="left" w:pos="720"/>
        </w:tabs>
        <w:spacing w:line="4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甲方（盖章）：钦州市图书馆           乙方（盖章）：</w:t>
      </w:r>
      <w:r>
        <w:rPr>
          <w:rFonts w:hint="eastAsia" w:ascii="仿宋_GB2312" w:hAnsi="仿宋_GB2312" w:eastAsia="仿宋_GB2312" w:cs="仿宋_GB2312"/>
          <w:bCs/>
          <w:color w:val="auto"/>
          <w:sz w:val="28"/>
          <w:szCs w:val="28"/>
          <w:u w:val="single"/>
        </w:rPr>
        <w:t xml:space="preserve">                  </w:t>
      </w:r>
    </w:p>
    <w:p>
      <w:pPr>
        <w:tabs>
          <w:tab w:val="left" w:pos="720"/>
        </w:tabs>
        <w:spacing w:line="4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授权代表（签字）：</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 xml:space="preserve">      授权代表（签字）：</w:t>
      </w:r>
      <w:r>
        <w:rPr>
          <w:rFonts w:hint="eastAsia" w:ascii="仿宋_GB2312" w:hAnsi="仿宋_GB2312" w:eastAsia="仿宋_GB2312" w:cs="仿宋_GB2312"/>
          <w:bCs/>
          <w:color w:val="auto"/>
          <w:sz w:val="28"/>
          <w:szCs w:val="28"/>
          <w:u w:val="single"/>
        </w:rPr>
        <w:t xml:space="preserve">              </w:t>
      </w:r>
    </w:p>
    <w:p>
      <w:pPr>
        <w:tabs>
          <w:tab w:val="left" w:pos="720"/>
        </w:tabs>
        <w:spacing w:line="4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联系电话：</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 xml:space="preserve">      联系电话：</w:t>
      </w:r>
      <w:r>
        <w:rPr>
          <w:rFonts w:hint="eastAsia" w:ascii="仿宋_GB2312" w:hAnsi="仿宋_GB2312" w:eastAsia="仿宋_GB2312" w:cs="仿宋_GB2312"/>
          <w:bCs/>
          <w:color w:val="auto"/>
          <w:sz w:val="28"/>
          <w:szCs w:val="28"/>
          <w:u w:val="single"/>
        </w:rPr>
        <w:t xml:space="preserve">                     </w:t>
      </w:r>
    </w:p>
    <w:p>
      <w:pPr>
        <w:tabs>
          <w:tab w:val="left" w:pos="720"/>
        </w:tabs>
        <w:spacing w:line="4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单位地址：</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 xml:space="preserve">      单位地址：</w:t>
      </w:r>
      <w:r>
        <w:rPr>
          <w:rFonts w:hint="eastAsia" w:ascii="仿宋_GB2312" w:hAnsi="仿宋_GB2312" w:eastAsia="仿宋_GB2312" w:cs="仿宋_GB2312"/>
          <w:bCs/>
          <w:color w:val="auto"/>
          <w:sz w:val="28"/>
          <w:szCs w:val="28"/>
          <w:u w:val="single"/>
        </w:rPr>
        <w:t xml:space="preserve">                     </w:t>
      </w:r>
    </w:p>
    <w:p>
      <w:pPr>
        <w:tabs>
          <w:tab w:val="left" w:pos="720"/>
        </w:tabs>
        <w:spacing w:line="460" w:lineRule="exact"/>
        <w:ind w:firstLine="5600" w:firstLineChars="20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开户银行：</w:t>
      </w:r>
      <w:r>
        <w:rPr>
          <w:rFonts w:hint="eastAsia" w:ascii="仿宋_GB2312" w:hAnsi="仿宋_GB2312" w:eastAsia="仿宋_GB2312" w:cs="仿宋_GB2312"/>
          <w:bCs/>
          <w:color w:val="auto"/>
          <w:sz w:val="28"/>
          <w:szCs w:val="28"/>
          <w:u w:val="single"/>
        </w:rPr>
        <w:t xml:space="preserve">                     </w:t>
      </w:r>
    </w:p>
    <w:p>
      <w:pPr>
        <w:tabs>
          <w:tab w:val="left" w:pos="720"/>
        </w:tabs>
        <w:spacing w:line="460" w:lineRule="exact"/>
        <w:ind w:firstLine="5600" w:firstLineChars="20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账    号：</w:t>
      </w:r>
      <w:r>
        <w:rPr>
          <w:rFonts w:hint="eastAsia" w:ascii="仿宋_GB2312" w:hAnsi="仿宋_GB2312" w:eastAsia="仿宋_GB2312" w:cs="仿宋_GB2312"/>
          <w:bCs/>
          <w:color w:val="auto"/>
          <w:sz w:val="28"/>
          <w:szCs w:val="28"/>
          <w:u w:val="single"/>
        </w:rPr>
        <w:t xml:space="preserve">                     </w:t>
      </w:r>
    </w:p>
    <w:p>
      <w:pPr>
        <w:widowControl/>
        <w:ind w:firstLine="560" w:firstLineChars="200"/>
        <w:jc w:val="left"/>
        <w:rPr>
          <w:rFonts w:hint="eastAsia" w:ascii="宋体" w:hAnsi="宋体"/>
          <w:bCs/>
          <w:color w:val="auto"/>
          <w:szCs w:val="21"/>
        </w:rPr>
      </w:pPr>
      <w:r>
        <w:rPr>
          <w:rFonts w:hint="eastAsia" w:ascii="仿宋_GB2312" w:hAnsi="仿宋_GB2312" w:eastAsia="仿宋_GB2312" w:cs="仿宋_GB2312"/>
          <w:bCs/>
          <w:color w:val="auto"/>
          <w:sz w:val="28"/>
          <w:szCs w:val="28"/>
        </w:rPr>
        <w:t>签订时间：</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 xml:space="preserve">      签订时间：</w:t>
      </w:r>
      <w:r>
        <w:rPr>
          <w:rFonts w:hint="eastAsia" w:ascii="仿宋_GB2312" w:hAnsi="仿宋_GB2312" w:eastAsia="仿宋_GB2312" w:cs="仿宋_GB2312"/>
          <w:bCs/>
          <w:color w:val="auto"/>
          <w:sz w:val="28"/>
          <w:szCs w:val="28"/>
          <w:u w:val="single"/>
        </w:rPr>
        <w:t xml:space="preserve">                     </w:t>
      </w:r>
    </w:p>
    <w:p>
      <w:pPr>
        <w:widowControl/>
        <w:jc w:val="left"/>
        <w:rPr>
          <w:rFonts w:hint="eastAsia" w:ascii="宋体" w:hAnsi="宋体"/>
          <w:bCs/>
          <w:color w:val="auto"/>
          <w:szCs w:val="21"/>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3"/>
        <w:spacing w:line="400" w:lineRule="exact"/>
        <w:rPr>
          <w:rFonts w:hAnsi="宋体"/>
          <w:color w:val="auto"/>
          <w:sz w:val="36"/>
          <w:szCs w:val="36"/>
        </w:rPr>
      </w:pPr>
      <w:bookmarkStart w:id="133" w:name="_Toc397585460"/>
      <w:bookmarkStart w:id="134" w:name="_Toc92355028"/>
      <w:r>
        <w:rPr>
          <w:rFonts w:hint="eastAsia" w:ascii="方正小标宋_GBK" w:hAnsi="方正小标宋_GBK" w:eastAsia="方正小标宋_GBK"/>
          <w:color w:val="auto"/>
        </w:rPr>
        <w:t>第六章  响应文件格式</w:t>
      </w:r>
      <w:bookmarkEnd w:id="133"/>
      <w:bookmarkEnd w:id="134"/>
      <w:r>
        <w:rPr>
          <w:b/>
          <w:color w:val="auto"/>
          <w:sz w:val="30"/>
          <w:szCs w:val="30"/>
        </w:rPr>
        <w:br w:type="page"/>
      </w:r>
      <w:r>
        <w:rPr>
          <w:rFonts w:hint="eastAsia" w:ascii="仿宋_GB2312"/>
          <w:b/>
          <w:bCs/>
          <w:color w:val="auto"/>
          <w:sz w:val="36"/>
          <w:szCs w:val="36"/>
        </w:rPr>
        <w:t>一、供应商资格文件</w:t>
      </w:r>
    </w:p>
    <w:p>
      <w:pPr>
        <w:tabs>
          <w:tab w:val="left" w:pos="3402"/>
        </w:tabs>
        <w:rPr>
          <w:rFonts w:ascii="仿宋_GB2312" w:hAnsi="仿宋" w:eastAsia="仿宋_GB2312"/>
          <w:b/>
          <w:color w:val="auto"/>
          <w:spacing w:val="10"/>
          <w:szCs w:val="21"/>
        </w:rPr>
      </w:pPr>
      <w:bookmarkStart w:id="135" w:name="_Hlk108530892"/>
    </w:p>
    <w:p>
      <w:pPr>
        <w:tabs>
          <w:tab w:val="left" w:pos="3402"/>
        </w:tabs>
        <w:ind w:firstLine="602"/>
        <w:jc w:val="center"/>
        <w:rPr>
          <w:rFonts w:ascii="仿宋_GB2312" w:hAnsi="Adobe 仿宋 Std R" w:eastAsia="仿宋_GB2312"/>
          <w:b/>
          <w:color w:val="auto"/>
          <w:spacing w:val="10"/>
          <w:sz w:val="32"/>
          <w:szCs w:val="32"/>
        </w:rPr>
      </w:pPr>
      <w:bookmarkStart w:id="136" w:name="_Hlk147761258"/>
      <w:r>
        <w:rPr>
          <w:rFonts w:hint="eastAsia" w:ascii="仿宋_GB2312" w:hAnsi="Adobe 仿宋 Std R" w:eastAsia="仿宋_GB2312"/>
          <w:b/>
          <w:color w:val="auto"/>
          <w:spacing w:val="10"/>
          <w:sz w:val="32"/>
          <w:szCs w:val="32"/>
        </w:rPr>
        <w:t>供应商具备参加政府采购活动条件的承诺书</w:t>
      </w:r>
      <w:bookmarkEnd w:id="136"/>
      <w:r>
        <w:rPr>
          <w:rFonts w:hint="eastAsia" w:ascii="仿宋_GB2312" w:hAnsi="Adobe 仿宋 Std R" w:eastAsia="仿宋_GB2312" w:cs="黑体"/>
          <w:bCs/>
          <w:color w:val="auto"/>
          <w:sz w:val="24"/>
        </w:rPr>
        <w:t>(格式)</w:t>
      </w:r>
    </w:p>
    <w:p>
      <w:pPr>
        <w:tabs>
          <w:tab w:val="left" w:pos="3402"/>
        </w:tabs>
        <w:jc w:val="left"/>
        <w:rPr>
          <w:rFonts w:ascii="仿宋_GB2312" w:hAnsi="仿宋" w:eastAsia="仿宋_GB2312"/>
          <w:b/>
          <w:color w:val="auto"/>
          <w:spacing w:val="10"/>
          <w:szCs w:val="21"/>
        </w:rPr>
      </w:pPr>
    </w:p>
    <w:p>
      <w:pPr>
        <w:spacing w:line="520" w:lineRule="exact"/>
        <w:rPr>
          <w:rFonts w:ascii="宋体" w:hAnsi="宋体"/>
          <w:bCs/>
          <w:color w:val="auto"/>
          <w:szCs w:val="22"/>
        </w:rPr>
      </w:pPr>
      <w:r>
        <w:rPr>
          <w:rFonts w:hint="eastAsia" w:ascii="宋体" w:hAnsi="宋体"/>
          <w:bCs/>
          <w:color w:val="auto"/>
          <w:szCs w:val="22"/>
        </w:rPr>
        <w:t>钦州市政府采购中心：</w:t>
      </w:r>
    </w:p>
    <w:p>
      <w:pPr>
        <w:spacing w:line="520" w:lineRule="exact"/>
        <w:ind w:firstLine="420"/>
        <w:rPr>
          <w:rFonts w:ascii="宋体" w:hAnsi="宋体"/>
          <w:bCs/>
          <w:color w:val="auto"/>
          <w:szCs w:val="22"/>
        </w:rPr>
      </w:pPr>
      <w:r>
        <w:rPr>
          <w:rFonts w:hint="eastAsia" w:ascii="宋体" w:hAnsi="宋体"/>
          <w:bCs/>
          <w:color w:val="auto"/>
          <w:szCs w:val="22"/>
        </w:rPr>
        <w:t>根据《中华人民共和国政府采购法》实施条例第十七条的规定，现郑重承诺：</w:t>
      </w:r>
    </w:p>
    <w:p>
      <w:pPr>
        <w:spacing w:line="520" w:lineRule="exact"/>
        <w:ind w:firstLine="420"/>
        <w:rPr>
          <w:rFonts w:ascii="宋体" w:hAnsi="宋体"/>
          <w:bCs/>
          <w:color w:val="auto"/>
          <w:szCs w:val="22"/>
        </w:rPr>
      </w:pPr>
      <w:r>
        <w:rPr>
          <w:rFonts w:ascii="宋体" w:hAnsi="宋体"/>
          <w:bCs/>
          <w:color w:val="auto"/>
          <w:szCs w:val="22"/>
          <w:u w:val="single"/>
        </w:rPr>
        <w:t>(</w:t>
      </w:r>
      <w:r>
        <w:rPr>
          <w:rFonts w:hint="eastAsia" w:ascii="宋体" w:hAnsi="宋体"/>
          <w:bCs/>
          <w:color w:val="auto"/>
          <w:szCs w:val="22"/>
          <w:u w:val="single"/>
        </w:rPr>
        <w:t>供应商名称)</w:t>
      </w:r>
      <w:r>
        <w:rPr>
          <w:rFonts w:hint="eastAsia" w:ascii="宋体" w:hAnsi="宋体"/>
          <w:bCs/>
          <w:color w:val="auto"/>
          <w:szCs w:val="22"/>
        </w:rPr>
        <w:t>具有良好的商业信誉和健全的财务会计制度，具有履行合同所必需的设备和专业技术能力，有依法缴纳税收和社会保障资金的良好记录。</w:t>
      </w:r>
    </w:p>
    <w:p>
      <w:pPr>
        <w:spacing w:line="520" w:lineRule="exact"/>
        <w:ind w:firstLine="420"/>
        <w:rPr>
          <w:rFonts w:ascii="宋体" w:hAnsi="宋体"/>
          <w:bCs/>
          <w:color w:val="auto"/>
          <w:szCs w:val="22"/>
        </w:rPr>
      </w:pPr>
      <w:r>
        <w:rPr>
          <w:rFonts w:hint="eastAsia" w:ascii="宋体" w:hAnsi="宋体"/>
          <w:bCs/>
          <w:color w:val="auto"/>
          <w:szCs w:val="22"/>
        </w:rPr>
        <w:t>本单位对上述承诺内容事项真实性负责，如有虚假，由我单位承担相关法律责任。</w:t>
      </w:r>
    </w:p>
    <w:p>
      <w:pPr>
        <w:spacing w:line="520" w:lineRule="exact"/>
        <w:ind w:firstLine="420"/>
        <w:rPr>
          <w:rFonts w:ascii="宋体" w:hAnsi="宋体"/>
          <w:bCs/>
          <w:color w:val="auto"/>
          <w:szCs w:val="22"/>
        </w:rPr>
      </w:pPr>
      <w:r>
        <w:rPr>
          <w:rFonts w:hint="eastAsia" w:ascii="宋体" w:hAnsi="宋体"/>
          <w:bCs/>
          <w:color w:val="auto"/>
          <w:szCs w:val="22"/>
        </w:rPr>
        <w:t>特此承诺。</w:t>
      </w:r>
    </w:p>
    <w:p>
      <w:pPr>
        <w:rPr>
          <w:color w:val="auto"/>
        </w:rPr>
      </w:pPr>
    </w:p>
    <w:p>
      <w:pPr>
        <w:rPr>
          <w:color w:val="auto"/>
        </w:rPr>
      </w:pPr>
    </w:p>
    <w:p>
      <w:pPr>
        <w:rPr>
          <w:color w:val="auto"/>
        </w:rPr>
      </w:pPr>
    </w:p>
    <w:p>
      <w:pPr>
        <w:spacing w:line="400" w:lineRule="exact"/>
        <w:ind w:right="1050" w:rightChars="500" w:firstLine="5103" w:firstLineChars="2430"/>
        <w:jc w:val="left"/>
        <w:rPr>
          <w:rFonts w:ascii="宋体" w:hAnsi="宋体"/>
          <w:bCs/>
          <w:color w:val="auto"/>
        </w:rPr>
      </w:pPr>
      <w:r>
        <w:rPr>
          <w:rFonts w:hint="eastAsia" w:ascii="宋体" w:hAnsi="宋体"/>
          <w:bCs/>
          <w:color w:val="auto"/>
          <w:szCs w:val="22"/>
        </w:rPr>
        <w:t xml:space="preserve"> </w:t>
      </w:r>
      <w:r>
        <w:rPr>
          <w:rFonts w:ascii="宋体" w:hAnsi="宋体"/>
          <w:bCs/>
          <w:color w:val="auto"/>
          <w:szCs w:val="22"/>
        </w:rPr>
        <w:t xml:space="preserve">     </w:t>
      </w:r>
      <w:r>
        <w:rPr>
          <w:rFonts w:hint="eastAsia" w:ascii="宋体" w:hAnsi="宋体"/>
          <w:bCs/>
          <w:color w:val="auto"/>
        </w:rPr>
        <w:t>供应商（盖章）：</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p>
    <w:p>
      <w:pPr>
        <w:spacing w:line="400" w:lineRule="exact"/>
        <w:ind w:right="1050" w:rightChars="500"/>
        <w:jc w:val="right"/>
        <w:rPr>
          <w:rFonts w:ascii="宋体" w:hAnsi="宋体"/>
          <w:bCs/>
          <w:color w:val="auto"/>
        </w:rPr>
      </w:pPr>
      <w:r>
        <w:rPr>
          <w:rFonts w:hint="eastAsia" w:ascii="宋体" w:hAnsi="宋体"/>
          <w:bCs/>
          <w:color w:val="auto"/>
        </w:rPr>
        <w:t>日期：</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hint="eastAsia" w:ascii="宋体" w:hAnsi="宋体"/>
          <w:bCs/>
          <w:color w:val="auto"/>
        </w:rPr>
        <w:t>年</w:t>
      </w:r>
      <w:r>
        <w:rPr>
          <w:rFonts w:hint="eastAsia" w:ascii="宋体" w:hAnsi="宋体"/>
          <w:bCs/>
          <w:color w:val="auto"/>
          <w:u w:val="single"/>
        </w:rPr>
        <w:t xml:space="preserve">   </w:t>
      </w:r>
      <w:r>
        <w:rPr>
          <w:rFonts w:hint="eastAsia" w:ascii="宋体" w:hAnsi="宋体"/>
          <w:bCs/>
          <w:color w:val="auto"/>
        </w:rPr>
        <w:t>月</w:t>
      </w:r>
      <w:r>
        <w:rPr>
          <w:rFonts w:hint="eastAsia" w:ascii="宋体" w:hAnsi="宋体"/>
          <w:bCs/>
          <w:color w:val="auto"/>
          <w:u w:val="single"/>
        </w:rPr>
        <w:t xml:space="preserve">   </w:t>
      </w:r>
      <w:r>
        <w:rPr>
          <w:rFonts w:hint="eastAsia" w:ascii="宋体" w:hAnsi="宋体"/>
          <w:bCs/>
          <w:color w:val="auto"/>
        </w:rPr>
        <w:t>日</w:t>
      </w:r>
    </w:p>
    <w:p>
      <w:pPr>
        <w:rPr>
          <w:color w:val="auto"/>
        </w:rPr>
      </w:pPr>
    </w:p>
    <w:p>
      <w:pPr>
        <w:pStyle w:val="4"/>
        <w:rPr>
          <w:color w:val="auto"/>
        </w:rPr>
      </w:pPr>
    </w:p>
    <w:p>
      <w:pPr>
        <w:tabs>
          <w:tab w:val="left" w:pos="3402"/>
        </w:tabs>
        <w:spacing w:line="460" w:lineRule="exact"/>
        <w:jc w:val="center"/>
        <w:rPr>
          <w:rFonts w:ascii="仿宋_GB2312" w:hAnsi="仿宋" w:eastAsia="仿宋_GB2312"/>
          <w:b/>
          <w:color w:val="auto"/>
          <w:spacing w:val="10"/>
          <w:sz w:val="32"/>
          <w:szCs w:val="32"/>
        </w:rPr>
      </w:pPr>
      <w:r>
        <w:rPr>
          <w:rFonts w:hint="eastAsia" w:ascii="仿宋_GB2312" w:hAnsi="仿宋" w:eastAsia="仿宋_GB2312"/>
          <w:b/>
          <w:color w:val="auto"/>
          <w:spacing w:val="10"/>
          <w:sz w:val="32"/>
          <w:szCs w:val="32"/>
        </w:rPr>
        <w:t>无重大违法记录的书面声明</w:t>
      </w:r>
      <w:bookmarkStart w:id="137" w:name="_Hlk108528701"/>
      <w:r>
        <w:rPr>
          <w:rFonts w:hint="eastAsia" w:ascii="仿宋" w:hAnsi="仿宋" w:eastAsia="仿宋" w:cs="黑体"/>
          <w:bCs/>
          <w:color w:val="auto"/>
          <w:sz w:val="24"/>
        </w:rPr>
        <w:t>(格式</w:t>
      </w:r>
      <w:r>
        <w:rPr>
          <w:rFonts w:ascii="仿宋" w:hAnsi="仿宋" w:eastAsia="仿宋" w:cs="黑体"/>
          <w:bCs/>
          <w:color w:val="auto"/>
          <w:sz w:val="24"/>
        </w:rPr>
        <w:t>)</w:t>
      </w:r>
      <w:bookmarkEnd w:id="137"/>
    </w:p>
    <w:p>
      <w:pPr>
        <w:spacing w:line="400" w:lineRule="exact"/>
        <w:rPr>
          <w:rFonts w:ascii="宋体" w:hAnsi="宋体"/>
          <w:b/>
          <w:color w:val="auto"/>
        </w:rPr>
      </w:pPr>
    </w:p>
    <w:p>
      <w:pPr>
        <w:spacing w:line="520" w:lineRule="exact"/>
        <w:rPr>
          <w:rFonts w:ascii="宋体" w:hAnsi="宋体"/>
          <w:bCs/>
          <w:color w:val="auto"/>
        </w:rPr>
      </w:pPr>
      <w:r>
        <w:rPr>
          <w:rFonts w:hint="eastAsia" w:ascii="宋体" w:hAnsi="宋体"/>
          <w:bCs/>
          <w:color w:val="auto"/>
        </w:rPr>
        <w:t>钦州市政府采购中心：</w:t>
      </w:r>
    </w:p>
    <w:p>
      <w:pPr>
        <w:spacing w:line="520" w:lineRule="exact"/>
        <w:ind w:firstLine="420"/>
        <w:rPr>
          <w:rFonts w:ascii="宋体" w:hAnsi="宋体"/>
          <w:bCs/>
          <w:color w:val="auto"/>
        </w:rPr>
      </w:pPr>
      <w:r>
        <w:rPr>
          <w:rFonts w:hint="eastAsia" w:ascii="宋体" w:hAnsi="宋体"/>
          <w:bCs/>
          <w:color w:val="auto"/>
        </w:rPr>
        <w:t>根据《中华人民共和国政府采购法实施条例》第十七条第一款第(四)项的规定，现郑重声明：</w:t>
      </w:r>
    </w:p>
    <w:p>
      <w:pPr>
        <w:spacing w:line="520" w:lineRule="exact"/>
        <w:ind w:firstLine="420"/>
        <w:rPr>
          <w:rFonts w:ascii="宋体" w:hAnsi="宋体"/>
          <w:bCs/>
          <w:color w:val="auto"/>
        </w:rPr>
      </w:pPr>
      <w:r>
        <w:rPr>
          <w:rFonts w:ascii="宋体" w:hAnsi="宋体"/>
          <w:bCs/>
          <w:color w:val="auto"/>
          <w:u w:val="single"/>
        </w:rPr>
        <w:t>(</w:t>
      </w:r>
      <w:r>
        <w:rPr>
          <w:rFonts w:hint="eastAsia" w:ascii="宋体" w:hAnsi="宋体"/>
          <w:bCs/>
          <w:color w:val="auto"/>
          <w:u w:val="single"/>
        </w:rPr>
        <w:t>供应商名称)</w:t>
      </w:r>
      <w:r>
        <w:rPr>
          <w:rFonts w:hint="eastAsia" w:ascii="宋体" w:hAnsi="宋体"/>
          <w:bCs/>
          <w:color w:val="auto"/>
        </w:rPr>
        <w:t>在参加本次政府采购活动前3年内在经营活动中没有重大违法记录（</w:t>
      </w:r>
      <w:r>
        <w:rPr>
          <w:rFonts w:hint="eastAsia" w:ascii="宋体" w:hAnsi="宋体"/>
          <w:bCs/>
          <w:color w:val="auto"/>
          <w:u w:val="single"/>
        </w:rPr>
        <w:t>即因违法经营受到刑事处罚或者责令停产停业、吊销许可证或者执照、较大数额罚款等行政处罚的行为</w:t>
      </w:r>
      <w:r>
        <w:rPr>
          <w:rFonts w:hint="eastAsia" w:ascii="宋体" w:hAnsi="宋体"/>
          <w:bCs/>
          <w:color w:val="auto"/>
        </w:rPr>
        <w:t>）。</w:t>
      </w:r>
    </w:p>
    <w:p>
      <w:pPr>
        <w:spacing w:line="520" w:lineRule="exact"/>
        <w:ind w:firstLine="420"/>
        <w:rPr>
          <w:rFonts w:ascii="宋体" w:hAnsi="宋体"/>
          <w:bCs/>
          <w:color w:val="auto"/>
        </w:rPr>
      </w:pPr>
      <w:r>
        <w:rPr>
          <w:rFonts w:hint="eastAsia" w:ascii="宋体" w:hAnsi="宋体"/>
          <w:bCs/>
          <w:color w:val="auto"/>
        </w:rPr>
        <w:t>本单位对上述声明内容事项真实性负责，如有虚假，由我单位承担相关法律责任。</w:t>
      </w:r>
    </w:p>
    <w:p>
      <w:pPr>
        <w:spacing w:line="520" w:lineRule="exact"/>
        <w:ind w:firstLine="420"/>
        <w:rPr>
          <w:rFonts w:ascii="宋体" w:hAnsi="宋体"/>
          <w:bCs/>
          <w:color w:val="auto"/>
        </w:rPr>
      </w:pPr>
      <w:r>
        <w:rPr>
          <w:rFonts w:hint="eastAsia" w:ascii="宋体" w:hAnsi="宋体"/>
          <w:bCs/>
          <w:color w:val="auto"/>
        </w:rPr>
        <w:t>特此声明。</w:t>
      </w:r>
    </w:p>
    <w:p>
      <w:pPr>
        <w:rPr>
          <w:color w:val="auto"/>
        </w:rPr>
      </w:pPr>
    </w:p>
    <w:p>
      <w:pPr>
        <w:rPr>
          <w:color w:val="auto"/>
        </w:rPr>
      </w:pPr>
    </w:p>
    <w:p>
      <w:pPr>
        <w:rPr>
          <w:color w:val="auto"/>
        </w:rPr>
      </w:pPr>
    </w:p>
    <w:p>
      <w:pPr>
        <w:spacing w:line="400" w:lineRule="exact"/>
        <w:ind w:right="1050" w:rightChars="500" w:firstLine="5810" w:firstLineChars="2767"/>
        <w:jc w:val="left"/>
        <w:rPr>
          <w:rFonts w:ascii="宋体" w:hAnsi="宋体"/>
          <w:bCs/>
          <w:color w:val="auto"/>
        </w:rPr>
      </w:pPr>
      <w:bookmarkStart w:id="138" w:name="_Hlk112311442"/>
      <w:r>
        <w:rPr>
          <w:rFonts w:hint="eastAsia" w:ascii="宋体" w:hAnsi="宋体"/>
          <w:bCs/>
          <w:color w:val="auto"/>
        </w:rPr>
        <w:t>供应商（盖章）：</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p>
    <w:p>
      <w:pPr>
        <w:spacing w:line="400" w:lineRule="exact"/>
        <w:ind w:right="735" w:rightChars="350" w:firstLine="5810" w:firstLineChars="2767"/>
        <w:jc w:val="left"/>
        <w:rPr>
          <w:rFonts w:ascii="宋体" w:hAnsi="宋体"/>
          <w:bCs/>
          <w:color w:val="auto"/>
        </w:rPr>
      </w:pPr>
      <w:r>
        <w:rPr>
          <w:rFonts w:hint="eastAsia" w:ascii="宋体" w:hAnsi="宋体"/>
          <w:bCs/>
          <w:color w:val="auto"/>
        </w:rPr>
        <w:t>日期：</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hint="eastAsia" w:ascii="宋体" w:hAnsi="宋体"/>
          <w:bCs/>
          <w:color w:val="auto"/>
        </w:rPr>
        <w:t>年</w:t>
      </w:r>
      <w:r>
        <w:rPr>
          <w:rFonts w:hint="eastAsia" w:ascii="宋体" w:hAnsi="宋体"/>
          <w:bCs/>
          <w:color w:val="auto"/>
          <w:u w:val="single"/>
        </w:rPr>
        <w:t xml:space="preserve">   </w:t>
      </w:r>
      <w:r>
        <w:rPr>
          <w:rFonts w:hint="eastAsia" w:ascii="宋体" w:hAnsi="宋体"/>
          <w:bCs/>
          <w:color w:val="auto"/>
        </w:rPr>
        <w:t>月</w:t>
      </w:r>
      <w:r>
        <w:rPr>
          <w:rFonts w:hint="eastAsia" w:ascii="宋体" w:hAnsi="宋体"/>
          <w:bCs/>
          <w:color w:val="auto"/>
          <w:u w:val="single"/>
        </w:rPr>
        <w:t xml:space="preserve">   </w:t>
      </w:r>
      <w:r>
        <w:rPr>
          <w:rFonts w:hint="eastAsia" w:ascii="宋体" w:hAnsi="宋体"/>
          <w:bCs/>
          <w:color w:val="auto"/>
        </w:rPr>
        <w:t>日</w:t>
      </w:r>
      <w:bookmarkEnd w:id="138"/>
      <w:r>
        <w:rPr>
          <w:color w:val="auto"/>
        </w:rPr>
        <w:br w:type="page"/>
      </w:r>
    </w:p>
    <w:p>
      <w:pPr>
        <w:rPr>
          <w:color w:val="auto"/>
        </w:rPr>
      </w:pPr>
    </w:p>
    <w:p>
      <w:pPr>
        <w:spacing w:line="440" w:lineRule="exact"/>
        <w:jc w:val="center"/>
        <w:rPr>
          <w:rFonts w:ascii="仿宋_GB2312" w:hAnsi="宋体" w:eastAsia="仿宋_GB2312"/>
          <w:b/>
          <w:color w:val="auto"/>
          <w:sz w:val="36"/>
          <w:szCs w:val="36"/>
        </w:rPr>
      </w:pPr>
      <w:r>
        <w:rPr>
          <w:rFonts w:hint="eastAsia" w:ascii="仿宋_GB2312" w:hAnsi="宋体" w:eastAsia="仿宋_GB2312"/>
          <w:b/>
          <w:color w:val="auto"/>
          <w:sz w:val="36"/>
          <w:szCs w:val="36"/>
        </w:rPr>
        <w:t>中小企业声明函</w:t>
      </w:r>
    </w:p>
    <w:p>
      <w:pPr>
        <w:spacing w:line="440" w:lineRule="exact"/>
        <w:jc w:val="left"/>
        <w:rPr>
          <w:rFonts w:hAnsi="宋体"/>
          <w:bCs/>
          <w:color w:val="auto"/>
          <w:szCs w:val="21"/>
        </w:rPr>
      </w:pPr>
    </w:p>
    <w:p>
      <w:pPr>
        <w:spacing w:line="600" w:lineRule="exact"/>
        <w:ind w:firstLine="294" w:firstLineChars="140"/>
        <w:jc w:val="left"/>
        <w:rPr>
          <w:rFonts w:ascii="宋体" w:hAnsi="宋体"/>
          <w:bCs/>
          <w:color w:val="auto"/>
          <w:szCs w:val="21"/>
        </w:rPr>
      </w:pPr>
      <w:r>
        <w:rPr>
          <w:rFonts w:hint="eastAsia" w:ascii="宋体" w:hAnsi="宋体"/>
          <w:bCs/>
          <w:color w:val="auto"/>
          <w:szCs w:val="21"/>
        </w:rPr>
        <w:t>本公司郑重声明，根据《政府采购促进中小企业发展管理办法》</w:t>
      </w:r>
      <w:bookmarkStart w:id="139" w:name="_Hlk60836554"/>
      <w:r>
        <w:rPr>
          <w:rFonts w:hint="eastAsia" w:ascii="宋体" w:hAnsi="宋体"/>
          <w:bCs/>
          <w:color w:val="auto"/>
          <w:szCs w:val="21"/>
        </w:rPr>
        <w:t>（财库﹝2020﹞46号）</w:t>
      </w:r>
      <w:bookmarkEnd w:id="139"/>
      <w:r>
        <w:rPr>
          <w:rFonts w:hint="eastAsia" w:ascii="宋体" w:hAnsi="宋体"/>
          <w:bCs/>
          <w:color w:val="auto"/>
          <w:szCs w:val="21"/>
        </w:rPr>
        <w:t>的规定，本公司参加（</w:t>
      </w:r>
      <w:r>
        <w:rPr>
          <w:rFonts w:hint="eastAsia" w:ascii="宋体" w:hAnsi="宋体"/>
          <w:bCs/>
          <w:color w:val="auto"/>
          <w:szCs w:val="21"/>
          <w:u w:val="single"/>
        </w:rPr>
        <w:t>单位名称</w:t>
      </w:r>
      <w:r>
        <w:rPr>
          <w:rFonts w:hint="eastAsia" w:ascii="宋体" w:hAnsi="宋体"/>
          <w:bCs/>
          <w:color w:val="auto"/>
          <w:szCs w:val="21"/>
        </w:rPr>
        <w:t>）的（</w:t>
      </w:r>
      <w:r>
        <w:rPr>
          <w:rFonts w:hint="eastAsia" w:ascii="宋体" w:hAnsi="宋体"/>
          <w:bCs/>
          <w:color w:val="auto"/>
          <w:szCs w:val="21"/>
          <w:u w:val="single"/>
        </w:rPr>
        <w:t>项目名称</w:t>
      </w:r>
      <w:r>
        <w:rPr>
          <w:rFonts w:hint="eastAsia" w:ascii="宋体" w:hAnsi="宋体"/>
          <w:bCs/>
          <w:color w:val="auto"/>
          <w:szCs w:val="21"/>
        </w:rPr>
        <w:t>）采购活动，</w:t>
      </w:r>
      <w:bookmarkStart w:id="140" w:name="_Hlk108682836"/>
      <w:r>
        <w:rPr>
          <w:rFonts w:hint="eastAsia" w:ascii="宋体" w:hAnsi="宋体"/>
          <w:bCs/>
          <w:color w:val="auto"/>
          <w:szCs w:val="21"/>
        </w:rPr>
        <w:t>服务全部由符合政策要求的中小企业承接</w:t>
      </w:r>
      <w:bookmarkEnd w:id="140"/>
      <w:r>
        <w:rPr>
          <w:rFonts w:hint="eastAsia" w:ascii="宋体" w:hAnsi="宋体"/>
          <w:bCs/>
          <w:color w:val="auto"/>
          <w:szCs w:val="21"/>
        </w:rPr>
        <w:t>。相关企业的具体情况如下：</w:t>
      </w:r>
    </w:p>
    <w:p>
      <w:pPr>
        <w:spacing w:line="600" w:lineRule="exact"/>
        <w:ind w:firstLine="294" w:firstLineChars="140"/>
        <w:jc w:val="left"/>
        <w:rPr>
          <w:rFonts w:ascii="宋体" w:hAnsi="宋体"/>
          <w:bCs/>
          <w:color w:val="auto"/>
          <w:szCs w:val="21"/>
        </w:rPr>
      </w:pPr>
      <w:r>
        <w:rPr>
          <w:rFonts w:hint="eastAsia" w:ascii="宋体" w:hAnsi="宋体"/>
          <w:bCs/>
          <w:color w:val="auto"/>
          <w:szCs w:val="21"/>
        </w:rPr>
        <w:t>1.</w:t>
      </w:r>
      <w:bookmarkStart w:id="141" w:name="_Hlk60836996"/>
      <w:r>
        <w:rPr>
          <w:rFonts w:hint="eastAsia" w:ascii="宋体" w:hAnsi="宋体"/>
          <w:bCs/>
          <w:color w:val="auto"/>
          <w:szCs w:val="21"/>
        </w:rPr>
        <w:t>（</w:t>
      </w:r>
      <w:r>
        <w:rPr>
          <w:rFonts w:hint="eastAsia" w:ascii="宋体" w:hAnsi="宋体"/>
          <w:bCs/>
          <w:color w:val="auto"/>
          <w:szCs w:val="21"/>
          <w:u w:val="single"/>
        </w:rPr>
        <w:t>标的名称</w:t>
      </w:r>
      <w:r>
        <w:rPr>
          <w:rFonts w:hint="eastAsia" w:ascii="宋体" w:hAnsi="宋体"/>
          <w:bCs/>
          <w:color w:val="auto"/>
          <w:szCs w:val="21"/>
        </w:rPr>
        <w:t>），属于（</w:t>
      </w:r>
      <w:r>
        <w:rPr>
          <w:rFonts w:hint="eastAsia" w:ascii="宋体" w:hAnsi="宋体"/>
          <w:bCs/>
          <w:color w:val="auto"/>
          <w:szCs w:val="21"/>
          <w:u w:val="single"/>
        </w:rPr>
        <w:t>采购文件中明确的所属行业</w:t>
      </w:r>
      <w:r>
        <w:rPr>
          <w:rFonts w:hint="eastAsia" w:ascii="宋体" w:hAnsi="宋体"/>
          <w:bCs/>
          <w:color w:val="auto"/>
          <w:szCs w:val="21"/>
        </w:rPr>
        <w:t>）行业；承接企业为（</w:t>
      </w:r>
      <w:r>
        <w:rPr>
          <w:rFonts w:hint="eastAsia" w:ascii="宋体" w:hAnsi="宋体"/>
          <w:bCs/>
          <w:color w:val="auto"/>
          <w:szCs w:val="21"/>
          <w:u w:val="single"/>
        </w:rPr>
        <w:t>企业名称</w:t>
      </w:r>
      <w:r>
        <w:rPr>
          <w:rFonts w:hint="eastAsia" w:ascii="宋体" w:hAnsi="宋体"/>
          <w:bCs/>
          <w:color w:val="auto"/>
          <w:szCs w:val="21"/>
        </w:rPr>
        <w:t>），从业人员</w:t>
      </w:r>
      <w:r>
        <w:rPr>
          <w:rFonts w:ascii="宋体" w:hAnsi="宋体"/>
          <w:bCs/>
          <w:color w:val="auto"/>
          <w:szCs w:val="21"/>
          <w:u w:val="single"/>
        </w:rPr>
        <w:t xml:space="preserve">  </w:t>
      </w:r>
      <w:r>
        <w:rPr>
          <w:rFonts w:hint="eastAsia" w:ascii="宋体" w:hAnsi="宋体"/>
          <w:bCs/>
          <w:color w:val="auto"/>
          <w:szCs w:val="21"/>
        </w:rPr>
        <w:t>人，营业收入为</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万元，资产总额为</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万元，属于（</w:t>
      </w:r>
      <w:r>
        <w:rPr>
          <w:rFonts w:hint="eastAsia" w:ascii="宋体" w:hAnsi="宋体"/>
          <w:bCs/>
          <w:color w:val="auto"/>
          <w:szCs w:val="21"/>
          <w:u w:val="single"/>
        </w:rPr>
        <w:t>中型企业、小型企业、微型企业</w:t>
      </w:r>
      <w:r>
        <w:rPr>
          <w:rFonts w:hint="eastAsia" w:ascii="宋体" w:hAnsi="宋体"/>
          <w:bCs/>
          <w:color w:val="auto"/>
          <w:szCs w:val="21"/>
        </w:rPr>
        <w:t>）；</w:t>
      </w:r>
      <w:bookmarkEnd w:id="141"/>
    </w:p>
    <w:p>
      <w:pPr>
        <w:spacing w:line="600" w:lineRule="exact"/>
        <w:ind w:firstLine="294" w:firstLineChars="140"/>
        <w:jc w:val="left"/>
        <w:rPr>
          <w:rFonts w:ascii="宋体" w:hAnsi="宋体"/>
          <w:bCs/>
          <w:color w:val="auto"/>
          <w:szCs w:val="21"/>
        </w:rPr>
      </w:pPr>
      <w:r>
        <w:rPr>
          <w:rFonts w:hint="eastAsia" w:ascii="宋体" w:hAnsi="宋体"/>
          <w:bCs/>
          <w:color w:val="auto"/>
          <w:szCs w:val="21"/>
        </w:rPr>
        <w:t>2.（</w:t>
      </w:r>
      <w:r>
        <w:rPr>
          <w:rFonts w:hint="eastAsia" w:ascii="宋体" w:hAnsi="宋体"/>
          <w:bCs/>
          <w:color w:val="auto"/>
          <w:szCs w:val="21"/>
          <w:u w:val="single"/>
        </w:rPr>
        <w:t>标的名称</w:t>
      </w:r>
      <w:r>
        <w:rPr>
          <w:rFonts w:hint="eastAsia" w:ascii="宋体" w:hAnsi="宋体"/>
          <w:bCs/>
          <w:color w:val="auto"/>
          <w:szCs w:val="21"/>
        </w:rPr>
        <w:t>），属于（</w:t>
      </w:r>
      <w:r>
        <w:rPr>
          <w:rFonts w:hint="eastAsia" w:ascii="宋体" w:hAnsi="宋体"/>
          <w:bCs/>
          <w:color w:val="auto"/>
          <w:szCs w:val="21"/>
          <w:u w:val="single"/>
        </w:rPr>
        <w:t>采购文件中明确的所属行业</w:t>
      </w:r>
      <w:r>
        <w:rPr>
          <w:rFonts w:hint="eastAsia" w:ascii="宋体" w:hAnsi="宋体"/>
          <w:bCs/>
          <w:color w:val="auto"/>
          <w:szCs w:val="21"/>
        </w:rPr>
        <w:t>）行业；承接企业为（</w:t>
      </w:r>
      <w:r>
        <w:rPr>
          <w:rFonts w:hint="eastAsia" w:ascii="宋体" w:hAnsi="宋体"/>
          <w:bCs/>
          <w:color w:val="auto"/>
          <w:szCs w:val="21"/>
          <w:u w:val="single"/>
        </w:rPr>
        <w:t>企业名称</w:t>
      </w:r>
      <w:r>
        <w:rPr>
          <w:rFonts w:hint="eastAsia" w:ascii="宋体" w:hAnsi="宋体"/>
          <w:bCs/>
          <w:color w:val="auto"/>
          <w:szCs w:val="21"/>
        </w:rPr>
        <w:t>），从业人员</w:t>
      </w:r>
      <w:r>
        <w:rPr>
          <w:rFonts w:ascii="宋体" w:hAnsi="宋体"/>
          <w:bCs/>
          <w:color w:val="auto"/>
          <w:szCs w:val="21"/>
          <w:u w:val="single"/>
        </w:rPr>
        <w:t xml:space="preserve">  </w:t>
      </w:r>
      <w:r>
        <w:rPr>
          <w:rFonts w:hint="eastAsia" w:ascii="宋体" w:hAnsi="宋体"/>
          <w:bCs/>
          <w:color w:val="auto"/>
          <w:szCs w:val="21"/>
        </w:rPr>
        <w:t>人，营业收入为</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hint="eastAsia" w:ascii="宋体" w:hAnsi="宋体"/>
          <w:bCs/>
          <w:color w:val="auto"/>
          <w:szCs w:val="21"/>
        </w:rPr>
        <w:t>万元，资产总额为</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万元，属于（</w:t>
      </w:r>
      <w:r>
        <w:rPr>
          <w:rFonts w:hint="eastAsia" w:ascii="宋体" w:hAnsi="宋体"/>
          <w:bCs/>
          <w:color w:val="auto"/>
          <w:szCs w:val="21"/>
          <w:u w:val="single"/>
        </w:rPr>
        <w:t>中型企业、小型企业、微型企业</w:t>
      </w:r>
      <w:r>
        <w:rPr>
          <w:rFonts w:hint="eastAsia" w:ascii="宋体" w:hAnsi="宋体"/>
          <w:bCs/>
          <w:color w:val="auto"/>
          <w:szCs w:val="21"/>
        </w:rPr>
        <w:t>）；</w:t>
      </w:r>
    </w:p>
    <w:p>
      <w:pPr>
        <w:spacing w:line="600" w:lineRule="exact"/>
        <w:ind w:firstLine="294" w:firstLineChars="140"/>
        <w:jc w:val="left"/>
        <w:rPr>
          <w:rFonts w:ascii="宋体" w:hAnsi="宋体"/>
          <w:bCs/>
          <w:color w:val="auto"/>
          <w:szCs w:val="21"/>
        </w:rPr>
      </w:pPr>
      <w:r>
        <w:rPr>
          <w:rFonts w:hint="eastAsia" w:ascii="宋体" w:hAnsi="宋体"/>
          <w:bCs/>
          <w:color w:val="auto"/>
          <w:szCs w:val="21"/>
        </w:rPr>
        <w:t>……</w:t>
      </w:r>
    </w:p>
    <w:p>
      <w:pPr>
        <w:spacing w:line="600" w:lineRule="exact"/>
        <w:ind w:firstLine="294" w:firstLineChars="140"/>
        <w:jc w:val="left"/>
        <w:rPr>
          <w:rFonts w:ascii="宋体" w:hAnsi="宋体"/>
          <w:bCs/>
          <w:color w:val="auto"/>
          <w:szCs w:val="21"/>
        </w:rPr>
      </w:pPr>
      <w:r>
        <w:rPr>
          <w:rFonts w:hint="eastAsia" w:ascii="宋体" w:hAnsi="宋体"/>
          <w:bCs/>
          <w:color w:val="auto"/>
          <w:szCs w:val="21"/>
        </w:rPr>
        <w:t>以上企业，不属于大企业的分支机构，不存在控股股东为大企业的情形，也不存在与大企业的负责人为同一人的情形。</w:t>
      </w:r>
    </w:p>
    <w:p>
      <w:pPr>
        <w:spacing w:line="600" w:lineRule="exact"/>
        <w:ind w:firstLine="294" w:firstLineChars="140"/>
        <w:jc w:val="left"/>
        <w:rPr>
          <w:rFonts w:ascii="宋体" w:hAnsi="宋体"/>
          <w:bCs/>
          <w:color w:val="auto"/>
          <w:szCs w:val="21"/>
        </w:rPr>
      </w:pPr>
      <w:r>
        <w:rPr>
          <w:rFonts w:hint="eastAsia" w:ascii="宋体" w:hAnsi="宋体"/>
          <w:bCs/>
          <w:color w:val="auto"/>
          <w:szCs w:val="21"/>
        </w:rPr>
        <w:t>本企业对上述声明内容的真实性负责。如有虚假，将依法承担相应责任。</w:t>
      </w:r>
    </w:p>
    <w:p>
      <w:pPr>
        <w:spacing w:line="400" w:lineRule="exact"/>
        <w:rPr>
          <w:color w:val="auto"/>
          <w:szCs w:val="21"/>
        </w:rPr>
      </w:pPr>
    </w:p>
    <w:p>
      <w:pPr>
        <w:spacing w:line="400" w:lineRule="exact"/>
        <w:rPr>
          <w:color w:val="auto"/>
          <w:szCs w:val="21"/>
        </w:rPr>
      </w:pPr>
    </w:p>
    <w:p>
      <w:pPr>
        <w:spacing w:line="400" w:lineRule="exact"/>
        <w:rPr>
          <w:color w:val="auto"/>
          <w:szCs w:val="21"/>
        </w:rPr>
      </w:pPr>
    </w:p>
    <w:p>
      <w:pPr>
        <w:spacing w:line="500" w:lineRule="exact"/>
        <w:ind w:right="451" w:rightChars="215" w:firstLine="3570" w:firstLineChars="1700"/>
        <w:jc w:val="center"/>
        <w:rPr>
          <w:rFonts w:ascii="宋体" w:hAnsi="宋体"/>
          <w:bCs/>
          <w:color w:val="auto"/>
          <w:szCs w:val="21"/>
        </w:rPr>
      </w:pPr>
      <w:r>
        <w:rPr>
          <w:rFonts w:hint="eastAsia" w:ascii="宋体" w:hAnsi="宋体"/>
          <w:bCs/>
          <w:color w:val="auto"/>
          <w:szCs w:val="21"/>
        </w:rPr>
        <w:t>企业名称（盖章）：</w:t>
      </w:r>
      <w:r>
        <w:rPr>
          <w:rFonts w:hint="eastAsia" w:ascii="宋体" w:hAnsi="宋体"/>
          <w:bCs/>
          <w:color w:val="auto"/>
          <w:szCs w:val="21"/>
          <w:u w:val="single"/>
        </w:rPr>
        <w:t xml:space="preserve"> </w:t>
      </w:r>
      <w:r>
        <w:rPr>
          <w:rFonts w:ascii="宋体" w:hAnsi="宋体"/>
          <w:bCs/>
          <w:color w:val="auto"/>
          <w:szCs w:val="21"/>
          <w:u w:val="single"/>
        </w:rPr>
        <w:t xml:space="preserve">                 </w:t>
      </w:r>
    </w:p>
    <w:p>
      <w:pPr>
        <w:spacing w:line="500" w:lineRule="exact"/>
        <w:ind w:right="309" w:rightChars="147" w:firstLine="5460" w:firstLineChars="2600"/>
        <w:rPr>
          <w:rFonts w:ascii="宋体" w:hAnsi="宋体"/>
          <w:bCs/>
          <w:color w:val="auto"/>
          <w:szCs w:val="21"/>
        </w:rPr>
      </w:pPr>
      <w:r>
        <w:rPr>
          <w:rFonts w:hint="eastAsia" w:ascii="宋体" w:hAnsi="宋体"/>
          <w:bCs/>
          <w:color w:val="auto"/>
          <w:szCs w:val="21"/>
        </w:rPr>
        <w:t>日 期：</w:t>
      </w:r>
      <w:r>
        <w:rPr>
          <w:rFonts w:hint="eastAsia" w:ascii="宋体" w:hAnsi="宋体"/>
          <w:bCs/>
          <w:color w:val="auto"/>
          <w:szCs w:val="21"/>
          <w:u w:val="single"/>
        </w:rPr>
        <w:t xml:space="preserve"> </w:t>
      </w:r>
      <w:r>
        <w:rPr>
          <w:rFonts w:ascii="宋体" w:hAnsi="宋体"/>
          <w:bCs/>
          <w:color w:val="auto"/>
          <w:szCs w:val="21"/>
          <w:u w:val="single"/>
        </w:rPr>
        <w:t xml:space="preserve">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320" w:lineRule="exact"/>
        <w:jc w:val="left"/>
        <w:rPr>
          <w:rFonts w:hAnsi="宋体"/>
          <w:bCs/>
          <w:color w:val="auto"/>
          <w:sz w:val="18"/>
          <w:szCs w:val="18"/>
        </w:rPr>
      </w:pPr>
      <w:bookmarkStart w:id="142" w:name="_Hlk82091879"/>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),从)</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),业)</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),人)</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),员)</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),营)</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),业)</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),收)</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),入)</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),资)</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),产)</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),总)</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),额)</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),填)</w:instrText>
      </w:r>
      <w:r>
        <w:rPr>
          <w:rFonts w:hAnsi="宋体"/>
          <w:bCs/>
          <w:color w:val="auto"/>
          <w:sz w:val="18"/>
          <w:szCs w:val="18"/>
        </w:rPr>
        <w:fldChar w:fldCharType="end"/>
      </w:r>
      <w:r>
        <w:rPr>
          <w:rFonts w:hAnsi="宋体"/>
          <w:bCs/>
          <w:color w:val="auto"/>
          <w:sz w:val="18"/>
          <w:szCs w:val="18"/>
        </w:rPr>
        <w:fldChar w:fldCharType="begin"/>
      </w:r>
      <w:r>
        <w:rPr>
          <w:rFonts w:hAnsi="宋体"/>
          <w:bCs/>
          <w:color w:val="auto"/>
          <w:sz w:val="18"/>
          <w:szCs w:val="18"/>
        </w:rPr>
        <w:instrText xml:space="preserve">EQ \* jc2 \* hps9 \o\ad(\s\up 8(</w:instrText>
      </w:r>
      <w:r>
        <w:rPr>
          <w:rFonts w:ascii="宋体" w:hAnsi="宋体"/>
          <w:bCs/>
          <w:color w:val="auto"/>
          <w:sz w:val="18"/>
          <w:szCs w:val="18"/>
        </w:rPr>
        <w:instrText xml:space="preserve">——</w:instrText>
      </w:r>
      <w:r>
        <w:rPr>
          <w:rFonts w:hAnsi="宋体"/>
          <w:bCs/>
          <w:color w:val="auto"/>
          <w:sz w:val="18"/>
          <w:szCs w:val="18"/>
        </w:rPr>
        <w:instrText xml:space="preserve">),报)</w:instrText>
      </w:r>
      <w:r>
        <w:rPr>
          <w:rFonts w:hAnsi="宋体"/>
          <w:bCs/>
          <w:color w:val="auto"/>
          <w:sz w:val="18"/>
          <w:szCs w:val="18"/>
        </w:rPr>
        <w:fldChar w:fldCharType="end"/>
      </w:r>
      <w:bookmarkEnd w:id="142"/>
      <w:r>
        <w:rPr>
          <w:rFonts w:hint="eastAsia" w:hAnsi="宋体"/>
          <w:bCs/>
          <w:color w:val="auto"/>
          <w:sz w:val="18"/>
          <w:szCs w:val="18"/>
        </w:rPr>
        <w:t>上一年度数据，无上一年度数据的新成立企业可不填报。</w:t>
      </w:r>
      <w:bookmarkEnd w:id="135"/>
    </w:p>
    <w:p>
      <w:pPr>
        <w:pStyle w:val="4"/>
        <w:rPr>
          <w:color w:val="auto"/>
        </w:rPr>
      </w:pPr>
      <w:r>
        <w:rPr>
          <w:color w:val="auto"/>
        </w:rPr>
        <w:br w:type="page"/>
      </w:r>
    </w:p>
    <w:tbl>
      <w:tblPr>
        <w:tblStyle w:val="37"/>
        <w:tblW w:w="9952" w:type="dxa"/>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spacing w:line="440" w:lineRule="exact"/>
              <w:jc w:val="center"/>
              <w:rPr>
                <w:rFonts w:ascii="Helvetica" w:hAnsi="Helvetica" w:cs="Helvetica"/>
                <w:b/>
                <w:bCs/>
                <w:color w:val="auto"/>
                <w:kern w:val="0"/>
                <w:szCs w:val="21"/>
              </w:rPr>
            </w:pPr>
            <w:bookmarkStart w:id="143" w:name="_Hlk147826091"/>
            <w:r>
              <w:rPr>
                <w:rFonts w:ascii="Helvetica" w:hAnsi="Helvetica" w:cs="Helvetica"/>
                <w:b/>
                <w:bCs/>
                <w:color w:val="auto"/>
                <w:kern w:val="0"/>
                <w:szCs w:val="21"/>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bookmarkStart w:id="144" w:name="_Hlk143699200"/>
            <w:r>
              <w:rPr>
                <w:rFonts w:ascii="Helvetica" w:hAnsi="Helvetica" w:cs="Helvetica"/>
                <w:b/>
                <w:bCs/>
                <w:color w:val="auto"/>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计量</w:t>
            </w:r>
          </w:p>
          <w:p>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b/>
                <w:bCs/>
                <w:color w:val="auto"/>
                <w:kern w:val="0"/>
                <w:sz w:val="18"/>
                <w:szCs w:val="18"/>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Z＜100</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rPr>
            </w:pPr>
            <w:r>
              <w:rPr>
                <w:rFonts w:ascii="Helvetica" w:hAnsi="Helvetica" w:cs="Helvetica"/>
                <w:color w:val="auto"/>
                <w:kern w:val="0"/>
                <w:sz w:val="18"/>
                <w:szCs w:val="18"/>
              </w:rPr>
              <w:t>X＜10</w:t>
            </w:r>
          </w:p>
        </w:tc>
      </w:tr>
    </w:tbl>
    <w:p>
      <w:pPr>
        <w:widowControl/>
        <w:shd w:val="clear" w:color="auto" w:fill="FFFFFF"/>
        <w:spacing w:line="360" w:lineRule="atLeast"/>
        <w:jc w:val="left"/>
        <w:rPr>
          <w:rFonts w:ascii="Helvetica" w:hAnsi="Helvetica" w:cs="Helvetica"/>
          <w:color w:val="auto"/>
          <w:kern w:val="0"/>
          <w:szCs w:val="21"/>
        </w:rPr>
      </w:pPr>
    </w:p>
    <w:bookmarkEnd w:id="144"/>
    <w:p>
      <w:pPr>
        <w:widowControl/>
        <w:shd w:val="clear" w:color="auto" w:fill="FFFFFF"/>
        <w:spacing w:line="360" w:lineRule="atLeast"/>
        <w:jc w:val="left"/>
        <w:rPr>
          <w:rFonts w:ascii="Helvetica" w:hAnsi="Helvetica" w:cs="Helvetica"/>
          <w:color w:val="auto"/>
          <w:kern w:val="0"/>
          <w:sz w:val="18"/>
          <w:szCs w:val="18"/>
        </w:rPr>
      </w:pPr>
      <w:r>
        <w:rPr>
          <w:color w:val="auto"/>
        </w:rPr>
        <w:br w:type="page"/>
      </w:r>
      <w:r>
        <w:rPr>
          <w:rFonts w:ascii="Helvetica" w:hAnsi="Helvetica" w:cs="Helvetica"/>
          <w:color w:val="auto"/>
          <w:kern w:val="0"/>
          <w:sz w:val="18"/>
          <w:szCs w:val="18"/>
        </w:rPr>
        <w:t>说明：</w:t>
      </w:r>
    </w:p>
    <w:p>
      <w:pPr>
        <w:widowControl/>
        <w:shd w:val="clear" w:color="auto" w:fill="FFFFFF"/>
        <w:spacing w:line="360" w:lineRule="atLeast"/>
        <w:ind w:firstLine="480"/>
        <w:jc w:val="left"/>
        <w:rPr>
          <w:rFonts w:ascii="Helvetica" w:hAnsi="Helvetica" w:cs="Helvetica"/>
          <w:color w:val="auto"/>
          <w:kern w:val="0"/>
          <w:sz w:val="18"/>
          <w:szCs w:val="18"/>
        </w:rPr>
      </w:pPr>
      <w:r>
        <w:rPr>
          <w:rFonts w:ascii="Helvetica" w:hAnsi="Helvetica" w:cs="Helvetica"/>
          <w:color w:val="auto"/>
          <w:kern w:val="0"/>
          <w:sz w:val="18"/>
          <w:szCs w:val="18"/>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color w:val="auto"/>
          <w:kern w:val="0"/>
          <w:sz w:val="18"/>
          <w:szCs w:val="18"/>
        </w:rPr>
      </w:pPr>
      <w:r>
        <w:rPr>
          <w:rFonts w:ascii="Helvetica" w:hAnsi="Helvetica" w:cs="Helvetica"/>
          <w:color w:val="auto"/>
          <w:kern w:val="0"/>
          <w:sz w:val="18"/>
          <w:szCs w:val="18"/>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rPr>
        <w:fldChar w:fldCharType="begin"/>
      </w:r>
      <w:r>
        <w:rPr>
          <w:color w:val="auto"/>
        </w:rPr>
        <w:instrText xml:space="preserve"> HYPERLINK "https://baike.baidu.com/item/%E5%A4%9A%E5%BC%8F%E8%81%94%E8%BF%90/3342240?fromModule=lemma_inlink" \t "_blank" </w:instrText>
      </w:r>
      <w:r>
        <w:rPr>
          <w:color w:val="auto"/>
        </w:rPr>
        <w:fldChar w:fldCharType="separate"/>
      </w:r>
      <w:r>
        <w:rPr>
          <w:rFonts w:ascii="Helvetica" w:hAnsi="Helvetica" w:cs="Helvetica"/>
          <w:color w:val="auto"/>
          <w:kern w:val="0"/>
          <w:sz w:val="18"/>
          <w:szCs w:val="18"/>
          <w:u w:val="single"/>
        </w:rPr>
        <w:t>多式联运</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和运输代理业、</w:t>
      </w:r>
      <w:r>
        <w:rPr>
          <w:color w:val="auto"/>
        </w:rPr>
        <w:fldChar w:fldCharType="begin"/>
      </w:r>
      <w:r>
        <w:rPr>
          <w:color w:val="auto"/>
        </w:rPr>
        <w:instrText xml:space="preserve"> HYPERLINK "https://baike.baidu.com/item/%E8%A3%85%E5%8D%B8%E6%90%AC%E8%BF%90/6511400?fromModule=lemma_inlink" \t "_blank" </w:instrText>
      </w:r>
      <w:r>
        <w:rPr>
          <w:color w:val="auto"/>
        </w:rPr>
        <w:fldChar w:fldCharType="separate"/>
      </w:r>
      <w:r>
        <w:rPr>
          <w:rFonts w:ascii="Helvetica" w:hAnsi="Helvetica" w:cs="Helvetica"/>
          <w:color w:val="auto"/>
          <w:kern w:val="0"/>
          <w:sz w:val="18"/>
          <w:szCs w:val="18"/>
          <w:u w:val="single"/>
        </w:rPr>
        <w:t>装卸搬运</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，不包括铁路运输业；</w:t>
      </w:r>
      <w:r>
        <w:rPr>
          <w:color w:val="auto"/>
        </w:rPr>
        <w:fldChar w:fldCharType="begin"/>
      </w:r>
      <w:r>
        <w:rPr>
          <w:color w:val="auto"/>
        </w:rPr>
        <w:instrText xml:space="preserve"> HYPERLINK "https://baike.baidu.com/item/%E4%BB%93%E5%82%A8%E4%B8%9A/3487863?fromModule=lemma_inlink" \t "_blank" </w:instrText>
      </w:r>
      <w:r>
        <w:rPr>
          <w:color w:val="auto"/>
        </w:rPr>
        <w:fldChar w:fldCharType="separate"/>
      </w:r>
      <w:r>
        <w:rPr>
          <w:rFonts w:ascii="Helvetica" w:hAnsi="Helvetica" w:cs="Helvetica"/>
          <w:color w:val="auto"/>
          <w:kern w:val="0"/>
          <w:sz w:val="18"/>
          <w:szCs w:val="18"/>
          <w:u w:val="single"/>
        </w:rPr>
        <w:t>仓储业</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包括通用仓储，低温仓储，危险品仓储，谷物、棉花等农产品仓储，中药材仓储和其他仓储业;</w:t>
      </w:r>
      <w:r>
        <w:rPr>
          <w:color w:val="auto"/>
        </w:rPr>
        <w:fldChar w:fldCharType="begin"/>
      </w:r>
      <w:r>
        <w:rPr>
          <w:color w:val="auto"/>
        </w:rPr>
        <w:instrText xml:space="preserve"> HYPERLINK "https://baike.baidu.com/item/%E4%BF%A1%E6%81%AF%E4%BC%A0%E8%BE%93%E4%B8%9A/61331990?fromModule=lemma_inlink" \t "_blank" </w:instrText>
      </w:r>
      <w:r>
        <w:rPr>
          <w:color w:val="auto"/>
        </w:rPr>
        <w:fldChar w:fldCharType="separate"/>
      </w:r>
      <w:r>
        <w:rPr>
          <w:rFonts w:ascii="Helvetica" w:hAnsi="Helvetica" w:cs="Helvetica"/>
          <w:color w:val="auto"/>
          <w:kern w:val="0"/>
          <w:sz w:val="18"/>
          <w:szCs w:val="18"/>
          <w:u w:val="single"/>
        </w:rPr>
        <w:t>信息传输业</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color w:val="auto"/>
          <w:kern w:val="0"/>
          <w:sz w:val="18"/>
          <w:szCs w:val="18"/>
        </w:rPr>
      </w:pPr>
      <w:r>
        <w:rPr>
          <w:rFonts w:ascii="Helvetica" w:hAnsi="Helvetica" w:cs="Helvetica"/>
          <w:color w:val="auto"/>
          <w:kern w:val="0"/>
          <w:sz w:val="18"/>
          <w:szCs w:val="18"/>
        </w:rPr>
        <w:t>3.企业划分指标以现行</w:t>
      </w:r>
      <w:r>
        <w:rPr>
          <w:color w:val="auto"/>
        </w:rPr>
        <w:fldChar w:fldCharType="begin"/>
      </w:r>
      <w:r>
        <w:rPr>
          <w:color w:val="auto"/>
        </w:rPr>
        <w:instrText xml:space="preserve"> HYPERLINK "https://baike.baidu.com/item/%E7%BB%9F%E8%AE%A1%E5%88%B6%E5%BA%A6/917165?fromModule=lemma_inlink" \t "_blank" </w:instrText>
      </w:r>
      <w:r>
        <w:rPr>
          <w:color w:val="auto"/>
        </w:rPr>
        <w:fldChar w:fldCharType="separate"/>
      </w:r>
      <w:r>
        <w:rPr>
          <w:rFonts w:ascii="Helvetica" w:hAnsi="Helvetica" w:cs="Helvetica"/>
          <w:color w:val="auto"/>
          <w:kern w:val="0"/>
          <w:sz w:val="18"/>
          <w:szCs w:val="18"/>
          <w:u w:val="single"/>
        </w:rPr>
        <w:t>统计制度</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为准。（1）从业人员，是指期末从业人员数，没有期末从业人员数的，采用全年平均人员数代替。（2）</w:t>
      </w:r>
      <w:r>
        <w:rPr>
          <w:color w:val="auto"/>
        </w:rPr>
        <w:fldChar w:fldCharType="begin"/>
      </w:r>
      <w:r>
        <w:rPr>
          <w:color w:val="auto"/>
        </w:rPr>
        <w:instrText xml:space="preserve"> HYPERLINK "https://baike.baidu.com/item/%E8%90%A5%E4%B8%9A%E6%94%B6%E5%85%A5/5099832?fromModule=lemma_inlink" \t "_blank" </w:instrText>
      </w:r>
      <w:r>
        <w:rPr>
          <w:color w:val="auto"/>
        </w:rPr>
        <w:fldChar w:fldCharType="separate"/>
      </w:r>
      <w:r>
        <w:rPr>
          <w:rFonts w:ascii="Helvetica" w:hAnsi="Helvetica" w:cs="Helvetica"/>
          <w:color w:val="auto"/>
          <w:kern w:val="0"/>
          <w:sz w:val="18"/>
          <w:szCs w:val="18"/>
          <w:u w:val="single"/>
        </w:rPr>
        <w:t>营业收入</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rPr>
        <w:fldChar w:fldCharType="begin"/>
      </w:r>
      <w:r>
        <w:rPr>
          <w:color w:val="auto"/>
        </w:rPr>
        <w:instrText xml:space="preserve"> HYPERLINK "https://baike.baidu.com/item/%E8%B5%84%E4%BA%A7%E6%80%BB%E9%A2%9D/716517?fromModule=lemma_inlink" \t "_blank" </w:instrText>
      </w:r>
      <w:r>
        <w:rPr>
          <w:color w:val="auto"/>
        </w:rPr>
        <w:fldChar w:fldCharType="separate"/>
      </w:r>
      <w:r>
        <w:rPr>
          <w:rFonts w:ascii="Helvetica" w:hAnsi="Helvetica" w:cs="Helvetica"/>
          <w:color w:val="auto"/>
          <w:kern w:val="0"/>
          <w:sz w:val="18"/>
          <w:szCs w:val="18"/>
          <w:u w:val="single"/>
        </w:rPr>
        <w:t>资产总额</w:t>
      </w:r>
      <w:r>
        <w:rPr>
          <w:rFonts w:ascii="Helvetica" w:hAnsi="Helvetica" w:cs="Helvetica"/>
          <w:color w:val="auto"/>
          <w:kern w:val="0"/>
          <w:sz w:val="18"/>
          <w:szCs w:val="18"/>
          <w:u w:val="single"/>
        </w:rPr>
        <w:fldChar w:fldCharType="end"/>
      </w:r>
      <w:r>
        <w:rPr>
          <w:rFonts w:ascii="Helvetica" w:hAnsi="Helvetica" w:cs="Helvetica"/>
          <w:color w:val="auto"/>
          <w:kern w:val="0"/>
          <w:sz w:val="18"/>
          <w:szCs w:val="18"/>
        </w:rPr>
        <w:t>，采用资产总计代替。</w:t>
      </w:r>
    </w:p>
    <w:bookmarkEnd w:id="143"/>
    <w:p>
      <w:pPr>
        <w:widowControl/>
        <w:jc w:val="left"/>
        <w:rPr>
          <w:b/>
          <w:bCs/>
          <w:color w:val="auto"/>
          <w:sz w:val="32"/>
          <w:szCs w:val="32"/>
        </w:rPr>
      </w:pPr>
      <w:r>
        <w:rPr>
          <w:color w:val="auto"/>
        </w:rPr>
        <w:br w:type="page"/>
      </w:r>
    </w:p>
    <w:p>
      <w:pPr>
        <w:spacing w:line="320" w:lineRule="exact"/>
        <w:jc w:val="left"/>
        <w:rPr>
          <w:rFonts w:hAnsi="宋体"/>
          <w:bCs/>
          <w:color w:val="auto"/>
          <w:sz w:val="18"/>
          <w:szCs w:val="18"/>
        </w:rPr>
      </w:pPr>
    </w:p>
    <w:p>
      <w:pPr>
        <w:pStyle w:val="22"/>
        <w:spacing w:line="440" w:lineRule="exact"/>
        <w:jc w:val="center"/>
        <w:rPr>
          <w:rFonts w:ascii="仿宋" w:hAnsi="仿宋" w:eastAsia="仿宋"/>
          <w:b/>
          <w:color w:val="auto"/>
          <w:kern w:val="0"/>
          <w:sz w:val="32"/>
          <w:szCs w:val="32"/>
        </w:rPr>
      </w:pPr>
      <w:r>
        <w:rPr>
          <w:rFonts w:hint="eastAsia" w:ascii="仿宋" w:hAnsi="仿宋" w:eastAsia="仿宋"/>
          <w:b/>
          <w:color w:val="auto"/>
          <w:kern w:val="0"/>
          <w:sz w:val="32"/>
          <w:szCs w:val="32"/>
        </w:rPr>
        <w:t>残疾人福利性单位声明函</w:t>
      </w:r>
    </w:p>
    <w:p>
      <w:pPr>
        <w:rPr>
          <w:color w:val="auto"/>
        </w:rPr>
      </w:pPr>
    </w:p>
    <w:p>
      <w:pPr>
        <w:spacing w:line="660" w:lineRule="exact"/>
        <w:ind w:firstLine="420" w:firstLineChars="200"/>
        <w:rPr>
          <w:rFonts w:ascii="宋体" w:hAnsi="宋体" w:cs="Courier New"/>
          <w:color w:val="auto"/>
          <w:kern w:val="0"/>
          <w:szCs w:val="21"/>
        </w:rPr>
      </w:pPr>
      <w:r>
        <w:rPr>
          <w:rFonts w:hint="eastAsia" w:ascii="宋体" w:hAnsi="宋体" w:cs="Courier New"/>
          <w:color w:val="auto"/>
          <w:kern w:val="0"/>
          <w:szCs w:val="21"/>
        </w:rPr>
        <w:t>本单位郑重声明，根据</w:t>
      </w:r>
      <w:bookmarkStart w:id="145" w:name="_Hlk82091361"/>
      <w:r>
        <w:rPr>
          <w:rFonts w:hint="eastAsia" w:ascii="宋体" w:hAnsi="宋体" w:cs="Courier New"/>
          <w:color w:val="auto"/>
          <w:kern w:val="0"/>
          <w:szCs w:val="21"/>
        </w:rPr>
        <w:t>《</w:t>
      </w:r>
      <w:r>
        <w:rPr>
          <w:color w:val="auto"/>
        </w:rPr>
        <w:fldChar w:fldCharType="begin"/>
      </w:r>
      <w:r>
        <w:rPr>
          <w:color w:val="auto"/>
        </w:rPr>
        <w:instrText xml:space="preserve"> HYPERLINK "http://www.mof.gov.cn/gp/xxgkml/gks/201709/t20170901_2689542.htm" </w:instrText>
      </w:r>
      <w:r>
        <w:rPr>
          <w:color w:val="auto"/>
        </w:rPr>
        <w:fldChar w:fldCharType="separate"/>
      </w:r>
      <w:r>
        <w:rPr>
          <w:rFonts w:hint="eastAsia" w:ascii="宋体" w:hAnsi="Courier New" w:cs="Courier New"/>
          <w:color w:val="auto"/>
          <w:kern w:val="0"/>
          <w:szCs w:val="21"/>
        </w:rPr>
        <w:t>财政部 民政部 中国残疾人联合会关于促进残疾人就业政府采购政策的通知》（财库〔2017〕141号）</w:t>
      </w:r>
      <w:r>
        <w:rPr>
          <w:rFonts w:hint="eastAsia" w:ascii="宋体" w:hAnsi="Courier New" w:cs="Courier New"/>
          <w:color w:val="auto"/>
          <w:kern w:val="0"/>
          <w:szCs w:val="21"/>
        </w:rPr>
        <w:fldChar w:fldCharType="end"/>
      </w:r>
      <w:bookmarkEnd w:id="145"/>
      <w:r>
        <w:rPr>
          <w:rFonts w:hint="eastAsia" w:ascii="宋体" w:hAnsi="宋体" w:cs="Courier New"/>
          <w:color w:val="auto"/>
          <w:kern w:val="0"/>
          <w:szCs w:val="21"/>
        </w:rPr>
        <w:t>的规定，本单位为符合条件的残疾人福利性单位，且本单位参加（</w:t>
      </w:r>
      <w:r>
        <w:rPr>
          <w:rFonts w:hint="eastAsia" w:ascii="宋体" w:hAnsi="宋体" w:cs="Courier New"/>
          <w:color w:val="auto"/>
          <w:kern w:val="0"/>
          <w:szCs w:val="21"/>
          <w:u w:val="single"/>
        </w:rPr>
        <w:t>单位名称</w:t>
      </w:r>
      <w:r>
        <w:rPr>
          <w:rFonts w:hint="eastAsia" w:ascii="宋体" w:hAnsi="宋体" w:cs="Courier New"/>
          <w:color w:val="auto"/>
          <w:kern w:val="0"/>
          <w:szCs w:val="21"/>
        </w:rPr>
        <w:t>）的（</w:t>
      </w:r>
      <w:r>
        <w:rPr>
          <w:rFonts w:hint="eastAsia" w:ascii="宋体" w:hAnsi="宋体" w:cs="Courier New"/>
          <w:color w:val="auto"/>
          <w:kern w:val="0"/>
          <w:szCs w:val="21"/>
          <w:u w:val="single"/>
        </w:rPr>
        <w:t>项目名称</w:t>
      </w:r>
      <w:r>
        <w:rPr>
          <w:rFonts w:hint="eastAsia" w:ascii="宋体" w:hAnsi="宋体" w:cs="Courier New"/>
          <w:color w:val="auto"/>
          <w:kern w:val="0"/>
          <w:szCs w:val="21"/>
        </w:rPr>
        <w:t>）采购活动提供本单位制造的货</w:t>
      </w:r>
      <w:r>
        <w:rPr>
          <w:rFonts w:hint="eastAsia" w:ascii="宋体" w:hAnsi="宋体" w:eastAsia="宋体" w:cs="Courier New"/>
          <w:color w:val="auto"/>
          <w:kern w:val="0"/>
          <w:szCs w:val="21"/>
        </w:rPr>
        <w:t>物（由本单位提供服务），或者提供</w:t>
      </w:r>
      <w:r>
        <w:rPr>
          <w:rFonts w:hint="eastAsia" w:ascii="宋体" w:hAnsi="宋体" w:cs="Courier New"/>
          <w:color w:val="auto"/>
          <w:kern w:val="0"/>
          <w:szCs w:val="21"/>
        </w:rPr>
        <w:t>其他残疾人福利性单位（</w:t>
      </w:r>
      <w:r>
        <w:rPr>
          <w:rFonts w:hint="eastAsia" w:ascii="宋体" w:hAnsi="宋体" w:cs="Courier New"/>
          <w:color w:val="auto"/>
          <w:kern w:val="0"/>
          <w:szCs w:val="21"/>
          <w:u w:val="single"/>
        </w:rPr>
        <w:t>请填写具体单位名称</w:t>
      </w:r>
      <w:r>
        <w:rPr>
          <w:rFonts w:hint="eastAsia" w:ascii="宋体" w:hAnsi="宋体" w:cs="Courier New"/>
          <w:color w:val="auto"/>
          <w:kern w:val="0"/>
          <w:szCs w:val="21"/>
        </w:rPr>
        <w:t>）制造的货物（不包括使用非残疾人福利性单位注册商标的货物）。</w:t>
      </w:r>
    </w:p>
    <w:p>
      <w:pPr>
        <w:spacing w:line="660" w:lineRule="exact"/>
        <w:ind w:firstLine="420" w:firstLineChars="200"/>
        <w:rPr>
          <w:rFonts w:ascii="宋体" w:hAnsi="宋体" w:cs="Courier New"/>
          <w:color w:val="auto"/>
          <w:kern w:val="0"/>
          <w:szCs w:val="21"/>
        </w:rPr>
      </w:pPr>
      <w:r>
        <w:rPr>
          <w:rFonts w:hint="eastAsia" w:ascii="宋体" w:hAnsi="宋体" w:cs="Courier New"/>
          <w:color w:val="auto"/>
          <w:kern w:val="0"/>
          <w:szCs w:val="21"/>
        </w:rPr>
        <w:t>本单位对上述声明的真实性负责。如有虚假，将依法承担相应责任。</w:t>
      </w:r>
    </w:p>
    <w:p>
      <w:pPr>
        <w:rPr>
          <w:color w:val="auto"/>
        </w:rPr>
      </w:pPr>
    </w:p>
    <w:p>
      <w:pPr>
        <w:rPr>
          <w:color w:val="auto"/>
        </w:rPr>
      </w:pPr>
    </w:p>
    <w:p>
      <w:pPr>
        <w:rPr>
          <w:color w:val="auto"/>
        </w:rPr>
      </w:pPr>
    </w:p>
    <w:p>
      <w:pPr>
        <w:spacing w:line="500" w:lineRule="exact"/>
        <w:ind w:firstLine="5250" w:firstLineChars="2500"/>
        <w:rPr>
          <w:rFonts w:ascii="宋体" w:hAnsi="宋体" w:cs="Courier New"/>
          <w:color w:val="auto"/>
          <w:kern w:val="0"/>
          <w:szCs w:val="21"/>
        </w:rPr>
      </w:pPr>
      <w:r>
        <w:rPr>
          <w:rFonts w:hint="eastAsia" w:ascii="宋体" w:hAnsi="宋体" w:cs="Courier New"/>
          <w:color w:val="auto"/>
          <w:kern w:val="0"/>
          <w:szCs w:val="21"/>
        </w:rPr>
        <w:t>单位名称（盖章）：</w:t>
      </w:r>
      <w:r>
        <w:rPr>
          <w:rFonts w:hint="eastAsia" w:ascii="宋体" w:hAnsi="宋体" w:cs="Courier New"/>
          <w:color w:val="auto"/>
          <w:szCs w:val="21"/>
          <w:u w:val="single"/>
        </w:rPr>
        <w:t xml:space="preserve"> </w:t>
      </w:r>
      <w:r>
        <w:rPr>
          <w:rFonts w:ascii="宋体" w:hAnsi="宋体" w:cs="Courier New"/>
          <w:color w:val="auto"/>
          <w:szCs w:val="21"/>
          <w:u w:val="single"/>
        </w:rPr>
        <w:t xml:space="preserve">             </w:t>
      </w:r>
    </w:p>
    <w:p>
      <w:pPr>
        <w:spacing w:line="500" w:lineRule="exact"/>
        <w:ind w:firstLine="5250" w:firstLineChars="2500"/>
        <w:rPr>
          <w:rFonts w:ascii="宋体" w:hAnsi="宋体" w:cs="Courier New"/>
          <w:color w:val="auto"/>
          <w:szCs w:val="21"/>
          <w:u w:val="single"/>
        </w:rPr>
      </w:pPr>
      <w:r>
        <w:rPr>
          <w:rFonts w:hint="eastAsia" w:ascii="宋体" w:hAnsi="宋体" w:cs="Courier New"/>
          <w:color w:val="auto"/>
          <w:kern w:val="0"/>
          <w:szCs w:val="21"/>
        </w:rPr>
        <w:t>日  期：</w:t>
      </w:r>
      <w:r>
        <w:rPr>
          <w:rFonts w:hint="eastAsia" w:ascii="宋体" w:hAnsi="宋体" w:cs="Courier New"/>
          <w:color w:val="auto"/>
          <w:szCs w:val="21"/>
          <w:u w:val="single"/>
        </w:rPr>
        <w:t xml:space="preserve"> </w:t>
      </w:r>
      <w:r>
        <w:rPr>
          <w:rFonts w:ascii="宋体" w:hAnsi="宋体" w:cs="Courier New"/>
          <w:color w:val="auto"/>
          <w:szCs w:val="21"/>
          <w:u w:val="single"/>
        </w:rPr>
        <w:t xml:space="preserve">                       </w:t>
      </w:r>
    </w:p>
    <w:p>
      <w:pPr>
        <w:widowControl/>
        <w:jc w:val="left"/>
        <w:rPr>
          <w:rFonts w:ascii="宋体" w:hAnsi="Courier New" w:cs="Courier New"/>
          <w:color w:val="auto"/>
          <w:sz w:val="18"/>
          <w:szCs w:val="18"/>
        </w:rPr>
      </w:pPr>
      <w:r>
        <w:rPr>
          <w:rFonts w:ascii="黑体" w:hAnsi="黑体" w:eastAsia="黑体" w:cs="黑体"/>
          <w:b/>
          <w:color w:val="auto"/>
          <w:sz w:val="32"/>
          <w:szCs w:val="32"/>
        </w:rPr>
        <w:br w:type="page"/>
      </w:r>
      <w:r>
        <w:rPr>
          <w:rFonts w:hint="eastAsia" w:ascii="仿宋" w:hAnsi="仿宋" w:eastAsia="仿宋"/>
          <w:b/>
          <w:color w:val="auto"/>
          <w:sz w:val="36"/>
          <w:szCs w:val="36"/>
        </w:rPr>
        <w:t>二、商务技术文件</w:t>
      </w:r>
    </w:p>
    <w:p>
      <w:pPr>
        <w:widowControl/>
        <w:jc w:val="center"/>
        <w:rPr>
          <w:rFonts w:ascii="仿宋" w:hAnsi="仿宋" w:eastAsia="仿宋" w:cs="黑体"/>
          <w:b/>
          <w:color w:val="auto"/>
          <w:sz w:val="32"/>
          <w:szCs w:val="32"/>
        </w:rPr>
      </w:pPr>
      <w:bookmarkStart w:id="146" w:name="_Hlk92702324"/>
      <w:r>
        <w:rPr>
          <w:rFonts w:hint="eastAsia" w:ascii="仿宋" w:hAnsi="仿宋" w:eastAsia="仿宋" w:cs="黑体"/>
          <w:b/>
          <w:color w:val="auto"/>
          <w:sz w:val="32"/>
          <w:szCs w:val="32"/>
        </w:rPr>
        <w:t>磋 商 函</w:t>
      </w:r>
      <w:bookmarkEnd w:id="146"/>
      <w:r>
        <w:rPr>
          <w:rFonts w:hint="eastAsia" w:ascii="仿宋" w:hAnsi="仿宋" w:eastAsia="仿宋" w:cs="黑体"/>
          <w:bCs/>
          <w:color w:val="auto"/>
          <w:sz w:val="24"/>
        </w:rPr>
        <w:t>(格式</w:t>
      </w:r>
      <w:r>
        <w:rPr>
          <w:rFonts w:ascii="仿宋" w:hAnsi="仿宋" w:eastAsia="仿宋" w:cs="黑体"/>
          <w:bCs/>
          <w:color w:val="auto"/>
          <w:sz w:val="24"/>
        </w:rPr>
        <w:t>)</w:t>
      </w:r>
    </w:p>
    <w:p>
      <w:pPr>
        <w:spacing w:line="360" w:lineRule="exact"/>
        <w:jc w:val="center"/>
        <w:rPr>
          <w:rFonts w:ascii="宋体" w:hAnsi="宋体"/>
          <w:b/>
          <w:color w:val="auto"/>
          <w:szCs w:val="21"/>
        </w:rPr>
      </w:pPr>
    </w:p>
    <w:p>
      <w:pPr>
        <w:spacing w:line="400" w:lineRule="exact"/>
        <w:rPr>
          <w:rFonts w:ascii="宋体" w:hAnsi="宋体"/>
          <w:color w:val="auto"/>
          <w:szCs w:val="21"/>
        </w:rPr>
      </w:pPr>
      <w:r>
        <w:rPr>
          <w:rFonts w:hint="eastAsia" w:ascii="宋体" w:hAnsi="宋体"/>
          <w:color w:val="auto"/>
          <w:szCs w:val="21"/>
        </w:rPr>
        <w:t>致：钦州市政府采购中心：</w:t>
      </w:r>
    </w:p>
    <w:p>
      <w:pPr>
        <w:pStyle w:val="22"/>
        <w:spacing w:line="480" w:lineRule="exact"/>
        <w:ind w:firstLine="420"/>
        <w:rPr>
          <w:rFonts w:hAnsi="宋体"/>
          <w:color w:val="auto"/>
        </w:rPr>
      </w:pPr>
      <w:r>
        <w:rPr>
          <w:rFonts w:hint="eastAsia" w:hAnsi="宋体"/>
          <w:color w:val="auto"/>
        </w:rPr>
        <w:t>依据贵方</w:t>
      </w:r>
      <w:r>
        <w:rPr>
          <w:rFonts w:hint="eastAsia" w:hAnsi="宋体"/>
          <w:color w:val="auto"/>
          <w:u w:val="single"/>
        </w:rPr>
        <w:t>（项目名称/文件编号）</w:t>
      </w:r>
      <w:r>
        <w:rPr>
          <w:rFonts w:hint="eastAsia" w:hAnsi="宋体"/>
          <w:color w:val="auto"/>
        </w:rPr>
        <w:t>项目竞争性磋商采购文件，我方</w:t>
      </w:r>
      <w:r>
        <w:rPr>
          <w:rFonts w:hint="eastAsia" w:hAnsi="宋体"/>
          <w:color w:val="auto"/>
          <w:u w:val="single"/>
        </w:rPr>
        <w:t xml:space="preserve"> （供应商名称） </w:t>
      </w:r>
      <w:r>
        <w:rPr>
          <w:rFonts w:hint="eastAsia" w:hAnsi="宋体"/>
          <w:color w:val="auto"/>
        </w:rPr>
        <w:t>经正式授权代表</w:t>
      </w:r>
      <w:r>
        <w:rPr>
          <w:rFonts w:hint="eastAsia" w:hAnsi="宋体"/>
          <w:color w:val="auto"/>
          <w:u w:val="single"/>
        </w:rPr>
        <w:t xml:space="preserve">   （被授权人）</w:t>
      </w:r>
      <w:r>
        <w:rPr>
          <w:rFonts w:hint="eastAsia" w:hAnsi="宋体"/>
          <w:color w:val="auto"/>
        </w:rPr>
        <w:t>提交响应文件。</w:t>
      </w:r>
    </w:p>
    <w:p>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据此函，我公司承诺：</w:t>
      </w:r>
    </w:p>
    <w:p>
      <w:pPr>
        <w:snapToGrid w:val="0"/>
        <w:spacing w:line="36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ascii="宋体" w:hAnsi="宋体"/>
          <w:color w:val="auto"/>
          <w:szCs w:val="21"/>
        </w:rPr>
      </w:pPr>
      <w:r>
        <w:rPr>
          <w:rFonts w:hint="eastAsia" w:ascii="宋体" w:hAnsi="宋体"/>
          <w:color w:val="auto"/>
          <w:szCs w:val="21"/>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我方在磋商之前已经与贵方进行了充分的沟通，完全理解并接受采购文件的各项规定和要求，对采购文件的合理性、合法性不再有异议。</w:t>
      </w:r>
    </w:p>
    <w:p>
      <w:pPr>
        <w:spacing w:line="400" w:lineRule="exact"/>
        <w:rPr>
          <w:rFonts w:ascii="宋体" w:hAnsi="宋体"/>
          <w:color w:val="auto"/>
          <w:szCs w:val="21"/>
        </w:rPr>
      </w:pPr>
      <w:r>
        <w:rPr>
          <w:rFonts w:ascii="宋体" w:hAnsi="宋体"/>
          <w:color w:val="auto"/>
          <w:szCs w:val="21"/>
        </w:rPr>
        <w:tab/>
      </w:r>
      <w:r>
        <w:rPr>
          <w:rFonts w:ascii="宋体" w:hAnsi="宋体"/>
          <w:color w:val="auto"/>
          <w:szCs w:val="21"/>
        </w:rPr>
        <w:t>4</w:t>
      </w:r>
      <w:r>
        <w:rPr>
          <w:rFonts w:hint="eastAsia" w:ascii="宋体" w:hAnsi="宋体"/>
          <w:color w:val="auto"/>
          <w:szCs w:val="21"/>
        </w:rPr>
        <w:t>.我方根据采购文件的规定，承担完成合同的责任和义务。</w:t>
      </w:r>
    </w:p>
    <w:p>
      <w:pPr>
        <w:spacing w:line="400" w:lineRule="exact"/>
        <w:rPr>
          <w:rFonts w:ascii="宋体" w:hAnsi="宋体"/>
          <w:color w:val="auto"/>
          <w:szCs w:val="21"/>
        </w:rPr>
      </w:pPr>
      <w:r>
        <w:rPr>
          <w:rFonts w:ascii="宋体" w:hAnsi="宋体"/>
          <w:color w:val="auto"/>
          <w:szCs w:val="21"/>
        </w:rPr>
        <w:tab/>
      </w:r>
      <w:r>
        <w:rPr>
          <w:rFonts w:ascii="宋体" w:hAnsi="宋体"/>
          <w:color w:val="auto"/>
          <w:szCs w:val="21"/>
        </w:rPr>
        <w:t>5</w:t>
      </w:r>
      <w:r>
        <w:rPr>
          <w:rFonts w:hint="eastAsia" w:ascii="宋体" w:hAnsi="宋体"/>
          <w:color w:val="auto"/>
          <w:szCs w:val="21"/>
        </w:rPr>
        <w:t>.同意向贵方提供贵方可能要求的与本项目采购有关的人员、数据和资料。</w:t>
      </w:r>
    </w:p>
    <w:p>
      <w:pPr>
        <w:spacing w:line="400" w:lineRule="exact"/>
        <w:ind w:firstLine="424" w:firstLineChars="202"/>
        <w:rPr>
          <w:rFonts w:ascii="宋体" w:hAnsi="宋体"/>
          <w:color w:val="auto"/>
          <w:szCs w:val="21"/>
        </w:rPr>
      </w:pPr>
      <w:r>
        <w:rPr>
          <w:rFonts w:ascii="宋体" w:hAnsi="宋体"/>
          <w:color w:val="auto"/>
          <w:szCs w:val="21"/>
        </w:rPr>
        <w:t>6.</w:t>
      </w:r>
      <w:r>
        <w:rPr>
          <w:rFonts w:hint="eastAsia" w:ascii="宋体" w:hAnsi="宋体"/>
          <w:color w:val="auto"/>
          <w:szCs w:val="21"/>
        </w:rPr>
        <w:t>我方向贵方提交的所有响应文件、资料都是准确的和真实的。</w:t>
      </w:r>
    </w:p>
    <w:p>
      <w:pPr>
        <w:spacing w:line="400" w:lineRule="exact"/>
        <w:rPr>
          <w:rFonts w:ascii="宋体" w:hAnsi="宋体"/>
          <w:color w:val="auto"/>
          <w:szCs w:val="21"/>
        </w:rPr>
      </w:pPr>
    </w:p>
    <w:p>
      <w:pPr>
        <w:spacing w:line="400" w:lineRule="exact"/>
        <w:ind w:firstLine="426"/>
        <w:rPr>
          <w:rFonts w:ascii="宋体" w:hAnsi="宋体"/>
          <w:color w:val="auto"/>
          <w:szCs w:val="21"/>
        </w:rPr>
      </w:pPr>
      <w:r>
        <w:rPr>
          <w:rFonts w:hint="eastAsia" w:ascii="宋体" w:hAnsi="宋体"/>
          <w:color w:val="auto"/>
          <w:szCs w:val="21"/>
        </w:rPr>
        <w:t>与我公司有关的正式通讯方式：</w:t>
      </w:r>
    </w:p>
    <w:p>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地址：</w:t>
      </w:r>
      <w:r>
        <w:rPr>
          <w:rFonts w:hint="eastAsia" w:ascii="宋体" w:hAnsi="宋体"/>
          <w:color w:val="auto"/>
          <w:szCs w:val="21"/>
          <w:u w:val="single"/>
        </w:rPr>
        <w:t xml:space="preserve">                                   </w:t>
      </w:r>
    </w:p>
    <w:p>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邮政编码：</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电话、电报、传真或电传：</w:t>
      </w:r>
      <w:r>
        <w:rPr>
          <w:rFonts w:hint="eastAsia" w:ascii="宋体" w:hAnsi="宋体"/>
          <w:color w:val="auto"/>
          <w:szCs w:val="21"/>
          <w:u w:val="single"/>
        </w:rPr>
        <w:t xml:space="preserve">                 </w:t>
      </w:r>
    </w:p>
    <w:p>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开户名称：</w:t>
      </w:r>
      <w:r>
        <w:rPr>
          <w:rFonts w:hint="eastAsia" w:ascii="宋体" w:hAnsi="宋体"/>
          <w:color w:val="auto"/>
          <w:szCs w:val="21"/>
          <w:u w:val="single"/>
        </w:rPr>
        <w:t xml:space="preserve">                               </w:t>
      </w:r>
    </w:p>
    <w:p>
      <w:pPr>
        <w:spacing w:line="400" w:lineRule="exact"/>
        <w:rPr>
          <w:rFonts w:ascii="宋体" w:hAnsi="宋体"/>
          <w:color w:val="auto"/>
          <w:szCs w:val="21"/>
        </w:rPr>
      </w:pPr>
      <w:r>
        <w:rPr>
          <w:rFonts w:ascii="宋体" w:hAnsi="宋体"/>
          <w:color w:val="auto"/>
          <w:szCs w:val="21"/>
        </w:rPr>
        <w:tab/>
      </w:r>
      <w:r>
        <w:rPr>
          <w:rFonts w:hint="eastAsia" w:ascii="宋体" w:hAnsi="宋体"/>
          <w:color w:val="auto"/>
          <w:szCs w:val="21"/>
        </w:rPr>
        <w:t>开户银行：</w:t>
      </w:r>
      <w:r>
        <w:rPr>
          <w:rFonts w:hint="eastAsia" w:ascii="宋体" w:hAnsi="宋体"/>
          <w:color w:val="auto"/>
          <w:szCs w:val="21"/>
          <w:u w:val="single"/>
        </w:rPr>
        <w:t xml:space="preserve">                               </w:t>
      </w:r>
    </w:p>
    <w:p>
      <w:pPr>
        <w:spacing w:line="400" w:lineRule="exact"/>
        <w:rPr>
          <w:rFonts w:ascii="宋体" w:hAnsi="宋体"/>
          <w:color w:val="auto"/>
          <w:szCs w:val="21"/>
          <w:u w:val="single"/>
        </w:rPr>
      </w:pPr>
      <w:r>
        <w:rPr>
          <w:rFonts w:ascii="宋体" w:hAnsi="宋体"/>
          <w:color w:val="auto"/>
          <w:szCs w:val="21"/>
        </w:rPr>
        <w:tab/>
      </w:r>
      <w:r>
        <w:rPr>
          <w:rFonts w:hint="eastAsia" w:ascii="宋体" w:hAnsi="宋体"/>
          <w:color w:val="auto"/>
          <w:szCs w:val="21"/>
        </w:rPr>
        <w:t>账    号：</w:t>
      </w:r>
      <w:r>
        <w:rPr>
          <w:rFonts w:hint="eastAsia" w:ascii="宋体" w:hAnsi="宋体"/>
          <w:color w:val="auto"/>
          <w:szCs w:val="21"/>
          <w:u w:val="single"/>
        </w:rPr>
        <w:t xml:space="preserve">                               </w:t>
      </w:r>
    </w:p>
    <w:p>
      <w:pPr>
        <w:rPr>
          <w:color w:val="auto"/>
        </w:rPr>
      </w:pPr>
    </w:p>
    <w:p>
      <w:pPr>
        <w:rPr>
          <w:color w:val="auto"/>
        </w:rPr>
      </w:pPr>
    </w:p>
    <w:p>
      <w:pPr>
        <w:rPr>
          <w:color w:val="auto"/>
        </w:rPr>
      </w:pPr>
    </w:p>
    <w:p>
      <w:pPr>
        <w:spacing w:line="400" w:lineRule="exact"/>
        <w:rPr>
          <w:rFonts w:ascii="宋体" w:hAnsi="宋体"/>
          <w:color w:val="auto"/>
          <w:szCs w:val="21"/>
        </w:rPr>
      </w:pPr>
      <w:r>
        <w:rPr>
          <w:rFonts w:ascii="宋体" w:hAnsi="宋体"/>
          <w:color w:val="auto"/>
          <w:szCs w:val="21"/>
        </w:rPr>
        <w:tab/>
      </w:r>
      <w:r>
        <w:rPr>
          <w:rFonts w:ascii="宋体" w:hAnsi="宋体"/>
          <w:color w:val="auto"/>
          <w:szCs w:val="21"/>
        </w:rPr>
        <w:t xml:space="preserve">                                  </w:t>
      </w:r>
    </w:p>
    <w:p>
      <w:pPr>
        <w:spacing w:line="400" w:lineRule="exact"/>
        <w:rPr>
          <w:rFonts w:ascii="宋体" w:hAnsi="宋体"/>
          <w:color w:val="auto"/>
          <w:szCs w:val="21"/>
        </w:rPr>
      </w:pPr>
      <w:r>
        <w:rPr>
          <w:rFonts w:ascii="宋体" w:hAnsi="宋体"/>
          <w:color w:val="auto"/>
          <w:szCs w:val="21"/>
        </w:rPr>
        <w:tab/>
      </w:r>
      <w:r>
        <w:rPr>
          <w:rFonts w:ascii="宋体" w:hAnsi="宋体"/>
          <w:color w:val="auto"/>
          <w:szCs w:val="21"/>
        </w:rPr>
        <w:t xml:space="preserve">                                              </w:t>
      </w:r>
      <w:r>
        <w:rPr>
          <w:rFonts w:hint="eastAsia" w:ascii="宋体" w:hAnsi="宋体"/>
          <w:color w:val="auto"/>
          <w:szCs w:val="21"/>
        </w:rPr>
        <w:t>供应商（盖章）：</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pacing w:line="400" w:lineRule="exact"/>
        <w:rPr>
          <w:rFonts w:ascii="宋体" w:hAnsi="宋体"/>
          <w:color w:val="auto"/>
          <w:szCs w:val="21"/>
        </w:rPr>
      </w:pPr>
      <w:r>
        <w:rPr>
          <w:rFonts w:ascii="宋体" w:hAnsi="宋体"/>
          <w:color w:val="auto"/>
          <w:szCs w:val="21"/>
        </w:rPr>
        <w:tab/>
      </w:r>
      <w:r>
        <w:rPr>
          <w:rFonts w:ascii="宋体" w:hAnsi="宋体"/>
          <w:color w:val="auto"/>
          <w:szCs w:val="21"/>
        </w:rPr>
        <w:t xml:space="preserve">                                              </w:t>
      </w:r>
      <w:r>
        <w:rPr>
          <w:rFonts w:hint="eastAsia" w:ascii="宋体" w:hAnsi="宋体"/>
          <w:color w:val="auto"/>
          <w:szCs w:val="21"/>
        </w:rPr>
        <w:t>日期：</w:t>
      </w:r>
      <w:r>
        <w:rPr>
          <w:rFonts w:hint="eastAsia" w:ascii="宋体" w:hAnsi="宋体"/>
          <w:color w:val="auto"/>
          <w:szCs w:val="21"/>
          <w:u w:val="single"/>
        </w:rPr>
        <w:t xml:space="preserve">                    </w:t>
      </w:r>
      <w:r>
        <w:rPr>
          <w:rFonts w:ascii="宋体" w:hAnsi="宋体"/>
          <w:color w:val="auto"/>
          <w:szCs w:val="21"/>
          <w:u w:val="single"/>
        </w:rPr>
        <w:t xml:space="preserve">    </w:t>
      </w:r>
    </w:p>
    <w:p>
      <w:pPr>
        <w:widowControl/>
        <w:jc w:val="left"/>
        <w:rPr>
          <w:color w:val="auto"/>
        </w:rPr>
      </w:pPr>
      <w:r>
        <w:rPr>
          <w:color w:val="auto"/>
        </w:rPr>
        <w:br w:type="page"/>
      </w:r>
    </w:p>
    <w:p>
      <w:pPr>
        <w:rPr>
          <w:color w:val="auto"/>
        </w:rPr>
      </w:pPr>
    </w:p>
    <w:p>
      <w:pPr>
        <w:jc w:val="center"/>
        <w:rPr>
          <w:rFonts w:ascii="仿宋" w:hAnsi="仿宋" w:eastAsia="仿宋"/>
          <w:color w:val="auto"/>
          <w:sz w:val="32"/>
          <w:szCs w:val="32"/>
        </w:rPr>
      </w:pPr>
      <w:r>
        <w:rPr>
          <w:rFonts w:hint="eastAsia" w:ascii="仿宋" w:hAnsi="仿宋" w:eastAsia="仿宋"/>
          <w:b/>
          <w:color w:val="auto"/>
          <w:sz w:val="32"/>
          <w:szCs w:val="32"/>
        </w:rPr>
        <w:t>授权委托书</w:t>
      </w:r>
      <w:bookmarkStart w:id="147" w:name="_Hlk92703623"/>
      <w:r>
        <w:rPr>
          <w:rFonts w:hint="eastAsia" w:ascii="仿宋" w:hAnsi="仿宋" w:eastAsia="仿宋"/>
          <w:color w:val="auto"/>
          <w:sz w:val="24"/>
        </w:rPr>
        <w:t>(格式</w:t>
      </w:r>
      <w:r>
        <w:rPr>
          <w:rFonts w:ascii="仿宋" w:hAnsi="仿宋" w:eastAsia="仿宋"/>
          <w:color w:val="auto"/>
          <w:sz w:val="24"/>
        </w:rPr>
        <w:t>)</w:t>
      </w:r>
      <w:bookmarkEnd w:id="147"/>
    </w:p>
    <w:p>
      <w:pPr>
        <w:snapToGrid w:val="0"/>
        <w:spacing w:before="156" w:beforeLines="50" w:after="50" w:line="500" w:lineRule="exact"/>
        <w:rPr>
          <w:rFonts w:ascii="宋体" w:hAnsi="宋体"/>
          <w:b/>
          <w:bCs/>
          <w:color w:val="auto"/>
          <w:szCs w:val="21"/>
        </w:rPr>
      </w:pPr>
      <w:r>
        <w:rPr>
          <w:rFonts w:hint="eastAsia" w:ascii="宋体" w:hAnsi="宋体"/>
          <w:bCs/>
          <w:color w:val="auto"/>
          <w:szCs w:val="21"/>
        </w:rPr>
        <w:t>致：</w:t>
      </w:r>
      <w:r>
        <w:rPr>
          <w:rFonts w:hint="eastAsia"/>
          <w:color w:val="auto"/>
        </w:rPr>
        <w:t>钦州市政府采购中心</w:t>
      </w:r>
    </w:p>
    <w:p>
      <w:pPr>
        <w:snapToGrid w:val="0"/>
        <w:spacing w:before="156" w:beforeLines="50" w:after="50" w:line="500" w:lineRule="exact"/>
        <w:ind w:firstLine="420" w:firstLineChars="200"/>
        <w:rPr>
          <w:rFonts w:ascii="宋体" w:hAnsi="宋体"/>
          <w:color w:val="auto"/>
          <w:szCs w:val="21"/>
        </w:rPr>
      </w:pPr>
      <w:r>
        <w:rPr>
          <w:rFonts w:hint="eastAsia" w:ascii="宋体" w:hAnsi="宋体"/>
          <w:color w:val="auto"/>
          <w:szCs w:val="21"/>
        </w:rPr>
        <w:t>我</w:t>
      </w:r>
      <w:r>
        <w:rPr>
          <w:rFonts w:hint="eastAsia" w:ascii="宋体" w:hAnsi="宋体"/>
          <w:color w:val="auto"/>
          <w:szCs w:val="21"/>
          <w:u w:val="single"/>
        </w:rPr>
        <w:t>（姓名）</w:t>
      </w:r>
      <w:r>
        <w:rPr>
          <w:rFonts w:hint="eastAsia" w:ascii="宋体" w:hAnsi="宋体"/>
          <w:color w:val="auto"/>
          <w:szCs w:val="21"/>
        </w:rPr>
        <w:t>系</w:t>
      </w:r>
      <w:r>
        <w:rPr>
          <w:rFonts w:hint="eastAsia" w:ascii="宋体" w:hAnsi="宋体"/>
          <w:color w:val="auto"/>
          <w:szCs w:val="21"/>
          <w:u w:val="single"/>
        </w:rPr>
        <w:t>（供应商名称）</w:t>
      </w:r>
      <w:r>
        <w:rPr>
          <w:rFonts w:hint="eastAsia" w:ascii="宋体" w:hAnsi="宋体"/>
          <w:color w:val="auto"/>
          <w:szCs w:val="21"/>
        </w:rPr>
        <w:t>的法定代表人，现授权委托本单位在职职工</w:t>
      </w:r>
      <w:r>
        <w:rPr>
          <w:rFonts w:hint="eastAsia" w:ascii="宋体" w:hAnsi="宋体"/>
          <w:color w:val="auto"/>
          <w:szCs w:val="21"/>
          <w:u w:val="single"/>
        </w:rPr>
        <w:t>（姓名）</w:t>
      </w:r>
      <w:r>
        <w:rPr>
          <w:rFonts w:hint="eastAsia" w:ascii="宋体" w:hAnsi="宋体"/>
          <w:color w:val="auto"/>
          <w:szCs w:val="21"/>
        </w:rPr>
        <w:t>以我方的名义参加</w:t>
      </w:r>
      <w:r>
        <w:rPr>
          <w:rFonts w:hint="eastAsia" w:ascii="宋体" w:hAnsi="宋体"/>
          <w:color w:val="auto"/>
          <w:szCs w:val="21"/>
          <w:u w:val="single"/>
        </w:rPr>
        <w:t>（项目名称/项目编号）</w:t>
      </w:r>
      <w:r>
        <w:rPr>
          <w:rFonts w:hint="eastAsia" w:ascii="宋体" w:hAnsi="宋体"/>
          <w:color w:val="auto"/>
          <w:szCs w:val="21"/>
        </w:rPr>
        <w:t>的磋商活动，并代表我方全权办理针对上述项目的磋商、签约等具体事务和签署相关文件。</w:t>
      </w:r>
    </w:p>
    <w:p>
      <w:pPr>
        <w:snapToGrid w:val="0"/>
        <w:spacing w:before="156" w:beforeLines="50" w:after="50" w:line="500" w:lineRule="exact"/>
        <w:ind w:firstLine="420" w:firstLineChars="200"/>
        <w:rPr>
          <w:rFonts w:ascii="宋体" w:hAnsi="宋体"/>
          <w:color w:val="auto"/>
          <w:szCs w:val="21"/>
        </w:rPr>
      </w:pPr>
      <w:r>
        <w:rPr>
          <w:rFonts w:hint="eastAsia" w:ascii="宋体" w:hAnsi="宋体"/>
          <w:color w:val="auto"/>
          <w:szCs w:val="21"/>
        </w:rPr>
        <w:t>我方对被授权人的签名事项负全部责任。</w:t>
      </w:r>
    </w:p>
    <w:p>
      <w:pPr>
        <w:snapToGrid w:val="0"/>
        <w:spacing w:before="156" w:beforeLines="50" w:after="50" w:line="500" w:lineRule="exact"/>
        <w:ind w:firstLine="420" w:firstLineChars="200"/>
        <w:rPr>
          <w:rFonts w:ascii="宋体" w:hAnsi="宋体"/>
          <w:color w:val="auto"/>
          <w:szCs w:val="21"/>
        </w:rPr>
      </w:pPr>
      <w:r>
        <w:rPr>
          <w:rFonts w:hint="eastAsia" w:ascii="宋体" w:hAnsi="宋体"/>
          <w:color w:val="auto"/>
          <w:szCs w:val="21"/>
          <w:u w:val="single"/>
        </w:rPr>
        <w:t>在撤销授权的书面通知以前，本授权书一直有效</w:t>
      </w:r>
      <w:r>
        <w:rPr>
          <w:rFonts w:hint="eastAsia" w:ascii="宋体" w:hAnsi="宋体"/>
          <w:color w:val="auto"/>
          <w:szCs w:val="21"/>
        </w:rPr>
        <w:t>。被授权人在授权书有效期内签署的所有文件不因授权的撤销而失效。</w:t>
      </w:r>
    </w:p>
    <w:p>
      <w:pPr>
        <w:snapToGrid w:val="0"/>
        <w:spacing w:before="156" w:beforeLines="50" w:after="50" w:line="500" w:lineRule="exact"/>
        <w:ind w:firstLine="420" w:firstLineChars="200"/>
        <w:rPr>
          <w:rFonts w:ascii="宋体" w:hAnsi="宋体"/>
          <w:color w:val="auto"/>
          <w:szCs w:val="21"/>
        </w:rPr>
      </w:pPr>
      <w:r>
        <w:rPr>
          <w:rFonts w:hint="eastAsia" w:ascii="宋体" w:hAnsi="宋体"/>
          <w:color w:val="auto"/>
          <w:szCs w:val="21"/>
        </w:rPr>
        <w:t>被授权人无转委托权，特此委托。</w:t>
      </w:r>
    </w:p>
    <w:p>
      <w:pPr>
        <w:snapToGrid w:val="0"/>
        <w:spacing w:before="156" w:beforeLines="50" w:after="50" w:line="300" w:lineRule="exact"/>
        <w:ind w:firstLine="525" w:firstLineChars="250"/>
        <w:rPr>
          <w:rFonts w:ascii="宋体" w:hAnsi="宋体"/>
          <w:color w:val="auto"/>
          <w:szCs w:val="21"/>
        </w:rPr>
      </w:pPr>
    </w:p>
    <w:p>
      <w:pPr>
        <w:snapToGrid w:val="0"/>
        <w:spacing w:before="156" w:beforeLines="50" w:after="50" w:line="300" w:lineRule="exact"/>
        <w:ind w:firstLine="420" w:firstLineChars="200"/>
        <w:rPr>
          <w:rFonts w:ascii="宋体" w:hAnsi="宋体"/>
          <w:color w:val="auto"/>
          <w:szCs w:val="21"/>
        </w:rPr>
      </w:pPr>
      <w:r>
        <w:rPr>
          <w:rFonts w:hint="eastAsia" w:ascii="宋体" w:hAnsi="宋体"/>
          <w:color w:val="auto"/>
          <w:szCs w:val="21"/>
        </w:rPr>
        <w:t>所在部门职务：</w:t>
      </w:r>
      <w:r>
        <w:rPr>
          <w:rFonts w:hint="eastAsia" w:ascii="宋体" w:hAnsi="宋体"/>
          <w:color w:val="auto"/>
          <w:szCs w:val="21"/>
          <w:u w:val="single"/>
        </w:rPr>
        <w:t xml:space="preserve">                        </w:t>
      </w:r>
    </w:p>
    <w:p>
      <w:pPr>
        <w:snapToGrid w:val="0"/>
        <w:spacing w:before="156" w:beforeLines="50" w:after="50" w:line="300" w:lineRule="exact"/>
        <w:ind w:firstLine="420" w:firstLineChars="200"/>
        <w:rPr>
          <w:rFonts w:ascii="宋体" w:hAnsi="宋体"/>
          <w:color w:val="auto"/>
          <w:szCs w:val="21"/>
          <w:u w:val="single"/>
        </w:rPr>
      </w:pPr>
      <w:r>
        <w:rPr>
          <w:rFonts w:hint="eastAsia" w:ascii="宋体" w:hAnsi="宋体"/>
          <w:color w:val="auto"/>
          <w:szCs w:val="21"/>
        </w:rPr>
        <w:t>职务：</w:t>
      </w:r>
      <w:r>
        <w:rPr>
          <w:rFonts w:hint="eastAsia" w:ascii="宋体" w:hAnsi="宋体"/>
          <w:color w:val="auto"/>
          <w:szCs w:val="21"/>
          <w:u w:val="single"/>
        </w:rPr>
        <w:t xml:space="preserve">                                </w:t>
      </w:r>
    </w:p>
    <w:p>
      <w:pPr>
        <w:snapToGrid w:val="0"/>
        <w:spacing w:before="156" w:beforeLines="50" w:after="50" w:line="300" w:lineRule="exact"/>
        <w:ind w:firstLine="420" w:firstLineChars="200"/>
        <w:rPr>
          <w:rFonts w:ascii="宋体" w:hAnsi="宋体"/>
          <w:color w:val="auto"/>
          <w:szCs w:val="21"/>
        </w:rPr>
      </w:pPr>
      <w:r>
        <w:rPr>
          <w:rFonts w:hint="eastAsia" w:ascii="宋体" w:hAnsi="宋体"/>
          <w:color w:val="auto"/>
          <w:szCs w:val="21"/>
        </w:rPr>
        <w:t>被授权人身份证号码：</w:t>
      </w:r>
      <w:r>
        <w:rPr>
          <w:rFonts w:hint="eastAsia" w:ascii="宋体" w:hAnsi="宋体"/>
          <w:color w:val="auto"/>
          <w:szCs w:val="21"/>
          <w:u w:val="single"/>
        </w:rPr>
        <w:t xml:space="preserve">                  </w:t>
      </w:r>
    </w:p>
    <w:p>
      <w:pPr>
        <w:snapToGrid w:val="0"/>
        <w:spacing w:before="156" w:beforeLines="50" w:after="50" w:line="300" w:lineRule="exact"/>
        <w:ind w:firstLine="420" w:firstLineChars="200"/>
        <w:rPr>
          <w:rFonts w:hAnsi="宋体"/>
          <w:color w:val="auto"/>
        </w:rPr>
      </w:pPr>
      <w:r>
        <w:rPr>
          <w:rFonts w:hint="eastAsia" w:hAnsi="宋体"/>
          <w:color w:val="auto"/>
        </w:rPr>
        <w:t>附：委托代理人身份证(正反面</w:t>
      </w:r>
      <w:r>
        <w:rPr>
          <w:rFonts w:hAnsi="宋体"/>
          <w:color w:val="auto"/>
        </w:rPr>
        <w:t>)</w:t>
      </w:r>
    </w:p>
    <w:p>
      <w:pPr>
        <w:rPr>
          <w:color w:val="auto"/>
        </w:rPr>
      </w:pPr>
    </w:p>
    <w:p>
      <w:pPr>
        <w:rPr>
          <w:color w:val="auto"/>
        </w:rPr>
      </w:pPr>
    </w:p>
    <w:p>
      <w:pPr>
        <w:rPr>
          <w:color w:val="auto"/>
        </w:rPr>
      </w:pPr>
    </w:p>
    <w:p>
      <w:pPr>
        <w:rPr>
          <w:color w:val="auto"/>
        </w:rPr>
      </w:pPr>
    </w:p>
    <w:p>
      <w:pPr>
        <w:rPr>
          <w:color w:val="auto"/>
        </w:rPr>
      </w:pPr>
    </w:p>
    <w:p>
      <w:pPr>
        <w:snapToGrid w:val="0"/>
        <w:spacing w:before="156" w:beforeLines="50" w:after="50" w:line="200" w:lineRule="exact"/>
        <w:ind w:firstLine="4620" w:firstLineChars="2200"/>
        <w:rPr>
          <w:rFonts w:ascii="宋体" w:hAnsi="宋体"/>
          <w:color w:val="auto"/>
          <w:szCs w:val="21"/>
          <w:u w:val="single"/>
        </w:rPr>
      </w:pPr>
      <w:r>
        <w:rPr>
          <w:rFonts w:hint="eastAsia" w:ascii="宋体" w:hAnsi="宋体"/>
          <w:color w:val="auto"/>
          <w:szCs w:val="21"/>
        </w:rPr>
        <w:t xml:space="preserve">       供应商（盖章）：</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napToGrid w:val="0"/>
        <w:spacing w:before="156" w:beforeLines="50" w:after="50" w:line="200" w:lineRule="exact"/>
        <w:ind w:firstLine="5355" w:firstLineChars="2550"/>
        <w:rPr>
          <w:rFonts w:ascii="宋体" w:hAnsi="宋体"/>
          <w:color w:val="auto"/>
          <w:szCs w:val="21"/>
        </w:rPr>
      </w:pPr>
      <w:r>
        <w:rPr>
          <w:rFonts w:hint="eastAsia" w:ascii="宋体" w:hAnsi="宋体"/>
          <w:color w:val="auto"/>
          <w:szCs w:val="21"/>
        </w:rPr>
        <w:t>法定代表人签名：</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napToGrid w:val="0"/>
        <w:spacing w:before="156" w:beforeLines="50" w:after="50" w:line="200" w:lineRule="exact"/>
        <w:ind w:firstLine="5355" w:firstLineChars="2550"/>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widowControl/>
        <w:jc w:val="left"/>
        <w:rPr>
          <w:color w:val="auto"/>
        </w:rPr>
      </w:pPr>
      <w:r>
        <w:rPr>
          <w:b/>
          <w:bCs/>
          <w:color w:val="auto"/>
        </w:rPr>
        <w:br w:type="page"/>
      </w:r>
    </w:p>
    <w:p>
      <w:pPr>
        <w:snapToGrid w:val="0"/>
        <w:spacing w:before="156" w:beforeLines="50" w:after="50" w:line="360" w:lineRule="exact"/>
        <w:jc w:val="center"/>
        <w:rPr>
          <w:rFonts w:ascii="仿宋" w:hAnsi="仿宋" w:eastAsia="仿宋"/>
          <w:color w:val="auto"/>
          <w:sz w:val="24"/>
        </w:rPr>
      </w:pPr>
      <w:bookmarkStart w:id="148" w:name="_Hlk92702799"/>
      <w:r>
        <w:rPr>
          <w:rFonts w:hint="eastAsia" w:ascii="仿宋_GB2312" w:hAnsi="宋体" w:eastAsia="仿宋_GB2312"/>
          <w:b/>
          <w:color w:val="auto"/>
          <w:sz w:val="28"/>
          <w:szCs w:val="28"/>
        </w:rPr>
        <w:t>商务响应</w:t>
      </w:r>
      <w:r>
        <w:rPr>
          <w:rFonts w:hint="eastAsia" w:ascii="仿宋_GB2312" w:eastAsia="仿宋_GB2312"/>
          <w:b/>
          <w:color w:val="auto"/>
          <w:sz w:val="28"/>
          <w:szCs w:val="28"/>
        </w:rPr>
        <w:t>表</w:t>
      </w:r>
      <w:r>
        <w:rPr>
          <w:rFonts w:hint="eastAsia" w:ascii="仿宋" w:hAnsi="仿宋" w:eastAsia="仿宋"/>
          <w:color w:val="auto"/>
          <w:sz w:val="24"/>
        </w:rPr>
        <w:t>(格式</w:t>
      </w:r>
      <w:r>
        <w:rPr>
          <w:rFonts w:ascii="仿宋" w:hAnsi="仿宋" w:eastAsia="仿宋"/>
          <w:color w:val="auto"/>
          <w:sz w:val="24"/>
        </w:rPr>
        <w:t>)</w:t>
      </w:r>
    </w:p>
    <w:p>
      <w:pPr>
        <w:rPr>
          <w:color w:val="auto"/>
        </w:rPr>
      </w:pPr>
    </w:p>
    <w:tbl>
      <w:tblPr>
        <w:tblStyle w:val="37"/>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2748"/>
        <w:gridCol w:w="15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color w:val="auto"/>
                <w:szCs w:val="21"/>
              </w:rPr>
            </w:pPr>
            <w:r>
              <w:rPr>
                <w:rFonts w:hint="eastAsia" w:ascii="宋体" w:hAnsi="宋体"/>
                <w:b/>
                <w:color w:val="auto"/>
                <w:szCs w:val="21"/>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color w:val="auto"/>
                <w:szCs w:val="21"/>
              </w:rPr>
            </w:pPr>
            <w:r>
              <w:rPr>
                <w:rFonts w:hint="eastAsia" w:ascii="宋体" w:hAnsi="宋体"/>
                <w:b/>
                <w:color w:val="auto"/>
                <w:szCs w:val="21"/>
              </w:rPr>
              <w:t>采购文件</w:t>
            </w:r>
            <w:r>
              <w:rPr>
                <w:rFonts w:hint="eastAsia" w:ascii="宋体" w:hAnsi="宋体"/>
                <w:b/>
                <w:color w:val="auto"/>
                <w:szCs w:val="21"/>
                <w:lang w:val="en-US" w:eastAsia="zh-CN"/>
              </w:rPr>
              <w:t>商务</w:t>
            </w:r>
            <w:r>
              <w:rPr>
                <w:rFonts w:hint="eastAsia" w:ascii="宋体" w:hAnsi="宋体"/>
                <w:b/>
                <w:color w:val="auto"/>
                <w:szCs w:val="21"/>
              </w:rPr>
              <w:t>要求</w:t>
            </w: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color w:val="auto"/>
                <w:szCs w:val="21"/>
              </w:rPr>
            </w:pPr>
            <w:r>
              <w:rPr>
                <w:rFonts w:hint="eastAsia" w:ascii="宋体" w:hAnsi="宋体" w:eastAsia="宋体"/>
                <w:b/>
                <w:color w:val="auto"/>
                <w:szCs w:val="21"/>
                <w:lang w:val="en-US" w:eastAsia="zh-CN"/>
              </w:rPr>
              <w:t>供应商的</w:t>
            </w:r>
            <w:r>
              <w:rPr>
                <w:rFonts w:hint="eastAsia" w:ascii="宋体" w:hAnsi="宋体" w:eastAsia="宋体"/>
                <w:b/>
                <w:color w:val="auto"/>
                <w:szCs w:val="21"/>
              </w:rPr>
              <w:t>响应</w:t>
            </w: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color w:val="auto"/>
                <w:szCs w:val="21"/>
              </w:rPr>
            </w:pPr>
            <w:r>
              <w:rPr>
                <w:rFonts w:hint="eastAsia" w:ascii="宋体" w:hAnsi="宋体" w:eastAsia="宋体"/>
                <w:b/>
                <w:color w:val="auto"/>
                <w:szCs w:val="21"/>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r>
              <w:rPr>
                <w:rFonts w:hint="eastAsia" w:ascii="宋体" w:hAnsi="宋体"/>
                <w:color w:val="auto"/>
                <w:szCs w:val="21"/>
              </w:rPr>
              <w:t>服务期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r>
              <w:rPr>
                <w:rFonts w:hint="eastAsia" w:ascii="宋体" w:hAnsi="宋体"/>
                <w:color w:val="auto"/>
                <w:szCs w:val="21"/>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ascii="宋体" w:hAnsi="宋体"/>
                <w:color w:val="auto"/>
                <w:szCs w:val="21"/>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r>
              <w:rPr>
                <w:rFonts w:hint="eastAsia" w:ascii="宋体" w:hAnsi="宋体"/>
                <w:color w:val="auto"/>
                <w:szCs w:val="21"/>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r>
              <w:rPr>
                <w:rFonts w:hint="eastAsia" w:ascii="宋体" w:hAnsi="宋体"/>
                <w:color w:val="auto"/>
                <w:szCs w:val="21"/>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rPr>
            </w:pPr>
          </w:p>
        </w:tc>
      </w:tr>
    </w:tbl>
    <w:p>
      <w:pPr>
        <w:tabs>
          <w:tab w:val="left" w:pos="3870"/>
          <w:tab w:val="left" w:pos="4085"/>
        </w:tabs>
        <w:snapToGrid w:val="0"/>
        <w:spacing w:line="360" w:lineRule="exact"/>
        <w:rPr>
          <w:rFonts w:ascii="宋体" w:hAnsi="宋体"/>
          <w:b/>
          <w:color w:val="auto"/>
          <w:szCs w:val="21"/>
        </w:rPr>
      </w:pPr>
    </w:p>
    <w:p>
      <w:pPr>
        <w:rPr>
          <w:rFonts w:hint="eastAsia"/>
          <w:color w:val="auto"/>
          <w:lang w:val="en-US" w:eastAsia="zh-CN"/>
        </w:rPr>
      </w:pPr>
      <w:r>
        <w:rPr>
          <w:rFonts w:hint="eastAsia"/>
          <w:color w:val="auto"/>
          <w:lang w:val="en-US" w:eastAsia="zh-CN"/>
        </w:rPr>
        <w:t>注：</w:t>
      </w:r>
    </w:p>
    <w:p>
      <w:pPr>
        <w:rPr>
          <w:rFonts w:hint="eastAsia" w:eastAsia="宋体"/>
          <w:b w:val="0"/>
          <w:bCs w:val="0"/>
          <w:color w:val="auto"/>
          <w:sz w:val="21"/>
          <w:szCs w:val="21"/>
          <w:lang w:val="en-US" w:eastAsia="zh-CN"/>
        </w:rPr>
      </w:pPr>
      <w:r>
        <w:rPr>
          <w:rFonts w:hint="eastAsia" w:eastAsia="宋体"/>
          <w:b w:val="0"/>
          <w:bCs w:val="0"/>
          <w:color w:val="auto"/>
          <w:sz w:val="21"/>
          <w:szCs w:val="21"/>
          <w:lang w:val="en-US" w:eastAsia="zh-CN"/>
        </w:rPr>
        <w:t>1.</w:t>
      </w:r>
      <w:r>
        <w:rPr>
          <w:rFonts w:hint="eastAsia" w:eastAsia="宋体"/>
          <w:b w:val="0"/>
          <w:bCs w:val="0"/>
          <w:color w:val="auto"/>
          <w:sz w:val="21"/>
          <w:szCs w:val="21"/>
        </w:rPr>
        <w:t>应</w:t>
      </w:r>
      <w:r>
        <w:rPr>
          <w:rFonts w:hint="eastAsia" w:eastAsia="宋体"/>
          <w:b w:val="0"/>
          <w:bCs w:val="0"/>
          <w:color w:val="auto"/>
          <w:sz w:val="21"/>
          <w:szCs w:val="21"/>
          <w:lang w:val="en-US" w:eastAsia="zh-CN"/>
        </w:rPr>
        <w:t>按采购</w:t>
      </w:r>
      <w:r>
        <w:rPr>
          <w:rFonts w:hint="eastAsia" w:eastAsia="宋体"/>
          <w:b w:val="0"/>
          <w:bCs w:val="0"/>
          <w:color w:val="auto"/>
          <w:sz w:val="21"/>
          <w:szCs w:val="21"/>
        </w:rPr>
        <w:t>文件“第二章 项目需求”中的商务要求</w:t>
      </w:r>
      <w:r>
        <w:rPr>
          <w:rFonts w:hint="eastAsia" w:eastAsia="宋体"/>
          <w:b w:val="0"/>
          <w:bCs w:val="0"/>
          <w:color w:val="auto"/>
          <w:sz w:val="21"/>
          <w:szCs w:val="21"/>
          <w:lang w:val="en-US" w:eastAsia="zh-CN"/>
        </w:rPr>
        <w:t>具体条款修改并</w:t>
      </w:r>
      <w:r>
        <w:rPr>
          <w:rFonts w:hint="eastAsia" w:eastAsia="宋体"/>
          <w:b w:val="0"/>
          <w:bCs w:val="0"/>
          <w:color w:val="auto"/>
          <w:sz w:val="21"/>
          <w:szCs w:val="21"/>
        </w:rPr>
        <w:t>逐条作明确的</w:t>
      </w:r>
      <w:r>
        <w:rPr>
          <w:rFonts w:hint="eastAsia" w:eastAsia="宋体"/>
          <w:b w:val="0"/>
          <w:bCs w:val="0"/>
          <w:color w:val="auto"/>
          <w:sz w:val="21"/>
          <w:szCs w:val="21"/>
          <w:lang w:val="en-US" w:eastAsia="zh-CN"/>
        </w:rPr>
        <w:t>竞标</w:t>
      </w:r>
      <w:r>
        <w:rPr>
          <w:rFonts w:hint="eastAsia" w:eastAsia="宋体"/>
          <w:b w:val="0"/>
          <w:bCs w:val="0"/>
          <w:color w:val="auto"/>
          <w:sz w:val="21"/>
          <w:szCs w:val="21"/>
        </w:rPr>
        <w:t>响应。</w:t>
      </w:r>
    </w:p>
    <w:p>
      <w:pPr>
        <w:rPr>
          <w:rFonts w:hint="eastAsia" w:eastAsia="宋体"/>
          <w:b w:val="0"/>
          <w:bCs w:val="0"/>
          <w:color w:val="auto"/>
          <w:sz w:val="21"/>
          <w:szCs w:val="21"/>
        </w:rPr>
      </w:pPr>
      <w:r>
        <w:rPr>
          <w:rFonts w:hint="eastAsia" w:eastAsia="宋体"/>
          <w:b w:val="0"/>
          <w:bCs w:val="0"/>
          <w:color w:val="auto"/>
          <w:sz w:val="21"/>
          <w:szCs w:val="21"/>
        </w:rPr>
        <w:t>2.供应商应根据自身的承诺，对照磋商文件要求，在“偏离说明”中注明“正偏离”、“负偏离”或者“无偏离”。既不属于“正偏离”也不属于“负偏离”即为“无偏离”。</w:t>
      </w:r>
    </w:p>
    <w:p>
      <w:pPr>
        <w:tabs>
          <w:tab w:val="left" w:pos="3870"/>
          <w:tab w:val="left" w:pos="4085"/>
        </w:tabs>
        <w:snapToGrid w:val="0"/>
        <w:spacing w:line="360" w:lineRule="exact"/>
        <w:rPr>
          <w:rFonts w:hint="default" w:ascii="宋体" w:hAnsi="宋体" w:eastAsia="宋体"/>
          <w:b/>
          <w:color w:val="auto"/>
          <w:szCs w:val="21"/>
          <w:lang w:val="en-US" w:eastAsia="zh-CN"/>
        </w:rPr>
      </w:pPr>
    </w:p>
    <w:p>
      <w:pPr>
        <w:spacing w:line="400" w:lineRule="exact"/>
        <w:ind w:left="6092" w:leftChars="2766" w:right="592" w:rightChars="282" w:hanging="283" w:hangingChars="135"/>
        <w:jc w:val="left"/>
        <w:rPr>
          <w:rFonts w:ascii="宋体" w:hAnsi="宋体"/>
          <w:bCs/>
          <w:color w:val="auto"/>
        </w:rPr>
      </w:pPr>
      <w:r>
        <w:rPr>
          <w:rFonts w:hint="eastAsia" w:ascii="宋体" w:hAnsi="宋体"/>
          <w:color w:val="auto"/>
          <w:szCs w:val="21"/>
        </w:rPr>
        <w:t xml:space="preserve"> </w:t>
      </w:r>
      <w:r>
        <w:rPr>
          <w:rFonts w:ascii="宋体" w:hAnsi="宋体"/>
          <w:color w:val="auto"/>
          <w:szCs w:val="21"/>
        </w:rPr>
        <w:t xml:space="preserve">                                                </w:t>
      </w:r>
      <w:bookmarkEnd w:id="148"/>
      <w:bookmarkStart w:id="149" w:name="_Hlk112311546"/>
      <w:r>
        <w:rPr>
          <w:rFonts w:hint="eastAsia" w:ascii="宋体" w:hAnsi="宋体"/>
          <w:bCs/>
          <w:color w:val="auto"/>
        </w:rPr>
        <w:t>供应商（盖章）：</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p>
    <w:p>
      <w:pPr>
        <w:snapToGrid w:val="0"/>
        <w:spacing w:before="50" w:after="50" w:line="350" w:lineRule="exact"/>
        <w:ind w:right="-817" w:rightChars="-389" w:firstLine="6090" w:firstLineChars="2900"/>
        <w:jc w:val="left"/>
        <w:rPr>
          <w:color w:val="auto"/>
        </w:rPr>
      </w:pPr>
      <w:r>
        <w:rPr>
          <w:rFonts w:hint="eastAsia" w:ascii="宋体" w:hAnsi="宋体"/>
          <w:bCs/>
          <w:color w:val="auto"/>
        </w:rPr>
        <w:t>日期：</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hint="eastAsia" w:ascii="宋体" w:hAnsi="宋体"/>
          <w:bCs/>
          <w:color w:val="auto"/>
        </w:rPr>
        <w:t>年</w:t>
      </w:r>
      <w:r>
        <w:rPr>
          <w:rFonts w:hint="eastAsia" w:ascii="宋体" w:hAnsi="宋体"/>
          <w:bCs/>
          <w:color w:val="auto"/>
          <w:u w:val="single"/>
        </w:rPr>
        <w:t xml:space="preserve">   </w:t>
      </w:r>
      <w:r>
        <w:rPr>
          <w:rFonts w:hint="eastAsia" w:ascii="宋体" w:hAnsi="宋体"/>
          <w:bCs/>
          <w:color w:val="auto"/>
        </w:rPr>
        <w:t>月</w:t>
      </w:r>
      <w:r>
        <w:rPr>
          <w:rFonts w:hint="eastAsia" w:ascii="宋体" w:hAnsi="宋体"/>
          <w:bCs/>
          <w:color w:val="auto"/>
          <w:u w:val="single"/>
        </w:rPr>
        <w:t xml:space="preserve">   </w:t>
      </w:r>
      <w:r>
        <w:rPr>
          <w:rFonts w:hint="eastAsia" w:ascii="宋体" w:hAnsi="宋体"/>
          <w:bCs/>
          <w:color w:val="auto"/>
        </w:rPr>
        <w:t>日</w:t>
      </w:r>
    </w:p>
    <w:bookmarkEnd w:id="149"/>
    <w:p>
      <w:pPr>
        <w:rPr>
          <w:color w:val="auto"/>
        </w:rPr>
      </w:pPr>
    </w:p>
    <w:p>
      <w:pPr>
        <w:shd w:val="clear"/>
        <w:adjustRightInd w:val="0"/>
        <w:snapToGrid w:val="0"/>
        <w:spacing w:line="300" w:lineRule="auto"/>
        <w:jc w:val="center"/>
        <w:rPr>
          <w:rFonts w:hint="eastAsia" w:ascii="仿宋_GB2312" w:hAnsi="宋体" w:eastAsia="仿宋_GB2312"/>
          <w:b/>
          <w:color w:val="auto"/>
          <w:sz w:val="28"/>
          <w:szCs w:val="28"/>
          <w:highlight w:val="none"/>
        </w:rPr>
      </w:pPr>
    </w:p>
    <w:p>
      <w:pPr>
        <w:shd w:val="clear"/>
        <w:adjustRightInd w:val="0"/>
        <w:snapToGrid w:val="0"/>
        <w:spacing w:line="300" w:lineRule="auto"/>
        <w:jc w:val="center"/>
        <w:rPr>
          <w:rFonts w:hint="eastAsia" w:ascii="仿宋_GB2312" w:hAnsi="宋体" w:eastAsia="仿宋_GB2312"/>
          <w:b/>
          <w:color w:val="auto"/>
          <w:sz w:val="28"/>
          <w:szCs w:val="28"/>
          <w:highlight w:val="none"/>
        </w:rPr>
      </w:pPr>
    </w:p>
    <w:p>
      <w:pPr>
        <w:shd w:val="clear"/>
        <w:adjustRightInd w:val="0"/>
        <w:snapToGrid w:val="0"/>
        <w:spacing w:line="300" w:lineRule="auto"/>
        <w:jc w:val="center"/>
        <w:rPr>
          <w:rFonts w:ascii="Arial Unicode MS" w:hAnsi="Arial Unicode MS" w:eastAsia="Arial Unicode MS" w:cs="Arial Unicode MS"/>
          <w:bCs/>
          <w:color w:val="auto"/>
          <w:sz w:val="44"/>
          <w:szCs w:val="44"/>
          <w:highlight w:val="none"/>
        </w:rPr>
      </w:pPr>
      <w:r>
        <w:rPr>
          <w:rFonts w:hint="eastAsia" w:ascii="仿宋_GB2312" w:hAnsi="宋体" w:eastAsia="仿宋_GB2312"/>
          <w:b/>
          <w:color w:val="auto"/>
          <w:sz w:val="28"/>
          <w:szCs w:val="28"/>
          <w:highlight w:val="none"/>
        </w:rPr>
        <w:t>技术响应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7"/>
        <w:gridCol w:w="858"/>
        <w:gridCol w:w="2847"/>
        <w:gridCol w:w="2562"/>
        <w:gridCol w:w="139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vAlign w:val="center"/>
          </w:tcPr>
          <w:p>
            <w:pPr>
              <w:snapToGrid w:val="0"/>
              <w:spacing w:before="156" w:beforeLines="50" w:line="360" w:lineRule="exact"/>
              <w:jc w:val="center"/>
              <w:rPr>
                <w:rFonts w:hint="eastAsia" w:ascii="宋体" w:hAnsi="宋体" w:eastAsia="宋体"/>
                <w:b/>
                <w:color w:val="auto"/>
                <w:szCs w:val="21"/>
              </w:rPr>
            </w:pPr>
            <w:bookmarkStart w:id="150" w:name="_Toc295404981"/>
            <w:bookmarkStart w:id="151" w:name="_Toc297193185"/>
            <w:bookmarkStart w:id="152" w:name="_Toc301781611"/>
            <w:bookmarkStart w:id="153" w:name="_Toc173066401"/>
            <w:bookmarkStart w:id="154" w:name="_Toc383699906"/>
            <w:bookmarkStart w:id="155" w:name="_Toc373333689"/>
            <w:bookmarkStart w:id="156" w:name="_Toc173211900"/>
            <w:bookmarkStart w:id="157" w:name="_Toc254970588"/>
            <w:bookmarkStart w:id="158" w:name="_Toc254970729"/>
            <w:r>
              <w:rPr>
                <w:rFonts w:hint="eastAsia" w:ascii="宋体" w:hAnsi="宋体" w:eastAsia="宋体"/>
                <w:b/>
                <w:color w:val="auto"/>
                <w:szCs w:val="21"/>
              </w:rPr>
              <w:t>序号</w:t>
            </w:r>
            <w:bookmarkEnd w:id="150"/>
            <w:bookmarkEnd w:id="151"/>
            <w:bookmarkEnd w:id="152"/>
            <w:bookmarkEnd w:id="153"/>
            <w:bookmarkEnd w:id="154"/>
            <w:bookmarkEnd w:id="155"/>
            <w:bookmarkEnd w:id="156"/>
            <w:bookmarkEnd w:id="157"/>
            <w:bookmarkEnd w:id="158"/>
          </w:p>
        </w:tc>
        <w:tc>
          <w:tcPr>
            <w:tcW w:w="858" w:type="dxa"/>
            <w:tcBorders>
              <w:right w:val="single" w:color="auto" w:sz="4" w:space="0"/>
            </w:tcBorders>
            <w:vAlign w:val="center"/>
          </w:tcPr>
          <w:p>
            <w:pPr>
              <w:snapToGrid w:val="0"/>
              <w:spacing w:before="156" w:beforeLines="50" w:line="360" w:lineRule="exact"/>
              <w:jc w:val="center"/>
              <w:rPr>
                <w:rFonts w:hint="eastAsia" w:ascii="宋体" w:hAnsi="宋体" w:eastAsia="宋体"/>
                <w:b/>
                <w:color w:val="auto"/>
                <w:szCs w:val="21"/>
              </w:rPr>
            </w:pPr>
            <w:r>
              <w:rPr>
                <w:rFonts w:hint="eastAsia" w:ascii="宋体" w:hAnsi="宋体" w:eastAsia="宋体"/>
                <w:b/>
                <w:color w:val="auto"/>
                <w:szCs w:val="21"/>
              </w:rPr>
              <w:t>名称</w:t>
            </w:r>
          </w:p>
        </w:tc>
        <w:tc>
          <w:tcPr>
            <w:tcW w:w="2847" w:type="dxa"/>
            <w:tcBorders>
              <w:left w:val="single" w:color="auto" w:sz="4" w:space="0"/>
            </w:tcBorders>
            <w:vAlign w:val="center"/>
          </w:tcPr>
          <w:p>
            <w:pPr>
              <w:snapToGrid w:val="0"/>
              <w:spacing w:before="156" w:beforeLines="50" w:line="360" w:lineRule="exact"/>
              <w:jc w:val="center"/>
              <w:rPr>
                <w:rFonts w:hint="eastAsia" w:ascii="宋体" w:hAnsi="宋体" w:eastAsia="宋体"/>
                <w:b/>
                <w:color w:val="auto"/>
                <w:szCs w:val="21"/>
              </w:rPr>
            </w:pPr>
            <w:r>
              <w:rPr>
                <w:rFonts w:hint="eastAsia" w:ascii="宋体" w:hAnsi="宋体" w:eastAsia="宋体"/>
                <w:b/>
                <w:color w:val="auto"/>
                <w:szCs w:val="21"/>
              </w:rPr>
              <w:t>采购文件服务要求</w:t>
            </w:r>
          </w:p>
        </w:tc>
        <w:tc>
          <w:tcPr>
            <w:tcW w:w="2562" w:type="dxa"/>
            <w:vAlign w:val="center"/>
          </w:tcPr>
          <w:p>
            <w:pPr>
              <w:snapToGrid w:val="0"/>
              <w:spacing w:before="156" w:beforeLines="50" w:line="360" w:lineRule="exact"/>
              <w:jc w:val="center"/>
              <w:rPr>
                <w:rFonts w:hint="eastAsia" w:ascii="宋体" w:hAnsi="宋体" w:eastAsia="宋体"/>
                <w:b/>
                <w:color w:val="auto"/>
                <w:szCs w:val="21"/>
              </w:rPr>
            </w:pPr>
            <w:r>
              <w:rPr>
                <w:rFonts w:hint="eastAsia" w:ascii="宋体" w:hAnsi="宋体" w:eastAsia="宋体"/>
                <w:b/>
                <w:color w:val="auto"/>
                <w:szCs w:val="21"/>
                <w:lang w:val="en-US" w:eastAsia="zh-CN"/>
              </w:rPr>
              <w:t>供应商的</w:t>
            </w:r>
            <w:r>
              <w:rPr>
                <w:rFonts w:hint="eastAsia" w:ascii="宋体" w:hAnsi="宋体" w:eastAsia="宋体"/>
                <w:b/>
                <w:color w:val="auto"/>
                <w:szCs w:val="21"/>
              </w:rPr>
              <w:t>响应</w:t>
            </w:r>
          </w:p>
        </w:tc>
        <w:tc>
          <w:tcPr>
            <w:tcW w:w="1398" w:type="dxa"/>
            <w:vAlign w:val="center"/>
          </w:tcPr>
          <w:p>
            <w:pPr>
              <w:snapToGrid w:val="0"/>
              <w:spacing w:before="156" w:beforeLines="50" w:line="360" w:lineRule="exact"/>
              <w:jc w:val="center"/>
              <w:rPr>
                <w:rFonts w:hint="eastAsia" w:ascii="宋体" w:hAnsi="宋体" w:eastAsia="宋体"/>
                <w:b/>
                <w:color w:val="auto"/>
                <w:szCs w:val="21"/>
              </w:rPr>
            </w:pPr>
            <w:bookmarkStart w:id="159" w:name="_Toc297193188"/>
            <w:bookmarkStart w:id="160" w:name="_Toc173066404"/>
            <w:bookmarkStart w:id="161" w:name="_Toc301781614"/>
            <w:bookmarkStart w:id="162" w:name="_Toc173211903"/>
            <w:bookmarkStart w:id="163" w:name="_Toc373333692"/>
            <w:bookmarkStart w:id="164" w:name="_Toc254970732"/>
            <w:bookmarkStart w:id="165" w:name="_Toc295404984"/>
            <w:bookmarkStart w:id="166" w:name="_Toc383699909"/>
            <w:bookmarkStart w:id="167" w:name="_Toc254970591"/>
            <w:r>
              <w:rPr>
                <w:rFonts w:hint="eastAsia" w:ascii="宋体" w:hAnsi="宋体" w:eastAsia="宋体"/>
                <w:b/>
                <w:color w:val="auto"/>
                <w:szCs w:val="21"/>
              </w:rPr>
              <w:t>偏离</w:t>
            </w:r>
            <w:bookmarkEnd w:id="159"/>
            <w:bookmarkEnd w:id="160"/>
            <w:bookmarkEnd w:id="161"/>
            <w:bookmarkEnd w:id="162"/>
            <w:bookmarkEnd w:id="163"/>
            <w:bookmarkEnd w:id="164"/>
            <w:bookmarkEnd w:id="165"/>
            <w:bookmarkEnd w:id="166"/>
            <w:bookmarkEnd w:id="167"/>
            <w:bookmarkStart w:id="168" w:name="_Toc254970733"/>
            <w:bookmarkStart w:id="169" w:name="_Toc301781615"/>
            <w:bookmarkStart w:id="170" w:name="_Toc173066405"/>
            <w:bookmarkStart w:id="171" w:name="_Toc297193189"/>
            <w:bookmarkStart w:id="172" w:name="_Toc383699910"/>
            <w:bookmarkStart w:id="173" w:name="_Toc373333693"/>
            <w:bookmarkStart w:id="174" w:name="_Toc254970592"/>
            <w:bookmarkStart w:id="175" w:name="_Toc295404985"/>
            <w:bookmarkStart w:id="176" w:name="_Toc173211904"/>
            <w:r>
              <w:rPr>
                <w:rFonts w:hint="eastAsia" w:ascii="宋体" w:hAnsi="宋体" w:eastAsia="宋体"/>
                <w:b/>
                <w:color w:val="auto"/>
                <w:szCs w:val="21"/>
              </w:rPr>
              <w:t>说明</w:t>
            </w:r>
            <w:bookmarkEnd w:id="168"/>
            <w:bookmarkEnd w:id="169"/>
            <w:bookmarkEnd w:id="170"/>
            <w:bookmarkEnd w:id="171"/>
            <w:bookmarkEnd w:id="172"/>
            <w:bookmarkEnd w:id="173"/>
            <w:bookmarkEnd w:id="174"/>
            <w:bookmarkEnd w:id="175"/>
            <w:bookmarkEnd w:id="176"/>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bookmarkStart w:id="177" w:name="_Toc297193190"/>
            <w:bookmarkStart w:id="178" w:name="_Toc254970593"/>
            <w:bookmarkStart w:id="179" w:name="_Toc301781616"/>
            <w:bookmarkStart w:id="180" w:name="_Toc295404986"/>
            <w:bookmarkStart w:id="181" w:name="_Toc383699911"/>
            <w:bookmarkStart w:id="182" w:name="_Toc173066406"/>
            <w:bookmarkStart w:id="183" w:name="_Toc373333694"/>
            <w:bookmarkStart w:id="184" w:name="_Toc173211905"/>
            <w:bookmarkStart w:id="185" w:name="_Toc254970734"/>
            <w:r>
              <w:rPr>
                <w:rFonts w:hint="eastAsia" w:ascii="宋体" w:hAnsi="宋体" w:eastAsia="宋体" w:cs="仿宋_GB2312"/>
                <w:color w:val="auto"/>
                <w:sz w:val="21"/>
                <w:szCs w:val="21"/>
                <w:highlight w:val="none"/>
              </w:rPr>
              <w:t>1</w:t>
            </w:r>
            <w:bookmarkEnd w:id="177"/>
            <w:bookmarkEnd w:id="178"/>
            <w:bookmarkEnd w:id="179"/>
            <w:bookmarkEnd w:id="180"/>
            <w:bookmarkEnd w:id="181"/>
            <w:bookmarkEnd w:id="182"/>
            <w:bookmarkEnd w:id="183"/>
            <w:bookmarkEnd w:id="184"/>
            <w:bookmarkEnd w:id="185"/>
          </w:p>
        </w:tc>
        <w:tc>
          <w:tcPr>
            <w:tcW w:w="858" w:type="dxa"/>
            <w:tcBorders>
              <w:righ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2847" w:type="dxa"/>
            <w:tcBorders>
              <w:lef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2562"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1398"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bookmarkStart w:id="186" w:name="_Toc295404987"/>
            <w:bookmarkStart w:id="187" w:name="_Toc301781617"/>
            <w:bookmarkStart w:id="188" w:name="_Toc373333695"/>
            <w:bookmarkStart w:id="189" w:name="_Toc173066407"/>
            <w:bookmarkStart w:id="190" w:name="_Toc254970594"/>
            <w:bookmarkStart w:id="191" w:name="_Toc254970735"/>
            <w:bookmarkStart w:id="192" w:name="_Toc383699912"/>
            <w:bookmarkStart w:id="193" w:name="_Toc297193191"/>
            <w:bookmarkStart w:id="194" w:name="_Toc173211906"/>
            <w:r>
              <w:rPr>
                <w:rFonts w:hint="eastAsia" w:ascii="宋体" w:hAnsi="宋体" w:eastAsia="宋体" w:cs="仿宋_GB2312"/>
                <w:color w:val="auto"/>
                <w:sz w:val="21"/>
                <w:szCs w:val="21"/>
                <w:highlight w:val="none"/>
              </w:rPr>
              <w:t>2</w:t>
            </w:r>
            <w:bookmarkEnd w:id="186"/>
            <w:bookmarkEnd w:id="187"/>
            <w:bookmarkEnd w:id="188"/>
            <w:bookmarkEnd w:id="189"/>
            <w:bookmarkEnd w:id="190"/>
            <w:bookmarkEnd w:id="191"/>
            <w:bookmarkEnd w:id="192"/>
            <w:bookmarkEnd w:id="193"/>
            <w:bookmarkEnd w:id="194"/>
          </w:p>
        </w:tc>
        <w:tc>
          <w:tcPr>
            <w:tcW w:w="858" w:type="dxa"/>
            <w:tcBorders>
              <w:righ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2847" w:type="dxa"/>
            <w:tcBorders>
              <w:lef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2562"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1398"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7"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bookmarkStart w:id="195" w:name="_Toc373333696"/>
            <w:bookmarkStart w:id="196" w:name="_Toc173211907"/>
            <w:bookmarkStart w:id="197" w:name="_Toc254970595"/>
            <w:bookmarkStart w:id="198" w:name="_Toc173066408"/>
            <w:bookmarkStart w:id="199" w:name="_Toc295404988"/>
            <w:bookmarkStart w:id="200" w:name="_Toc301781618"/>
            <w:bookmarkStart w:id="201" w:name="_Toc383699913"/>
            <w:bookmarkStart w:id="202" w:name="_Toc254970736"/>
            <w:bookmarkStart w:id="203" w:name="_Toc297193192"/>
            <w:r>
              <w:rPr>
                <w:rFonts w:hint="eastAsia" w:ascii="宋体" w:hAnsi="宋体" w:eastAsia="宋体" w:cs="仿宋_GB2312"/>
                <w:color w:val="auto"/>
                <w:sz w:val="21"/>
                <w:szCs w:val="21"/>
                <w:highlight w:val="none"/>
              </w:rPr>
              <w:t>3</w:t>
            </w:r>
            <w:bookmarkEnd w:id="195"/>
            <w:bookmarkEnd w:id="196"/>
            <w:bookmarkEnd w:id="197"/>
            <w:bookmarkEnd w:id="198"/>
            <w:bookmarkEnd w:id="199"/>
            <w:bookmarkEnd w:id="200"/>
            <w:bookmarkEnd w:id="201"/>
            <w:bookmarkEnd w:id="202"/>
            <w:bookmarkEnd w:id="203"/>
          </w:p>
        </w:tc>
        <w:tc>
          <w:tcPr>
            <w:tcW w:w="858" w:type="dxa"/>
            <w:tcBorders>
              <w:righ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2847" w:type="dxa"/>
            <w:tcBorders>
              <w:lef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2562"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1398"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57"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bookmarkStart w:id="204" w:name="_Toc295404991"/>
            <w:bookmarkStart w:id="205" w:name="_Toc301781621"/>
            <w:bookmarkStart w:id="206" w:name="_Toc254970602"/>
            <w:bookmarkStart w:id="207" w:name="_Toc373333699"/>
            <w:bookmarkStart w:id="208" w:name="_Toc297193195"/>
            <w:bookmarkStart w:id="209" w:name="_Toc254970743"/>
            <w:bookmarkStart w:id="210" w:name="_Toc173211914"/>
            <w:bookmarkStart w:id="211" w:name="_Toc383699916"/>
            <w:bookmarkStart w:id="212" w:name="_Toc173066415"/>
            <w:r>
              <w:rPr>
                <w:rFonts w:hint="eastAsia" w:ascii="宋体" w:hAnsi="宋体" w:eastAsia="宋体" w:cs="仿宋_GB2312"/>
                <w:color w:val="auto"/>
                <w:sz w:val="21"/>
                <w:szCs w:val="21"/>
                <w:highlight w:val="none"/>
              </w:rPr>
              <w:t>…</w:t>
            </w:r>
            <w:bookmarkEnd w:id="204"/>
            <w:bookmarkEnd w:id="205"/>
            <w:bookmarkEnd w:id="206"/>
            <w:bookmarkEnd w:id="207"/>
            <w:bookmarkEnd w:id="208"/>
            <w:bookmarkEnd w:id="209"/>
            <w:bookmarkEnd w:id="210"/>
            <w:bookmarkEnd w:id="211"/>
            <w:bookmarkEnd w:id="212"/>
          </w:p>
        </w:tc>
        <w:tc>
          <w:tcPr>
            <w:tcW w:w="858" w:type="dxa"/>
            <w:tcBorders>
              <w:righ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2847" w:type="dxa"/>
            <w:tcBorders>
              <w:lef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2562" w:type="dxa"/>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c>
          <w:tcPr>
            <w:tcW w:w="1398" w:type="dxa"/>
            <w:tcBorders>
              <w:right w:val="single" w:color="auto" w:sz="4" w:space="0"/>
            </w:tcBorders>
            <w:vAlign w:val="center"/>
          </w:tcPr>
          <w:p>
            <w:pPr>
              <w:pStyle w:val="19"/>
              <w:shd w:val="clear"/>
              <w:spacing w:line="360" w:lineRule="auto"/>
              <w:ind w:firstLine="0" w:firstLineChars="0"/>
              <w:contextualSpacing/>
              <w:jc w:val="center"/>
              <w:rPr>
                <w:rFonts w:ascii="宋体" w:hAnsi="宋体" w:eastAsia="宋体" w:cs="仿宋_GB2312"/>
                <w:color w:val="auto"/>
                <w:sz w:val="21"/>
                <w:szCs w:val="21"/>
                <w:highlight w:val="none"/>
              </w:rPr>
            </w:pPr>
          </w:p>
        </w:tc>
      </w:tr>
    </w:tbl>
    <w:p>
      <w:pPr>
        <w:rPr>
          <w:rFonts w:hint="eastAsia" w:eastAsia="宋体"/>
          <w:b w:val="0"/>
          <w:bCs w:val="0"/>
          <w:color w:val="auto"/>
          <w:sz w:val="21"/>
          <w:szCs w:val="21"/>
        </w:rPr>
      </w:pPr>
    </w:p>
    <w:p>
      <w:pPr>
        <w:rPr>
          <w:rFonts w:hint="eastAsia" w:eastAsia="宋体"/>
          <w:b w:val="0"/>
          <w:bCs w:val="0"/>
          <w:color w:val="auto"/>
          <w:sz w:val="21"/>
          <w:szCs w:val="21"/>
        </w:rPr>
      </w:pPr>
      <w:r>
        <w:rPr>
          <w:rFonts w:hint="eastAsia" w:eastAsia="宋体"/>
          <w:b w:val="0"/>
          <w:bCs w:val="0"/>
          <w:color w:val="auto"/>
          <w:sz w:val="21"/>
          <w:szCs w:val="21"/>
        </w:rPr>
        <w:t>注：</w:t>
      </w:r>
    </w:p>
    <w:p>
      <w:pPr>
        <w:rPr>
          <w:rFonts w:hint="eastAsia" w:eastAsia="宋体"/>
          <w:b w:val="0"/>
          <w:bCs w:val="0"/>
          <w:color w:val="auto"/>
          <w:sz w:val="21"/>
          <w:szCs w:val="21"/>
        </w:rPr>
      </w:pPr>
      <w:r>
        <w:rPr>
          <w:rFonts w:hint="eastAsia" w:eastAsia="宋体"/>
          <w:b w:val="0"/>
          <w:bCs w:val="0"/>
          <w:color w:val="auto"/>
          <w:sz w:val="21"/>
          <w:szCs w:val="21"/>
        </w:rPr>
        <w:t>1.应对照采购文件“第二章 项目需求”中的服务要求逐条作出明确响应，并作出偏离说明。</w:t>
      </w:r>
    </w:p>
    <w:p>
      <w:pPr>
        <w:rPr>
          <w:rFonts w:hint="eastAsia" w:eastAsia="宋体"/>
          <w:b w:val="0"/>
          <w:bCs w:val="0"/>
          <w:color w:val="auto"/>
          <w:sz w:val="21"/>
          <w:szCs w:val="21"/>
        </w:rPr>
      </w:pPr>
      <w:r>
        <w:rPr>
          <w:rFonts w:hint="eastAsia" w:eastAsia="宋体"/>
          <w:b w:val="0"/>
          <w:bCs w:val="0"/>
          <w:color w:val="auto"/>
          <w:sz w:val="21"/>
          <w:szCs w:val="21"/>
        </w:rPr>
        <w:t>2.供应商应根据自身的承诺，对照磋商文件要求，在“偏离说明”中注明“正偏离”、“负偏离”或者“无偏离”。既不属于“正偏离”也不属于“负偏离”即为“无偏离”。</w:t>
      </w:r>
    </w:p>
    <w:p>
      <w:pPr>
        <w:pStyle w:val="36"/>
        <w:shd w:val="clear"/>
        <w:ind w:firstLine="281"/>
        <w:rPr>
          <w:rFonts w:hAnsi="宋体"/>
          <w:b/>
          <w:color w:val="auto"/>
          <w:sz w:val="28"/>
          <w:szCs w:val="28"/>
          <w:highlight w:val="none"/>
        </w:rPr>
      </w:pPr>
    </w:p>
    <w:p>
      <w:pPr>
        <w:shd w:val="clear"/>
        <w:spacing w:line="400" w:lineRule="exact"/>
        <w:ind w:left="6092" w:leftChars="2766" w:right="592" w:rightChars="282" w:hanging="283" w:hangingChars="135"/>
        <w:jc w:val="left"/>
        <w:rPr>
          <w:rFonts w:ascii="宋体" w:hAnsi="宋体"/>
          <w:bCs/>
          <w:color w:val="auto"/>
          <w:highlight w:val="none"/>
        </w:rPr>
      </w:pP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hd w:val="clea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rPr>
          <w:color w:val="auto"/>
        </w:rPr>
      </w:pPr>
    </w:p>
    <w:p>
      <w:pPr>
        <w:snapToGrid w:val="0"/>
        <w:spacing w:line="700" w:lineRule="exact"/>
        <w:ind w:firstLine="0" w:firstLineChars="0"/>
        <w:jc w:val="center"/>
        <w:rPr>
          <w:color w:val="auto"/>
        </w:rPr>
      </w:pPr>
      <w:r>
        <w:rPr>
          <w:rFonts w:hint="eastAsia" w:ascii="仿宋_GB2312" w:hAnsi="宋体" w:eastAsia="仿宋_GB2312"/>
          <w:b/>
          <w:color w:val="auto"/>
          <w:sz w:val="32"/>
          <w:szCs w:val="32"/>
        </w:rPr>
        <w:t>项目实施人员一览表</w:t>
      </w:r>
      <w:r>
        <w:rPr>
          <w:rFonts w:hint="eastAsia" w:ascii="仿宋_GB2312" w:eastAsia="仿宋_GB2312"/>
          <w:bCs/>
          <w:color w:val="auto"/>
          <w:sz w:val="24"/>
        </w:rPr>
        <w:t>（格式）</w:t>
      </w:r>
    </w:p>
    <w:tbl>
      <w:tblPr>
        <w:tblStyle w:val="37"/>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50"/>
        <w:gridCol w:w="960"/>
        <w:gridCol w:w="990"/>
        <w:gridCol w:w="1650"/>
        <w:gridCol w:w="3049"/>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5" w:type="dxa"/>
            <w:vAlign w:val="center"/>
          </w:tcPr>
          <w:p>
            <w:pPr>
              <w:shd w:val="clear"/>
              <w:snapToGrid w:val="0"/>
              <w:spacing w:before="5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50" w:type="dxa"/>
            <w:vAlign w:val="center"/>
          </w:tcPr>
          <w:p>
            <w:pPr>
              <w:shd w:val="clear"/>
              <w:snapToGrid w:val="0"/>
              <w:spacing w:before="5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60" w:type="dxa"/>
            <w:vAlign w:val="center"/>
          </w:tcPr>
          <w:p>
            <w:pPr>
              <w:shd w:val="clear"/>
              <w:snapToGrid w:val="0"/>
              <w:spacing w:before="5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990" w:type="dxa"/>
            <w:vAlign w:val="center"/>
          </w:tcPr>
          <w:p>
            <w:pPr>
              <w:shd w:val="clear"/>
              <w:snapToGrid w:val="0"/>
              <w:spacing w:before="5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50" w:type="dxa"/>
            <w:vAlign w:val="center"/>
          </w:tcPr>
          <w:p>
            <w:pPr>
              <w:shd w:val="clear"/>
              <w:snapToGrid w:val="0"/>
              <w:spacing w:before="5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3049" w:type="dxa"/>
            <w:vAlign w:val="center"/>
          </w:tcPr>
          <w:p>
            <w:pPr>
              <w:shd w:val="clear"/>
              <w:snapToGrid w:val="0"/>
              <w:spacing w:before="50" w:afterLines="5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专业技术资格</w:t>
            </w:r>
            <w:r>
              <w:rPr>
                <w:rFonts w:hint="eastAsia" w:ascii="宋体" w:hAnsi="宋体" w:eastAsia="宋体" w:cs="宋体"/>
                <w:color w:val="auto"/>
                <w:szCs w:val="21"/>
                <w:highlight w:val="none"/>
                <w:lang w:val="en-US" w:eastAsia="zh-CN"/>
              </w:rPr>
              <w:t>或职称</w:t>
            </w:r>
          </w:p>
        </w:tc>
        <w:tc>
          <w:tcPr>
            <w:tcW w:w="811" w:type="dxa"/>
            <w:vAlign w:val="center"/>
          </w:tcPr>
          <w:p>
            <w:pPr>
              <w:shd w:val="clear"/>
              <w:snapToGrid w:val="0"/>
              <w:spacing w:before="5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95" w:type="dxa"/>
            <w:vAlign w:val="center"/>
          </w:tcPr>
          <w:p>
            <w:pPr>
              <w:widowControl/>
              <w:shd w:val="clear"/>
              <w:jc w:val="center"/>
              <w:textAlignment w:val="center"/>
              <w:rPr>
                <w:rFonts w:ascii="宋体" w:hAnsi="宋体" w:cs="宋体"/>
                <w:color w:val="auto"/>
                <w:kern w:val="0"/>
                <w:szCs w:val="21"/>
                <w:highlight w:val="none"/>
              </w:rPr>
            </w:pPr>
          </w:p>
        </w:tc>
        <w:tc>
          <w:tcPr>
            <w:tcW w:w="1650" w:type="dxa"/>
            <w:vAlign w:val="center"/>
          </w:tcPr>
          <w:p>
            <w:pPr>
              <w:widowControl/>
              <w:shd w:val="clear"/>
              <w:jc w:val="center"/>
              <w:textAlignment w:val="center"/>
              <w:rPr>
                <w:rFonts w:ascii="宋体" w:hAnsi="宋体" w:cs="宋体"/>
                <w:color w:val="auto"/>
                <w:szCs w:val="21"/>
                <w:highlight w:val="none"/>
              </w:rPr>
            </w:pPr>
          </w:p>
        </w:tc>
        <w:tc>
          <w:tcPr>
            <w:tcW w:w="960" w:type="dxa"/>
            <w:vAlign w:val="center"/>
          </w:tcPr>
          <w:p>
            <w:pPr>
              <w:shd w:val="clear"/>
              <w:jc w:val="center"/>
              <w:rPr>
                <w:rFonts w:ascii="宋体" w:hAnsi="宋体" w:cs="宋体"/>
                <w:color w:val="auto"/>
                <w:kern w:val="1"/>
                <w:szCs w:val="21"/>
                <w:highlight w:val="none"/>
              </w:rPr>
            </w:pPr>
          </w:p>
        </w:tc>
        <w:tc>
          <w:tcPr>
            <w:tcW w:w="990" w:type="dxa"/>
            <w:vAlign w:val="center"/>
          </w:tcPr>
          <w:p>
            <w:pPr>
              <w:shd w:val="clear"/>
              <w:jc w:val="center"/>
              <w:rPr>
                <w:rFonts w:ascii="宋体" w:hAnsi="宋体" w:cs="宋体"/>
                <w:color w:val="auto"/>
                <w:kern w:val="1"/>
                <w:szCs w:val="21"/>
                <w:highlight w:val="none"/>
              </w:rPr>
            </w:pPr>
          </w:p>
        </w:tc>
        <w:tc>
          <w:tcPr>
            <w:tcW w:w="1650" w:type="dxa"/>
            <w:vAlign w:val="center"/>
          </w:tcPr>
          <w:p>
            <w:pPr>
              <w:widowControl/>
              <w:shd w:val="clear"/>
              <w:jc w:val="center"/>
              <w:textAlignment w:val="center"/>
              <w:rPr>
                <w:rFonts w:ascii="宋体" w:hAnsi="宋体" w:cs="宋体"/>
                <w:color w:val="auto"/>
                <w:kern w:val="0"/>
                <w:szCs w:val="21"/>
                <w:highlight w:val="none"/>
              </w:rPr>
            </w:pPr>
          </w:p>
        </w:tc>
        <w:tc>
          <w:tcPr>
            <w:tcW w:w="3049" w:type="dxa"/>
            <w:vAlign w:val="center"/>
          </w:tcPr>
          <w:p>
            <w:pPr>
              <w:widowControl/>
              <w:shd w:val="clear"/>
              <w:jc w:val="center"/>
              <w:textAlignment w:val="center"/>
              <w:rPr>
                <w:rFonts w:ascii="宋体" w:hAnsi="宋体" w:cs="宋体"/>
                <w:color w:val="auto"/>
                <w:kern w:val="0"/>
                <w:szCs w:val="21"/>
                <w:highlight w:val="none"/>
              </w:rPr>
            </w:pPr>
          </w:p>
        </w:tc>
        <w:tc>
          <w:tcPr>
            <w:tcW w:w="811" w:type="dxa"/>
            <w:vAlign w:val="center"/>
          </w:tcPr>
          <w:p>
            <w:pPr>
              <w:shd w:val="clear"/>
              <w:snapToGrid w:val="0"/>
              <w:spacing w:before="50" w:afterLines="5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95" w:type="dxa"/>
            <w:vAlign w:val="center"/>
          </w:tcPr>
          <w:p>
            <w:pPr>
              <w:widowControl/>
              <w:shd w:val="clear"/>
              <w:jc w:val="center"/>
              <w:textAlignment w:val="center"/>
              <w:rPr>
                <w:rFonts w:ascii="宋体" w:hAnsi="宋体" w:cs="宋体"/>
                <w:color w:val="auto"/>
                <w:kern w:val="0"/>
                <w:szCs w:val="21"/>
                <w:highlight w:val="none"/>
              </w:rPr>
            </w:pPr>
          </w:p>
        </w:tc>
        <w:tc>
          <w:tcPr>
            <w:tcW w:w="1650" w:type="dxa"/>
            <w:vAlign w:val="center"/>
          </w:tcPr>
          <w:p>
            <w:pPr>
              <w:widowControl/>
              <w:shd w:val="clear"/>
              <w:jc w:val="center"/>
              <w:textAlignment w:val="center"/>
              <w:rPr>
                <w:rFonts w:ascii="宋体" w:hAnsi="宋体" w:cs="宋体"/>
                <w:color w:val="auto"/>
                <w:szCs w:val="21"/>
                <w:highlight w:val="none"/>
              </w:rPr>
            </w:pPr>
          </w:p>
        </w:tc>
        <w:tc>
          <w:tcPr>
            <w:tcW w:w="960" w:type="dxa"/>
            <w:vAlign w:val="center"/>
          </w:tcPr>
          <w:p>
            <w:pPr>
              <w:shd w:val="clear"/>
              <w:jc w:val="center"/>
              <w:rPr>
                <w:rFonts w:ascii="宋体" w:hAnsi="宋体" w:cs="宋体"/>
                <w:color w:val="auto"/>
                <w:kern w:val="1"/>
                <w:szCs w:val="21"/>
                <w:highlight w:val="none"/>
              </w:rPr>
            </w:pPr>
          </w:p>
        </w:tc>
        <w:tc>
          <w:tcPr>
            <w:tcW w:w="990" w:type="dxa"/>
            <w:vAlign w:val="center"/>
          </w:tcPr>
          <w:p>
            <w:pPr>
              <w:shd w:val="clear"/>
              <w:jc w:val="center"/>
              <w:rPr>
                <w:rFonts w:ascii="宋体" w:hAnsi="宋体" w:cs="宋体"/>
                <w:color w:val="auto"/>
                <w:kern w:val="1"/>
                <w:szCs w:val="21"/>
                <w:highlight w:val="none"/>
              </w:rPr>
            </w:pPr>
          </w:p>
        </w:tc>
        <w:tc>
          <w:tcPr>
            <w:tcW w:w="1650" w:type="dxa"/>
            <w:vAlign w:val="center"/>
          </w:tcPr>
          <w:p>
            <w:pPr>
              <w:widowControl/>
              <w:shd w:val="clear"/>
              <w:jc w:val="center"/>
              <w:textAlignment w:val="center"/>
              <w:rPr>
                <w:rFonts w:ascii="宋体" w:hAnsi="宋体" w:cs="宋体"/>
                <w:color w:val="auto"/>
                <w:kern w:val="0"/>
                <w:szCs w:val="21"/>
                <w:highlight w:val="none"/>
              </w:rPr>
            </w:pPr>
          </w:p>
        </w:tc>
        <w:tc>
          <w:tcPr>
            <w:tcW w:w="3049" w:type="dxa"/>
            <w:vAlign w:val="center"/>
          </w:tcPr>
          <w:p>
            <w:pPr>
              <w:widowControl/>
              <w:shd w:val="clear"/>
              <w:jc w:val="center"/>
              <w:textAlignment w:val="center"/>
              <w:rPr>
                <w:rFonts w:ascii="宋体" w:hAnsi="宋体" w:cs="宋体"/>
                <w:color w:val="auto"/>
                <w:kern w:val="0"/>
                <w:szCs w:val="21"/>
                <w:highlight w:val="none"/>
              </w:rPr>
            </w:pPr>
          </w:p>
        </w:tc>
        <w:tc>
          <w:tcPr>
            <w:tcW w:w="811" w:type="dxa"/>
            <w:vAlign w:val="center"/>
          </w:tcPr>
          <w:p>
            <w:pPr>
              <w:shd w:val="clear"/>
              <w:snapToGrid w:val="0"/>
              <w:spacing w:before="50" w:afterLines="5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95" w:type="dxa"/>
            <w:vAlign w:val="center"/>
          </w:tcPr>
          <w:p>
            <w:pPr>
              <w:widowControl/>
              <w:shd w:val="clear"/>
              <w:jc w:val="center"/>
              <w:textAlignment w:val="center"/>
              <w:rPr>
                <w:rFonts w:ascii="宋体" w:hAnsi="宋体" w:cs="宋体"/>
                <w:color w:val="auto"/>
                <w:kern w:val="0"/>
                <w:szCs w:val="21"/>
                <w:highlight w:val="none"/>
              </w:rPr>
            </w:pPr>
          </w:p>
        </w:tc>
        <w:tc>
          <w:tcPr>
            <w:tcW w:w="1650" w:type="dxa"/>
            <w:vAlign w:val="center"/>
          </w:tcPr>
          <w:p>
            <w:pPr>
              <w:widowControl/>
              <w:shd w:val="clear"/>
              <w:jc w:val="center"/>
              <w:textAlignment w:val="center"/>
              <w:rPr>
                <w:rFonts w:ascii="宋体" w:hAnsi="宋体" w:cs="宋体"/>
                <w:color w:val="auto"/>
                <w:szCs w:val="21"/>
                <w:highlight w:val="none"/>
              </w:rPr>
            </w:pPr>
          </w:p>
        </w:tc>
        <w:tc>
          <w:tcPr>
            <w:tcW w:w="960" w:type="dxa"/>
            <w:vAlign w:val="center"/>
          </w:tcPr>
          <w:p>
            <w:pPr>
              <w:shd w:val="clear"/>
              <w:jc w:val="center"/>
              <w:rPr>
                <w:rFonts w:ascii="宋体" w:hAnsi="宋体" w:cs="宋体"/>
                <w:color w:val="auto"/>
                <w:kern w:val="1"/>
                <w:szCs w:val="21"/>
                <w:highlight w:val="none"/>
              </w:rPr>
            </w:pPr>
          </w:p>
        </w:tc>
        <w:tc>
          <w:tcPr>
            <w:tcW w:w="990" w:type="dxa"/>
            <w:vAlign w:val="center"/>
          </w:tcPr>
          <w:p>
            <w:pPr>
              <w:shd w:val="clear"/>
              <w:jc w:val="center"/>
              <w:rPr>
                <w:rFonts w:ascii="宋体" w:hAnsi="宋体" w:cs="宋体"/>
                <w:color w:val="auto"/>
                <w:kern w:val="1"/>
                <w:szCs w:val="21"/>
                <w:highlight w:val="none"/>
              </w:rPr>
            </w:pPr>
          </w:p>
        </w:tc>
        <w:tc>
          <w:tcPr>
            <w:tcW w:w="1650" w:type="dxa"/>
            <w:vAlign w:val="center"/>
          </w:tcPr>
          <w:p>
            <w:pPr>
              <w:widowControl/>
              <w:shd w:val="clear"/>
              <w:jc w:val="center"/>
              <w:textAlignment w:val="center"/>
              <w:rPr>
                <w:rFonts w:ascii="宋体" w:hAnsi="宋体" w:cs="宋体"/>
                <w:color w:val="auto"/>
                <w:kern w:val="0"/>
                <w:szCs w:val="21"/>
                <w:highlight w:val="none"/>
              </w:rPr>
            </w:pPr>
          </w:p>
        </w:tc>
        <w:tc>
          <w:tcPr>
            <w:tcW w:w="3049" w:type="dxa"/>
            <w:vAlign w:val="center"/>
          </w:tcPr>
          <w:p>
            <w:pPr>
              <w:widowControl/>
              <w:shd w:val="clear"/>
              <w:jc w:val="center"/>
              <w:textAlignment w:val="center"/>
              <w:rPr>
                <w:rFonts w:ascii="宋体" w:hAnsi="宋体" w:cs="宋体"/>
                <w:color w:val="auto"/>
                <w:kern w:val="0"/>
                <w:szCs w:val="21"/>
                <w:highlight w:val="none"/>
              </w:rPr>
            </w:pPr>
          </w:p>
        </w:tc>
        <w:tc>
          <w:tcPr>
            <w:tcW w:w="811" w:type="dxa"/>
            <w:vAlign w:val="center"/>
          </w:tcPr>
          <w:p>
            <w:pPr>
              <w:shd w:val="clear"/>
              <w:snapToGrid w:val="0"/>
              <w:spacing w:before="50" w:afterLines="50"/>
              <w:jc w:val="center"/>
              <w:rPr>
                <w:rFonts w:ascii="宋体" w:hAnsi="宋体" w:cs="宋体"/>
                <w:color w:val="auto"/>
                <w:szCs w:val="21"/>
                <w:highlight w:val="none"/>
              </w:rPr>
            </w:pPr>
          </w:p>
        </w:tc>
      </w:tr>
    </w:tbl>
    <w:p>
      <w:pPr>
        <w:pStyle w:val="16"/>
        <w:spacing w:line="380" w:lineRule="exact"/>
        <w:ind w:firstLine="0" w:firstLineChars="0"/>
        <w:rPr>
          <w:rFonts w:hint="eastAsia"/>
          <w:b w:val="0"/>
          <w:bCs w:val="0"/>
          <w:color w:val="auto"/>
          <w:sz w:val="21"/>
          <w:szCs w:val="21"/>
        </w:rPr>
      </w:pPr>
      <w:r>
        <w:rPr>
          <w:rFonts w:hint="eastAsia"/>
          <w:b w:val="0"/>
          <w:bCs w:val="0"/>
          <w:color w:val="auto"/>
          <w:sz w:val="21"/>
          <w:szCs w:val="21"/>
        </w:rPr>
        <w:t>注：</w:t>
      </w:r>
    </w:p>
    <w:p>
      <w:pPr>
        <w:pStyle w:val="16"/>
        <w:spacing w:line="380" w:lineRule="exact"/>
        <w:ind w:firstLine="0" w:firstLineChars="0"/>
        <w:rPr>
          <w:rFonts w:hint="eastAsia"/>
          <w:b w:val="0"/>
          <w:bCs w:val="0"/>
          <w:color w:val="auto"/>
          <w:sz w:val="21"/>
          <w:szCs w:val="21"/>
        </w:rPr>
      </w:pPr>
      <w:r>
        <w:rPr>
          <w:rFonts w:hint="eastAsia"/>
          <w:b w:val="0"/>
          <w:bCs w:val="0"/>
          <w:color w:val="auto"/>
          <w:sz w:val="21"/>
          <w:szCs w:val="21"/>
        </w:rPr>
        <w:t>1.在填写时，如本表格不适合供应商的实际情况，可根据本表格式自行制表填写。</w:t>
      </w:r>
    </w:p>
    <w:p>
      <w:pPr>
        <w:pStyle w:val="16"/>
        <w:spacing w:line="380" w:lineRule="exact"/>
        <w:ind w:firstLine="0" w:firstLineChars="0"/>
        <w:rPr>
          <w:rFonts w:hint="eastAsia"/>
          <w:b w:val="0"/>
          <w:bCs w:val="0"/>
          <w:color w:val="auto"/>
          <w:sz w:val="21"/>
          <w:szCs w:val="21"/>
        </w:rPr>
      </w:pPr>
      <w:r>
        <w:rPr>
          <w:rFonts w:hint="eastAsia"/>
          <w:b w:val="0"/>
          <w:bCs w:val="0"/>
          <w:color w:val="auto"/>
          <w:sz w:val="21"/>
          <w:szCs w:val="21"/>
        </w:rPr>
        <w:t>2.投标人应当附本表所列证书的复印件并加盖</w:t>
      </w:r>
      <w:r>
        <w:rPr>
          <w:rFonts w:hint="eastAsia"/>
          <w:b w:val="0"/>
          <w:bCs w:val="0"/>
          <w:color w:val="auto"/>
          <w:sz w:val="21"/>
          <w:szCs w:val="21"/>
          <w:lang w:val="en-US" w:eastAsia="zh-CN"/>
        </w:rPr>
        <w:t>供应商</w:t>
      </w:r>
      <w:r>
        <w:rPr>
          <w:rFonts w:hint="eastAsia"/>
          <w:b w:val="0"/>
          <w:bCs w:val="0"/>
          <w:color w:val="auto"/>
          <w:sz w:val="21"/>
          <w:szCs w:val="21"/>
        </w:rPr>
        <w:t>公章。</w:t>
      </w:r>
    </w:p>
    <w:p>
      <w:pPr>
        <w:snapToGrid w:val="0"/>
        <w:spacing w:before="50" w:after="50" w:line="400" w:lineRule="exact"/>
        <w:ind w:right="-817" w:rightChars="-389"/>
        <w:rPr>
          <w:rFonts w:ascii="宋体" w:hAnsi="宋体"/>
          <w:bCs/>
          <w:color w:val="auto"/>
        </w:rPr>
      </w:pPr>
    </w:p>
    <w:p>
      <w:pPr>
        <w:snapToGrid w:val="0"/>
        <w:spacing w:before="50" w:after="50" w:line="320" w:lineRule="exact"/>
        <w:ind w:right="-817" w:rightChars="-389"/>
        <w:rPr>
          <w:rFonts w:ascii="宋体" w:hAnsi="宋体"/>
          <w:color w:val="auto"/>
          <w:szCs w:val="21"/>
        </w:rPr>
      </w:pPr>
    </w:p>
    <w:p>
      <w:pPr>
        <w:rPr>
          <w:color w:val="auto"/>
        </w:rPr>
      </w:pPr>
    </w:p>
    <w:p>
      <w:pPr>
        <w:spacing w:line="400" w:lineRule="exact"/>
        <w:ind w:left="6090" w:leftChars="2900" w:right="592" w:rightChars="282" w:firstLine="2" w:firstLineChars="1"/>
        <w:jc w:val="left"/>
        <w:rPr>
          <w:rFonts w:ascii="宋体" w:hAnsi="宋体"/>
          <w:bCs/>
          <w:color w:val="auto"/>
        </w:rPr>
      </w:pPr>
      <w:r>
        <w:rPr>
          <w:rFonts w:hint="eastAsia" w:ascii="宋体" w:hAnsi="宋体"/>
          <w:bCs/>
          <w:color w:val="auto"/>
        </w:rPr>
        <w:t>供应商（盖章）：</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p>
    <w:p>
      <w:pPr>
        <w:snapToGrid w:val="0"/>
        <w:spacing w:before="50" w:after="50" w:line="350" w:lineRule="exact"/>
        <w:ind w:right="-817" w:rightChars="-389" w:firstLine="6090" w:firstLineChars="2900"/>
        <w:jc w:val="left"/>
        <w:rPr>
          <w:color w:val="auto"/>
        </w:rPr>
      </w:pPr>
      <w:r>
        <w:rPr>
          <w:rFonts w:hint="eastAsia" w:ascii="宋体" w:hAnsi="宋体"/>
          <w:bCs/>
          <w:color w:val="auto"/>
        </w:rPr>
        <w:t>日期：</w:t>
      </w:r>
      <w:r>
        <w:rPr>
          <w:rFonts w:hint="eastAsia" w:ascii="宋体" w:hAnsi="宋体"/>
          <w:bCs/>
          <w:color w:val="auto"/>
          <w:u w:val="single"/>
        </w:rPr>
        <w:t xml:space="preserve">    </w:t>
      </w:r>
      <w:r>
        <w:rPr>
          <w:rFonts w:ascii="宋体" w:hAnsi="宋体"/>
          <w:bCs/>
          <w:color w:val="auto"/>
          <w:u w:val="single"/>
        </w:rPr>
        <w:t xml:space="preserve">  </w:t>
      </w:r>
      <w:r>
        <w:rPr>
          <w:rFonts w:hint="eastAsia" w:ascii="宋体" w:hAnsi="宋体"/>
          <w:bCs/>
          <w:color w:val="auto"/>
          <w:u w:val="single"/>
        </w:rPr>
        <w:t xml:space="preserve">  </w:t>
      </w:r>
      <w:r>
        <w:rPr>
          <w:rFonts w:hint="eastAsia" w:ascii="宋体" w:hAnsi="宋体"/>
          <w:bCs/>
          <w:color w:val="auto"/>
        </w:rPr>
        <w:t>年</w:t>
      </w:r>
      <w:r>
        <w:rPr>
          <w:rFonts w:hint="eastAsia" w:ascii="宋体" w:hAnsi="宋体"/>
          <w:bCs/>
          <w:color w:val="auto"/>
          <w:u w:val="single"/>
        </w:rPr>
        <w:t xml:space="preserve">   </w:t>
      </w:r>
      <w:r>
        <w:rPr>
          <w:rFonts w:hint="eastAsia" w:ascii="宋体" w:hAnsi="宋体"/>
          <w:bCs/>
          <w:color w:val="auto"/>
        </w:rPr>
        <w:t>月</w:t>
      </w:r>
      <w:r>
        <w:rPr>
          <w:rFonts w:hint="eastAsia" w:ascii="宋体" w:hAnsi="宋体"/>
          <w:bCs/>
          <w:color w:val="auto"/>
          <w:u w:val="single"/>
        </w:rPr>
        <w:t xml:space="preserve">   </w:t>
      </w:r>
      <w:r>
        <w:rPr>
          <w:rFonts w:hint="eastAsia" w:ascii="宋体" w:hAnsi="宋体"/>
          <w:bCs/>
          <w:color w:val="auto"/>
        </w:rPr>
        <w:t>日</w:t>
      </w:r>
    </w:p>
    <w:p>
      <w:pPr>
        <w:pStyle w:val="101"/>
        <w:rPr>
          <w:rFonts w:ascii="宋体" w:hAnsi="宋体" w:cs="宋体"/>
          <w:color w:val="auto"/>
          <w:sz w:val="21"/>
          <w:szCs w:val="21"/>
        </w:rPr>
      </w:pPr>
    </w:p>
    <w:p>
      <w:pPr>
        <w:pStyle w:val="101"/>
        <w:rPr>
          <w:rFonts w:ascii="宋体" w:hAnsi="宋体" w:cs="宋体"/>
          <w:color w:val="auto"/>
          <w:sz w:val="21"/>
          <w:szCs w:val="21"/>
        </w:rPr>
      </w:pPr>
    </w:p>
    <w:bookmarkEnd w:id="52"/>
    <w:bookmarkEnd w:id="53"/>
    <w:bookmarkEnd w:id="54"/>
    <w:bookmarkEnd w:id="55"/>
    <w:p>
      <w:pPr>
        <w:spacing w:line="320" w:lineRule="exact"/>
        <w:jc w:val="left"/>
        <w:rPr>
          <w:color w:val="auto"/>
        </w:rPr>
      </w:pPr>
    </w:p>
    <w:p>
      <w:pPr>
        <w:jc w:val="left"/>
        <w:rPr>
          <w:rFonts w:hint="eastAsia" w:ascii="宋体" w:hAnsi="宋体"/>
          <w:b/>
          <w:bCs/>
          <w:color w:val="auto"/>
          <w:sz w:val="36"/>
          <w:szCs w:val="36"/>
        </w:rPr>
      </w:pPr>
    </w:p>
    <w:p>
      <w:pPr>
        <w:jc w:val="left"/>
        <w:rPr>
          <w:rFonts w:hint="eastAsia" w:ascii="宋体" w:hAnsi="宋体"/>
          <w:b/>
          <w:bCs/>
          <w:color w:val="auto"/>
          <w:sz w:val="36"/>
          <w:szCs w:val="36"/>
        </w:rPr>
      </w:pPr>
    </w:p>
    <w:p>
      <w:pPr>
        <w:jc w:val="left"/>
        <w:rPr>
          <w:rFonts w:hint="eastAsia" w:ascii="宋体" w:hAnsi="宋体"/>
          <w:b/>
          <w:bCs/>
          <w:color w:val="auto"/>
          <w:sz w:val="36"/>
          <w:szCs w:val="36"/>
        </w:rPr>
      </w:pPr>
    </w:p>
    <w:p>
      <w:pPr>
        <w:jc w:val="left"/>
        <w:rPr>
          <w:rFonts w:hint="eastAsia" w:ascii="宋体" w:hAnsi="宋体"/>
          <w:b/>
          <w:bCs/>
          <w:color w:val="auto"/>
          <w:sz w:val="36"/>
          <w:szCs w:val="36"/>
        </w:rPr>
      </w:pPr>
    </w:p>
    <w:p>
      <w:pPr>
        <w:jc w:val="left"/>
        <w:rPr>
          <w:rFonts w:hint="eastAsia" w:ascii="宋体" w:hAnsi="宋体"/>
          <w:b/>
          <w:bCs/>
          <w:color w:val="auto"/>
          <w:sz w:val="36"/>
          <w:szCs w:val="36"/>
        </w:rPr>
      </w:pPr>
    </w:p>
    <w:p>
      <w:pPr>
        <w:jc w:val="left"/>
        <w:rPr>
          <w:rFonts w:hint="eastAsia" w:ascii="宋体" w:hAnsi="宋体"/>
          <w:b/>
          <w:bCs/>
          <w:color w:val="auto"/>
          <w:sz w:val="36"/>
          <w:szCs w:val="36"/>
        </w:rPr>
      </w:pPr>
    </w:p>
    <w:p>
      <w:pPr>
        <w:jc w:val="left"/>
        <w:rPr>
          <w:rFonts w:hint="eastAsia" w:ascii="宋体" w:hAnsi="宋体"/>
          <w:b/>
          <w:bCs/>
          <w:color w:val="auto"/>
          <w:sz w:val="36"/>
          <w:szCs w:val="36"/>
        </w:rPr>
      </w:pPr>
    </w:p>
    <w:p>
      <w:pPr>
        <w:jc w:val="left"/>
        <w:rPr>
          <w:rFonts w:hint="eastAsia" w:ascii="宋体" w:hAnsi="宋体"/>
          <w:b/>
          <w:bCs/>
          <w:color w:val="auto"/>
          <w:sz w:val="36"/>
          <w:szCs w:val="36"/>
        </w:rPr>
      </w:pPr>
    </w:p>
    <w:p>
      <w:pPr>
        <w:jc w:val="left"/>
        <w:rPr>
          <w:rFonts w:hint="eastAsia" w:ascii="宋体" w:hAnsi="宋体"/>
          <w:b/>
          <w:bCs/>
          <w:color w:val="auto"/>
          <w:sz w:val="36"/>
          <w:szCs w:val="36"/>
        </w:rPr>
      </w:pPr>
    </w:p>
    <w:p>
      <w:pPr>
        <w:jc w:val="left"/>
        <w:rPr>
          <w:rFonts w:ascii="宋体" w:hAnsi="宋体"/>
          <w:b/>
          <w:bCs/>
          <w:color w:val="auto"/>
          <w:sz w:val="36"/>
          <w:szCs w:val="36"/>
        </w:rPr>
      </w:pPr>
      <w:r>
        <w:rPr>
          <w:rFonts w:hint="eastAsia" w:ascii="宋体" w:hAnsi="宋体"/>
          <w:b/>
          <w:bCs/>
          <w:color w:val="auto"/>
          <w:sz w:val="36"/>
          <w:szCs w:val="36"/>
        </w:rPr>
        <w:t>三、报价文件</w:t>
      </w:r>
    </w:p>
    <w:p>
      <w:pPr>
        <w:jc w:val="center"/>
        <w:rPr>
          <w:rFonts w:ascii="仿宋" w:hAnsi="仿宋" w:eastAsia="仿宋"/>
          <w:b/>
          <w:bCs/>
          <w:color w:val="auto"/>
          <w:sz w:val="30"/>
          <w:szCs w:val="30"/>
        </w:rPr>
      </w:pPr>
      <w:r>
        <w:rPr>
          <w:rFonts w:hint="eastAsia" w:ascii="仿宋" w:hAnsi="仿宋" w:eastAsia="仿宋"/>
          <w:b/>
          <w:bCs/>
          <w:color w:val="auto"/>
          <w:sz w:val="32"/>
          <w:szCs w:val="32"/>
        </w:rPr>
        <w:t>报价明细表</w:t>
      </w:r>
      <w:r>
        <w:rPr>
          <w:rFonts w:hint="eastAsia" w:ascii="仿宋" w:hAnsi="仿宋" w:eastAsia="仿宋"/>
          <w:color w:val="auto"/>
          <w:sz w:val="24"/>
        </w:rPr>
        <w:t>(格式</w:t>
      </w:r>
      <w:r>
        <w:rPr>
          <w:rFonts w:ascii="仿宋" w:hAnsi="仿宋" w:eastAsia="仿宋"/>
          <w:color w:val="auto"/>
          <w:sz w:val="24"/>
        </w:rPr>
        <w:t>)</w:t>
      </w:r>
    </w:p>
    <w:p>
      <w:pPr>
        <w:rPr>
          <w:color w:val="auto"/>
        </w:rPr>
      </w:pPr>
    </w:p>
    <w:p>
      <w:pPr>
        <w:spacing w:line="400" w:lineRule="exact"/>
        <w:jc w:val="left"/>
        <w:rPr>
          <w:rFonts w:ascii="宋体" w:hAnsi="宋体"/>
          <w:color w:val="auto"/>
          <w:szCs w:val="21"/>
        </w:rPr>
      </w:pPr>
      <w:r>
        <w:rPr>
          <w:rFonts w:hint="eastAsia" w:ascii="宋体" w:hAnsi="宋体"/>
          <w:color w:val="auto"/>
          <w:szCs w:val="21"/>
        </w:rPr>
        <w:t>项目编号：</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pacing w:line="400" w:lineRule="exact"/>
        <w:jc w:val="left"/>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tbl>
      <w:tblPr>
        <w:tblStyle w:val="37"/>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22"/>
        <w:gridCol w:w="3378"/>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vAlign w:val="center"/>
          </w:tcPr>
          <w:p>
            <w:pPr>
              <w:widowControl/>
              <w:jc w:val="center"/>
              <w:rPr>
                <w:rFonts w:ascii="宋体" w:hAnsi="宋体" w:cs="宋体"/>
                <w:b/>
                <w:color w:val="auto"/>
                <w:kern w:val="0"/>
                <w:sz w:val="22"/>
                <w:szCs w:val="22"/>
              </w:rPr>
            </w:pPr>
            <w:r>
              <w:rPr>
                <w:rFonts w:hint="eastAsia" w:ascii="宋体" w:hAnsi="宋体" w:cs="宋体"/>
                <w:b/>
                <w:color w:val="auto"/>
                <w:kern w:val="0"/>
                <w:sz w:val="22"/>
                <w:szCs w:val="22"/>
              </w:rPr>
              <w:t>序号</w:t>
            </w:r>
          </w:p>
        </w:tc>
        <w:tc>
          <w:tcPr>
            <w:tcW w:w="3822" w:type="dxa"/>
            <w:vAlign w:val="center"/>
          </w:tcPr>
          <w:p>
            <w:pPr>
              <w:widowControl/>
              <w:jc w:val="center"/>
              <w:rPr>
                <w:rFonts w:ascii="宋体" w:hAnsi="宋体" w:cs="宋体"/>
                <w:b/>
                <w:color w:val="auto"/>
                <w:kern w:val="0"/>
                <w:sz w:val="22"/>
                <w:szCs w:val="22"/>
              </w:rPr>
            </w:pPr>
            <w:r>
              <w:rPr>
                <w:rFonts w:hint="eastAsia" w:ascii="宋体" w:hAnsi="宋体" w:cs="宋体"/>
                <w:b/>
                <w:color w:val="auto"/>
                <w:kern w:val="0"/>
                <w:sz w:val="22"/>
                <w:szCs w:val="22"/>
              </w:rPr>
              <w:t>服务内容</w:t>
            </w:r>
          </w:p>
        </w:tc>
        <w:tc>
          <w:tcPr>
            <w:tcW w:w="3378" w:type="dxa"/>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报价</w:t>
            </w:r>
          </w:p>
        </w:tc>
        <w:tc>
          <w:tcPr>
            <w:tcW w:w="1386" w:type="dxa"/>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9" w:type="dxa"/>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822" w:type="dxa"/>
            <w:vAlign w:val="center"/>
          </w:tcPr>
          <w:p>
            <w:pPr>
              <w:widowControl/>
              <w:jc w:val="center"/>
              <w:rPr>
                <w:rFonts w:ascii="宋体" w:hAnsi="宋体"/>
                <w:bCs/>
                <w:color w:val="auto"/>
              </w:rPr>
            </w:pPr>
          </w:p>
        </w:tc>
        <w:tc>
          <w:tcPr>
            <w:tcW w:w="3378" w:type="dxa"/>
            <w:vAlign w:val="center"/>
          </w:tcPr>
          <w:p>
            <w:pPr>
              <w:widowControl/>
              <w:spacing w:line="500" w:lineRule="exact"/>
              <w:jc w:val="center"/>
              <w:rPr>
                <w:rFonts w:ascii="宋体" w:hAnsi="宋体" w:cs="宋体"/>
                <w:color w:val="auto"/>
                <w:kern w:val="0"/>
                <w:szCs w:val="21"/>
                <w:u w:val="single"/>
              </w:rPr>
            </w:pPr>
            <w:r>
              <w:rPr>
                <w:rFonts w:hint="eastAsia" w:ascii="宋体" w:hAnsi="宋体" w:cs="宋体"/>
                <w:color w:val="auto"/>
                <w:kern w:val="0"/>
                <w:szCs w:val="21"/>
              </w:rPr>
              <w:t>大写：</w:t>
            </w:r>
            <w:r>
              <w:rPr>
                <w:rFonts w:hint="eastAsia" w:ascii="宋体" w:hAnsi="宋体" w:cs="宋体"/>
                <w:color w:val="auto"/>
                <w:kern w:val="0"/>
                <w:szCs w:val="21"/>
                <w:u w:val="single"/>
              </w:rPr>
              <w:t xml:space="preserve">                   元整</w:t>
            </w:r>
          </w:p>
          <w:p>
            <w:pPr>
              <w:widowControl/>
              <w:spacing w:line="500" w:lineRule="exact"/>
              <w:rPr>
                <w:rFonts w:ascii="宋体" w:hAnsi="宋体" w:cs="宋体"/>
                <w:color w:val="auto"/>
                <w:kern w:val="0"/>
                <w:szCs w:val="21"/>
                <w:u w:val="single"/>
              </w:rPr>
            </w:pPr>
            <w:r>
              <w:rPr>
                <w:rFonts w:hint="eastAsia" w:ascii="宋体" w:hAnsi="宋体" w:cs="宋体"/>
                <w:color w:val="auto"/>
                <w:kern w:val="0"/>
                <w:szCs w:val="21"/>
              </w:rPr>
              <w:t>小写：</w:t>
            </w:r>
            <w:r>
              <w:rPr>
                <w:rFonts w:hint="eastAsia" w:ascii="宋体" w:hAnsi="宋体" w:cs="宋体"/>
                <w:color w:val="auto"/>
                <w:kern w:val="0"/>
                <w:szCs w:val="21"/>
                <w:u w:val="single"/>
              </w:rPr>
              <w:t xml:space="preserve">￥          </w:t>
            </w:r>
            <w:r>
              <w:rPr>
                <w:rFonts w:ascii="宋体" w:hAnsi="宋体" w:cs="宋体"/>
                <w:color w:val="auto"/>
                <w:kern w:val="0"/>
                <w:szCs w:val="21"/>
                <w:u w:val="single"/>
              </w:rPr>
              <w:t xml:space="preserve"> </w:t>
            </w:r>
            <w:r>
              <w:rPr>
                <w:rFonts w:hint="eastAsia" w:ascii="宋体" w:hAnsi="宋体" w:cs="宋体"/>
                <w:color w:val="auto"/>
                <w:kern w:val="0"/>
                <w:szCs w:val="21"/>
                <w:u w:val="single"/>
              </w:rPr>
              <w:t xml:space="preserve">          </w:t>
            </w:r>
          </w:p>
        </w:tc>
        <w:tc>
          <w:tcPr>
            <w:tcW w:w="1386" w:type="dxa"/>
            <w:vAlign w:val="center"/>
          </w:tcPr>
          <w:p>
            <w:pPr>
              <w:widowControl/>
              <w:jc w:val="center"/>
              <w:rPr>
                <w:rFonts w:ascii="宋体" w:hAnsi="宋体" w:cs="宋体"/>
                <w:color w:val="auto"/>
                <w:kern w:val="0"/>
                <w:szCs w:val="21"/>
              </w:rPr>
            </w:pPr>
          </w:p>
        </w:tc>
      </w:tr>
    </w:tbl>
    <w:p>
      <w:pPr>
        <w:spacing w:line="440" w:lineRule="exact"/>
        <w:rPr>
          <w:rFonts w:ascii="宋体" w:hAnsi="宋体"/>
          <w:color w:val="auto"/>
          <w:szCs w:val="21"/>
        </w:rPr>
      </w:pPr>
      <w:r>
        <w:rPr>
          <w:rFonts w:hint="eastAsia" w:ascii="宋体" w:hAnsi="宋体"/>
          <w:color w:val="auto"/>
          <w:szCs w:val="21"/>
        </w:rPr>
        <w:t>注：所有价格均用人民币表示，单位为元，精确到个数位。</w:t>
      </w:r>
    </w:p>
    <w:p>
      <w:pPr>
        <w:pStyle w:val="22"/>
        <w:spacing w:before="50" w:after="50" w:line="360" w:lineRule="exact"/>
        <w:ind w:firstLine="420"/>
        <w:rPr>
          <w:color w:val="auto"/>
        </w:rPr>
      </w:pPr>
      <w:r>
        <w:rPr>
          <w:rFonts w:hint="eastAsia" w:ascii="宋体" w:hAnsi="宋体"/>
          <w:color w:val="auto"/>
          <w:szCs w:val="21"/>
        </w:rPr>
        <w:t xml:space="preserve">   </w:t>
      </w:r>
    </w:p>
    <w:p>
      <w:pPr>
        <w:rPr>
          <w:color w:val="auto"/>
        </w:rPr>
      </w:pPr>
    </w:p>
    <w:p>
      <w:pPr>
        <w:rPr>
          <w:color w:val="auto"/>
        </w:rPr>
      </w:pPr>
    </w:p>
    <w:p>
      <w:pPr>
        <w:rPr>
          <w:color w:val="auto"/>
        </w:rPr>
      </w:pPr>
    </w:p>
    <w:p>
      <w:pPr>
        <w:pStyle w:val="22"/>
        <w:spacing w:line="440" w:lineRule="exact"/>
        <w:ind w:firstLine="3675" w:firstLineChars="1750"/>
        <w:rPr>
          <w:rFonts w:hAnsi="宋体"/>
          <w:color w:val="auto"/>
          <w:u w:val="single"/>
        </w:rPr>
      </w:pPr>
      <w:r>
        <w:rPr>
          <w:rFonts w:hint="eastAsia" w:hAnsi="宋体"/>
          <w:color w:val="auto"/>
        </w:rPr>
        <w:t>供应商（盖章）：</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p>
    <w:p>
      <w:pPr>
        <w:spacing w:line="440" w:lineRule="exact"/>
        <w:ind w:firstLine="3675" w:firstLineChars="1750"/>
        <w:rPr>
          <w:rFonts w:ascii="宋体" w:hAnsi="宋体"/>
          <w:color w:val="auto"/>
          <w:szCs w:val="21"/>
        </w:rPr>
      </w:pPr>
      <w:r>
        <w:rPr>
          <w:rFonts w:hint="eastAsia" w:hAnsi="宋体"/>
          <w:color w:val="auto"/>
        </w:rPr>
        <w:t>日期：</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年</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月</w:t>
      </w:r>
      <w:r>
        <w:rPr>
          <w:rFonts w:hint="eastAsia" w:hAnsi="宋体"/>
          <w:color w:val="auto"/>
          <w:u w:val="single"/>
        </w:rPr>
        <w:t xml:space="preserve">   </w:t>
      </w:r>
      <w:r>
        <w:rPr>
          <w:rFonts w:hAnsi="宋体"/>
          <w:color w:val="auto"/>
          <w:u w:val="single"/>
        </w:rPr>
        <w:t xml:space="preserve"> </w:t>
      </w:r>
      <w:r>
        <w:rPr>
          <w:rFonts w:hint="eastAsia" w:hAnsi="宋体"/>
          <w:color w:val="auto"/>
          <w:u w:val="single"/>
        </w:rPr>
        <w:t xml:space="preserve">  </w:t>
      </w:r>
      <w:r>
        <w:rPr>
          <w:rFonts w:hint="eastAsia" w:hAnsi="宋体"/>
          <w:color w:val="auto"/>
        </w:rPr>
        <w:t>日</w:t>
      </w:r>
    </w:p>
    <w:sectPr>
      <w:headerReference r:id="rId5" w:type="default"/>
      <w:footerReference r:id="rId6" w:type="default"/>
      <w:pgSz w:w="11906" w:h="16838"/>
      <w:pgMar w:top="936" w:right="991" w:bottom="1135"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dobe 仿宋 Std R">
    <w:altName w:val="仿宋"/>
    <w:panose1 w:val="02020400000000000000"/>
    <w:charset w:val="86"/>
    <w:family w:val="roman"/>
    <w:pitch w:val="default"/>
    <w:sig w:usb0="00000000" w:usb1="00000000" w:usb2="00000016" w:usb3="00000000" w:csb0="00060007"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564419"/>
    </w:sdtPr>
    <w:sdtContent>
      <w:p>
        <w:pPr>
          <w:pStyle w:val="26"/>
          <w:jc w:val="center"/>
        </w:pPr>
        <w:r>
          <w:fldChar w:fldCharType="begin"/>
        </w:r>
        <w:r>
          <w:instrText xml:space="preserve">PAGE   \* MERGEFORMAT</w:instrText>
        </w:r>
        <w:r>
          <w:fldChar w:fldCharType="separate"/>
        </w:r>
        <w:r>
          <w:t>2</w:t>
        </w:r>
        <w:r>
          <w:fldChar w:fldCharType="end"/>
        </w:r>
      </w:p>
    </w:sdtContent>
  </w:sdt>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hint="eastAsia"/>
        <w:lang w:eastAsia="zh-CN"/>
      </w:rPr>
    </w:pPr>
    <w:r>
      <w:rPr>
        <w:rFonts w:hint="eastAsia"/>
      </w:rPr>
      <w:t xml:space="preserve">钦州市政府采购中心     </w:t>
    </w:r>
    <w:r>
      <w:rPr>
        <w:rFonts w:hint="eastAsia"/>
        <w:lang w:val="en-US" w:eastAsia="zh-CN"/>
      </w:rPr>
      <w:t xml:space="preserve">         </w:t>
    </w:r>
    <w:r>
      <w:rPr>
        <w:rFonts w:hint="eastAsia" w:ascii="宋体" w:hAnsi="宋体"/>
        <w:color w:val="auto"/>
        <w:szCs w:val="21"/>
        <w:lang w:val="en-US" w:eastAsia="zh-CN"/>
      </w:rPr>
      <w:t>2026年钦州市图书馆物业管理服务</w:t>
    </w:r>
    <w:r>
      <w:rPr>
        <w:rFonts w:hint="eastAsia"/>
        <w:lang w:eastAsia="zh-CN"/>
      </w:rPr>
      <w:t>(QZZC2026-C3-990122-QZSZ)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chineseCountingThousand"/>
      <w:pStyle w:val="20"/>
      <w:suff w:val="nothing"/>
      <w:lvlText w:val="第%1章"/>
      <w:lvlJc w:val="left"/>
      <w:pPr>
        <w:ind w:left="142" w:firstLine="0"/>
      </w:pPr>
      <w:rPr>
        <w:rFonts w:hint="eastAsia" w:ascii="仿宋_GB2312" w:eastAsia="仿宋_GB2312"/>
        <w:sz w:val="44"/>
      </w:rPr>
    </w:lvl>
    <w:lvl w:ilvl="1" w:tentative="0">
      <w:start w:val="1"/>
      <w:numFmt w:val="none"/>
      <w:suff w:val="nothing"/>
      <w:lvlText w:val=""/>
      <w:lvlJc w:val="left"/>
      <w:pPr>
        <w:ind w:left="142" w:firstLine="0"/>
      </w:pPr>
      <w:rPr>
        <w:rFonts w:hint="eastAsia"/>
      </w:rPr>
    </w:lvl>
    <w:lvl w:ilvl="2" w:tentative="0">
      <w:start w:val="1"/>
      <w:numFmt w:val="none"/>
      <w:suff w:val="nothing"/>
      <w:lvlText w:val=""/>
      <w:lvlJc w:val="left"/>
      <w:pPr>
        <w:ind w:left="142" w:firstLine="0"/>
      </w:pPr>
      <w:rPr>
        <w:rFonts w:hint="eastAsia"/>
      </w:rPr>
    </w:lvl>
    <w:lvl w:ilvl="3" w:tentative="0">
      <w:start w:val="1"/>
      <w:numFmt w:val="none"/>
      <w:suff w:val="nothing"/>
      <w:lvlText w:val=""/>
      <w:lvlJc w:val="left"/>
      <w:pPr>
        <w:ind w:left="142" w:firstLine="0"/>
      </w:pPr>
      <w:rPr>
        <w:rFonts w:hint="eastAsia"/>
      </w:rPr>
    </w:lvl>
    <w:lvl w:ilvl="4" w:tentative="0">
      <w:start w:val="1"/>
      <w:numFmt w:val="none"/>
      <w:pStyle w:val="6"/>
      <w:suff w:val="nothing"/>
      <w:lvlText w:val=""/>
      <w:lvlJc w:val="left"/>
      <w:pPr>
        <w:ind w:left="142" w:firstLine="0"/>
      </w:pPr>
      <w:rPr>
        <w:rFonts w:hint="eastAsia"/>
      </w:rPr>
    </w:lvl>
    <w:lvl w:ilvl="5" w:tentative="0">
      <w:start w:val="1"/>
      <w:numFmt w:val="none"/>
      <w:pStyle w:val="8"/>
      <w:suff w:val="nothing"/>
      <w:lvlText w:val=""/>
      <w:lvlJc w:val="left"/>
      <w:pPr>
        <w:ind w:left="142" w:firstLine="0"/>
      </w:pPr>
      <w:rPr>
        <w:rFonts w:hint="eastAsia"/>
      </w:rPr>
    </w:lvl>
    <w:lvl w:ilvl="6" w:tentative="0">
      <w:start w:val="1"/>
      <w:numFmt w:val="none"/>
      <w:pStyle w:val="9"/>
      <w:suff w:val="nothing"/>
      <w:lvlText w:val=""/>
      <w:lvlJc w:val="left"/>
      <w:pPr>
        <w:ind w:left="142" w:firstLine="0"/>
      </w:pPr>
      <w:rPr>
        <w:rFonts w:hint="eastAsia"/>
      </w:rPr>
    </w:lvl>
    <w:lvl w:ilvl="7" w:tentative="0">
      <w:start w:val="1"/>
      <w:numFmt w:val="none"/>
      <w:pStyle w:val="10"/>
      <w:suff w:val="nothing"/>
      <w:lvlText w:val=""/>
      <w:lvlJc w:val="left"/>
      <w:pPr>
        <w:ind w:left="142" w:firstLine="0"/>
      </w:pPr>
      <w:rPr>
        <w:rFonts w:hint="eastAsia"/>
      </w:rPr>
    </w:lvl>
    <w:lvl w:ilvl="8" w:tentative="0">
      <w:start w:val="1"/>
      <w:numFmt w:val="none"/>
      <w:pStyle w:val="11"/>
      <w:suff w:val="nothing"/>
      <w:lvlText w:val=""/>
      <w:lvlJc w:val="left"/>
      <w:pPr>
        <w:ind w:left="14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kNzJhNGEyYjhiNDFiNDYzNDU5NTVhNjlhMWNjM2MifQ=="/>
  </w:docVars>
  <w:rsids>
    <w:rsidRoot w:val="00172A27"/>
    <w:rsid w:val="0000046D"/>
    <w:rsid w:val="000009A4"/>
    <w:rsid w:val="0000182C"/>
    <w:rsid w:val="00001C30"/>
    <w:rsid w:val="00001F66"/>
    <w:rsid w:val="00002715"/>
    <w:rsid w:val="0000296D"/>
    <w:rsid w:val="00002E66"/>
    <w:rsid w:val="00003781"/>
    <w:rsid w:val="00003F3C"/>
    <w:rsid w:val="0000486E"/>
    <w:rsid w:val="00004CB0"/>
    <w:rsid w:val="00004CDE"/>
    <w:rsid w:val="00005328"/>
    <w:rsid w:val="00007E2F"/>
    <w:rsid w:val="00007E51"/>
    <w:rsid w:val="000104B5"/>
    <w:rsid w:val="00010E05"/>
    <w:rsid w:val="00012061"/>
    <w:rsid w:val="000123EC"/>
    <w:rsid w:val="000125C2"/>
    <w:rsid w:val="00013AC8"/>
    <w:rsid w:val="00013C7F"/>
    <w:rsid w:val="00014132"/>
    <w:rsid w:val="00014488"/>
    <w:rsid w:val="000149E9"/>
    <w:rsid w:val="00016092"/>
    <w:rsid w:val="00016829"/>
    <w:rsid w:val="00017A2B"/>
    <w:rsid w:val="00020517"/>
    <w:rsid w:val="000207E1"/>
    <w:rsid w:val="00020DBA"/>
    <w:rsid w:val="00021054"/>
    <w:rsid w:val="000216CC"/>
    <w:rsid w:val="00021A62"/>
    <w:rsid w:val="00022909"/>
    <w:rsid w:val="00022CE2"/>
    <w:rsid w:val="00023813"/>
    <w:rsid w:val="000244C1"/>
    <w:rsid w:val="000248E5"/>
    <w:rsid w:val="00025985"/>
    <w:rsid w:val="00025AC0"/>
    <w:rsid w:val="00027018"/>
    <w:rsid w:val="000272D2"/>
    <w:rsid w:val="0002754E"/>
    <w:rsid w:val="00027BD3"/>
    <w:rsid w:val="0003177E"/>
    <w:rsid w:val="00032229"/>
    <w:rsid w:val="00032A59"/>
    <w:rsid w:val="00032B1F"/>
    <w:rsid w:val="00032F50"/>
    <w:rsid w:val="00033214"/>
    <w:rsid w:val="000344F4"/>
    <w:rsid w:val="0003479C"/>
    <w:rsid w:val="00034B7D"/>
    <w:rsid w:val="00035002"/>
    <w:rsid w:val="0003509E"/>
    <w:rsid w:val="00036EC4"/>
    <w:rsid w:val="00037318"/>
    <w:rsid w:val="00037EEA"/>
    <w:rsid w:val="000400F8"/>
    <w:rsid w:val="0004027B"/>
    <w:rsid w:val="00040DCA"/>
    <w:rsid w:val="000417D5"/>
    <w:rsid w:val="000419B7"/>
    <w:rsid w:val="00041EAA"/>
    <w:rsid w:val="00041FD1"/>
    <w:rsid w:val="00042DEF"/>
    <w:rsid w:val="00044162"/>
    <w:rsid w:val="00044278"/>
    <w:rsid w:val="000445D1"/>
    <w:rsid w:val="000448E0"/>
    <w:rsid w:val="00045285"/>
    <w:rsid w:val="0004535A"/>
    <w:rsid w:val="00045CF3"/>
    <w:rsid w:val="00045D3B"/>
    <w:rsid w:val="00046ED2"/>
    <w:rsid w:val="00050908"/>
    <w:rsid w:val="00050B4D"/>
    <w:rsid w:val="00051B41"/>
    <w:rsid w:val="000521BA"/>
    <w:rsid w:val="00052C3B"/>
    <w:rsid w:val="00053067"/>
    <w:rsid w:val="000530C2"/>
    <w:rsid w:val="00053FFD"/>
    <w:rsid w:val="00054058"/>
    <w:rsid w:val="000548EF"/>
    <w:rsid w:val="00054C4F"/>
    <w:rsid w:val="00054D61"/>
    <w:rsid w:val="00054F2A"/>
    <w:rsid w:val="00055319"/>
    <w:rsid w:val="00055AA6"/>
    <w:rsid w:val="0005758A"/>
    <w:rsid w:val="000576C1"/>
    <w:rsid w:val="00060064"/>
    <w:rsid w:val="0006170C"/>
    <w:rsid w:val="00061972"/>
    <w:rsid w:val="000619FC"/>
    <w:rsid w:val="00061AC4"/>
    <w:rsid w:val="0006223A"/>
    <w:rsid w:val="00063151"/>
    <w:rsid w:val="00064127"/>
    <w:rsid w:val="00064B46"/>
    <w:rsid w:val="0006699C"/>
    <w:rsid w:val="000670F3"/>
    <w:rsid w:val="000675EC"/>
    <w:rsid w:val="00067C97"/>
    <w:rsid w:val="000700B4"/>
    <w:rsid w:val="000707DE"/>
    <w:rsid w:val="000709DB"/>
    <w:rsid w:val="000714E8"/>
    <w:rsid w:val="00071DBC"/>
    <w:rsid w:val="00072665"/>
    <w:rsid w:val="0007297B"/>
    <w:rsid w:val="00072ABB"/>
    <w:rsid w:val="00074159"/>
    <w:rsid w:val="000749B7"/>
    <w:rsid w:val="000753D2"/>
    <w:rsid w:val="00075494"/>
    <w:rsid w:val="0007550C"/>
    <w:rsid w:val="00075C45"/>
    <w:rsid w:val="00076CDB"/>
    <w:rsid w:val="00077B75"/>
    <w:rsid w:val="00077E54"/>
    <w:rsid w:val="000813F4"/>
    <w:rsid w:val="000817C6"/>
    <w:rsid w:val="00081921"/>
    <w:rsid w:val="00081A1B"/>
    <w:rsid w:val="00082980"/>
    <w:rsid w:val="00083D28"/>
    <w:rsid w:val="00083D58"/>
    <w:rsid w:val="00084EA9"/>
    <w:rsid w:val="00084EC7"/>
    <w:rsid w:val="00085936"/>
    <w:rsid w:val="00085C49"/>
    <w:rsid w:val="00085CBC"/>
    <w:rsid w:val="00085EEB"/>
    <w:rsid w:val="000867B0"/>
    <w:rsid w:val="00086B70"/>
    <w:rsid w:val="00087668"/>
    <w:rsid w:val="000904A2"/>
    <w:rsid w:val="00090AF0"/>
    <w:rsid w:val="000910C5"/>
    <w:rsid w:val="00092839"/>
    <w:rsid w:val="00093C1A"/>
    <w:rsid w:val="00093E79"/>
    <w:rsid w:val="00093F41"/>
    <w:rsid w:val="00094441"/>
    <w:rsid w:val="00094BC6"/>
    <w:rsid w:val="000953A5"/>
    <w:rsid w:val="00096670"/>
    <w:rsid w:val="00096B4A"/>
    <w:rsid w:val="00096DE8"/>
    <w:rsid w:val="00097C9E"/>
    <w:rsid w:val="000A0911"/>
    <w:rsid w:val="000A124F"/>
    <w:rsid w:val="000A139A"/>
    <w:rsid w:val="000A2431"/>
    <w:rsid w:val="000A2A30"/>
    <w:rsid w:val="000A358F"/>
    <w:rsid w:val="000A38A0"/>
    <w:rsid w:val="000A3C64"/>
    <w:rsid w:val="000A4362"/>
    <w:rsid w:val="000A5274"/>
    <w:rsid w:val="000A61B8"/>
    <w:rsid w:val="000A62BD"/>
    <w:rsid w:val="000A6603"/>
    <w:rsid w:val="000A679A"/>
    <w:rsid w:val="000A6A7F"/>
    <w:rsid w:val="000A6F98"/>
    <w:rsid w:val="000A74E0"/>
    <w:rsid w:val="000A74F6"/>
    <w:rsid w:val="000A7B98"/>
    <w:rsid w:val="000B1427"/>
    <w:rsid w:val="000B1905"/>
    <w:rsid w:val="000B1CCA"/>
    <w:rsid w:val="000B200B"/>
    <w:rsid w:val="000B3976"/>
    <w:rsid w:val="000B3C2D"/>
    <w:rsid w:val="000B470D"/>
    <w:rsid w:val="000B5395"/>
    <w:rsid w:val="000B62CB"/>
    <w:rsid w:val="000B6350"/>
    <w:rsid w:val="000B678F"/>
    <w:rsid w:val="000B6FEF"/>
    <w:rsid w:val="000B7F9A"/>
    <w:rsid w:val="000C0328"/>
    <w:rsid w:val="000C03D4"/>
    <w:rsid w:val="000C0D86"/>
    <w:rsid w:val="000C1621"/>
    <w:rsid w:val="000C1CD7"/>
    <w:rsid w:val="000C2778"/>
    <w:rsid w:val="000C2784"/>
    <w:rsid w:val="000C32AE"/>
    <w:rsid w:val="000C3380"/>
    <w:rsid w:val="000C4807"/>
    <w:rsid w:val="000C4C6A"/>
    <w:rsid w:val="000C5751"/>
    <w:rsid w:val="000C57F9"/>
    <w:rsid w:val="000C598C"/>
    <w:rsid w:val="000C618E"/>
    <w:rsid w:val="000C6342"/>
    <w:rsid w:val="000C6CE1"/>
    <w:rsid w:val="000C7B9D"/>
    <w:rsid w:val="000D02E9"/>
    <w:rsid w:val="000D1274"/>
    <w:rsid w:val="000D1597"/>
    <w:rsid w:val="000D16A7"/>
    <w:rsid w:val="000D1C6A"/>
    <w:rsid w:val="000D1F8D"/>
    <w:rsid w:val="000D22BD"/>
    <w:rsid w:val="000D26E7"/>
    <w:rsid w:val="000D53F2"/>
    <w:rsid w:val="000D5748"/>
    <w:rsid w:val="000D5C8A"/>
    <w:rsid w:val="000D6C9D"/>
    <w:rsid w:val="000D78E6"/>
    <w:rsid w:val="000E0487"/>
    <w:rsid w:val="000E088E"/>
    <w:rsid w:val="000E232F"/>
    <w:rsid w:val="000E285B"/>
    <w:rsid w:val="000E2DB0"/>
    <w:rsid w:val="000E348C"/>
    <w:rsid w:val="000E4D22"/>
    <w:rsid w:val="000E545D"/>
    <w:rsid w:val="000F0150"/>
    <w:rsid w:val="000F03FE"/>
    <w:rsid w:val="000F152C"/>
    <w:rsid w:val="000F17C9"/>
    <w:rsid w:val="000F3668"/>
    <w:rsid w:val="000F383E"/>
    <w:rsid w:val="000F38CF"/>
    <w:rsid w:val="000F3F16"/>
    <w:rsid w:val="000F449F"/>
    <w:rsid w:val="000F48C9"/>
    <w:rsid w:val="000F6024"/>
    <w:rsid w:val="00100B14"/>
    <w:rsid w:val="00100EB7"/>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5CAC"/>
    <w:rsid w:val="001160DE"/>
    <w:rsid w:val="00116718"/>
    <w:rsid w:val="00116FC8"/>
    <w:rsid w:val="00117835"/>
    <w:rsid w:val="0012024C"/>
    <w:rsid w:val="00120493"/>
    <w:rsid w:val="00120DFA"/>
    <w:rsid w:val="00121726"/>
    <w:rsid w:val="001218FE"/>
    <w:rsid w:val="00121CC1"/>
    <w:rsid w:val="001221BE"/>
    <w:rsid w:val="00123679"/>
    <w:rsid w:val="001236BF"/>
    <w:rsid w:val="001236EB"/>
    <w:rsid w:val="00123ACC"/>
    <w:rsid w:val="00124792"/>
    <w:rsid w:val="00124CEA"/>
    <w:rsid w:val="00124CF0"/>
    <w:rsid w:val="00125726"/>
    <w:rsid w:val="001258B7"/>
    <w:rsid w:val="001267FF"/>
    <w:rsid w:val="00127F9D"/>
    <w:rsid w:val="0013084E"/>
    <w:rsid w:val="001315D8"/>
    <w:rsid w:val="00131845"/>
    <w:rsid w:val="00132B8C"/>
    <w:rsid w:val="0013360D"/>
    <w:rsid w:val="001339B4"/>
    <w:rsid w:val="00133E41"/>
    <w:rsid w:val="00133E7C"/>
    <w:rsid w:val="00134D7F"/>
    <w:rsid w:val="00134F05"/>
    <w:rsid w:val="00134F65"/>
    <w:rsid w:val="0013526C"/>
    <w:rsid w:val="001356B6"/>
    <w:rsid w:val="0013661A"/>
    <w:rsid w:val="00136E07"/>
    <w:rsid w:val="00136F43"/>
    <w:rsid w:val="001372D1"/>
    <w:rsid w:val="001374A2"/>
    <w:rsid w:val="00141121"/>
    <w:rsid w:val="001429D7"/>
    <w:rsid w:val="00143437"/>
    <w:rsid w:val="00143891"/>
    <w:rsid w:val="00145073"/>
    <w:rsid w:val="0014515E"/>
    <w:rsid w:val="0014559E"/>
    <w:rsid w:val="00145749"/>
    <w:rsid w:val="00145EF0"/>
    <w:rsid w:val="001462D6"/>
    <w:rsid w:val="001464A7"/>
    <w:rsid w:val="00147344"/>
    <w:rsid w:val="001477F2"/>
    <w:rsid w:val="0015059D"/>
    <w:rsid w:val="00151322"/>
    <w:rsid w:val="00151A22"/>
    <w:rsid w:val="00152576"/>
    <w:rsid w:val="00152C66"/>
    <w:rsid w:val="00153A5A"/>
    <w:rsid w:val="00153EDA"/>
    <w:rsid w:val="001547CA"/>
    <w:rsid w:val="00154C02"/>
    <w:rsid w:val="00154C69"/>
    <w:rsid w:val="0015529D"/>
    <w:rsid w:val="00156328"/>
    <w:rsid w:val="00156678"/>
    <w:rsid w:val="00156E9D"/>
    <w:rsid w:val="001573B4"/>
    <w:rsid w:val="00157B9D"/>
    <w:rsid w:val="00157E30"/>
    <w:rsid w:val="001600BF"/>
    <w:rsid w:val="001601A2"/>
    <w:rsid w:val="00160295"/>
    <w:rsid w:val="001607B6"/>
    <w:rsid w:val="001625C2"/>
    <w:rsid w:val="00162969"/>
    <w:rsid w:val="00162E86"/>
    <w:rsid w:val="00163D73"/>
    <w:rsid w:val="00163D88"/>
    <w:rsid w:val="00164096"/>
    <w:rsid w:val="0016529E"/>
    <w:rsid w:val="00165B1C"/>
    <w:rsid w:val="00166036"/>
    <w:rsid w:val="001662BD"/>
    <w:rsid w:val="001675A5"/>
    <w:rsid w:val="00170111"/>
    <w:rsid w:val="00170697"/>
    <w:rsid w:val="00171C1A"/>
    <w:rsid w:val="00172708"/>
    <w:rsid w:val="001727B0"/>
    <w:rsid w:val="00172A27"/>
    <w:rsid w:val="00172E97"/>
    <w:rsid w:val="00173260"/>
    <w:rsid w:val="00173C43"/>
    <w:rsid w:val="00174BEA"/>
    <w:rsid w:val="0017537B"/>
    <w:rsid w:val="001759CF"/>
    <w:rsid w:val="00175B5D"/>
    <w:rsid w:val="00176197"/>
    <w:rsid w:val="00176986"/>
    <w:rsid w:val="00176B7D"/>
    <w:rsid w:val="00177FB1"/>
    <w:rsid w:val="001809EC"/>
    <w:rsid w:val="00180D02"/>
    <w:rsid w:val="00181809"/>
    <w:rsid w:val="00182FF5"/>
    <w:rsid w:val="0018316B"/>
    <w:rsid w:val="001837AA"/>
    <w:rsid w:val="00183BC0"/>
    <w:rsid w:val="0018456A"/>
    <w:rsid w:val="00184681"/>
    <w:rsid w:val="001847DB"/>
    <w:rsid w:val="00185C46"/>
    <w:rsid w:val="00185D1E"/>
    <w:rsid w:val="00185D2D"/>
    <w:rsid w:val="00185EF5"/>
    <w:rsid w:val="00185F81"/>
    <w:rsid w:val="001863BC"/>
    <w:rsid w:val="0018652D"/>
    <w:rsid w:val="00186AA0"/>
    <w:rsid w:val="00187828"/>
    <w:rsid w:val="00187EAA"/>
    <w:rsid w:val="00190B5F"/>
    <w:rsid w:val="001912D2"/>
    <w:rsid w:val="00191575"/>
    <w:rsid w:val="00191DE6"/>
    <w:rsid w:val="00191FD8"/>
    <w:rsid w:val="0019224F"/>
    <w:rsid w:val="0019227A"/>
    <w:rsid w:val="001923BA"/>
    <w:rsid w:val="0019338C"/>
    <w:rsid w:val="00194C01"/>
    <w:rsid w:val="00196AD9"/>
    <w:rsid w:val="00197F91"/>
    <w:rsid w:val="001A0381"/>
    <w:rsid w:val="001A04B7"/>
    <w:rsid w:val="001A10F0"/>
    <w:rsid w:val="001A24D5"/>
    <w:rsid w:val="001A2637"/>
    <w:rsid w:val="001A270B"/>
    <w:rsid w:val="001A2CE9"/>
    <w:rsid w:val="001A37A7"/>
    <w:rsid w:val="001A397E"/>
    <w:rsid w:val="001A3D56"/>
    <w:rsid w:val="001A3E22"/>
    <w:rsid w:val="001A4A03"/>
    <w:rsid w:val="001A4DEE"/>
    <w:rsid w:val="001A51A4"/>
    <w:rsid w:val="001A52EC"/>
    <w:rsid w:val="001A592E"/>
    <w:rsid w:val="001A5B3D"/>
    <w:rsid w:val="001A608D"/>
    <w:rsid w:val="001A64AB"/>
    <w:rsid w:val="001A69D0"/>
    <w:rsid w:val="001A7510"/>
    <w:rsid w:val="001A79FC"/>
    <w:rsid w:val="001B0FFF"/>
    <w:rsid w:val="001B1422"/>
    <w:rsid w:val="001B1780"/>
    <w:rsid w:val="001B2789"/>
    <w:rsid w:val="001B3396"/>
    <w:rsid w:val="001B45AC"/>
    <w:rsid w:val="001B4641"/>
    <w:rsid w:val="001B49B9"/>
    <w:rsid w:val="001B4AC9"/>
    <w:rsid w:val="001B53CE"/>
    <w:rsid w:val="001B5555"/>
    <w:rsid w:val="001B5A4E"/>
    <w:rsid w:val="001B621A"/>
    <w:rsid w:val="001B639B"/>
    <w:rsid w:val="001B66C9"/>
    <w:rsid w:val="001B7226"/>
    <w:rsid w:val="001B79CA"/>
    <w:rsid w:val="001C006C"/>
    <w:rsid w:val="001C046C"/>
    <w:rsid w:val="001C0792"/>
    <w:rsid w:val="001C111E"/>
    <w:rsid w:val="001C1954"/>
    <w:rsid w:val="001C1CB6"/>
    <w:rsid w:val="001C2637"/>
    <w:rsid w:val="001C2856"/>
    <w:rsid w:val="001C36F2"/>
    <w:rsid w:val="001C37B8"/>
    <w:rsid w:val="001C3997"/>
    <w:rsid w:val="001C4006"/>
    <w:rsid w:val="001C4264"/>
    <w:rsid w:val="001C5049"/>
    <w:rsid w:val="001C5A88"/>
    <w:rsid w:val="001C5F33"/>
    <w:rsid w:val="001D131F"/>
    <w:rsid w:val="001D145B"/>
    <w:rsid w:val="001D1E0C"/>
    <w:rsid w:val="001D2BC7"/>
    <w:rsid w:val="001D32DF"/>
    <w:rsid w:val="001D3347"/>
    <w:rsid w:val="001D342C"/>
    <w:rsid w:val="001D3D7A"/>
    <w:rsid w:val="001D3D91"/>
    <w:rsid w:val="001D3FE6"/>
    <w:rsid w:val="001D426E"/>
    <w:rsid w:val="001D47A2"/>
    <w:rsid w:val="001D4CB2"/>
    <w:rsid w:val="001D5364"/>
    <w:rsid w:val="001D542E"/>
    <w:rsid w:val="001D5AB1"/>
    <w:rsid w:val="001D6B41"/>
    <w:rsid w:val="001D6B43"/>
    <w:rsid w:val="001D6C9C"/>
    <w:rsid w:val="001D7C0A"/>
    <w:rsid w:val="001E135A"/>
    <w:rsid w:val="001E1B96"/>
    <w:rsid w:val="001E3151"/>
    <w:rsid w:val="001E33E7"/>
    <w:rsid w:val="001E3A70"/>
    <w:rsid w:val="001E4160"/>
    <w:rsid w:val="001E4638"/>
    <w:rsid w:val="001E4649"/>
    <w:rsid w:val="001E4806"/>
    <w:rsid w:val="001E4F61"/>
    <w:rsid w:val="001E5228"/>
    <w:rsid w:val="001E56BE"/>
    <w:rsid w:val="001E5D7F"/>
    <w:rsid w:val="001E606C"/>
    <w:rsid w:val="001E6E0F"/>
    <w:rsid w:val="001E7383"/>
    <w:rsid w:val="001E7A45"/>
    <w:rsid w:val="001F0090"/>
    <w:rsid w:val="001F01FC"/>
    <w:rsid w:val="001F145B"/>
    <w:rsid w:val="001F1B44"/>
    <w:rsid w:val="001F220E"/>
    <w:rsid w:val="001F299F"/>
    <w:rsid w:val="001F409D"/>
    <w:rsid w:val="001F4364"/>
    <w:rsid w:val="001F4B03"/>
    <w:rsid w:val="001F53DC"/>
    <w:rsid w:val="001F612B"/>
    <w:rsid w:val="001F69C1"/>
    <w:rsid w:val="001F7194"/>
    <w:rsid w:val="001F78C9"/>
    <w:rsid w:val="00200210"/>
    <w:rsid w:val="002005D7"/>
    <w:rsid w:val="00200C07"/>
    <w:rsid w:val="00201D62"/>
    <w:rsid w:val="002030D5"/>
    <w:rsid w:val="00203236"/>
    <w:rsid w:val="00203374"/>
    <w:rsid w:val="002047A7"/>
    <w:rsid w:val="00204832"/>
    <w:rsid w:val="00205192"/>
    <w:rsid w:val="002069C4"/>
    <w:rsid w:val="00207574"/>
    <w:rsid w:val="00207788"/>
    <w:rsid w:val="00207BB0"/>
    <w:rsid w:val="00210236"/>
    <w:rsid w:val="00210822"/>
    <w:rsid w:val="00210837"/>
    <w:rsid w:val="00210B9B"/>
    <w:rsid w:val="002119E2"/>
    <w:rsid w:val="00213134"/>
    <w:rsid w:val="00213C7B"/>
    <w:rsid w:val="00213CE3"/>
    <w:rsid w:val="00214AE1"/>
    <w:rsid w:val="00215B9B"/>
    <w:rsid w:val="00215DE3"/>
    <w:rsid w:val="0021617D"/>
    <w:rsid w:val="00216288"/>
    <w:rsid w:val="002168F3"/>
    <w:rsid w:val="00216ACD"/>
    <w:rsid w:val="00217785"/>
    <w:rsid w:val="00217AA5"/>
    <w:rsid w:val="00220B21"/>
    <w:rsid w:val="00220BFA"/>
    <w:rsid w:val="00220CA4"/>
    <w:rsid w:val="00221ADA"/>
    <w:rsid w:val="00221C35"/>
    <w:rsid w:val="00221E2F"/>
    <w:rsid w:val="00223AA0"/>
    <w:rsid w:val="00223AE2"/>
    <w:rsid w:val="00223DA7"/>
    <w:rsid w:val="002255D4"/>
    <w:rsid w:val="00225CAB"/>
    <w:rsid w:val="002262D7"/>
    <w:rsid w:val="002263C7"/>
    <w:rsid w:val="0022681A"/>
    <w:rsid w:val="00226A6D"/>
    <w:rsid w:val="00226C7E"/>
    <w:rsid w:val="00226F54"/>
    <w:rsid w:val="00230B9C"/>
    <w:rsid w:val="0023120C"/>
    <w:rsid w:val="002313E0"/>
    <w:rsid w:val="002313FE"/>
    <w:rsid w:val="002314F8"/>
    <w:rsid w:val="002323C0"/>
    <w:rsid w:val="00232AAB"/>
    <w:rsid w:val="00232BF8"/>
    <w:rsid w:val="0023312F"/>
    <w:rsid w:val="00233272"/>
    <w:rsid w:val="002332E7"/>
    <w:rsid w:val="00235CBD"/>
    <w:rsid w:val="00235F11"/>
    <w:rsid w:val="00235F5D"/>
    <w:rsid w:val="00236110"/>
    <w:rsid w:val="00236A1E"/>
    <w:rsid w:val="0023765F"/>
    <w:rsid w:val="00240C76"/>
    <w:rsid w:val="002420BD"/>
    <w:rsid w:val="002428DE"/>
    <w:rsid w:val="00244795"/>
    <w:rsid w:val="00244A39"/>
    <w:rsid w:val="00244F4D"/>
    <w:rsid w:val="00245C72"/>
    <w:rsid w:val="002460FA"/>
    <w:rsid w:val="00246576"/>
    <w:rsid w:val="00247748"/>
    <w:rsid w:val="00247F10"/>
    <w:rsid w:val="00247FE9"/>
    <w:rsid w:val="00250620"/>
    <w:rsid w:val="002518C7"/>
    <w:rsid w:val="00251E58"/>
    <w:rsid w:val="00253905"/>
    <w:rsid w:val="00253AB5"/>
    <w:rsid w:val="00253B1F"/>
    <w:rsid w:val="00253BF2"/>
    <w:rsid w:val="00254615"/>
    <w:rsid w:val="00254CE6"/>
    <w:rsid w:val="00254EAD"/>
    <w:rsid w:val="002554CD"/>
    <w:rsid w:val="00255AD8"/>
    <w:rsid w:val="00256102"/>
    <w:rsid w:val="00256160"/>
    <w:rsid w:val="00256BBA"/>
    <w:rsid w:val="00257F6D"/>
    <w:rsid w:val="00260023"/>
    <w:rsid w:val="0026021A"/>
    <w:rsid w:val="00260547"/>
    <w:rsid w:val="00260C1C"/>
    <w:rsid w:val="002617CC"/>
    <w:rsid w:val="0026186B"/>
    <w:rsid w:val="00261A0E"/>
    <w:rsid w:val="002625CB"/>
    <w:rsid w:val="00263DEF"/>
    <w:rsid w:val="00263F53"/>
    <w:rsid w:val="00264009"/>
    <w:rsid w:val="00264B45"/>
    <w:rsid w:val="002652AD"/>
    <w:rsid w:val="00266004"/>
    <w:rsid w:val="00267D9A"/>
    <w:rsid w:val="00270584"/>
    <w:rsid w:val="00270EA2"/>
    <w:rsid w:val="00271121"/>
    <w:rsid w:val="00272DFC"/>
    <w:rsid w:val="00275E57"/>
    <w:rsid w:val="0027616F"/>
    <w:rsid w:val="00276544"/>
    <w:rsid w:val="002767BF"/>
    <w:rsid w:val="00276976"/>
    <w:rsid w:val="00280525"/>
    <w:rsid w:val="00280656"/>
    <w:rsid w:val="00280870"/>
    <w:rsid w:val="002833C1"/>
    <w:rsid w:val="00284030"/>
    <w:rsid w:val="002846C4"/>
    <w:rsid w:val="00284927"/>
    <w:rsid w:val="00284BF6"/>
    <w:rsid w:val="00284C89"/>
    <w:rsid w:val="0028576F"/>
    <w:rsid w:val="00286B67"/>
    <w:rsid w:val="00287246"/>
    <w:rsid w:val="002906BB"/>
    <w:rsid w:val="00290940"/>
    <w:rsid w:val="00290E68"/>
    <w:rsid w:val="002910C9"/>
    <w:rsid w:val="00291975"/>
    <w:rsid w:val="00291DAD"/>
    <w:rsid w:val="00292529"/>
    <w:rsid w:val="00293C98"/>
    <w:rsid w:val="00293EC9"/>
    <w:rsid w:val="00294080"/>
    <w:rsid w:val="00294418"/>
    <w:rsid w:val="00294552"/>
    <w:rsid w:val="00294950"/>
    <w:rsid w:val="00295227"/>
    <w:rsid w:val="00295F39"/>
    <w:rsid w:val="00295F45"/>
    <w:rsid w:val="00296775"/>
    <w:rsid w:val="00296DDD"/>
    <w:rsid w:val="00297942"/>
    <w:rsid w:val="00297DE3"/>
    <w:rsid w:val="002A0ED2"/>
    <w:rsid w:val="002A135C"/>
    <w:rsid w:val="002A181B"/>
    <w:rsid w:val="002A1BC6"/>
    <w:rsid w:val="002A267D"/>
    <w:rsid w:val="002A270F"/>
    <w:rsid w:val="002A2B15"/>
    <w:rsid w:val="002A2B1E"/>
    <w:rsid w:val="002A323D"/>
    <w:rsid w:val="002A40F2"/>
    <w:rsid w:val="002A4A6F"/>
    <w:rsid w:val="002A5325"/>
    <w:rsid w:val="002A724F"/>
    <w:rsid w:val="002A7B53"/>
    <w:rsid w:val="002B05B1"/>
    <w:rsid w:val="002B0C56"/>
    <w:rsid w:val="002B128E"/>
    <w:rsid w:val="002B1B6D"/>
    <w:rsid w:val="002B213F"/>
    <w:rsid w:val="002B278C"/>
    <w:rsid w:val="002B2D48"/>
    <w:rsid w:val="002B4C67"/>
    <w:rsid w:val="002B4F5A"/>
    <w:rsid w:val="002B5256"/>
    <w:rsid w:val="002B56E3"/>
    <w:rsid w:val="002B5792"/>
    <w:rsid w:val="002B6DF3"/>
    <w:rsid w:val="002B7809"/>
    <w:rsid w:val="002C0FD0"/>
    <w:rsid w:val="002C2AE1"/>
    <w:rsid w:val="002C35C5"/>
    <w:rsid w:val="002C37C7"/>
    <w:rsid w:val="002C3950"/>
    <w:rsid w:val="002C3E69"/>
    <w:rsid w:val="002C4303"/>
    <w:rsid w:val="002C4472"/>
    <w:rsid w:val="002C5B91"/>
    <w:rsid w:val="002C6C98"/>
    <w:rsid w:val="002C6F15"/>
    <w:rsid w:val="002D00D0"/>
    <w:rsid w:val="002D00D7"/>
    <w:rsid w:val="002D04B3"/>
    <w:rsid w:val="002D0A76"/>
    <w:rsid w:val="002D12D5"/>
    <w:rsid w:val="002D19C8"/>
    <w:rsid w:val="002D25AB"/>
    <w:rsid w:val="002D2CF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3C3"/>
    <w:rsid w:val="002E3AE8"/>
    <w:rsid w:val="002E3FFE"/>
    <w:rsid w:val="002E4E50"/>
    <w:rsid w:val="002E53D0"/>
    <w:rsid w:val="002E5625"/>
    <w:rsid w:val="002E5931"/>
    <w:rsid w:val="002E5C58"/>
    <w:rsid w:val="002E6A86"/>
    <w:rsid w:val="002E6E46"/>
    <w:rsid w:val="002E7D58"/>
    <w:rsid w:val="002F00FE"/>
    <w:rsid w:val="002F0609"/>
    <w:rsid w:val="002F1457"/>
    <w:rsid w:val="002F1614"/>
    <w:rsid w:val="002F17EB"/>
    <w:rsid w:val="002F1947"/>
    <w:rsid w:val="002F1B84"/>
    <w:rsid w:val="002F1D85"/>
    <w:rsid w:val="002F25D7"/>
    <w:rsid w:val="002F284C"/>
    <w:rsid w:val="002F2B81"/>
    <w:rsid w:val="002F3352"/>
    <w:rsid w:val="002F36AE"/>
    <w:rsid w:val="002F4DAB"/>
    <w:rsid w:val="002F5103"/>
    <w:rsid w:val="002F5779"/>
    <w:rsid w:val="002F5C8F"/>
    <w:rsid w:val="002F703B"/>
    <w:rsid w:val="0030040F"/>
    <w:rsid w:val="00301558"/>
    <w:rsid w:val="003023C6"/>
    <w:rsid w:val="00302CF7"/>
    <w:rsid w:val="00302D27"/>
    <w:rsid w:val="00302E1C"/>
    <w:rsid w:val="00303D3C"/>
    <w:rsid w:val="0030429A"/>
    <w:rsid w:val="003052AB"/>
    <w:rsid w:val="00305F0B"/>
    <w:rsid w:val="003060C4"/>
    <w:rsid w:val="0030668D"/>
    <w:rsid w:val="003069D9"/>
    <w:rsid w:val="00307BA1"/>
    <w:rsid w:val="003100DF"/>
    <w:rsid w:val="00311611"/>
    <w:rsid w:val="00311B0A"/>
    <w:rsid w:val="003137D4"/>
    <w:rsid w:val="00314227"/>
    <w:rsid w:val="00314DBA"/>
    <w:rsid w:val="00314EFA"/>
    <w:rsid w:val="00315AB3"/>
    <w:rsid w:val="0031608D"/>
    <w:rsid w:val="003164A3"/>
    <w:rsid w:val="00317A63"/>
    <w:rsid w:val="00317BA9"/>
    <w:rsid w:val="003200AE"/>
    <w:rsid w:val="0032034B"/>
    <w:rsid w:val="00320397"/>
    <w:rsid w:val="00320BF6"/>
    <w:rsid w:val="00320EFA"/>
    <w:rsid w:val="00321E23"/>
    <w:rsid w:val="0032215C"/>
    <w:rsid w:val="00322259"/>
    <w:rsid w:val="00322312"/>
    <w:rsid w:val="003255F1"/>
    <w:rsid w:val="00325789"/>
    <w:rsid w:val="00325A5A"/>
    <w:rsid w:val="00325A89"/>
    <w:rsid w:val="00326A2E"/>
    <w:rsid w:val="003272E3"/>
    <w:rsid w:val="00327843"/>
    <w:rsid w:val="00327CF0"/>
    <w:rsid w:val="00330325"/>
    <w:rsid w:val="00331922"/>
    <w:rsid w:val="00331AFB"/>
    <w:rsid w:val="0033295D"/>
    <w:rsid w:val="00332B79"/>
    <w:rsid w:val="00333CAB"/>
    <w:rsid w:val="00333D3B"/>
    <w:rsid w:val="00334C5E"/>
    <w:rsid w:val="00336AC2"/>
    <w:rsid w:val="00336FD3"/>
    <w:rsid w:val="00337B76"/>
    <w:rsid w:val="00337BB7"/>
    <w:rsid w:val="00337C26"/>
    <w:rsid w:val="00341DE7"/>
    <w:rsid w:val="003430E1"/>
    <w:rsid w:val="00345199"/>
    <w:rsid w:val="003451FE"/>
    <w:rsid w:val="003462BA"/>
    <w:rsid w:val="00346B52"/>
    <w:rsid w:val="00346C19"/>
    <w:rsid w:val="00346E53"/>
    <w:rsid w:val="003471EA"/>
    <w:rsid w:val="0034781A"/>
    <w:rsid w:val="00350096"/>
    <w:rsid w:val="00350421"/>
    <w:rsid w:val="0035042D"/>
    <w:rsid w:val="00350759"/>
    <w:rsid w:val="0035088B"/>
    <w:rsid w:val="00350FBD"/>
    <w:rsid w:val="003510DF"/>
    <w:rsid w:val="003511E3"/>
    <w:rsid w:val="0035181E"/>
    <w:rsid w:val="00352162"/>
    <w:rsid w:val="0035252E"/>
    <w:rsid w:val="00353C02"/>
    <w:rsid w:val="00353F48"/>
    <w:rsid w:val="0035422F"/>
    <w:rsid w:val="00354301"/>
    <w:rsid w:val="003544A3"/>
    <w:rsid w:val="00354632"/>
    <w:rsid w:val="00354AC8"/>
    <w:rsid w:val="0035571F"/>
    <w:rsid w:val="00355FB1"/>
    <w:rsid w:val="003560A3"/>
    <w:rsid w:val="00356A1A"/>
    <w:rsid w:val="00357768"/>
    <w:rsid w:val="003579C1"/>
    <w:rsid w:val="00357A6C"/>
    <w:rsid w:val="00360B24"/>
    <w:rsid w:val="00360B88"/>
    <w:rsid w:val="00361478"/>
    <w:rsid w:val="003621B0"/>
    <w:rsid w:val="00363105"/>
    <w:rsid w:val="00363317"/>
    <w:rsid w:val="00363BEF"/>
    <w:rsid w:val="00365288"/>
    <w:rsid w:val="00366C33"/>
    <w:rsid w:val="0036705C"/>
    <w:rsid w:val="003673C9"/>
    <w:rsid w:val="00370782"/>
    <w:rsid w:val="003735E7"/>
    <w:rsid w:val="003737B0"/>
    <w:rsid w:val="003743F8"/>
    <w:rsid w:val="00374B13"/>
    <w:rsid w:val="00374FC1"/>
    <w:rsid w:val="003756A2"/>
    <w:rsid w:val="0037677A"/>
    <w:rsid w:val="00376DED"/>
    <w:rsid w:val="003774A0"/>
    <w:rsid w:val="0037767D"/>
    <w:rsid w:val="003810DB"/>
    <w:rsid w:val="00381624"/>
    <w:rsid w:val="003816C1"/>
    <w:rsid w:val="00381985"/>
    <w:rsid w:val="00382571"/>
    <w:rsid w:val="0038489B"/>
    <w:rsid w:val="003849B0"/>
    <w:rsid w:val="003857D9"/>
    <w:rsid w:val="003862DF"/>
    <w:rsid w:val="003863BE"/>
    <w:rsid w:val="00386566"/>
    <w:rsid w:val="00386647"/>
    <w:rsid w:val="00386A94"/>
    <w:rsid w:val="00387330"/>
    <w:rsid w:val="003876FF"/>
    <w:rsid w:val="00392FC0"/>
    <w:rsid w:val="003942E8"/>
    <w:rsid w:val="00394ECF"/>
    <w:rsid w:val="003955B2"/>
    <w:rsid w:val="00395890"/>
    <w:rsid w:val="003959A5"/>
    <w:rsid w:val="00395F26"/>
    <w:rsid w:val="00395FAA"/>
    <w:rsid w:val="00397827"/>
    <w:rsid w:val="003A063A"/>
    <w:rsid w:val="003A0B73"/>
    <w:rsid w:val="003A104E"/>
    <w:rsid w:val="003A13C4"/>
    <w:rsid w:val="003A2DD9"/>
    <w:rsid w:val="003A32F3"/>
    <w:rsid w:val="003A3817"/>
    <w:rsid w:val="003A384F"/>
    <w:rsid w:val="003A3985"/>
    <w:rsid w:val="003A50D9"/>
    <w:rsid w:val="003A543D"/>
    <w:rsid w:val="003A62CE"/>
    <w:rsid w:val="003A7AC8"/>
    <w:rsid w:val="003A7CFF"/>
    <w:rsid w:val="003B01F4"/>
    <w:rsid w:val="003B06DA"/>
    <w:rsid w:val="003B16AA"/>
    <w:rsid w:val="003B188F"/>
    <w:rsid w:val="003B1BEC"/>
    <w:rsid w:val="003B1D0C"/>
    <w:rsid w:val="003B2BA8"/>
    <w:rsid w:val="003B2DEE"/>
    <w:rsid w:val="003B3AF7"/>
    <w:rsid w:val="003B4180"/>
    <w:rsid w:val="003B4356"/>
    <w:rsid w:val="003B449D"/>
    <w:rsid w:val="003B453B"/>
    <w:rsid w:val="003B481F"/>
    <w:rsid w:val="003B536B"/>
    <w:rsid w:val="003B71F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3096"/>
    <w:rsid w:val="003D3994"/>
    <w:rsid w:val="003D3D95"/>
    <w:rsid w:val="003D3EC0"/>
    <w:rsid w:val="003D519A"/>
    <w:rsid w:val="003D73AB"/>
    <w:rsid w:val="003D7CDF"/>
    <w:rsid w:val="003D7CEB"/>
    <w:rsid w:val="003E00AC"/>
    <w:rsid w:val="003E095B"/>
    <w:rsid w:val="003E0FA5"/>
    <w:rsid w:val="003E1840"/>
    <w:rsid w:val="003E1962"/>
    <w:rsid w:val="003E1E97"/>
    <w:rsid w:val="003E2F30"/>
    <w:rsid w:val="003E30A3"/>
    <w:rsid w:val="003E39C3"/>
    <w:rsid w:val="003E3D24"/>
    <w:rsid w:val="003E414B"/>
    <w:rsid w:val="003E431F"/>
    <w:rsid w:val="003E5349"/>
    <w:rsid w:val="003E5810"/>
    <w:rsid w:val="003E5A25"/>
    <w:rsid w:val="003E5D32"/>
    <w:rsid w:val="003E607E"/>
    <w:rsid w:val="003E691B"/>
    <w:rsid w:val="003E6E97"/>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72D"/>
    <w:rsid w:val="003F5758"/>
    <w:rsid w:val="003F5D0D"/>
    <w:rsid w:val="003F6A41"/>
    <w:rsid w:val="003F6B54"/>
    <w:rsid w:val="003F6CAD"/>
    <w:rsid w:val="003F7235"/>
    <w:rsid w:val="004003FD"/>
    <w:rsid w:val="00402496"/>
    <w:rsid w:val="00402A13"/>
    <w:rsid w:val="0040368D"/>
    <w:rsid w:val="00403A8C"/>
    <w:rsid w:val="0040409E"/>
    <w:rsid w:val="004049EE"/>
    <w:rsid w:val="00404D01"/>
    <w:rsid w:val="00404D50"/>
    <w:rsid w:val="00404ECC"/>
    <w:rsid w:val="004051A6"/>
    <w:rsid w:val="0040652E"/>
    <w:rsid w:val="004071FD"/>
    <w:rsid w:val="0040738B"/>
    <w:rsid w:val="0041009D"/>
    <w:rsid w:val="004112F1"/>
    <w:rsid w:val="00411E8B"/>
    <w:rsid w:val="004122FB"/>
    <w:rsid w:val="0041282D"/>
    <w:rsid w:val="00412F73"/>
    <w:rsid w:val="00413F7A"/>
    <w:rsid w:val="004143DC"/>
    <w:rsid w:val="004147E2"/>
    <w:rsid w:val="00414CF4"/>
    <w:rsid w:val="00416802"/>
    <w:rsid w:val="00416812"/>
    <w:rsid w:val="00416BBD"/>
    <w:rsid w:val="00416D0A"/>
    <w:rsid w:val="00417112"/>
    <w:rsid w:val="00417637"/>
    <w:rsid w:val="00420B78"/>
    <w:rsid w:val="00420E3D"/>
    <w:rsid w:val="0042141A"/>
    <w:rsid w:val="00421E05"/>
    <w:rsid w:val="00422223"/>
    <w:rsid w:val="00422AB4"/>
    <w:rsid w:val="00422E58"/>
    <w:rsid w:val="0042311F"/>
    <w:rsid w:val="004234EC"/>
    <w:rsid w:val="004235E3"/>
    <w:rsid w:val="00423606"/>
    <w:rsid w:val="00424647"/>
    <w:rsid w:val="00424703"/>
    <w:rsid w:val="00424934"/>
    <w:rsid w:val="00425C37"/>
    <w:rsid w:val="0042603F"/>
    <w:rsid w:val="004261BD"/>
    <w:rsid w:val="004274AD"/>
    <w:rsid w:val="00427703"/>
    <w:rsid w:val="00430C76"/>
    <w:rsid w:val="00430F20"/>
    <w:rsid w:val="00431332"/>
    <w:rsid w:val="00431CF2"/>
    <w:rsid w:val="00431D90"/>
    <w:rsid w:val="00431E46"/>
    <w:rsid w:val="004329FE"/>
    <w:rsid w:val="00432A04"/>
    <w:rsid w:val="0043402A"/>
    <w:rsid w:val="00434769"/>
    <w:rsid w:val="0043518D"/>
    <w:rsid w:val="004351DE"/>
    <w:rsid w:val="00436611"/>
    <w:rsid w:val="00437A2F"/>
    <w:rsid w:val="00437D58"/>
    <w:rsid w:val="00440164"/>
    <w:rsid w:val="004405EC"/>
    <w:rsid w:val="00440E18"/>
    <w:rsid w:val="004426B7"/>
    <w:rsid w:val="00442FF5"/>
    <w:rsid w:val="00443834"/>
    <w:rsid w:val="00444140"/>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CE9"/>
    <w:rsid w:val="004540DE"/>
    <w:rsid w:val="00454961"/>
    <w:rsid w:val="004551EE"/>
    <w:rsid w:val="00455682"/>
    <w:rsid w:val="00455922"/>
    <w:rsid w:val="00456610"/>
    <w:rsid w:val="00456BE9"/>
    <w:rsid w:val="00460061"/>
    <w:rsid w:val="004603B8"/>
    <w:rsid w:val="004610FB"/>
    <w:rsid w:val="00461667"/>
    <w:rsid w:val="00461CAB"/>
    <w:rsid w:val="00463040"/>
    <w:rsid w:val="00463317"/>
    <w:rsid w:val="00463E66"/>
    <w:rsid w:val="00463FE3"/>
    <w:rsid w:val="0046562A"/>
    <w:rsid w:val="00465DDA"/>
    <w:rsid w:val="00465E8B"/>
    <w:rsid w:val="0046640E"/>
    <w:rsid w:val="004665CA"/>
    <w:rsid w:val="00467256"/>
    <w:rsid w:val="00467674"/>
    <w:rsid w:val="00467A24"/>
    <w:rsid w:val="00470652"/>
    <w:rsid w:val="00470A24"/>
    <w:rsid w:val="0047201A"/>
    <w:rsid w:val="004729B4"/>
    <w:rsid w:val="0047427E"/>
    <w:rsid w:val="004742C1"/>
    <w:rsid w:val="00475FDF"/>
    <w:rsid w:val="00477289"/>
    <w:rsid w:val="00477456"/>
    <w:rsid w:val="00477793"/>
    <w:rsid w:val="00477A00"/>
    <w:rsid w:val="00480059"/>
    <w:rsid w:val="00480DC1"/>
    <w:rsid w:val="00480DE2"/>
    <w:rsid w:val="00481480"/>
    <w:rsid w:val="00481D6F"/>
    <w:rsid w:val="00482162"/>
    <w:rsid w:val="0048291E"/>
    <w:rsid w:val="00482A59"/>
    <w:rsid w:val="00483652"/>
    <w:rsid w:val="00483666"/>
    <w:rsid w:val="004843A9"/>
    <w:rsid w:val="0048472A"/>
    <w:rsid w:val="00484B49"/>
    <w:rsid w:val="00484D59"/>
    <w:rsid w:val="00485526"/>
    <w:rsid w:val="00485B21"/>
    <w:rsid w:val="00485F07"/>
    <w:rsid w:val="00486428"/>
    <w:rsid w:val="00486503"/>
    <w:rsid w:val="004866D8"/>
    <w:rsid w:val="00486987"/>
    <w:rsid w:val="00487537"/>
    <w:rsid w:val="00491CDE"/>
    <w:rsid w:val="00491EB1"/>
    <w:rsid w:val="00492566"/>
    <w:rsid w:val="00492C10"/>
    <w:rsid w:val="00492E53"/>
    <w:rsid w:val="004931AE"/>
    <w:rsid w:val="004933FA"/>
    <w:rsid w:val="004935EE"/>
    <w:rsid w:val="00493F1E"/>
    <w:rsid w:val="00493F29"/>
    <w:rsid w:val="00494354"/>
    <w:rsid w:val="00494902"/>
    <w:rsid w:val="00494E82"/>
    <w:rsid w:val="00495886"/>
    <w:rsid w:val="00496444"/>
    <w:rsid w:val="0049662F"/>
    <w:rsid w:val="00496E76"/>
    <w:rsid w:val="00497018"/>
    <w:rsid w:val="00497A39"/>
    <w:rsid w:val="004A0666"/>
    <w:rsid w:val="004A19F6"/>
    <w:rsid w:val="004A1CF8"/>
    <w:rsid w:val="004A1F56"/>
    <w:rsid w:val="004A259D"/>
    <w:rsid w:val="004A2E1F"/>
    <w:rsid w:val="004A3892"/>
    <w:rsid w:val="004A487F"/>
    <w:rsid w:val="004A4B9D"/>
    <w:rsid w:val="004A4CA4"/>
    <w:rsid w:val="004A54AA"/>
    <w:rsid w:val="004A6F45"/>
    <w:rsid w:val="004A7062"/>
    <w:rsid w:val="004A78CA"/>
    <w:rsid w:val="004B02A4"/>
    <w:rsid w:val="004B0356"/>
    <w:rsid w:val="004B06C5"/>
    <w:rsid w:val="004B0916"/>
    <w:rsid w:val="004B1C66"/>
    <w:rsid w:val="004B1FAC"/>
    <w:rsid w:val="004B2291"/>
    <w:rsid w:val="004B2624"/>
    <w:rsid w:val="004B2A6A"/>
    <w:rsid w:val="004B2E7D"/>
    <w:rsid w:val="004B317D"/>
    <w:rsid w:val="004B40A3"/>
    <w:rsid w:val="004B4463"/>
    <w:rsid w:val="004B4B08"/>
    <w:rsid w:val="004B53FF"/>
    <w:rsid w:val="004B6418"/>
    <w:rsid w:val="004B666A"/>
    <w:rsid w:val="004B6989"/>
    <w:rsid w:val="004B763D"/>
    <w:rsid w:val="004C0192"/>
    <w:rsid w:val="004C04BD"/>
    <w:rsid w:val="004C0E2B"/>
    <w:rsid w:val="004C1270"/>
    <w:rsid w:val="004C1B57"/>
    <w:rsid w:val="004C1E9C"/>
    <w:rsid w:val="004C36A9"/>
    <w:rsid w:val="004C497E"/>
    <w:rsid w:val="004C4AD3"/>
    <w:rsid w:val="004C53C4"/>
    <w:rsid w:val="004C5844"/>
    <w:rsid w:val="004C6AD2"/>
    <w:rsid w:val="004C7513"/>
    <w:rsid w:val="004C782F"/>
    <w:rsid w:val="004D00C0"/>
    <w:rsid w:val="004D01EE"/>
    <w:rsid w:val="004D0448"/>
    <w:rsid w:val="004D0BA0"/>
    <w:rsid w:val="004D0BD0"/>
    <w:rsid w:val="004D1D79"/>
    <w:rsid w:val="004D34C3"/>
    <w:rsid w:val="004D45C4"/>
    <w:rsid w:val="004D4841"/>
    <w:rsid w:val="004D487B"/>
    <w:rsid w:val="004D4D09"/>
    <w:rsid w:val="004D5792"/>
    <w:rsid w:val="004D6A43"/>
    <w:rsid w:val="004D7C59"/>
    <w:rsid w:val="004E0137"/>
    <w:rsid w:val="004E02E5"/>
    <w:rsid w:val="004E15D4"/>
    <w:rsid w:val="004E16F7"/>
    <w:rsid w:val="004E2127"/>
    <w:rsid w:val="004E296C"/>
    <w:rsid w:val="004E2AE2"/>
    <w:rsid w:val="004E33F3"/>
    <w:rsid w:val="004E3597"/>
    <w:rsid w:val="004E3A28"/>
    <w:rsid w:val="004E3C34"/>
    <w:rsid w:val="004E3CE1"/>
    <w:rsid w:val="004E3FF1"/>
    <w:rsid w:val="004E41E2"/>
    <w:rsid w:val="004E55B7"/>
    <w:rsid w:val="004E56D9"/>
    <w:rsid w:val="004E5DCB"/>
    <w:rsid w:val="004E637C"/>
    <w:rsid w:val="004E662F"/>
    <w:rsid w:val="004E725F"/>
    <w:rsid w:val="004E75BB"/>
    <w:rsid w:val="004E790B"/>
    <w:rsid w:val="004E798E"/>
    <w:rsid w:val="004E7D1F"/>
    <w:rsid w:val="004F0307"/>
    <w:rsid w:val="004F057A"/>
    <w:rsid w:val="004F0C75"/>
    <w:rsid w:val="004F1517"/>
    <w:rsid w:val="004F1523"/>
    <w:rsid w:val="004F1EF0"/>
    <w:rsid w:val="004F2892"/>
    <w:rsid w:val="004F29DC"/>
    <w:rsid w:val="004F362E"/>
    <w:rsid w:val="004F3ECB"/>
    <w:rsid w:val="004F45A5"/>
    <w:rsid w:val="004F49AE"/>
    <w:rsid w:val="004F4D44"/>
    <w:rsid w:val="004F6534"/>
    <w:rsid w:val="004F6880"/>
    <w:rsid w:val="004F6EB3"/>
    <w:rsid w:val="004F6FCA"/>
    <w:rsid w:val="004F7453"/>
    <w:rsid w:val="004F78BC"/>
    <w:rsid w:val="005005A1"/>
    <w:rsid w:val="00501299"/>
    <w:rsid w:val="0050150A"/>
    <w:rsid w:val="005017CC"/>
    <w:rsid w:val="00501BFD"/>
    <w:rsid w:val="005027F1"/>
    <w:rsid w:val="00502B48"/>
    <w:rsid w:val="00503DD2"/>
    <w:rsid w:val="005048DA"/>
    <w:rsid w:val="00504C15"/>
    <w:rsid w:val="00505537"/>
    <w:rsid w:val="00506C1E"/>
    <w:rsid w:val="00506CCD"/>
    <w:rsid w:val="0050717B"/>
    <w:rsid w:val="00507647"/>
    <w:rsid w:val="0051007E"/>
    <w:rsid w:val="00510BB6"/>
    <w:rsid w:val="00511D79"/>
    <w:rsid w:val="00512B4C"/>
    <w:rsid w:val="0051432D"/>
    <w:rsid w:val="005154AD"/>
    <w:rsid w:val="00515628"/>
    <w:rsid w:val="00515BE6"/>
    <w:rsid w:val="005160F6"/>
    <w:rsid w:val="00516D87"/>
    <w:rsid w:val="005173B6"/>
    <w:rsid w:val="00520280"/>
    <w:rsid w:val="00520497"/>
    <w:rsid w:val="00520520"/>
    <w:rsid w:val="00520CEA"/>
    <w:rsid w:val="005213D0"/>
    <w:rsid w:val="00521423"/>
    <w:rsid w:val="005229B8"/>
    <w:rsid w:val="00523135"/>
    <w:rsid w:val="0052318E"/>
    <w:rsid w:val="00523C54"/>
    <w:rsid w:val="00524020"/>
    <w:rsid w:val="0052466B"/>
    <w:rsid w:val="005248DE"/>
    <w:rsid w:val="00525D3A"/>
    <w:rsid w:val="005262E7"/>
    <w:rsid w:val="00526A26"/>
    <w:rsid w:val="0053207B"/>
    <w:rsid w:val="00532381"/>
    <w:rsid w:val="005323FA"/>
    <w:rsid w:val="0053380D"/>
    <w:rsid w:val="00533837"/>
    <w:rsid w:val="005342AD"/>
    <w:rsid w:val="00534688"/>
    <w:rsid w:val="00534A8F"/>
    <w:rsid w:val="00535A75"/>
    <w:rsid w:val="0053617F"/>
    <w:rsid w:val="0053654A"/>
    <w:rsid w:val="00536689"/>
    <w:rsid w:val="00536855"/>
    <w:rsid w:val="00536872"/>
    <w:rsid w:val="00536D50"/>
    <w:rsid w:val="00536D89"/>
    <w:rsid w:val="00536F4A"/>
    <w:rsid w:val="00537C9C"/>
    <w:rsid w:val="0054163B"/>
    <w:rsid w:val="00541E60"/>
    <w:rsid w:val="00542B31"/>
    <w:rsid w:val="00545239"/>
    <w:rsid w:val="005454E5"/>
    <w:rsid w:val="00547244"/>
    <w:rsid w:val="0055098D"/>
    <w:rsid w:val="00550B24"/>
    <w:rsid w:val="00550FD2"/>
    <w:rsid w:val="005513B4"/>
    <w:rsid w:val="00552031"/>
    <w:rsid w:val="005528E7"/>
    <w:rsid w:val="00553018"/>
    <w:rsid w:val="0055382B"/>
    <w:rsid w:val="0055412E"/>
    <w:rsid w:val="0055419D"/>
    <w:rsid w:val="00554866"/>
    <w:rsid w:val="0055491D"/>
    <w:rsid w:val="00554B9E"/>
    <w:rsid w:val="0055583F"/>
    <w:rsid w:val="00555B53"/>
    <w:rsid w:val="00557ED9"/>
    <w:rsid w:val="005601C1"/>
    <w:rsid w:val="005603EF"/>
    <w:rsid w:val="00560A56"/>
    <w:rsid w:val="00560B40"/>
    <w:rsid w:val="00560CD8"/>
    <w:rsid w:val="005611CE"/>
    <w:rsid w:val="00561575"/>
    <w:rsid w:val="0056201F"/>
    <w:rsid w:val="005627B1"/>
    <w:rsid w:val="005631C0"/>
    <w:rsid w:val="0056408D"/>
    <w:rsid w:val="005651D0"/>
    <w:rsid w:val="00565220"/>
    <w:rsid w:val="00565370"/>
    <w:rsid w:val="00565470"/>
    <w:rsid w:val="0056586E"/>
    <w:rsid w:val="005658E3"/>
    <w:rsid w:val="00566941"/>
    <w:rsid w:val="00566DB4"/>
    <w:rsid w:val="005670F9"/>
    <w:rsid w:val="005672F2"/>
    <w:rsid w:val="005678DE"/>
    <w:rsid w:val="0056793E"/>
    <w:rsid w:val="00567C83"/>
    <w:rsid w:val="005700B8"/>
    <w:rsid w:val="0057024B"/>
    <w:rsid w:val="00570292"/>
    <w:rsid w:val="0057092B"/>
    <w:rsid w:val="0057110F"/>
    <w:rsid w:val="00571B2A"/>
    <w:rsid w:val="00571FC5"/>
    <w:rsid w:val="00572145"/>
    <w:rsid w:val="00572CE9"/>
    <w:rsid w:val="00573A2D"/>
    <w:rsid w:val="005749DA"/>
    <w:rsid w:val="0057769E"/>
    <w:rsid w:val="005805B7"/>
    <w:rsid w:val="00580751"/>
    <w:rsid w:val="005812C5"/>
    <w:rsid w:val="00581990"/>
    <w:rsid w:val="0058223C"/>
    <w:rsid w:val="0058260F"/>
    <w:rsid w:val="00583EF1"/>
    <w:rsid w:val="005865CB"/>
    <w:rsid w:val="00586784"/>
    <w:rsid w:val="00586C4A"/>
    <w:rsid w:val="005871CB"/>
    <w:rsid w:val="00587424"/>
    <w:rsid w:val="005878DB"/>
    <w:rsid w:val="00587E29"/>
    <w:rsid w:val="00590967"/>
    <w:rsid w:val="005927A5"/>
    <w:rsid w:val="005936F6"/>
    <w:rsid w:val="00593785"/>
    <w:rsid w:val="005938A2"/>
    <w:rsid w:val="005940FD"/>
    <w:rsid w:val="00595AA4"/>
    <w:rsid w:val="00595B4C"/>
    <w:rsid w:val="0059666A"/>
    <w:rsid w:val="00596851"/>
    <w:rsid w:val="00597444"/>
    <w:rsid w:val="005A00B5"/>
    <w:rsid w:val="005A08EF"/>
    <w:rsid w:val="005A0AC7"/>
    <w:rsid w:val="005A0E6F"/>
    <w:rsid w:val="005A1051"/>
    <w:rsid w:val="005A16C7"/>
    <w:rsid w:val="005A299D"/>
    <w:rsid w:val="005A3906"/>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2ADA"/>
    <w:rsid w:val="005B321C"/>
    <w:rsid w:val="005B35AB"/>
    <w:rsid w:val="005B37F7"/>
    <w:rsid w:val="005B4362"/>
    <w:rsid w:val="005B535B"/>
    <w:rsid w:val="005B59CB"/>
    <w:rsid w:val="005B5DAB"/>
    <w:rsid w:val="005B6794"/>
    <w:rsid w:val="005B6827"/>
    <w:rsid w:val="005B775D"/>
    <w:rsid w:val="005B790D"/>
    <w:rsid w:val="005C0C8C"/>
    <w:rsid w:val="005C1213"/>
    <w:rsid w:val="005C1661"/>
    <w:rsid w:val="005C17AA"/>
    <w:rsid w:val="005C27A6"/>
    <w:rsid w:val="005C3507"/>
    <w:rsid w:val="005C373C"/>
    <w:rsid w:val="005C3DFA"/>
    <w:rsid w:val="005C4574"/>
    <w:rsid w:val="005C4AFE"/>
    <w:rsid w:val="005C5AC6"/>
    <w:rsid w:val="005C5F92"/>
    <w:rsid w:val="005C684D"/>
    <w:rsid w:val="005C6997"/>
    <w:rsid w:val="005C7210"/>
    <w:rsid w:val="005C784C"/>
    <w:rsid w:val="005C79C9"/>
    <w:rsid w:val="005C7AFE"/>
    <w:rsid w:val="005D02BA"/>
    <w:rsid w:val="005D0A54"/>
    <w:rsid w:val="005D0B56"/>
    <w:rsid w:val="005D10E6"/>
    <w:rsid w:val="005D1294"/>
    <w:rsid w:val="005D25F9"/>
    <w:rsid w:val="005D3885"/>
    <w:rsid w:val="005D3F38"/>
    <w:rsid w:val="005D500D"/>
    <w:rsid w:val="005D51FF"/>
    <w:rsid w:val="005D55D6"/>
    <w:rsid w:val="005D5CE7"/>
    <w:rsid w:val="005D6D4B"/>
    <w:rsid w:val="005D70FE"/>
    <w:rsid w:val="005E11B5"/>
    <w:rsid w:val="005E2AFF"/>
    <w:rsid w:val="005E2E57"/>
    <w:rsid w:val="005E3430"/>
    <w:rsid w:val="005E396E"/>
    <w:rsid w:val="005E477F"/>
    <w:rsid w:val="005E4D25"/>
    <w:rsid w:val="005E4DCC"/>
    <w:rsid w:val="005E5151"/>
    <w:rsid w:val="005E5BA1"/>
    <w:rsid w:val="005E5F08"/>
    <w:rsid w:val="005E658F"/>
    <w:rsid w:val="005E73BB"/>
    <w:rsid w:val="005E7885"/>
    <w:rsid w:val="005F0613"/>
    <w:rsid w:val="005F0850"/>
    <w:rsid w:val="005F0F9C"/>
    <w:rsid w:val="005F101C"/>
    <w:rsid w:val="005F12E1"/>
    <w:rsid w:val="005F1F1F"/>
    <w:rsid w:val="005F1F64"/>
    <w:rsid w:val="005F21AB"/>
    <w:rsid w:val="005F29AA"/>
    <w:rsid w:val="005F2E3B"/>
    <w:rsid w:val="005F38B1"/>
    <w:rsid w:val="005F3B90"/>
    <w:rsid w:val="005F3BC1"/>
    <w:rsid w:val="005F4276"/>
    <w:rsid w:val="005F4746"/>
    <w:rsid w:val="005F4C6B"/>
    <w:rsid w:val="005F4CCA"/>
    <w:rsid w:val="005F50F3"/>
    <w:rsid w:val="005F55C1"/>
    <w:rsid w:val="005F5C1E"/>
    <w:rsid w:val="005F5EAC"/>
    <w:rsid w:val="005F5FB6"/>
    <w:rsid w:val="005F61AE"/>
    <w:rsid w:val="005F6F92"/>
    <w:rsid w:val="005F7C3B"/>
    <w:rsid w:val="005F7E8D"/>
    <w:rsid w:val="00600398"/>
    <w:rsid w:val="00600DCD"/>
    <w:rsid w:val="0060129B"/>
    <w:rsid w:val="006017EB"/>
    <w:rsid w:val="006020AC"/>
    <w:rsid w:val="006026C2"/>
    <w:rsid w:val="00602E24"/>
    <w:rsid w:val="00602E6A"/>
    <w:rsid w:val="006046C8"/>
    <w:rsid w:val="00604E35"/>
    <w:rsid w:val="0060528E"/>
    <w:rsid w:val="006072E7"/>
    <w:rsid w:val="0061131E"/>
    <w:rsid w:val="00611B2A"/>
    <w:rsid w:val="006122AE"/>
    <w:rsid w:val="006130AE"/>
    <w:rsid w:val="00613CB7"/>
    <w:rsid w:val="00613E1F"/>
    <w:rsid w:val="0061448D"/>
    <w:rsid w:val="00614C4F"/>
    <w:rsid w:val="00614DC7"/>
    <w:rsid w:val="00615AA2"/>
    <w:rsid w:val="00616395"/>
    <w:rsid w:val="0062044E"/>
    <w:rsid w:val="00620606"/>
    <w:rsid w:val="00620639"/>
    <w:rsid w:val="00620EE7"/>
    <w:rsid w:val="00621018"/>
    <w:rsid w:val="0062169F"/>
    <w:rsid w:val="00621D10"/>
    <w:rsid w:val="00623A30"/>
    <w:rsid w:val="00623DA7"/>
    <w:rsid w:val="006248E6"/>
    <w:rsid w:val="00624EC6"/>
    <w:rsid w:val="0062534F"/>
    <w:rsid w:val="0062625A"/>
    <w:rsid w:val="00626E73"/>
    <w:rsid w:val="006270FF"/>
    <w:rsid w:val="006279E4"/>
    <w:rsid w:val="00627E13"/>
    <w:rsid w:val="00630222"/>
    <w:rsid w:val="00630459"/>
    <w:rsid w:val="00630F6F"/>
    <w:rsid w:val="00631505"/>
    <w:rsid w:val="00632245"/>
    <w:rsid w:val="0063225C"/>
    <w:rsid w:val="00632301"/>
    <w:rsid w:val="006327BB"/>
    <w:rsid w:val="006335EF"/>
    <w:rsid w:val="006348C2"/>
    <w:rsid w:val="00634A4C"/>
    <w:rsid w:val="00634DE6"/>
    <w:rsid w:val="006372BF"/>
    <w:rsid w:val="00637322"/>
    <w:rsid w:val="00637434"/>
    <w:rsid w:val="0063785D"/>
    <w:rsid w:val="0064076F"/>
    <w:rsid w:val="00640A1C"/>
    <w:rsid w:val="00640CA8"/>
    <w:rsid w:val="006418E5"/>
    <w:rsid w:val="006421EA"/>
    <w:rsid w:val="00642772"/>
    <w:rsid w:val="00642ED3"/>
    <w:rsid w:val="006439AE"/>
    <w:rsid w:val="006446BC"/>
    <w:rsid w:val="0064578A"/>
    <w:rsid w:val="00645953"/>
    <w:rsid w:val="00646614"/>
    <w:rsid w:val="00646BC6"/>
    <w:rsid w:val="00646D03"/>
    <w:rsid w:val="00651109"/>
    <w:rsid w:val="006517A0"/>
    <w:rsid w:val="00651A1C"/>
    <w:rsid w:val="0065304D"/>
    <w:rsid w:val="00653283"/>
    <w:rsid w:val="006536AF"/>
    <w:rsid w:val="00654230"/>
    <w:rsid w:val="00655371"/>
    <w:rsid w:val="00655DFD"/>
    <w:rsid w:val="006562D8"/>
    <w:rsid w:val="006568A3"/>
    <w:rsid w:val="00656B88"/>
    <w:rsid w:val="00657332"/>
    <w:rsid w:val="00657A01"/>
    <w:rsid w:val="00657C33"/>
    <w:rsid w:val="006605F9"/>
    <w:rsid w:val="00660999"/>
    <w:rsid w:val="00661E42"/>
    <w:rsid w:val="006620E0"/>
    <w:rsid w:val="00664805"/>
    <w:rsid w:val="00664B10"/>
    <w:rsid w:val="00664E88"/>
    <w:rsid w:val="006650D3"/>
    <w:rsid w:val="006653B3"/>
    <w:rsid w:val="006654A9"/>
    <w:rsid w:val="00665A41"/>
    <w:rsid w:val="006667E1"/>
    <w:rsid w:val="00670317"/>
    <w:rsid w:val="006707F6"/>
    <w:rsid w:val="0067093E"/>
    <w:rsid w:val="006713AB"/>
    <w:rsid w:val="00671976"/>
    <w:rsid w:val="00672890"/>
    <w:rsid w:val="00672B19"/>
    <w:rsid w:val="0067455D"/>
    <w:rsid w:val="0067474A"/>
    <w:rsid w:val="00674A59"/>
    <w:rsid w:val="00675260"/>
    <w:rsid w:val="006761E3"/>
    <w:rsid w:val="0067646D"/>
    <w:rsid w:val="0067650E"/>
    <w:rsid w:val="00676E14"/>
    <w:rsid w:val="00676F2E"/>
    <w:rsid w:val="00677896"/>
    <w:rsid w:val="00677AAE"/>
    <w:rsid w:val="00677ABE"/>
    <w:rsid w:val="00677DB8"/>
    <w:rsid w:val="00680FCC"/>
    <w:rsid w:val="006811FF"/>
    <w:rsid w:val="00681B16"/>
    <w:rsid w:val="00682287"/>
    <w:rsid w:val="006822B5"/>
    <w:rsid w:val="0068317C"/>
    <w:rsid w:val="006832D6"/>
    <w:rsid w:val="00683CE9"/>
    <w:rsid w:val="006845A4"/>
    <w:rsid w:val="00684DB1"/>
    <w:rsid w:val="006872CF"/>
    <w:rsid w:val="0069127B"/>
    <w:rsid w:val="006914EA"/>
    <w:rsid w:val="00691B91"/>
    <w:rsid w:val="006928AC"/>
    <w:rsid w:val="00692BB2"/>
    <w:rsid w:val="00692BFF"/>
    <w:rsid w:val="00693091"/>
    <w:rsid w:val="006948AC"/>
    <w:rsid w:val="00694D39"/>
    <w:rsid w:val="006953CA"/>
    <w:rsid w:val="006954EC"/>
    <w:rsid w:val="006955A9"/>
    <w:rsid w:val="006959D6"/>
    <w:rsid w:val="00695EC8"/>
    <w:rsid w:val="00696909"/>
    <w:rsid w:val="00697114"/>
    <w:rsid w:val="00697BC6"/>
    <w:rsid w:val="006A1B84"/>
    <w:rsid w:val="006A1FEF"/>
    <w:rsid w:val="006A27C2"/>
    <w:rsid w:val="006A2EBD"/>
    <w:rsid w:val="006A3009"/>
    <w:rsid w:val="006A3E7B"/>
    <w:rsid w:val="006A4D9B"/>
    <w:rsid w:val="006A5155"/>
    <w:rsid w:val="006A54E2"/>
    <w:rsid w:val="006A6950"/>
    <w:rsid w:val="006A7210"/>
    <w:rsid w:val="006A757D"/>
    <w:rsid w:val="006A7B32"/>
    <w:rsid w:val="006B002A"/>
    <w:rsid w:val="006B130C"/>
    <w:rsid w:val="006B308F"/>
    <w:rsid w:val="006B32C8"/>
    <w:rsid w:val="006B3A46"/>
    <w:rsid w:val="006B5301"/>
    <w:rsid w:val="006B698B"/>
    <w:rsid w:val="006B7C2C"/>
    <w:rsid w:val="006C1A19"/>
    <w:rsid w:val="006C221E"/>
    <w:rsid w:val="006C34B4"/>
    <w:rsid w:val="006C376B"/>
    <w:rsid w:val="006C4319"/>
    <w:rsid w:val="006C440B"/>
    <w:rsid w:val="006C453C"/>
    <w:rsid w:val="006C45C7"/>
    <w:rsid w:val="006C4BC0"/>
    <w:rsid w:val="006C50E7"/>
    <w:rsid w:val="006C5C73"/>
    <w:rsid w:val="006C5DC3"/>
    <w:rsid w:val="006C616B"/>
    <w:rsid w:val="006C63FB"/>
    <w:rsid w:val="006C6A46"/>
    <w:rsid w:val="006C6D72"/>
    <w:rsid w:val="006C7447"/>
    <w:rsid w:val="006C7ACB"/>
    <w:rsid w:val="006D0115"/>
    <w:rsid w:val="006D03DF"/>
    <w:rsid w:val="006D12E3"/>
    <w:rsid w:val="006D1327"/>
    <w:rsid w:val="006D1F03"/>
    <w:rsid w:val="006D2971"/>
    <w:rsid w:val="006D4A4A"/>
    <w:rsid w:val="006D4ADB"/>
    <w:rsid w:val="006D4D36"/>
    <w:rsid w:val="006D6E79"/>
    <w:rsid w:val="006D7DC0"/>
    <w:rsid w:val="006D7DEA"/>
    <w:rsid w:val="006E017B"/>
    <w:rsid w:val="006E06A9"/>
    <w:rsid w:val="006E0888"/>
    <w:rsid w:val="006E097F"/>
    <w:rsid w:val="006E0E4A"/>
    <w:rsid w:val="006E1778"/>
    <w:rsid w:val="006E1795"/>
    <w:rsid w:val="006E17B0"/>
    <w:rsid w:val="006E1A8C"/>
    <w:rsid w:val="006E1C39"/>
    <w:rsid w:val="006E1E63"/>
    <w:rsid w:val="006E2595"/>
    <w:rsid w:val="006E2694"/>
    <w:rsid w:val="006E2A1F"/>
    <w:rsid w:val="006E2A78"/>
    <w:rsid w:val="006E4ED0"/>
    <w:rsid w:val="006E53A0"/>
    <w:rsid w:val="006E5500"/>
    <w:rsid w:val="006E58AF"/>
    <w:rsid w:val="006E5D0E"/>
    <w:rsid w:val="006E608C"/>
    <w:rsid w:val="006E6261"/>
    <w:rsid w:val="006E6540"/>
    <w:rsid w:val="006E65F8"/>
    <w:rsid w:val="006E6843"/>
    <w:rsid w:val="006E6AC7"/>
    <w:rsid w:val="006E6B4F"/>
    <w:rsid w:val="006E6DD4"/>
    <w:rsid w:val="006E7651"/>
    <w:rsid w:val="006E7C40"/>
    <w:rsid w:val="006E7F60"/>
    <w:rsid w:val="006F0181"/>
    <w:rsid w:val="006F03E3"/>
    <w:rsid w:val="006F0660"/>
    <w:rsid w:val="006F0A1F"/>
    <w:rsid w:val="006F0EA8"/>
    <w:rsid w:val="006F0F5F"/>
    <w:rsid w:val="006F150D"/>
    <w:rsid w:val="006F1654"/>
    <w:rsid w:val="006F222F"/>
    <w:rsid w:val="006F26F3"/>
    <w:rsid w:val="006F2CF3"/>
    <w:rsid w:val="006F3059"/>
    <w:rsid w:val="006F3A64"/>
    <w:rsid w:val="006F5987"/>
    <w:rsid w:val="006F5F1A"/>
    <w:rsid w:val="006F6C67"/>
    <w:rsid w:val="006F6EB9"/>
    <w:rsid w:val="006F7078"/>
    <w:rsid w:val="00700222"/>
    <w:rsid w:val="0070040B"/>
    <w:rsid w:val="007008C7"/>
    <w:rsid w:val="007008D0"/>
    <w:rsid w:val="00701188"/>
    <w:rsid w:val="0070137E"/>
    <w:rsid w:val="0070287D"/>
    <w:rsid w:val="00702DB9"/>
    <w:rsid w:val="00702E2E"/>
    <w:rsid w:val="00703F39"/>
    <w:rsid w:val="00704B8B"/>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159A"/>
    <w:rsid w:val="00721BEF"/>
    <w:rsid w:val="00722055"/>
    <w:rsid w:val="007228F2"/>
    <w:rsid w:val="00722C23"/>
    <w:rsid w:val="007246ED"/>
    <w:rsid w:val="00725A8D"/>
    <w:rsid w:val="00727851"/>
    <w:rsid w:val="00727B18"/>
    <w:rsid w:val="00727D5D"/>
    <w:rsid w:val="00727FA5"/>
    <w:rsid w:val="007314A9"/>
    <w:rsid w:val="007318E5"/>
    <w:rsid w:val="00732369"/>
    <w:rsid w:val="00732EA3"/>
    <w:rsid w:val="00733157"/>
    <w:rsid w:val="007333F4"/>
    <w:rsid w:val="00733EE3"/>
    <w:rsid w:val="00733F89"/>
    <w:rsid w:val="00734A03"/>
    <w:rsid w:val="007350F7"/>
    <w:rsid w:val="007372F4"/>
    <w:rsid w:val="00737FDC"/>
    <w:rsid w:val="007400AC"/>
    <w:rsid w:val="0074036B"/>
    <w:rsid w:val="007406F0"/>
    <w:rsid w:val="0074189A"/>
    <w:rsid w:val="00741BAA"/>
    <w:rsid w:val="00741E2A"/>
    <w:rsid w:val="007421DB"/>
    <w:rsid w:val="0074274E"/>
    <w:rsid w:val="00744BA5"/>
    <w:rsid w:val="00744E09"/>
    <w:rsid w:val="00745567"/>
    <w:rsid w:val="00745D02"/>
    <w:rsid w:val="00745F54"/>
    <w:rsid w:val="007461D4"/>
    <w:rsid w:val="007463A4"/>
    <w:rsid w:val="00746C32"/>
    <w:rsid w:val="00747802"/>
    <w:rsid w:val="00747E9F"/>
    <w:rsid w:val="00747F86"/>
    <w:rsid w:val="00750184"/>
    <w:rsid w:val="007520CE"/>
    <w:rsid w:val="00752414"/>
    <w:rsid w:val="00752573"/>
    <w:rsid w:val="007548EC"/>
    <w:rsid w:val="00754B63"/>
    <w:rsid w:val="00756180"/>
    <w:rsid w:val="00756636"/>
    <w:rsid w:val="007566F3"/>
    <w:rsid w:val="00756BC6"/>
    <w:rsid w:val="00756F23"/>
    <w:rsid w:val="00760777"/>
    <w:rsid w:val="00762B3F"/>
    <w:rsid w:val="00762B7E"/>
    <w:rsid w:val="007637A9"/>
    <w:rsid w:val="00763B8B"/>
    <w:rsid w:val="0076417B"/>
    <w:rsid w:val="00764C92"/>
    <w:rsid w:val="007651DB"/>
    <w:rsid w:val="0076552A"/>
    <w:rsid w:val="00765ED1"/>
    <w:rsid w:val="007674EC"/>
    <w:rsid w:val="00770158"/>
    <w:rsid w:val="00770B56"/>
    <w:rsid w:val="00770EC4"/>
    <w:rsid w:val="007710A5"/>
    <w:rsid w:val="00771615"/>
    <w:rsid w:val="007717BF"/>
    <w:rsid w:val="0077225D"/>
    <w:rsid w:val="00772E28"/>
    <w:rsid w:val="007734C9"/>
    <w:rsid w:val="007736D0"/>
    <w:rsid w:val="007737B8"/>
    <w:rsid w:val="0077463A"/>
    <w:rsid w:val="00776341"/>
    <w:rsid w:val="00776BC9"/>
    <w:rsid w:val="00777325"/>
    <w:rsid w:val="0077753D"/>
    <w:rsid w:val="0077786E"/>
    <w:rsid w:val="00777E53"/>
    <w:rsid w:val="007801E4"/>
    <w:rsid w:val="00780A67"/>
    <w:rsid w:val="00780A9A"/>
    <w:rsid w:val="00780AC7"/>
    <w:rsid w:val="00780AE8"/>
    <w:rsid w:val="00781105"/>
    <w:rsid w:val="007816AC"/>
    <w:rsid w:val="007823ED"/>
    <w:rsid w:val="007839AA"/>
    <w:rsid w:val="00783C5E"/>
    <w:rsid w:val="00784784"/>
    <w:rsid w:val="0078491B"/>
    <w:rsid w:val="00784D14"/>
    <w:rsid w:val="00784F1D"/>
    <w:rsid w:val="00787636"/>
    <w:rsid w:val="007906B4"/>
    <w:rsid w:val="00790975"/>
    <w:rsid w:val="007916AA"/>
    <w:rsid w:val="007919DB"/>
    <w:rsid w:val="00791A91"/>
    <w:rsid w:val="007929EE"/>
    <w:rsid w:val="00792E68"/>
    <w:rsid w:val="007930CD"/>
    <w:rsid w:val="00794302"/>
    <w:rsid w:val="0079532A"/>
    <w:rsid w:val="007957DD"/>
    <w:rsid w:val="00795D00"/>
    <w:rsid w:val="0079678C"/>
    <w:rsid w:val="007972C6"/>
    <w:rsid w:val="00797A09"/>
    <w:rsid w:val="00797CE7"/>
    <w:rsid w:val="007A0950"/>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1015"/>
    <w:rsid w:val="007B1A5C"/>
    <w:rsid w:val="007B1F05"/>
    <w:rsid w:val="007B3AB0"/>
    <w:rsid w:val="007B433E"/>
    <w:rsid w:val="007B4961"/>
    <w:rsid w:val="007B4AB9"/>
    <w:rsid w:val="007B5BF6"/>
    <w:rsid w:val="007B5C2D"/>
    <w:rsid w:val="007B7058"/>
    <w:rsid w:val="007B709A"/>
    <w:rsid w:val="007B74E0"/>
    <w:rsid w:val="007B785D"/>
    <w:rsid w:val="007C164A"/>
    <w:rsid w:val="007C236F"/>
    <w:rsid w:val="007C24AA"/>
    <w:rsid w:val="007C2738"/>
    <w:rsid w:val="007C2746"/>
    <w:rsid w:val="007C2BCF"/>
    <w:rsid w:val="007C3645"/>
    <w:rsid w:val="007C429E"/>
    <w:rsid w:val="007C445E"/>
    <w:rsid w:val="007C4B10"/>
    <w:rsid w:val="007C56A9"/>
    <w:rsid w:val="007C5785"/>
    <w:rsid w:val="007C627E"/>
    <w:rsid w:val="007C6C74"/>
    <w:rsid w:val="007D0A66"/>
    <w:rsid w:val="007D2842"/>
    <w:rsid w:val="007D3061"/>
    <w:rsid w:val="007D376D"/>
    <w:rsid w:val="007D3BA1"/>
    <w:rsid w:val="007D401F"/>
    <w:rsid w:val="007D4F2C"/>
    <w:rsid w:val="007D5151"/>
    <w:rsid w:val="007D6F47"/>
    <w:rsid w:val="007D7383"/>
    <w:rsid w:val="007D7E2A"/>
    <w:rsid w:val="007E00C8"/>
    <w:rsid w:val="007E1113"/>
    <w:rsid w:val="007E1347"/>
    <w:rsid w:val="007E155F"/>
    <w:rsid w:val="007E1BDD"/>
    <w:rsid w:val="007E1CEA"/>
    <w:rsid w:val="007E20BA"/>
    <w:rsid w:val="007E28AC"/>
    <w:rsid w:val="007E2928"/>
    <w:rsid w:val="007E2C07"/>
    <w:rsid w:val="007E3151"/>
    <w:rsid w:val="007E3350"/>
    <w:rsid w:val="007E3ABE"/>
    <w:rsid w:val="007E455D"/>
    <w:rsid w:val="007E467A"/>
    <w:rsid w:val="007E4CB1"/>
    <w:rsid w:val="007E51A5"/>
    <w:rsid w:val="007E5E3C"/>
    <w:rsid w:val="007E65BE"/>
    <w:rsid w:val="007E69AB"/>
    <w:rsid w:val="007F042F"/>
    <w:rsid w:val="007F0A0A"/>
    <w:rsid w:val="007F1727"/>
    <w:rsid w:val="007F1E8C"/>
    <w:rsid w:val="007F248C"/>
    <w:rsid w:val="007F3C2C"/>
    <w:rsid w:val="007F441B"/>
    <w:rsid w:val="007F5555"/>
    <w:rsid w:val="007F5AD1"/>
    <w:rsid w:val="007F6A57"/>
    <w:rsid w:val="007F6BBF"/>
    <w:rsid w:val="007F6EAA"/>
    <w:rsid w:val="007F782D"/>
    <w:rsid w:val="00800575"/>
    <w:rsid w:val="00801CCA"/>
    <w:rsid w:val="00802783"/>
    <w:rsid w:val="0080290B"/>
    <w:rsid w:val="0080417F"/>
    <w:rsid w:val="008043A1"/>
    <w:rsid w:val="008045E4"/>
    <w:rsid w:val="008051C9"/>
    <w:rsid w:val="00806D25"/>
    <w:rsid w:val="008110DA"/>
    <w:rsid w:val="0081135B"/>
    <w:rsid w:val="00811AA7"/>
    <w:rsid w:val="00811DAF"/>
    <w:rsid w:val="0081210A"/>
    <w:rsid w:val="0081304C"/>
    <w:rsid w:val="00813373"/>
    <w:rsid w:val="0081353E"/>
    <w:rsid w:val="0081363A"/>
    <w:rsid w:val="00814CE6"/>
    <w:rsid w:val="0081696A"/>
    <w:rsid w:val="00816EBB"/>
    <w:rsid w:val="00817642"/>
    <w:rsid w:val="00821D78"/>
    <w:rsid w:val="0082313D"/>
    <w:rsid w:val="00823153"/>
    <w:rsid w:val="008235A6"/>
    <w:rsid w:val="00823E72"/>
    <w:rsid w:val="00824186"/>
    <w:rsid w:val="008248CE"/>
    <w:rsid w:val="00824C2F"/>
    <w:rsid w:val="00826265"/>
    <w:rsid w:val="00826288"/>
    <w:rsid w:val="00826980"/>
    <w:rsid w:val="00826AD7"/>
    <w:rsid w:val="008277D5"/>
    <w:rsid w:val="008301CA"/>
    <w:rsid w:val="008303D2"/>
    <w:rsid w:val="008313D1"/>
    <w:rsid w:val="008325BF"/>
    <w:rsid w:val="00832658"/>
    <w:rsid w:val="00832E14"/>
    <w:rsid w:val="00833150"/>
    <w:rsid w:val="00834231"/>
    <w:rsid w:val="008344B3"/>
    <w:rsid w:val="00834CEE"/>
    <w:rsid w:val="00834EA0"/>
    <w:rsid w:val="00836163"/>
    <w:rsid w:val="008368E9"/>
    <w:rsid w:val="008369C3"/>
    <w:rsid w:val="00837134"/>
    <w:rsid w:val="0083735B"/>
    <w:rsid w:val="008377B6"/>
    <w:rsid w:val="0083787C"/>
    <w:rsid w:val="008378CA"/>
    <w:rsid w:val="00840131"/>
    <w:rsid w:val="008403BF"/>
    <w:rsid w:val="00840A7D"/>
    <w:rsid w:val="00841D48"/>
    <w:rsid w:val="0084355E"/>
    <w:rsid w:val="00844042"/>
    <w:rsid w:val="0084528D"/>
    <w:rsid w:val="00845C10"/>
    <w:rsid w:val="008464F6"/>
    <w:rsid w:val="00846FC6"/>
    <w:rsid w:val="0084736E"/>
    <w:rsid w:val="00847BDD"/>
    <w:rsid w:val="00850C01"/>
    <w:rsid w:val="00851BBA"/>
    <w:rsid w:val="0085254F"/>
    <w:rsid w:val="00852DE2"/>
    <w:rsid w:val="008540D0"/>
    <w:rsid w:val="00854918"/>
    <w:rsid w:val="008553AA"/>
    <w:rsid w:val="00856DFA"/>
    <w:rsid w:val="00857B23"/>
    <w:rsid w:val="0086027E"/>
    <w:rsid w:val="008603B7"/>
    <w:rsid w:val="00861681"/>
    <w:rsid w:val="00861B04"/>
    <w:rsid w:val="00862432"/>
    <w:rsid w:val="00863552"/>
    <w:rsid w:val="00863A44"/>
    <w:rsid w:val="00864042"/>
    <w:rsid w:val="00864B06"/>
    <w:rsid w:val="00865BC3"/>
    <w:rsid w:val="0086628D"/>
    <w:rsid w:val="0086762E"/>
    <w:rsid w:val="00867691"/>
    <w:rsid w:val="00867E3B"/>
    <w:rsid w:val="00870161"/>
    <w:rsid w:val="00870708"/>
    <w:rsid w:val="008707B8"/>
    <w:rsid w:val="00871C82"/>
    <w:rsid w:val="00871DC4"/>
    <w:rsid w:val="008723AE"/>
    <w:rsid w:val="008726D6"/>
    <w:rsid w:val="008732ED"/>
    <w:rsid w:val="008733D7"/>
    <w:rsid w:val="008737F3"/>
    <w:rsid w:val="00873938"/>
    <w:rsid w:val="00873A79"/>
    <w:rsid w:val="00874A02"/>
    <w:rsid w:val="00874D4F"/>
    <w:rsid w:val="008755B8"/>
    <w:rsid w:val="00875AAC"/>
    <w:rsid w:val="00875D0E"/>
    <w:rsid w:val="00875EFD"/>
    <w:rsid w:val="00876641"/>
    <w:rsid w:val="008771EE"/>
    <w:rsid w:val="0087737B"/>
    <w:rsid w:val="00880E16"/>
    <w:rsid w:val="00880F2B"/>
    <w:rsid w:val="00881330"/>
    <w:rsid w:val="008817D2"/>
    <w:rsid w:val="00881C8C"/>
    <w:rsid w:val="00882464"/>
    <w:rsid w:val="00882833"/>
    <w:rsid w:val="00882FC1"/>
    <w:rsid w:val="00883CEE"/>
    <w:rsid w:val="00883D25"/>
    <w:rsid w:val="008842C2"/>
    <w:rsid w:val="00884A53"/>
    <w:rsid w:val="00884E17"/>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507F"/>
    <w:rsid w:val="00896C03"/>
    <w:rsid w:val="00896EFD"/>
    <w:rsid w:val="00897F5D"/>
    <w:rsid w:val="008A01B8"/>
    <w:rsid w:val="008A0F38"/>
    <w:rsid w:val="008A1BF8"/>
    <w:rsid w:val="008A1E13"/>
    <w:rsid w:val="008A353B"/>
    <w:rsid w:val="008A54E7"/>
    <w:rsid w:val="008A55CE"/>
    <w:rsid w:val="008A5BDF"/>
    <w:rsid w:val="008A6BAF"/>
    <w:rsid w:val="008A6F28"/>
    <w:rsid w:val="008A7640"/>
    <w:rsid w:val="008A7E44"/>
    <w:rsid w:val="008B08A8"/>
    <w:rsid w:val="008B0934"/>
    <w:rsid w:val="008B09E4"/>
    <w:rsid w:val="008B10CB"/>
    <w:rsid w:val="008B17E9"/>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0948"/>
    <w:rsid w:val="008C2088"/>
    <w:rsid w:val="008C3975"/>
    <w:rsid w:val="008C47BA"/>
    <w:rsid w:val="008C5185"/>
    <w:rsid w:val="008C55CB"/>
    <w:rsid w:val="008C55EB"/>
    <w:rsid w:val="008C67E5"/>
    <w:rsid w:val="008C6C0B"/>
    <w:rsid w:val="008D0819"/>
    <w:rsid w:val="008D0859"/>
    <w:rsid w:val="008D0EF4"/>
    <w:rsid w:val="008D14CF"/>
    <w:rsid w:val="008D297A"/>
    <w:rsid w:val="008D2B08"/>
    <w:rsid w:val="008D35B1"/>
    <w:rsid w:val="008D39D3"/>
    <w:rsid w:val="008D4205"/>
    <w:rsid w:val="008D49C9"/>
    <w:rsid w:val="008D6020"/>
    <w:rsid w:val="008D63E9"/>
    <w:rsid w:val="008D6BBC"/>
    <w:rsid w:val="008D742C"/>
    <w:rsid w:val="008D7455"/>
    <w:rsid w:val="008D74D0"/>
    <w:rsid w:val="008D74EB"/>
    <w:rsid w:val="008D7BCB"/>
    <w:rsid w:val="008E0C42"/>
    <w:rsid w:val="008E15EA"/>
    <w:rsid w:val="008E1B5A"/>
    <w:rsid w:val="008E2F74"/>
    <w:rsid w:val="008E3532"/>
    <w:rsid w:val="008E3E3E"/>
    <w:rsid w:val="008E4681"/>
    <w:rsid w:val="008E4FC0"/>
    <w:rsid w:val="008E5216"/>
    <w:rsid w:val="008E68A7"/>
    <w:rsid w:val="008E728C"/>
    <w:rsid w:val="008E7327"/>
    <w:rsid w:val="008E78BF"/>
    <w:rsid w:val="008F03CC"/>
    <w:rsid w:val="008F066D"/>
    <w:rsid w:val="008F087E"/>
    <w:rsid w:val="008F189D"/>
    <w:rsid w:val="008F1B54"/>
    <w:rsid w:val="008F255D"/>
    <w:rsid w:val="008F2853"/>
    <w:rsid w:val="008F3209"/>
    <w:rsid w:val="008F3A03"/>
    <w:rsid w:val="008F3FDD"/>
    <w:rsid w:val="008F5F92"/>
    <w:rsid w:val="008F702F"/>
    <w:rsid w:val="008F70E1"/>
    <w:rsid w:val="008F735D"/>
    <w:rsid w:val="008F78C0"/>
    <w:rsid w:val="009012A5"/>
    <w:rsid w:val="00901A8A"/>
    <w:rsid w:val="0090208D"/>
    <w:rsid w:val="009024C4"/>
    <w:rsid w:val="00902603"/>
    <w:rsid w:val="0090316E"/>
    <w:rsid w:val="009032CC"/>
    <w:rsid w:val="0090353B"/>
    <w:rsid w:val="009040EB"/>
    <w:rsid w:val="009045E3"/>
    <w:rsid w:val="0090627F"/>
    <w:rsid w:val="0090766A"/>
    <w:rsid w:val="00907B64"/>
    <w:rsid w:val="009101A1"/>
    <w:rsid w:val="0091055F"/>
    <w:rsid w:val="009115D6"/>
    <w:rsid w:val="00911B31"/>
    <w:rsid w:val="00912148"/>
    <w:rsid w:val="00912AAC"/>
    <w:rsid w:val="00913442"/>
    <w:rsid w:val="00913C5A"/>
    <w:rsid w:val="00913CB2"/>
    <w:rsid w:val="00913E0F"/>
    <w:rsid w:val="00915D22"/>
    <w:rsid w:val="00915ECE"/>
    <w:rsid w:val="0091610D"/>
    <w:rsid w:val="009163AD"/>
    <w:rsid w:val="009166B8"/>
    <w:rsid w:val="00916EFB"/>
    <w:rsid w:val="00920771"/>
    <w:rsid w:val="009209BD"/>
    <w:rsid w:val="009212C2"/>
    <w:rsid w:val="00921361"/>
    <w:rsid w:val="0092191C"/>
    <w:rsid w:val="00922464"/>
    <w:rsid w:val="00923600"/>
    <w:rsid w:val="0092394D"/>
    <w:rsid w:val="009239BF"/>
    <w:rsid w:val="00923AC1"/>
    <w:rsid w:val="00923BAC"/>
    <w:rsid w:val="00923E7D"/>
    <w:rsid w:val="00925FA1"/>
    <w:rsid w:val="00926019"/>
    <w:rsid w:val="00926A42"/>
    <w:rsid w:val="009276B1"/>
    <w:rsid w:val="009303CF"/>
    <w:rsid w:val="00930F58"/>
    <w:rsid w:val="00932182"/>
    <w:rsid w:val="00932A54"/>
    <w:rsid w:val="00932C21"/>
    <w:rsid w:val="00933057"/>
    <w:rsid w:val="009333DA"/>
    <w:rsid w:val="0093379B"/>
    <w:rsid w:val="00933B5D"/>
    <w:rsid w:val="00933BE8"/>
    <w:rsid w:val="00933CA9"/>
    <w:rsid w:val="00934CDB"/>
    <w:rsid w:val="00937046"/>
    <w:rsid w:val="009370FF"/>
    <w:rsid w:val="009375FD"/>
    <w:rsid w:val="00937911"/>
    <w:rsid w:val="00937B5D"/>
    <w:rsid w:val="00941CE3"/>
    <w:rsid w:val="00941D08"/>
    <w:rsid w:val="009421F9"/>
    <w:rsid w:val="009425DC"/>
    <w:rsid w:val="00942B91"/>
    <w:rsid w:val="00943A37"/>
    <w:rsid w:val="00944258"/>
    <w:rsid w:val="00944518"/>
    <w:rsid w:val="00944F09"/>
    <w:rsid w:val="0094537C"/>
    <w:rsid w:val="009453F9"/>
    <w:rsid w:val="00945899"/>
    <w:rsid w:val="009460D9"/>
    <w:rsid w:val="00946B3E"/>
    <w:rsid w:val="00946D21"/>
    <w:rsid w:val="009474A0"/>
    <w:rsid w:val="00950865"/>
    <w:rsid w:val="00950BB6"/>
    <w:rsid w:val="00950C35"/>
    <w:rsid w:val="00951444"/>
    <w:rsid w:val="0095152B"/>
    <w:rsid w:val="00951816"/>
    <w:rsid w:val="00952517"/>
    <w:rsid w:val="0095273E"/>
    <w:rsid w:val="00952A67"/>
    <w:rsid w:val="00952C40"/>
    <w:rsid w:val="00953589"/>
    <w:rsid w:val="009535F6"/>
    <w:rsid w:val="00953A15"/>
    <w:rsid w:val="00954DB3"/>
    <w:rsid w:val="00955755"/>
    <w:rsid w:val="00956091"/>
    <w:rsid w:val="009564B0"/>
    <w:rsid w:val="00957D5A"/>
    <w:rsid w:val="0096023A"/>
    <w:rsid w:val="009602F2"/>
    <w:rsid w:val="00960379"/>
    <w:rsid w:val="0096139B"/>
    <w:rsid w:val="00961AFF"/>
    <w:rsid w:val="0096394B"/>
    <w:rsid w:val="009640D3"/>
    <w:rsid w:val="00964D5A"/>
    <w:rsid w:val="00965C2C"/>
    <w:rsid w:val="00966078"/>
    <w:rsid w:val="00966CA6"/>
    <w:rsid w:val="00970C34"/>
    <w:rsid w:val="0097102C"/>
    <w:rsid w:val="00972702"/>
    <w:rsid w:val="0097275B"/>
    <w:rsid w:val="0097285E"/>
    <w:rsid w:val="00972AFF"/>
    <w:rsid w:val="00972EBA"/>
    <w:rsid w:val="00973519"/>
    <w:rsid w:val="00973A11"/>
    <w:rsid w:val="0097578C"/>
    <w:rsid w:val="00975B95"/>
    <w:rsid w:val="00976F30"/>
    <w:rsid w:val="00976F92"/>
    <w:rsid w:val="00977A76"/>
    <w:rsid w:val="00980019"/>
    <w:rsid w:val="009804CB"/>
    <w:rsid w:val="009806F1"/>
    <w:rsid w:val="00980C8D"/>
    <w:rsid w:val="009811F7"/>
    <w:rsid w:val="0098154C"/>
    <w:rsid w:val="0098199C"/>
    <w:rsid w:val="00983CFE"/>
    <w:rsid w:val="009842DC"/>
    <w:rsid w:val="0098438F"/>
    <w:rsid w:val="00984EEA"/>
    <w:rsid w:val="00984FC0"/>
    <w:rsid w:val="0098554F"/>
    <w:rsid w:val="009855AE"/>
    <w:rsid w:val="00985CD1"/>
    <w:rsid w:val="00986287"/>
    <w:rsid w:val="009875FA"/>
    <w:rsid w:val="0098764F"/>
    <w:rsid w:val="0098784D"/>
    <w:rsid w:val="009878CD"/>
    <w:rsid w:val="00987C93"/>
    <w:rsid w:val="00987EA5"/>
    <w:rsid w:val="0099021E"/>
    <w:rsid w:val="009909C3"/>
    <w:rsid w:val="00991216"/>
    <w:rsid w:val="00991349"/>
    <w:rsid w:val="00991354"/>
    <w:rsid w:val="009913D2"/>
    <w:rsid w:val="00991A65"/>
    <w:rsid w:val="009924AE"/>
    <w:rsid w:val="009935C1"/>
    <w:rsid w:val="00993943"/>
    <w:rsid w:val="00994035"/>
    <w:rsid w:val="0099441A"/>
    <w:rsid w:val="0099476D"/>
    <w:rsid w:val="0099566A"/>
    <w:rsid w:val="00996724"/>
    <w:rsid w:val="00996779"/>
    <w:rsid w:val="009A0607"/>
    <w:rsid w:val="009A1A23"/>
    <w:rsid w:val="009A357E"/>
    <w:rsid w:val="009A368D"/>
    <w:rsid w:val="009A3C7B"/>
    <w:rsid w:val="009A3D96"/>
    <w:rsid w:val="009A3E02"/>
    <w:rsid w:val="009A4829"/>
    <w:rsid w:val="009A4ACF"/>
    <w:rsid w:val="009A621B"/>
    <w:rsid w:val="009A6ECD"/>
    <w:rsid w:val="009A6EFC"/>
    <w:rsid w:val="009A7672"/>
    <w:rsid w:val="009A7E33"/>
    <w:rsid w:val="009B11D0"/>
    <w:rsid w:val="009B13CF"/>
    <w:rsid w:val="009B16B7"/>
    <w:rsid w:val="009B21D3"/>
    <w:rsid w:val="009B2D7F"/>
    <w:rsid w:val="009B2E9F"/>
    <w:rsid w:val="009B414C"/>
    <w:rsid w:val="009B498F"/>
    <w:rsid w:val="009B4D6E"/>
    <w:rsid w:val="009B53E1"/>
    <w:rsid w:val="009B5586"/>
    <w:rsid w:val="009B5934"/>
    <w:rsid w:val="009B6EEB"/>
    <w:rsid w:val="009B7205"/>
    <w:rsid w:val="009B72F3"/>
    <w:rsid w:val="009B7639"/>
    <w:rsid w:val="009C0449"/>
    <w:rsid w:val="009C04C6"/>
    <w:rsid w:val="009C06A2"/>
    <w:rsid w:val="009C0C34"/>
    <w:rsid w:val="009C0E53"/>
    <w:rsid w:val="009C14DE"/>
    <w:rsid w:val="009C20F0"/>
    <w:rsid w:val="009C336E"/>
    <w:rsid w:val="009C3DE4"/>
    <w:rsid w:val="009C49F0"/>
    <w:rsid w:val="009C4C7E"/>
    <w:rsid w:val="009C517F"/>
    <w:rsid w:val="009C5240"/>
    <w:rsid w:val="009C566F"/>
    <w:rsid w:val="009C56FC"/>
    <w:rsid w:val="009C5ABE"/>
    <w:rsid w:val="009C6600"/>
    <w:rsid w:val="009C72E1"/>
    <w:rsid w:val="009C7776"/>
    <w:rsid w:val="009D02B7"/>
    <w:rsid w:val="009D2726"/>
    <w:rsid w:val="009D2834"/>
    <w:rsid w:val="009D2AE9"/>
    <w:rsid w:val="009D4FAE"/>
    <w:rsid w:val="009D7292"/>
    <w:rsid w:val="009E0B58"/>
    <w:rsid w:val="009E147D"/>
    <w:rsid w:val="009E1650"/>
    <w:rsid w:val="009E1BC1"/>
    <w:rsid w:val="009E1BF4"/>
    <w:rsid w:val="009E1F8D"/>
    <w:rsid w:val="009E21C8"/>
    <w:rsid w:val="009E27AA"/>
    <w:rsid w:val="009E3247"/>
    <w:rsid w:val="009E431F"/>
    <w:rsid w:val="009E47C1"/>
    <w:rsid w:val="009E4F4F"/>
    <w:rsid w:val="009E501C"/>
    <w:rsid w:val="009E521F"/>
    <w:rsid w:val="009E55ED"/>
    <w:rsid w:val="009E56E2"/>
    <w:rsid w:val="009E5CBF"/>
    <w:rsid w:val="009E621E"/>
    <w:rsid w:val="009E654F"/>
    <w:rsid w:val="009E6BBC"/>
    <w:rsid w:val="009F0826"/>
    <w:rsid w:val="009F15A7"/>
    <w:rsid w:val="009F1638"/>
    <w:rsid w:val="009F19E1"/>
    <w:rsid w:val="009F287D"/>
    <w:rsid w:val="009F3454"/>
    <w:rsid w:val="009F3BBB"/>
    <w:rsid w:val="009F44FF"/>
    <w:rsid w:val="009F50E1"/>
    <w:rsid w:val="009F57EC"/>
    <w:rsid w:val="009F6076"/>
    <w:rsid w:val="009F68AA"/>
    <w:rsid w:val="009F695B"/>
    <w:rsid w:val="009F6F83"/>
    <w:rsid w:val="00A0011F"/>
    <w:rsid w:val="00A00A2A"/>
    <w:rsid w:val="00A02DDE"/>
    <w:rsid w:val="00A0317A"/>
    <w:rsid w:val="00A035A2"/>
    <w:rsid w:val="00A0362D"/>
    <w:rsid w:val="00A037BD"/>
    <w:rsid w:val="00A0384A"/>
    <w:rsid w:val="00A03C44"/>
    <w:rsid w:val="00A041E4"/>
    <w:rsid w:val="00A045F2"/>
    <w:rsid w:val="00A04DE7"/>
    <w:rsid w:val="00A07345"/>
    <w:rsid w:val="00A07D1C"/>
    <w:rsid w:val="00A109BD"/>
    <w:rsid w:val="00A112F0"/>
    <w:rsid w:val="00A11ABC"/>
    <w:rsid w:val="00A11DD5"/>
    <w:rsid w:val="00A1544B"/>
    <w:rsid w:val="00A1659E"/>
    <w:rsid w:val="00A16FAC"/>
    <w:rsid w:val="00A170BB"/>
    <w:rsid w:val="00A178A9"/>
    <w:rsid w:val="00A17D48"/>
    <w:rsid w:val="00A20927"/>
    <w:rsid w:val="00A210BD"/>
    <w:rsid w:val="00A21479"/>
    <w:rsid w:val="00A21640"/>
    <w:rsid w:val="00A21747"/>
    <w:rsid w:val="00A2188E"/>
    <w:rsid w:val="00A224F8"/>
    <w:rsid w:val="00A22832"/>
    <w:rsid w:val="00A22AB4"/>
    <w:rsid w:val="00A22C2F"/>
    <w:rsid w:val="00A23FB0"/>
    <w:rsid w:val="00A251F4"/>
    <w:rsid w:val="00A26652"/>
    <w:rsid w:val="00A26A82"/>
    <w:rsid w:val="00A26AC9"/>
    <w:rsid w:val="00A2773A"/>
    <w:rsid w:val="00A277E4"/>
    <w:rsid w:val="00A27A5F"/>
    <w:rsid w:val="00A301C7"/>
    <w:rsid w:val="00A30AB2"/>
    <w:rsid w:val="00A316DF"/>
    <w:rsid w:val="00A323E5"/>
    <w:rsid w:val="00A32B87"/>
    <w:rsid w:val="00A33D5E"/>
    <w:rsid w:val="00A3441A"/>
    <w:rsid w:val="00A34B0C"/>
    <w:rsid w:val="00A35996"/>
    <w:rsid w:val="00A35E78"/>
    <w:rsid w:val="00A363C8"/>
    <w:rsid w:val="00A36D83"/>
    <w:rsid w:val="00A37422"/>
    <w:rsid w:val="00A37478"/>
    <w:rsid w:val="00A37922"/>
    <w:rsid w:val="00A4023F"/>
    <w:rsid w:val="00A4043C"/>
    <w:rsid w:val="00A41276"/>
    <w:rsid w:val="00A4136F"/>
    <w:rsid w:val="00A41873"/>
    <w:rsid w:val="00A41B6D"/>
    <w:rsid w:val="00A41F5A"/>
    <w:rsid w:val="00A421B9"/>
    <w:rsid w:val="00A42493"/>
    <w:rsid w:val="00A43592"/>
    <w:rsid w:val="00A43F1F"/>
    <w:rsid w:val="00A43FBB"/>
    <w:rsid w:val="00A515B4"/>
    <w:rsid w:val="00A52F63"/>
    <w:rsid w:val="00A5436E"/>
    <w:rsid w:val="00A54D38"/>
    <w:rsid w:val="00A550AE"/>
    <w:rsid w:val="00A5544C"/>
    <w:rsid w:val="00A559C9"/>
    <w:rsid w:val="00A564D4"/>
    <w:rsid w:val="00A56BA0"/>
    <w:rsid w:val="00A57F14"/>
    <w:rsid w:val="00A600ED"/>
    <w:rsid w:val="00A6080C"/>
    <w:rsid w:val="00A61E0B"/>
    <w:rsid w:val="00A623BD"/>
    <w:rsid w:val="00A62A82"/>
    <w:rsid w:val="00A6368B"/>
    <w:rsid w:val="00A63B46"/>
    <w:rsid w:val="00A64D8F"/>
    <w:rsid w:val="00A65040"/>
    <w:rsid w:val="00A651BE"/>
    <w:rsid w:val="00A65512"/>
    <w:rsid w:val="00A66666"/>
    <w:rsid w:val="00A677E0"/>
    <w:rsid w:val="00A67840"/>
    <w:rsid w:val="00A67966"/>
    <w:rsid w:val="00A70383"/>
    <w:rsid w:val="00A719AE"/>
    <w:rsid w:val="00A72220"/>
    <w:rsid w:val="00A727DD"/>
    <w:rsid w:val="00A72E23"/>
    <w:rsid w:val="00A734B1"/>
    <w:rsid w:val="00A74588"/>
    <w:rsid w:val="00A749FC"/>
    <w:rsid w:val="00A7515C"/>
    <w:rsid w:val="00A75216"/>
    <w:rsid w:val="00A75999"/>
    <w:rsid w:val="00A75A90"/>
    <w:rsid w:val="00A76523"/>
    <w:rsid w:val="00A767C9"/>
    <w:rsid w:val="00A7699E"/>
    <w:rsid w:val="00A769AD"/>
    <w:rsid w:val="00A76DAA"/>
    <w:rsid w:val="00A80636"/>
    <w:rsid w:val="00A806CF"/>
    <w:rsid w:val="00A80866"/>
    <w:rsid w:val="00A8105D"/>
    <w:rsid w:val="00A824FE"/>
    <w:rsid w:val="00A82727"/>
    <w:rsid w:val="00A834FB"/>
    <w:rsid w:val="00A836CB"/>
    <w:rsid w:val="00A850D2"/>
    <w:rsid w:val="00A856A7"/>
    <w:rsid w:val="00A85A0F"/>
    <w:rsid w:val="00A85E75"/>
    <w:rsid w:val="00A86002"/>
    <w:rsid w:val="00A86104"/>
    <w:rsid w:val="00A86836"/>
    <w:rsid w:val="00A8687B"/>
    <w:rsid w:val="00A87773"/>
    <w:rsid w:val="00A877E2"/>
    <w:rsid w:val="00A87C20"/>
    <w:rsid w:val="00A918BA"/>
    <w:rsid w:val="00A92ACF"/>
    <w:rsid w:val="00A92CE3"/>
    <w:rsid w:val="00A93317"/>
    <w:rsid w:val="00A9390F"/>
    <w:rsid w:val="00A93F88"/>
    <w:rsid w:val="00A94055"/>
    <w:rsid w:val="00A94056"/>
    <w:rsid w:val="00A94A3B"/>
    <w:rsid w:val="00A94B5C"/>
    <w:rsid w:val="00A9529C"/>
    <w:rsid w:val="00A9558D"/>
    <w:rsid w:val="00A9577C"/>
    <w:rsid w:val="00A964CC"/>
    <w:rsid w:val="00A964D0"/>
    <w:rsid w:val="00A96E07"/>
    <w:rsid w:val="00A97928"/>
    <w:rsid w:val="00A97D17"/>
    <w:rsid w:val="00AA038F"/>
    <w:rsid w:val="00AA0EB9"/>
    <w:rsid w:val="00AA13A3"/>
    <w:rsid w:val="00AA18FB"/>
    <w:rsid w:val="00AA1FD0"/>
    <w:rsid w:val="00AA2C69"/>
    <w:rsid w:val="00AA32CE"/>
    <w:rsid w:val="00AA3660"/>
    <w:rsid w:val="00AA382B"/>
    <w:rsid w:val="00AA4549"/>
    <w:rsid w:val="00AA4601"/>
    <w:rsid w:val="00AA4DAB"/>
    <w:rsid w:val="00AA4E66"/>
    <w:rsid w:val="00AA63EB"/>
    <w:rsid w:val="00AA6F19"/>
    <w:rsid w:val="00AA7073"/>
    <w:rsid w:val="00AB0120"/>
    <w:rsid w:val="00AB02DB"/>
    <w:rsid w:val="00AB0B13"/>
    <w:rsid w:val="00AB0C37"/>
    <w:rsid w:val="00AB0E61"/>
    <w:rsid w:val="00AB106D"/>
    <w:rsid w:val="00AB1D9F"/>
    <w:rsid w:val="00AB2094"/>
    <w:rsid w:val="00AB26E6"/>
    <w:rsid w:val="00AB499B"/>
    <w:rsid w:val="00AB4E90"/>
    <w:rsid w:val="00AB4FF3"/>
    <w:rsid w:val="00AB51E5"/>
    <w:rsid w:val="00AB53FB"/>
    <w:rsid w:val="00AB5B43"/>
    <w:rsid w:val="00AB5DC4"/>
    <w:rsid w:val="00AB6092"/>
    <w:rsid w:val="00AB636C"/>
    <w:rsid w:val="00AB6716"/>
    <w:rsid w:val="00AB69AA"/>
    <w:rsid w:val="00AB6ADF"/>
    <w:rsid w:val="00AB6ED5"/>
    <w:rsid w:val="00AB6F6D"/>
    <w:rsid w:val="00AB769C"/>
    <w:rsid w:val="00AC052D"/>
    <w:rsid w:val="00AC0E21"/>
    <w:rsid w:val="00AC2F81"/>
    <w:rsid w:val="00AC3332"/>
    <w:rsid w:val="00AC35F0"/>
    <w:rsid w:val="00AC3ADF"/>
    <w:rsid w:val="00AC3EF5"/>
    <w:rsid w:val="00AC48F4"/>
    <w:rsid w:val="00AC4E89"/>
    <w:rsid w:val="00AC5317"/>
    <w:rsid w:val="00AC551F"/>
    <w:rsid w:val="00AC5EF6"/>
    <w:rsid w:val="00AC6E1C"/>
    <w:rsid w:val="00AC7E2C"/>
    <w:rsid w:val="00AD0218"/>
    <w:rsid w:val="00AD07F8"/>
    <w:rsid w:val="00AD0E73"/>
    <w:rsid w:val="00AD0F7B"/>
    <w:rsid w:val="00AD1F9D"/>
    <w:rsid w:val="00AD36A2"/>
    <w:rsid w:val="00AD3A1E"/>
    <w:rsid w:val="00AD3CEC"/>
    <w:rsid w:val="00AD45C8"/>
    <w:rsid w:val="00AD4F49"/>
    <w:rsid w:val="00AD53C8"/>
    <w:rsid w:val="00AD5E9A"/>
    <w:rsid w:val="00AD66DB"/>
    <w:rsid w:val="00AD6AA9"/>
    <w:rsid w:val="00AD6D1F"/>
    <w:rsid w:val="00AD6EF8"/>
    <w:rsid w:val="00AE02E2"/>
    <w:rsid w:val="00AE0B1E"/>
    <w:rsid w:val="00AE233C"/>
    <w:rsid w:val="00AE2434"/>
    <w:rsid w:val="00AE26DB"/>
    <w:rsid w:val="00AE51FE"/>
    <w:rsid w:val="00AE5313"/>
    <w:rsid w:val="00AE6A54"/>
    <w:rsid w:val="00AE720B"/>
    <w:rsid w:val="00AE786D"/>
    <w:rsid w:val="00AE7F27"/>
    <w:rsid w:val="00AF0BFB"/>
    <w:rsid w:val="00AF3D70"/>
    <w:rsid w:val="00AF439D"/>
    <w:rsid w:val="00AF44B7"/>
    <w:rsid w:val="00AF52C6"/>
    <w:rsid w:val="00AF5978"/>
    <w:rsid w:val="00AF5A60"/>
    <w:rsid w:val="00AF73EA"/>
    <w:rsid w:val="00B006CD"/>
    <w:rsid w:val="00B00CD6"/>
    <w:rsid w:val="00B00FD2"/>
    <w:rsid w:val="00B016E4"/>
    <w:rsid w:val="00B0227F"/>
    <w:rsid w:val="00B0293B"/>
    <w:rsid w:val="00B0344F"/>
    <w:rsid w:val="00B059A7"/>
    <w:rsid w:val="00B05BCF"/>
    <w:rsid w:val="00B061BF"/>
    <w:rsid w:val="00B06780"/>
    <w:rsid w:val="00B067C4"/>
    <w:rsid w:val="00B06DC0"/>
    <w:rsid w:val="00B073F1"/>
    <w:rsid w:val="00B07B9A"/>
    <w:rsid w:val="00B07DEC"/>
    <w:rsid w:val="00B07FEE"/>
    <w:rsid w:val="00B102FC"/>
    <w:rsid w:val="00B10A34"/>
    <w:rsid w:val="00B110F4"/>
    <w:rsid w:val="00B11FA0"/>
    <w:rsid w:val="00B121E6"/>
    <w:rsid w:val="00B125D5"/>
    <w:rsid w:val="00B131C6"/>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34E6"/>
    <w:rsid w:val="00B24083"/>
    <w:rsid w:val="00B240A5"/>
    <w:rsid w:val="00B24F20"/>
    <w:rsid w:val="00B25DD6"/>
    <w:rsid w:val="00B26209"/>
    <w:rsid w:val="00B27215"/>
    <w:rsid w:val="00B27EA2"/>
    <w:rsid w:val="00B319A4"/>
    <w:rsid w:val="00B3204F"/>
    <w:rsid w:val="00B32984"/>
    <w:rsid w:val="00B32EB6"/>
    <w:rsid w:val="00B337CA"/>
    <w:rsid w:val="00B33E86"/>
    <w:rsid w:val="00B3428E"/>
    <w:rsid w:val="00B34686"/>
    <w:rsid w:val="00B349AC"/>
    <w:rsid w:val="00B362E1"/>
    <w:rsid w:val="00B36577"/>
    <w:rsid w:val="00B36ED3"/>
    <w:rsid w:val="00B40001"/>
    <w:rsid w:val="00B400DB"/>
    <w:rsid w:val="00B42F2E"/>
    <w:rsid w:val="00B43466"/>
    <w:rsid w:val="00B43B96"/>
    <w:rsid w:val="00B449D1"/>
    <w:rsid w:val="00B4541F"/>
    <w:rsid w:val="00B45583"/>
    <w:rsid w:val="00B45B7A"/>
    <w:rsid w:val="00B46195"/>
    <w:rsid w:val="00B46B6A"/>
    <w:rsid w:val="00B46D80"/>
    <w:rsid w:val="00B47314"/>
    <w:rsid w:val="00B47CDE"/>
    <w:rsid w:val="00B51292"/>
    <w:rsid w:val="00B53257"/>
    <w:rsid w:val="00B53617"/>
    <w:rsid w:val="00B53B68"/>
    <w:rsid w:val="00B53D02"/>
    <w:rsid w:val="00B5450A"/>
    <w:rsid w:val="00B54600"/>
    <w:rsid w:val="00B56587"/>
    <w:rsid w:val="00B56594"/>
    <w:rsid w:val="00B56A88"/>
    <w:rsid w:val="00B5708C"/>
    <w:rsid w:val="00B57E4B"/>
    <w:rsid w:val="00B6023B"/>
    <w:rsid w:val="00B60FCB"/>
    <w:rsid w:val="00B6173C"/>
    <w:rsid w:val="00B61D17"/>
    <w:rsid w:val="00B63EE9"/>
    <w:rsid w:val="00B64E8F"/>
    <w:rsid w:val="00B6559F"/>
    <w:rsid w:val="00B6597A"/>
    <w:rsid w:val="00B65E65"/>
    <w:rsid w:val="00B66127"/>
    <w:rsid w:val="00B6617F"/>
    <w:rsid w:val="00B667EB"/>
    <w:rsid w:val="00B67071"/>
    <w:rsid w:val="00B6719C"/>
    <w:rsid w:val="00B67E4B"/>
    <w:rsid w:val="00B70A84"/>
    <w:rsid w:val="00B70CB1"/>
    <w:rsid w:val="00B71787"/>
    <w:rsid w:val="00B71C39"/>
    <w:rsid w:val="00B721F6"/>
    <w:rsid w:val="00B731BB"/>
    <w:rsid w:val="00B734ED"/>
    <w:rsid w:val="00B73712"/>
    <w:rsid w:val="00B74202"/>
    <w:rsid w:val="00B74418"/>
    <w:rsid w:val="00B75816"/>
    <w:rsid w:val="00B759C0"/>
    <w:rsid w:val="00B80651"/>
    <w:rsid w:val="00B82170"/>
    <w:rsid w:val="00B825D9"/>
    <w:rsid w:val="00B82842"/>
    <w:rsid w:val="00B84431"/>
    <w:rsid w:val="00B853F9"/>
    <w:rsid w:val="00B85425"/>
    <w:rsid w:val="00B85762"/>
    <w:rsid w:val="00B85D59"/>
    <w:rsid w:val="00B86B25"/>
    <w:rsid w:val="00B86F02"/>
    <w:rsid w:val="00B87693"/>
    <w:rsid w:val="00B87DB4"/>
    <w:rsid w:val="00B904E4"/>
    <w:rsid w:val="00B905FC"/>
    <w:rsid w:val="00B90FE8"/>
    <w:rsid w:val="00B917A8"/>
    <w:rsid w:val="00B9204F"/>
    <w:rsid w:val="00B929CE"/>
    <w:rsid w:val="00B92FCF"/>
    <w:rsid w:val="00B9444D"/>
    <w:rsid w:val="00B945FE"/>
    <w:rsid w:val="00B95A48"/>
    <w:rsid w:val="00B970A4"/>
    <w:rsid w:val="00B97855"/>
    <w:rsid w:val="00B97ECD"/>
    <w:rsid w:val="00BA061F"/>
    <w:rsid w:val="00BA079A"/>
    <w:rsid w:val="00BA277F"/>
    <w:rsid w:val="00BA2D7D"/>
    <w:rsid w:val="00BA3C8B"/>
    <w:rsid w:val="00BA4155"/>
    <w:rsid w:val="00BA4378"/>
    <w:rsid w:val="00BA5587"/>
    <w:rsid w:val="00BA6434"/>
    <w:rsid w:val="00BA66EA"/>
    <w:rsid w:val="00BA7346"/>
    <w:rsid w:val="00BA7BCA"/>
    <w:rsid w:val="00BA7D14"/>
    <w:rsid w:val="00BA7FD6"/>
    <w:rsid w:val="00BB030E"/>
    <w:rsid w:val="00BB0428"/>
    <w:rsid w:val="00BB05E7"/>
    <w:rsid w:val="00BB0621"/>
    <w:rsid w:val="00BB0DE4"/>
    <w:rsid w:val="00BB1E00"/>
    <w:rsid w:val="00BB1E03"/>
    <w:rsid w:val="00BB2FE2"/>
    <w:rsid w:val="00BB30CF"/>
    <w:rsid w:val="00BB4421"/>
    <w:rsid w:val="00BB4887"/>
    <w:rsid w:val="00BB55ED"/>
    <w:rsid w:val="00BB5721"/>
    <w:rsid w:val="00BC11E2"/>
    <w:rsid w:val="00BC1DCC"/>
    <w:rsid w:val="00BC26C0"/>
    <w:rsid w:val="00BC2FDB"/>
    <w:rsid w:val="00BC3B23"/>
    <w:rsid w:val="00BC42AF"/>
    <w:rsid w:val="00BC4471"/>
    <w:rsid w:val="00BC4A30"/>
    <w:rsid w:val="00BC4A90"/>
    <w:rsid w:val="00BC5334"/>
    <w:rsid w:val="00BC6026"/>
    <w:rsid w:val="00BC6061"/>
    <w:rsid w:val="00BC6A12"/>
    <w:rsid w:val="00BC7A84"/>
    <w:rsid w:val="00BC7CF4"/>
    <w:rsid w:val="00BC7F3D"/>
    <w:rsid w:val="00BD0F58"/>
    <w:rsid w:val="00BD13D8"/>
    <w:rsid w:val="00BD1CE5"/>
    <w:rsid w:val="00BD2860"/>
    <w:rsid w:val="00BD327A"/>
    <w:rsid w:val="00BD349B"/>
    <w:rsid w:val="00BD398B"/>
    <w:rsid w:val="00BD3A56"/>
    <w:rsid w:val="00BD5A3D"/>
    <w:rsid w:val="00BD61A8"/>
    <w:rsid w:val="00BD6459"/>
    <w:rsid w:val="00BD6714"/>
    <w:rsid w:val="00BD6DF0"/>
    <w:rsid w:val="00BD745F"/>
    <w:rsid w:val="00BE1064"/>
    <w:rsid w:val="00BE14F4"/>
    <w:rsid w:val="00BE1820"/>
    <w:rsid w:val="00BE1D76"/>
    <w:rsid w:val="00BE1D92"/>
    <w:rsid w:val="00BE2C6C"/>
    <w:rsid w:val="00BE3CD6"/>
    <w:rsid w:val="00BE5BC1"/>
    <w:rsid w:val="00BE62F1"/>
    <w:rsid w:val="00BE63A7"/>
    <w:rsid w:val="00BE6828"/>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2D5"/>
    <w:rsid w:val="00C013C5"/>
    <w:rsid w:val="00C01588"/>
    <w:rsid w:val="00C02AFC"/>
    <w:rsid w:val="00C043FD"/>
    <w:rsid w:val="00C0478B"/>
    <w:rsid w:val="00C047D6"/>
    <w:rsid w:val="00C0489F"/>
    <w:rsid w:val="00C05234"/>
    <w:rsid w:val="00C052D3"/>
    <w:rsid w:val="00C055CF"/>
    <w:rsid w:val="00C06502"/>
    <w:rsid w:val="00C065DD"/>
    <w:rsid w:val="00C06A90"/>
    <w:rsid w:val="00C06B2A"/>
    <w:rsid w:val="00C07078"/>
    <w:rsid w:val="00C0767A"/>
    <w:rsid w:val="00C1042D"/>
    <w:rsid w:val="00C1162A"/>
    <w:rsid w:val="00C11A89"/>
    <w:rsid w:val="00C121C1"/>
    <w:rsid w:val="00C1223E"/>
    <w:rsid w:val="00C131FF"/>
    <w:rsid w:val="00C135C4"/>
    <w:rsid w:val="00C13D55"/>
    <w:rsid w:val="00C15836"/>
    <w:rsid w:val="00C15EF3"/>
    <w:rsid w:val="00C165F6"/>
    <w:rsid w:val="00C171A0"/>
    <w:rsid w:val="00C1789C"/>
    <w:rsid w:val="00C17E85"/>
    <w:rsid w:val="00C20A03"/>
    <w:rsid w:val="00C20DED"/>
    <w:rsid w:val="00C2199F"/>
    <w:rsid w:val="00C21AFE"/>
    <w:rsid w:val="00C2243A"/>
    <w:rsid w:val="00C22E37"/>
    <w:rsid w:val="00C2370D"/>
    <w:rsid w:val="00C24249"/>
    <w:rsid w:val="00C2518F"/>
    <w:rsid w:val="00C253DA"/>
    <w:rsid w:val="00C2627F"/>
    <w:rsid w:val="00C26FDC"/>
    <w:rsid w:val="00C27B79"/>
    <w:rsid w:val="00C3079D"/>
    <w:rsid w:val="00C310A9"/>
    <w:rsid w:val="00C31837"/>
    <w:rsid w:val="00C31A2D"/>
    <w:rsid w:val="00C320FB"/>
    <w:rsid w:val="00C32173"/>
    <w:rsid w:val="00C322EE"/>
    <w:rsid w:val="00C328BF"/>
    <w:rsid w:val="00C3378A"/>
    <w:rsid w:val="00C34A03"/>
    <w:rsid w:val="00C34F6E"/>
    <w:rsid w:val="00C34FEB"/>
    <w:rsid w:val="00C357FE"/>
    <w:rsid w:val="00C364E8"/>
    <w:rsid w:val="00C378AD"/>
    <w:rsid w:val="00C404FA"/>
    <w:rsid w:val="00C40861"/>
    <w:rsid w:val="00C4131C"/>
    <w:rsid w:val="00C421C7"/>
    <w:rsid w:val="00C42572"/>
    <w:rsid w:val="00C42630"/>
    <w:rsid w:val="00C426F8"/>
    <w:rsid w:val="00C4350F"/>
    <w:rsid w:val="00C43B95"/>
    <w:rsid w:val="00C43D50"/>
    <w:rsid w:val="00C43F65"/>
    <w:rsid w:val="00C469E4"/>
    <w:rsid w:val="00C46BE6"/>
    <w:rsid w:val="00C47D80"/>
    <w:rsid w:val="00C47EC1"/>
    <w:rsid w:val="00C50EBA"/>
    <w:rsid w:val="00C5116C"/>
    <w:rsid w:val="00C5301F"/>
    <w:rsid w:val="00C5349E"/>
    <w:rsid w:val="00C537E0"/>
    <w:rsid w:val="00C538F8"/>
    <w:rsid w:val="00C53E0C"/>
    <w:rsid w:val="00C53FC9"/>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599"/>
    <w:rsid w:val="00C71DA3"/>
    <w:rsid w:val="00C72940"/>
    <w:rsid w:val="00C737C9"/>
    <w:rsid w:val="00C744B1"/>
    <w:rsid w:val="00C74E7A"/>
    <w:rsid w:val="00C7568D"/>
    <w:rsid w:val="00C75698"/>
    <w:rsid w:val="00C75E2D"/>
    <w:rsid w:val="00C76659"/>
    <w:rsid w:val="00C76E2C"/>
    <w:rsid w:val="00C80780"/>
    <w:rsid w:val="00C80796"/>
    <w:rsid w:val="00C80907"/>
    <w:rsid w:val="00C81AF4"/>
    <w:rsid w:val="00C8201C"/>
    <w:rsid w:val="00C8246F"/>
    <w:rsid w:val="00C82E23"/>
    <w:rsid w:val="00C837F9"/>
    <w:rsid w:val="00C84457"/>
    <w:rsid w:val="00C85E21"/>
    <w:rsid w:val="00C86421"/>
    <w:rsid w:val="00C86F99"/>
    <w:rsid w:val="00C87547"/>
    <w:rsid w:val="00C9049F"/>
    <w:rsid w:val="00C905E1"/>
    <w:rsid w:val="00C90800"/>
    <w:rsid w:val="00C91E8C"/>
    <w:rsid w:val="00C93360"/>
    <w:rsid w:val="00C934A7"/>
    <w:rsid w:val="00C94599"/>
    <w:rsid w:val="00C9600E"/>
    <w:rsid w:val="00C9767C"/>
    <w:rsid w:val="00C97F01"/>
    <w:rsid w:val="00CA052C"/>
    <w:rsid w:val="00CA098E"/>
    <w:rsid w:val="00CA0A19"/>
    <w:rsid w:val="00CA0F7C"/>
    <w:rsid w:val="00CA2649"/>
    <w:rsid w:val="00CA278C"/>
    <w:rsid w:val="00CA2991"/>
    <w:rsid w:val="00CA361D"/>
    <w:rsid w:val="00CA4A2B"/>
    <w:rsid w:val="00CA4A3D"/>
    <w:rsid w:val="00CA5D42"/>
    <w:rsid w:val="00CA79E2"/>
    <w:rsid w:val="00CB0504"/>
    <w:rsid w:val="00CB1515"/>
    <w:rsid w:val="00CB164B"/>
    <w:rsid w:val="00CB1F8E"/>
    <w:rsid w:val="00CB270E"/>
    <w:rsid w:val="00CB2FBE"/>
    <w:rsid w:val="00CB33F8"/>
    <w:rsid w:val="00CB462C"/>
    <w:rsid w:val="00CB484E"/>
    <w:rsid w:val="00CB5900"/>
    <w:rsid w:val="00CB6031"/>
    <w:rsid w:val="00CB6519"/>
    <w:rsid w:val="00CB67D0"/>
    <w:rsid w:val="00CB6878"/>
    <w:rsid w:val="00CB70BD"/>
    <w:rsid w:val="00CC03BA"/>
    <w:rsid w:val="00CC08A0"/>
    <w:rsid w:val="00CC1386"/>
    <w:rsid w:val="00CC172C"/>
    <w:rsid w:val="00CC199B"/>
    <w:rsid w:val="00CC3AF2"/>
    <w:rsid w:val="00CC404B"/>
    <w:rsid w:val="00CC495D"/>
    <w:rsid w:val="00CC4A4E"/>
    <w:rsid w:val="00CC5721"/>
    <w:rsid w:val="00CC5C0B"/>
    <w:rsid w:val="00CC6292"/>
    <w:rsid w:val="00CC72CB"/>
    <w:rsid w:val="00CC7355"/>
    <w:rsid w:val="00CC79EA"/>
    <w:rsid w:val="00CD06C6"/>
    <w:rsid w:val="00CD0947"/>
    <w:rsid w:val="00CD0B5F"/>
    <w:rsid w:val="00CD10BC"/>
    <w:rsid w:val="00CD115F"/>
    <w:rsid w:val="00CD153C"/>
    <w:rsid w:val="00CD1705"/>
    <w:rsid w:val="00CD1A26"/>
    <w:rsid w:val="00CD2219"/>
    <w:rsid w:val="00CD2DFE"/>
    <w:rsid w:val="00CD48D4"/>
    <w:rsid w:val="00CD4E71"/>
    <w:rsid w:val="00CD6A2E"/>
    <w:rsid w:val="00CD6F4C"/>
    <w:rsid w:val="00CD7A82"/>
    <w:rsid w:val="00CE031A"/>
    <w:rsid w:val="00CE05F5"/>
    <w:rsid w:val="00CE0A30"/>
    <w:rsid w:val="00CE1DFF"/>
    <w:rsid w:val="00CE1F7F"/>
    <w:rsid w:val="00CE32F8"/>
    <w:rsid w:val="00CE3300"/>
    <w:rsid w:val="00CE390B"/>
    <w:rsid w:val="00CE4129"/>
    <w:rsid w:val="00CE4C9D"/>
    <w:rsid w:val="00CE4EA4"/>
    <w:rsid w:val="00CE50C4"/>
    <w:rsid w:val="00CE575F"/>
    <w:rsid w:val="00CE57DE"/>
    <w:rsid w:val="00CE647F"/>
    <w:rsid w:val="00CE66BB"/>
    <w:rsid w:val="00CE696A"/>
    <w:rsid w:val="00CE69DB"/>
    <w:rsid w:val="00CE6A2A"/>
    <w:rsid w:val="00CE6A53"/>
    <w:rsid w:val="00CE71EF"/>
    <w:rsid w:val="00CE73AD"/>
    <w:rsid w:val="00CE75F6"/>
    <w:rsid w:val="00CF038A"/>
    <w:rsid w:val="00CF065A"/>
    <w:rsid w:val="00CF127D"/>
    <w:rsid w:val="00CF181B"/>
    <w:rsid w:val="00CF23B9"/>
    <w:rsid w:val="00CF35E8"/>
    <w:rsid w:val="00CF3EC8"/>
    <w:rsid w:val="00CF4189"/>
    <w:rsid w:val="00CF4402"/>
    <w:rsid w:val="00CF4569"/>
    <w:rsid w:val="00CF4888"/>
    <w:rsid w:val="00CF4F70"/>
    <w:rsid w:val="00CF60EC"/>
    <w:rsid w:val="00CF7E56"/>
    <w:rsid w:val="00D00492"/>
    <w:rsid w:val="00D00AA3"/>
    <w:rsid w:val="00D01014"/>
    <w:rsid w:val="00D018A0"/>
    <w:rsid w:val="00D01D34"/>
    <w:rsid w:val="00D02699"/>
    <w:rsid w:val="00D03D7B"/>
    <w:rsid w:val="00D04071"/>
    <w:rsid w:val="00D04157"/>
    <w:rsid w:val="00D0433D"/>
    <w:rsid w:val="00D046D6"/>
    <w:rsid w:val="00D0490A"/>
    <w:rsid w:val="00D05068"/>
    <w:rsid w:val="00D05B1B"/>
    <w:rsid w:val="00D068E3"/>
    <w:rsid w:val="00D0764C"/>
    <w:rsid w:val="00D07F60"/>
    <w:rsid w:val="00D1088D"/>
    <w:rsid w:val="00D11238"/>
    <w:rsid w:val="00D11D67"/>
    <w:rsid w:val="00D12A0D"/>
    <w:rsid w:val="00D12D17"/>
    <w:rsid w:val="00D12D91"/>
    <w:rsid w:val="00D135A5"/>
    <w:rsid w:val="00D1388C"/>
    <w:rsid w:val="00D13D54"/>
    <w:rsid w:val="00D13E42"/>
    <w:rsid w:val="00D145D4"/>
    <w:rsid w:val="00D15EEA"/>
    <w:rsid w:val="00D20BA9"/>
    <w:rsid w:val="00D224E7"/>
    <w:rsid w:val="00D22FB3"/>
    <w:rsid w:val="00D236C2"/>
    <w:rsid w:val="00D23814"/>
    <w:rsid w:val="00D251AB"/>
    <w:rsid w:val="00D25292"/>
    <w:rsid w:val="00D25507"/>
    <w:rsid w:val="00D256E5"/>
    <w:rsid w:val="00D25A2C"/>
    <w:rsid w:val="00D26E1C"/>
    <w:rsid w:val="00D274D2"/>
    <w:rsid w:val="00D2786B"/>
    <w:rsid w:val="00D3122B"/>
    <w:rsid w:val="00D31B75"/>
    <w:rsid w:val="00D3201B"/>
    <w:rsid w:val="00D33326"/>
    <w:rsid w:val="00D347E9"/>
    <w:rsid w:val="00D34D53"/>
    <w:rsid w:val="00D34F0D"/>
    <w:rsid w:val="00D3532B"/>
    <w:rsid w:val="00D35A2B"/>
    <w:rsid w:val="00D36388"/>
    <w:rsid w:val="00D364BC"/>
    <w:rsid w:val="00D37712"/>
    <w:rsid w:val="00D37D94"/>
    <w:rsid w:val="00D401FA"/>
    <w:rsid w:val="00D407CC"/>
    <w:rsid w:val="00D40919"/>
    <w:rsid w:val="00D41146"/>
    <w:rsid w:val="00D417DB"/>
    <w:rsid w:val="00D42794"/>
    <w:rsid w:val="00D42ADB"/>
    <w:rsid w:val="00D42CDC"/>
    <w:rsid w:val="00D43F32"/>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1112"/>
    <w:rsid w:val="00D62347"/>
    <w:rsid w:val="00D64D10"/>
    <w:rsid w:val="00D65856"/>
    <w:rsid w:val="00D66903"/>
    <w:rsid w:val="00D67422"/>
    <w:rsid w:val="00D70A0F"/>
    <w:rsid w:val="00D719E8"/>
    <w:rsid w:val="00D71AFB"/>
    <w:rsid w:val="00D723DA"/>
    <w:rsid w:val="00D7255C"/>
    <w:rsid w:val="00D72856"/>
    <w:rsid w:val="00D72E86"/>
    <w:rsid w:val="00D74166"/>
    <w:rsid w:val="00D74F8F"/>
    <w:rsid w:val="00D75373"/>
    <w:rsid w:val="00D764A3"/>
    <w:rsid w:val="00D76BB7"/>
    <w:rsid w:val="00D80F3A"/>
    <w:rsid w:val="00D82839"/>
    <w:rsid w:val="00D82BCE"/>
    <w:rsid w:val="00D82DA2"/>
    <w:rsid w:val="00D82E48"/>
    <w:rsid w:val="00D83DCA"/>
    <w:rsid w:val="00D844AB"/>
    <w:rsid w:val="00D851BB"/>
    <w:rsid w:val="00D8521D"/>
    <w:rsid w:val="00D861C2"/>
    <w:rsid w:val="00D86267"/>
    <w:rsid w:val="00D86582"/>
    <w:rsid w:val="00D86B73"/>
    <w:rsid w:val="00D87574"/>
    <w:rsid w:val="00D87C5D"/>
    <w:rsid w:val="00D90DA0"/>
    <w:rsid w:val="00D935C4"/>
    <w:rsid w:val="00D9579F"/>
    <w:rsid w:val="00D95979"/>
    <w:rsid w:val="00D95C97"/>
    <w:rsid w:val="00D96CC2"/>
    <w:rsid w:val="00D97057"/>
    <w:rsid w:val="00D97559"/>
    <w:rsid w:val="00DA0229"/>
    <w:rsid w:val="00DA0897"/>
    <w:rsid w:val="00DA0A99"/>
    <w:rsid w:val="00DA15D2"/>
    <w:rsid w:val="00DA27B9"/>
    <w:rsid w:val="00DA29D1"/>
    <w:rsid w:val="00DA30D8"/>
    <w:rsid w:val="00DA3C65"/>
    <w:rsid w:val="00DA3CE0"/>
    <w:rsid w:val="00DA4E66"/>
    <w:rsid w:val="00DA4FA3"/>
    <w:rsid w:val="00DA68E6"/>
    <w:rsid w:val="00DA6975"/>
    <w:rsid w:val="00DA6AC1"/>
    <w:rsid w:val="00DA7461"/>
    <w:rsid w:val="00DA77FA"/>
    <w:rsid w:val="00DA7D1C"/>
    <w:rsid w:val="00DB0022"/>
    <w:rsid w:val="00DB127E"/>
    <w:rsid w:val="00DB139B"/>
    <w:rsid w:val="00DB1C28"/>
    <w:rsid w:val="00DB2AAD"/>
    <w:rsid w:val="00DB3094"/>
    <w:rsid w:val="00DB3431"/>
    <w:rsid w:val="00DB3972"/>
    <w:rsid w:val="00DB3F40"/>
    <w:rsid w:val="00DB61C7"/>
    <w:rsid w:val="00DB6EF7"/>
    <w:rsid w:val="00DB763F"/>
    <w:rsid w:val="00DB7B4A"/>
    <w:rsid w:val="00DC0A31"/>
    <w:rsid w:val="00DC10CC"/>
    <w:rsid w:val="00DC215E"/>
    <w:rsid w:val="00DC2824"/>
    <w:rsid w:val="00DC2B34"/>
    <w:rsid w:val="00DC2B56"/>
    <w:rsid w:val="00DC33C3"/>
    <w:rsid w:val="00DC3963"/>
    <w:rsid w:val="00DC3CAC"/>
    <w:rsid w:val="00DC44A5"/>
    <w:rsid w:val="00DC5976"/>
    <w:rsid w:val="00DC61C5"/>
    <w:rsid w:val="00DC667E"/>
    <w:rsid w:val="00DC69A0"/>
    <w:rsid w:val="00DC7DAF"/>
    <w:rsid w:val="00DD0713"/>
    <w:rsid w:val="00DD1090"/>
    <w:rsid w:val="00DD1520"/>
    <w:rsid w:val="00DD1903"/>
    <w:rsid w:val="00DD1A3B"/>
    <w:rsid w:val="00DD2065"/>
    <w:rsid w:val="00DD2BEC"/>
    <w:rsid w:val="00DD3051"/>
    <w:rsid w:val="00DD3A56"/>
    <w:rsid w:val="00DD456D"/>
    <w:rsid w:val="00DD46CA"/>
    <w:rsid w:val="00DD5605"/>
    <w:rsid w:val="00DD5716"/>
    <w:rsid w:val="00DD5FBC"/>
    <w:rsid w:val="00DD64AD"/>
    <w:rsid w:val="00DD6BDA"/>
    <w:rsid w:val="00DD707A"/>
    <w:rsid w:val="00DD776F"/>
    <w:rsid w:val="00DD7827"/>
    <w:rsid w:val="00DD7F79"/>
    <w:rsid w:val="00DE0573"/>
    <w:rsid w:val="00DE27E3"/>
    <w:rsid w:val="00DE2840"/>
    <w:rsid w:val="00DE2A9B"/>
    <w:rsid w:val="00DE348F"/>
    <w:rsid w:val="00DE3907"/>
    <w:rsid w:val="00DE3A0D"/>
    <w:rsid w:val="00DE42C0"/>
    <w:rsid w:val="00DE4ACE"/>
    <w:rsid w:val="00DE521C"/>
    <w:rsid w:val="00DE5D48"/>
    <w:rsid w:val="00DE643A"/>
    <w:rsid w:val="00DE6590"/>
    <w:rsid w:val="00DE65D9"/>
    <w:rsid w:val="00DE7AC1"/>
    <w:rsid w:val="00DF033F"/>
    <w:rsid w:val="00DF0ED4"/>
    <w:rsid w:val="00DF11F1"/>
    <w:rsid w:val="00DF1DBD"/>
    <w:rsid w:val="00DF2899"/>
    <w:rsid w:val="00DF3E05"/>
    <w:rsid w:val="00DF422F"/>
    <w:rsid w:val="00DF4557"/>
    <w:rsid w:val="00DF5A06"/>
    <w:rsid w:val="00DF60D3"/>
    <w:rsid w:val="00DF7072"/>
    <w:rsid w:val="00DF7320"/>
    <w:rsid w:val="00DF7897"/>
    <w:rsid w:val="00DF7F27"/>
    <w:rsid w:val="00E00686"/>
    <w:rsid w:val="00E02B92"/>
    <w:rsid w:val="00E03753"/>
    <w:rsid w:val="00E05A52"/>
    <w:rsid w:val="00E06F82"/>
    <w:rsid w:val="00E07ECB"/>
    <w:rsid w:val="00E10446"/>
    <w:rsid w:val="00E10AAD"/>
    <w:rsid w:val="00E114F8"/>
    <w:rsid w:val="00E11D41"/>
    <w:rsid w:val="00E11FEE"/>
    <w:rsid w:val="00E12DF9"/>
    <w:rsid w:val="00E13002"/>
    <w:rsid w:val="00E1364B"/>
    <w:rsid w:val="00E13963"/>
    <w:rsid w:val="00E13966"/>
    <w:rsid w:val="00E14140"/>
    <w:rsid w:val="00E144A9"/>
    <w:rsid w:val="00E14D66"/>
    <w:rsid w:val="00E16313"/>
    <w:rsid w:val="00E164B2"/>
    <w:rsid w:val="00E1744E"/>
    <w:rsid w:val="00E205A9"/>
    <w:rsid w:val="00E2071B"/>
    <w:rsid w:val="00E20754"/>
    <w:rsid w:val="00E21725"/>
    <w:rsid w:val="00E22196"/>
    <w:rsid w:val="00E229AE"/>
    <w:rsid w:val="00E23FA6"/>
    <w:rsid w:val="00E2459A"/>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2961"/>
    <w:rsid w:val="00E32AD3"/>
    <w:rsid w:val="00E331B7"/>
    <w:rsid w:val="00E3365B"/>
    <w:rsid w:val="00E336E4"/>
    <w:rsid w:val="00E3400D"/>
    <w:rsid w:val="00E34436"/>
    <w:rsid w:val="00E34996"/>
    <w:rsid w:val="00E34CEB"/>
    <w:rsid w:val="00E3538C"/>
    <w:rsid w:val="00E35810"/>
    <w:rsid w:val="00E35F86"/>
    <w:rsid w:val="00E3648E"/>
    <w:rsid w:val="00E37263"/>
    <w:rsid w:val="00E374F7"/>
    <w:rsid w:val="00E37608"/>
    <w:rsid w:val="00E37751"/>
    <w:rsid w:val="00E37BDB"/>
    <w:rsid w:val="00E4079E"/>
    <w:rsid w:val="00E40D7F"/>
    <w:rsid w:val="00E41A03"/>
    <w:rsid w:val="00E41ABD"/>
    <w:rsid w:val="00E41E65"/>
    <w:rsid w:val="00E421CC"/>
    <w:rsid w:val="00E425E6"/>
    <w:rsid w:val="00E429EF"/>
    <w:rsid w:val="00E430DF"/>
    <w:rsid w:val="00E434F9"/>
    <w:rsid w:val="00E43CA1"/>
    <w:rsid w:val="00E44793"/>
    <w:rsid w:val="00E44950"/>
    <w:rsid w:val="00E44AD3"/>
    <w:rsid w:val="00E45377"/>
    <w:rsid w:val="00E45DC9"/>
    <w:rsid w:val="00E46EC3"/>
    <w:rsid w:val="00E47C67"/>
    <w:rsid w:val="00E514C7"/>
    <w:rsid w:val="00E5156F"/>
    <w:rsid w:val="00E51BC2"/>
    <w:rsid w:val="00E51E96"/>
    <w:rsid w:val="00E52404"/>
    <w:rsid w:val="00E52F36"/>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B9"/>
    <w:rsid w:val="00E62CD8"/>
    <w:rsid w:val="00E64E53"/>
    <w:rsid w:val="00E65A41"/>
    <w:rsid w:val="00E6715F"/>
    <w:rsid w:val="00E673FD"/>
    <w:rsid w:val="00E70061"/>
    <w:rsid w:val="00E7096F"/>
    <w:rsid w:val="00E71682"/>
    <w:rsid w:val="00E720FC"/>
    <w:rsid w:val="00E72401"/>
    <w:rsid w:val="00E7271A"/>
    <w:rsid w:val="00E7376C"/>
    <w:rsid w:val="00E748B6"/>
    <w:rsid w:val="00E74950"/>
    <w:rsid w:val="00E751F9"/>
    <w:rsid w:val="00E753B5"/>
    <w:rsid w:val="00E7566B"/>
    <w:rsid w:val="00E75F11"/>
    <w:rsid w:val="00E7700B"/>
    <w:rsid w:val="00E77C6E"/>
    <w:rsid w:val="00E809EB"/>
    <w:rsid w:val="00E8501C"/>
    <w:rsid w:val="00E851A5"/>
    <w:rsid w:val="00E851AA"/>
    <w:rsid w:val="00E8576B"/>
    <w:rsid w:val="00E85A30"/>
    <w:rsid w:val="00E85FBE"/>
    <w:rsid w:val="00E86CBC"/>
    <w:rsid w:val="00E870AB"/>
    <w:rsid w:val="00E9082B"/>
    <w:rsid w:val="00E911CE"/>
    <w:rsid w:val="00E91664"/>
    <w:rsid w:val="00E91C0B"/>
    <w:rsid w:val="00E924C5"/>
    <w:rsid w:val="00E92AD8"/>
    <w:rsid w:val="00E92D29"/>
    <w:rsid w:val="00E92D44"/>
    <w:rsid w:val="00E9394D"/>
    <w:rsid w:val="00E94337"/>
    <w:rsid w:val="00E94965"/>
    <w:rsid w:val="00E94A5A"/>
    <w:rsid w:val="00E96BBA"/>
    <w:rsid w:val="00E973A0"/>
    <w:rsid w:val="00E975EF"/>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B016A"/>
    <w:rsid w:val="00EB0C1A"/>
    <w:rsid w:val="00EB15FB"/>
    <w:rsid w:val="00EB1E31"/>
    <w:rsid w:val="00EB1EA2"/>
    <w:rsid w:val="00EB21C2"/>
    <w:rsid w:val="00EB26ED"/>
    <w:rsid w:val="00EB279C"/>
    <w:rsid w:val="00EB320E"/>
    <w:rsid w:val="00EB4FFB"/>
    <w:rsid w:val="00EB598D"/>
    <w:rsid w:val="00EB7271"/>
    <w:rsid w:val="00EC0FD6"/>
    <w:rsid w:val="00EC190C"/>
    <w:rsid w:val="00EC27BB"/>
    <w:rsid w:val="00EC31D1"/>
    <w:rsid w:val="00EC3C4B"/>
    <w:rsid w:val="00EC3CF5"/>
    <w:rsid w:val="00EC3E9E"/>
    <w:rsid w:val="00EC42C8"/>
    <w:rsid w:val="00EC5A7B"/>
    <w:rsid w:val="00EC5B60"/>
    <w:rsid w:val="00EC5EF1"/>
    <w:rsid w:val="00EC6072"/>
    <w:rsid w:val="00EC75EC"/>
    <w:rsid w:val="00EC798B"/>
    <w:rsid w:val="00ED046A"/>
    <w:rsid w:val="00ED145A"/>
    <w:rsid w:val="00ED183B"/>
    <w:rsid w:val="00ED2F0F"/>
    <w:rsid w:val="00ED3203"/>
    <w:rsid w:val="00ED337A"/>
    <w:rsid w:val="00ED367A"/>
    <w:rsid w:val="00ED4A83"/>
    <w:rsid w:val="00ED50C9"/>
    <w:rsid w:val="00ED603D"/>
    <w:rsid w:val="00ED6328"/>
    <w:rsid w:val="00ED6345"/>
    <w:rsid w:val="00ED672A"/>
    <w:rsid w:val="00ED6BF1"/>
    <w:rsid w:val="00ED6C96"/>
    <w:rsid w:val="00ED6FE7"/>
    <w:rsid w:val="00ED7570"/>
    <w:rsid w:val="00ED7918"/>
    <w:rsid w:val="00EE01BA"/>
    <w:rsid w:val="00EE0A61"/>
    <w:rsid w:val="00EE1534"/>
    <w:rsid w:val="00EE199A"/>
    <w:rsid w:val="00EE3AD2"/>
    <w:rsid w:val="00EE558E"/>
    <w:rsid w:val="00EE645F"/>
    <w:rsid w:val="00EE6918"/>
    <w:rsid w:val="00EF0047"/>
    <w:rsid w:val="00EF072D"/>
    <w:rsid w:val="00EF135F"/>
    <w:rsid w:val="00EF1B00"/>
    <w:rsid w:val="00EF375B"/>
    <w:rsid w:val="00EF38F2"/>
    <w:rsid w:val="00EF41B6"/>
    <w:rsid w:val="00EF4A7B"/>
    <w:rsid w:val="00EF5ED3"/>
    <w:rsid w:val="00EF64A3"/>
    <w:rsid w:val="00EF71EE"/>
    <w:rsid w:val="00EF74B5"/>
    <w:rsid w:val="00EF7825"/>
    <w:rsid w:val="00F0044E"/>
    <w:rsid w:val="00F009A6"/>
    <w:rsid w:val="00F010E9"/>
    <w:rsid w:val="00F01974"/>
    <w:rsid w:val="00F0290D"/>
    <w:rsid w:val="00F02F72"/>
    <w:rsid w:val="00F0307B"/>
    <w:rsid w:val="00F03948"/>
    <w:rsid w:val="00F04771"/>
    <w:rsid w:val="00F04F98"/>
    <w:rsid w:val="00F05675"/>
    <w:rsid w:val="00F056BB"/>
    <w:rsid w:val="00F05F14"/>
    <w:rsid w:val="00F06DFD"/>
    <w:rsid w:val="00F0752F"/>
    <w:rsid w:val="00F075A1"/>
    <w:rsid w:val="00F0765A"/>
    <w:rsid w:val="00F10236"/>
    <w:rsid w:val="00F104E3"/>
    <w:rsid w:val="00F10A6C"/>
    <w:rsid w:val="00F11344"/>
    <w:rsid w:val="00F11621"/>
    <w:rsid w:val="00F125FA"/>
    <w:rsid w:val="00F1277D"/>
    <w:rsid w:val="00F135D5"/>
    <w:rsid w:val="00F137C8"/>
    <w:rsid w:val="00F13836"/>
    <w:rsid w:val="00F13863"/>
    <w:rsid w:val="00F13B9C"/>
    <w:rsid w:val="00F14190"/>
    <w:rsid w:val="00F14494"/>
    <w:rsid w:val="00F158B8"/>
    <w:rsid w:val="00F15C0E"/>
    <w:rsid w:val="00F16015"/>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3F7E"/>
    <w:rsid w:val="00F242DC"/>
    <w:rsid w:val="00F24BD1"/>
    <w:rsid w:val="00F260C9"/>
    <w:rsid w:val="00F2635F"/>
    <w:rsid w:val="00F27191"/>
    <w:rsid w:val="00F27404"/>
    <w:rsid w:val="00F278C4"/>
    <w:rsid w:val="00F27DA3"/>
    <w:rsid w:val="00F3085A"/>
    <w:rsid w:val="00F30905"/>
    <w:rsid w:val="00F314A2"/>
    <w:rsid w:val="00F32894"/>
    <w:rsid w:val="00F32A44"/>
    <w:rsid w:val="00F32F58"/>
    <w:rsid w:val="00F333B8"/>
    <w:rsid w:val="00F33A07"/>
    <w:rsid w:val="00F33B22"/>
    <w:rsid w:val="00F33B6F"/>
    <w:rsid w:val="00F340D3"/>
    <w:rsid w:val="00F34415"/>
    <w:rsid w:val="00F3478A"/>
    <w:rsid w:val="00F353BC"/>
    <w:rsid w:val="00F35686"/>
    <w:rsid w:val="00F3614C"/>
    <w:rsid w:val="00F3738D"/>
    <w:rsid w:val="00F37786"/>
    <w:rsid w:val="00F377DB"/>
    <w:rsid w:val="00F37E99"/>
    <w:rsid w:val="00F41035"/>
    <w:rsid w:val="00F4242E"/>
    <w:rsid w:val="00F424A3"/>
    <w:rsid w:val="00F42F6A"/>
    <w:rsid w:val="00F431B8"/>
    <w:rsid w:val="00F43CF7"/>
    <w:rsid w:val="00F443AD"/>
    <w:rsid w:val="00F44F27"/>
    <w:rsid w:val="00F45B92"/>
    <w:rsid w:val="00F45F1D"/>
    <w:rsid w:val="00F46401"/>
    <w:rsid w:val="00F471FD"/>
    <w:rsid w:val="00F4768E"/>
    <w:rsid w:val="00F503E0"/>
    <w:rsid w:val="00F5043D"/>
    <w:rsid w:val="00F50BCC"/>
    <w:rsid w:val="00F50C08"/>
    <w:rsid w:val="00F5159B"/>
    <w:rsid w:val="00F51E48"/>
    <w:rsid w:val="00F52AC0"/>
    <w:rsid w:val="00F52E2D"/>
    <w:rsid w:val="00F536BB"/>
    <w:rsid w:val="00F54084"/>
    <w:rsid w:val="00F5476D"/>
    <w:rsid w:val="00F549A1"/>
    <w:rsid w:val="00F5603F"/>
    <w:rsid w:val="00F57DA4"/>
    <w:rsid w:val="00F603F8"/>
    <w:rsid w:val="00F6062F"/>
    <w:rsid w:val="00F606A7"/>
    <w:rsid w:val="00F606C2"/>
    <w:rsid w:val="00F60B09"/>
    <w:rsid w:val="00F61877"/>
    <w:rsid w:val="00F61ACE"/>
    <w:rsid w:val="00F61D84"/>
    <w:rsid w:val="00F64888"/>
    <w:rsid w:val="00F65260"/>
    <w:rsid w:val="00F6612D"/>
    <w:rsid w:val="00F662BB"/>
    <w:rsid w:val="00F66A9E"/>
    <w:rsid w:val="00F67239"/>
    <w:rsid w:val="00F70762"/>
    <w:rsid w:val="00F70856"/>
    <w:rsid w:val="00F721CA"/>
    <w:rsid w:val="00F72655"/>
    <w:rsid w:val="00F737D7"/>
    <w:rsid w:val="00F73B9F"/>
    <w:rsid w:val="00F740A0"/>
    <w:rsid w:val="00F74801"/>
    <w:rsid w:val="00F74AE7"/>
    <w:rsid w:val="00F75BB0"/>
    <w:rsid w:val="00F76B6A"/>
    <w:rsid w:val="00F76BEA"/>
    <w:rsid w:val="00F76C17"/>
    <w:rsid w:val="00F80F83"/>
    <w:rsid w:val="00F81011"/>
    <w:rsid w:val="00F81AEE"/>
    <w:rsid w:val="00F81B08"/>
    <w:rsid w:val="00F81BDE"/>
    <w:rsid w:val="00F8258B"/>
    <w:rsid w:val="00F82614"/>
    <w:rsid w:val="00F826C1"/>
    <w:rsid w:val="00F828EE"/>
    <w:rsid w:val="00F82D78"/>
    <w:rsid w:val="00F8373D"/>
    <w:rsid w:val="00F83970"/>
    <w:rsid w:val="00F84018"/>
    <w:rsid w:val="00F84B5A"/>
    <w:rsid w:val="00F84B93"/>
    <w:rsid w:val="00F84D11"/>
    <w:rsid w:val="00F855B5"/>
    <w:rsid w:val="00F858B5"/>
    <w:rsid w:val="00F85FF6"/>
    <w:rsid w:val="00F868C1"/>
    <w:rsid w:val="00F87A66"/>
    <w:rsid w:val="00F87CBF"/>
    <w:rsid w:val="00F9230A"/>
    <w:rsid w:val="00F92626"/>
    <w:rsid w:val="00F92B52"/>
    <w:rsid w:val="00F93BBC"/>
    <w:rsid w:val="00F9442A"/>
    <w:rsid w:val="00F94F5F"/>
    <w:rsid w:val="00F958C2"/>
    <w:rsid w:val="00F95F56"/>
    <w:rsid w:val="00F96137"/>
    <w:rsid w:val="00F9644D"/>
    <w:rsid w:val="00F97296"/>
    <w:rsid w:val="00F979AC"/>
    <w:rsid w:val="00FA0BA0"/>
    <w:rsid w:val="00FA19C1"/>
    <w:rsid w:val="00FA25EE"/>
    <w:rsid w:val="00FA34D2"/>
    <w:rsid w:val="00FA3B86"/>
    <w:rsid w:val="00FA4969"/>
    <w:rsid w:val="00FA53D7"/>
    <w:rsid w:val="00FA58E1"/>
    <w:rsid w:val="00FA60BD"/>
    <w:rsid w:val="00FA6796"/>
    <w:rsid w:val="00FA6DDC"/>
    <w:rsid w:val="00FA7557"/>
    <w:rsid w:val="00FA7558"/>
    <w:rsid w:val="00FA774E"/>
    <w:rsid w:val="00FB1905"/>
    <w:rsid w:val="00FB1E74"/>
    <w:rsid w:val="00FB2347"/>
    <w:rsid w:val="00FB2D85"/>
    <w:rsid w:val="00FB3587"/>
    <w:rsid w:val="00FB3B2E"/>
    <w:rsid w:val="00FB3D97"/>
    <w:rsid w:val="00FB440B"/>
    <w:rsid w:val="00FB4510"/>
    <w:rsid w:val="00FB4A92"/>
    <w:rsid w:val="00FB56AF"/>
    <w:rsid w:val="00FB585F"/>
    <w:rsid w:val="00FB5AA2"/>
    <w:rsid w:val="00FB63BC"/>
    <w:rsid w:val="00FB6514"/>
    <w:rsid w:val="00FC05C0"/>
    <w:rsid w:val="00FC085D"/>
    <w:rsid w:val="00FC1CE1"/>
    <w:rsid w:val="00FC29E0"/>
    <w:rsid w:val="00FC2B13"/>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4710"/>
    <w:rsid w:val="00FD5B50"/>
    <w:rsid w:val="00FD63FC"/>
    <w:rsid w:val="00FE0670"/>
    <w:rsid w:val="00FE2147"/>
    <w:rsid w:val="00FE219D"/>
    <w:rsid w:val="00FE246F"/>
    <w:rsid w:val="00FE2620"/>
    <w:rsid w:val="00FE3864"/>
    <w:rsid w:val="00FE3E75"/>
    <w:rsid w:val="00FE4B0E"/>
    <w:rsid w:val="00FE4D6E"/>
    <w:rsid w:val="00FE6349"/>
    <w:rsid w:val="00FE7282"/>
    <w:rsid w:val="00FE7304"/>
    <w:rsid w:val="00FE78EF"/>
    <w:rsid w:val="00FE79B7"/>
    <w:rsid w:val="00FF0310"/>
    <w:rsid w:val="00FF11DA"/>
    <w:rsid w:val="00FF23DE"/>
    <w:rsid w:val="00FF2792"/>
    <w:rsid w:val="00FF3258"/>
    <w:rsid w:val="00FF38CF"/>
    <w:rsid w:val="00FF59D0"/>
    <w:rsid w:val="00FF7454"/>
    <w:rsid w:val="013D4B1C"/>
    <w:rsid w:val="01D55328"/>
    <w:rsid w:val="01FB5C4F"/>
    <w:rsid w:val="0256548E"/>
    <w:rsid w:val="02890D36"/>
    <w:rsid w:val="029370C7"/>
    <w:rsid w:val="0299635A"/>
    <w:rsid w:val="02FE014F"/>
    <w:rsid w:val="02FF41F8"/>
    <w:rsid w:val="0314419D"/>
    <w:rsid w:val="031F42EB"/>
    <w:rsid w:val="03593DC5"/>
    <w:rsid w:val="03786440"/>
    <w:rsid w:val="03D12F2D"/>
    <w:rsid w:val="04A30FCF"/>
    <w:rsid w:val="04AE774F"/>
    <w:rsid w:val="04E24159"/>
    <w:rsid w:val="04E81B1A"/>
    <w:rsid w:val="05097AD0"/>
    <w:rsid w:val="05B105F7"/>
    <w:rsid w:val="05C82A14"/>
    <w:rsid w:val="05CC0E93"/>
    <w:rsid w:val="06443FD4"/>
    <w:rsid w:val="06C323B5"/>
    <w:rsid w:val="07277E4A"/>
    <w:rsid w:val="07303E30"/>
    <w:rsid w:val="08073E22"/>
    <w:rsid w:val="08210512"/>
    <w:rsid w:val="08822685"/>
    <w:rsid w:val="08FA104A"/>
    <w:rsid w:val="08FA57C7"/>
    <w:rsid w:val="09AA1547"/>
    <w:rsid w:val="09C9041E"/>
    <w:rsid w:val="09CC4FF6"/>
    <w:rsid w:val="0A685033"/>
    <w:rsid w:val="0A765FB8"/>
    <w:rsid w:val="0A814349"/>
    <w:rsid w:val="0AF8308E"/>
    <w:rsid w:val="0B352404"/>
    <w:rsid w:val="0B5750BC"/>
    <w:rsid w:val="0BBB1258"/>
    <w:rsid w:val="0BE05B27"/>
    <w:rsid w:val="0C4105DA"/>
    <w:rsid w:val="0C483CB5"/>
    <w:rsid w:val="0C5F0057"/>
    <w:rsid w:val="0C7449DD"/>
    <w:rsid w:val="0C92510C"/>
    <w:rsid w:val="0C9D170E"/>
    <w:rsid w:val="0CBD6B55"/>
    <w:rsid w:val="0CFB19FB"/>
    <w:rsid w:val="0D1D4BC1"/>
    <w:rsid w:val="0D675788"/>
    <w:rsid w:val="0D8D654B"/>
    <w:rsid w:val="0DA914DF"/>
    <w:rsid w:val="0E263246"/>
    <w:rsid w:val="0E3015D7"/>
    <w:rsid w:val="0E3C50EF"/>
    <w:rsid w:val="0E522FA6"/>
    <w:rsid w:val="0E6A02CB"/>
    <w:rsid w:val="0F171FA2"/>
    <w:rsid w:val="0FD3569A"/>
    <w:rsid w:val="101500B2"/>
    <w:rsid w:val="10301D7B"/>
    <w:rsid w:val="1047771D"/>
    <w:rsid w:val="10507C42"/>
    <w:rsid w:val="105A7962"/>
    <w:rsid w:val="105E2DE3"/>
    <w:rsid w:val="109C3C4F"/>
    <w:rsid w:val="10F17C33"/>
    <w:rsid w:val="114F5A7F"/>
    <w:rsid w:val="115C57C9"/>
    <w:rsid w:val="11F62C07"/>
    <w:rsid w:val="124F3295"/>
    <w:rsid w:val="13737B75"/>
    <w:rsid w:val="13854AD7"/>
    <w:rsid w:val="13B43E61"/>
    <w:rsid w:val="144542CF"/>
    <w:rsid w:val="147719A1"/>
    <w:rsid w:val="148C1946"/>
    <w:rsid w:val="14B8240A"/>
    <w:rsid w:val="14D927EA"/>
    <w:rsid w:val="14D97F69"/>
    <w:rsid w:val="154C7218"/>
    <w:rsid w:val="155061D1"/>
    <w:rsid w:val="16323F16"/>
    <w:rsid w:val="170A1F30"/>
    <w:rsid w:val="17707100"/>
    <w:rsid w:val="17853822"/>
    <w:rsid w:val="17E06C0C"/>
    <w:rsid w:val="18947263"/>
    <w:rsid w:val="18E67F66"/>
    <w:rsid w:val="190A4EF2"/>
    <w:rsid w:val="195C3428"/>
    <w:rsid w:val="196C5A40"/>
    <w:rsid w:val="198463D0"/>
    <w:rsid w:val="19C2556A"/>
    <w:rsid w:val="19C41B53"/>
    <w:rsid w:val="19EC528A"/>
    <w:rsid w:val="19FE6FFE"/>
    <w:rsid w:val="1A0F7A32"/>
    <w:rsid w:val="1A121912"/>
    <w:rsid w:val="1A2608F3"/>
    <w:rsid w:val="1A336B23"/>
    <w:rsid w:val="1AF9516D"/>
    <w:rsid w:val="1BB15445"/>
    <w:rsid w:val="1BCD57AB"/>
    <w:rsid w:val="1C0E1A98"/>
    <w:rsid w:val="1C381E84"/>
    <w:rsid w:val="1C490289"/>
    <w:rsid w:val="1C6F4FB4"/>
    <w:rsid w:val="1C8732D6"/>
    <w:rsid w:val="1CA6768D"/>
    <w:rsid w:val="1CDB5968"/>
    <w:rsid w:val="1D1F6145"/>
    <w:rsid w:val="1D54432D"/>
    <w:rsid w:val="1E2D620F"/>
    <w:rsid w:val="1E422931"/>
    <w:rsid w:val="1EB2592F"/>
    <w:rsid w:val="1EB65B04"/>
    <w:rsid w:val="1F1A7E37"/>
    <w:rsid w:val="1F5E4382"/>
    <w:rsid w:val="1F807DBA"/>
    <w:rsid w:val="1F8F2FC4"/>
    <w:rsid w:val="20325EC0"/>
    <w:rsid w:val="20621846"/>
    <w:rsid w:val="208244E5"/>
    <w:rsid w:val="20D34741"/>
    <w:rsid w:val="216601C1"/>
    <w:rsid w:val="21856355"/>
    <w:rsid w:val="218B3D17"/>
    <w:rsid w:val="21BB5A15"/>
    <w:rsid w:val="21BD09EA"/>
    <w:rsid w:val="21C734F7"/>
    <w:rsid w:val="21D2510C"/>
    <w:rsid w:val="21F0363B"/>
    <w:rsid w:val="22B60C01"/>
    <w:rsid w:val="231879A1"/>
    <w:rsid w:val="239A46F7"/>
    <w:rsid w:val="2411343C"/>
    <w:rsid w:val="241C01AD"/>
    <w:rsid w:val="249059D2"/>
    <w:rsid w:val="249F6523"/>
    <w:rsid w:val="24B67467"/>
    <w:rsid w:val="24E3487F"/>
    <w:rsid w:val="24FA6740"/>
    <w:rsid w:val="2594705E"/>
    <w:rsid w:val="25B84A72"/>
    <w:rsid w:val="25E85DBC"/>
    <w:rsid w:val="2699467B"/>
    <w:rsid w:val="26B223D2"/>
    <w:rsid w:val="26C9119A"/>
    <w:rsid w:val="26CA35AD"/>
    <w:rsid w:val="26E90EA9"/>
    <w:rsid w:val="27B066DA"/>
    <w:rsid w:val="27DC6979"/>
    <w:rsid w:val="28B1694E"/>
    <w:rsid w:val="28BC0562"/>
    <w:rsid w:val="29557225"/>
    <w:rsid w:val="296D0CD1"/>
    <w:rsid w:val="296D2A7D"/>
    <w:rsid w:val="29747D10"/>
    <w:rsid w:val="2A2D713F"/>
    <w:rsid w:val="2A416914"/>
    <w:rsid w:val="2A423861"/>
    <w:rsid w:val="2A63541A"/>
    <w:rsid w:val="2A8F5EDF"/>
    <w:rsid w:val="2AA84B6D"/>
    <w:rsid w:val="2ABF0192"/>
    <w:rsid w:val="2AC039AF"/>
    <w:rsid w:val="2AFB6893"/>
    <w:rsid w:val="2B4104F9"/>
    <w:rsid w:val="2B761974"/>
    <w:rsid w:val="2B937D0B"/>
    <w:rsid w:val="2C9C2622"/>
    <w:rsid w:val="2CEB12F2"/>
    <w:rsid w:val="2D18659D"/>
    <w:rsid w:val="2D964B2C"/>
    <w:rsid w:val="2DA55B88"/>
    <w:rsid w:val="2E1E06B9"/>
    <w:rsid w:val="2E896632"/>
    <w:rsid w:val="2EB61B31"/>
    <w:rsid w:val="2EF8259B"/>
    <w:rsid w:val="2F064E19"/>
    <w:rsid w:val="2F2954D5"/>
    <w:rsid w:val="2F665BC2"/>
    <w:rsid w:val="2F9959A7"/>
    <w:rsid w:val="2FDE4A00"/>
    <w:rsid w:val="30A957E4"/>
    <w:rsid w:val="30C56DD2"/>
    <w:rsid w:val="31791FF8"/>
    <w:rsid w:val="31843689"/>
    <w:rsid w:val="3198766B"/>
    <w:rsid w:val="319D0DD6"/>
    <w:rsid w:val="32222C57"/>
    <w:rsid w:val="3293788C"/>
    <w:rsid w:val="32DE1F01"/>
    <w:rsid w:val="33046445"/>
    <w:rsid w:val="331630E9"/>
    <w:rsid w:val="33552E44"/>
    <w:rsid w:val="335F6FD7"/>
    <w:rsid w:val="338A1331"/>
    <w:rsid w:val="33B771C8"/>
    <w:rsid w:val="34C131AF"/>
    <w:rsid w:val="34E34080"/>
    <w:rsid w:val="34E87C04"/>
    <w:rsid w:val="35476355"/>
    <w:rsid w:val="356928AF"/>
    <w:rsid w:val="3579545F"/>
    <w:rsid w:val="359B0B00"/>
    <w:rsid w:val="35D579E0"/>
    <w:rsid w:val="35DB17EF"/>
    <w:rsid w:val="35E35887"/>
    <w:rsid w:val="35F03135"/>
    <w:rsid w:val="36013D27"/>
    <w:rsid w:val="36025D97"/>
    <w:rsid w:val="3615054F"/>
    <w:rsid w:val="36906355"/>
    <w:rsid w:val="36DB3EF8"/>
    <w:rsid w:val="36E47B9D"/>
    <w:rsid w:val="37067D52"/>
    <w:rsid w:val="37110C64"/>
    <w:rsid w:val="37701F23"/>
    <w:rsid w:val="37EA381F"/>
    <w:rsid w:val="381B3FDD"/>
    <w:rsid w:val="3859271F"/>
    <w:rsid w:val="38733E42"/>
    <w:rsid w:val="389E43A6"/>
    <w:rsid w:val="38B82E6B"/>
    <w:rsid w:val="38C2712E"/>
    <w:rsid w:val="38E70CD8"/>
    <w:rsid w:val="38FE128F"/>
    <w:rsid w:val="39474516"/>
    <w:rsid w:val="39A62C24"/>
    <w:rsid w:val="39DF7ECE"/>
    <w:rsid w:val="39E17724"/>
    <w:rsid w:val="39F907B5"/>
    <w:rsid w:val="3A29797A"/>
    <w:rsid w:val="3A3E409C"/>
    <w:rsid w:val="3A5B7D04"/>
    <w:rsid w:val="3A6E266D"/>
    <w:rsid w:val="3AC53AEC"/>
    <w:rsid w:val="3AD42693"/>
    <w:rsid w:val="3B1D351E"/>
    <w:rsid w:val="3B2575DE"/>
    <w:rsid w:val="3B365BA1"/>
    <w:rsid w:val="3C2152F8"/>
    <w:rsid w:val="3C682428"/>
    <w:rsid w:val="3CA344B1"/>
    <w:rsid w:val="3D417B8C"/>
    <w:rsid w:val="3D4402AC"/>
    <w:rsid w:val="3D4C5F1D"/>
    <w:rsid w:val="3DB325F4"/>
    <w:rsid w:val="3DF51079"/>
    <w:rsid w:val="3E1A5671"/>
    <w:rsid w:val="3E667CEF"/>
    <w:rsid w:val="3E6F10C5"/>
    <w:rsid w:val="3ED34AA0"/>
    <w:rsid w:val="3EF06563"/>
    <w:rsid w:val="3EF73899"/>
    <w:rsid w:val="3F14056A"/>
    <w:rsid w:val="3F2A54AE"/>
    <w:rsid w:val="3F427458"/>
    <w:rsid w:val="3F6E789D"/>
    <w:rsid w:val="3FD01BE5"/>
    <w:rsid w:val="3FDB7A15"/>
    <w:rsid w:val="3FE04FF8"/>
    <w:rsid w:val="3FED2FEE"/>
    <w:rsid w:val="3FF948DF"/>
    <w:rsid w:val="40B118C6"/>
    <w:rsid w:val="40EB11DB"/>
    <w:rsid w:val="412874F2"/>
    <w:rsid w:val="41456493"/>
    <w:rsid w:val="41D045A0"/>
    <w:rsid w:val="42014C57"/>
    <w:rsid w:val="42161379"/>
    <w:rsid w:val="42323CE4"/>
    <w:rsid w:val="424C5CAA"/>
    <w:rsid w:val="42512785"/>
    <w:rsid w:val="42AF6075"/>
    <w:rsid w:val="42CF43AB"/>
    <w:rsid w:val="42EE6E5E"/>
    <w:rsid w:val="42F354F6"/>
    <w:rsid w:val="43204EC2"/>
    <w:rsid w:val="43916355"/>
    <w:rsid w:val="43C845C3"/>
    <w:rsid w:val="444E6B40"/>
    <w:rsid w:val="44DA4046"/>
    <w:rsid w:val="44E01002"/>
    <w:rsid w:val="450A7859"/>
    <w:rsid w:val="45123FBD"/>
    <w:rsid w:val="45CF5A88"/>
    <w:rsid w:val="461A767A"/>
    <w:rsid w:val="46252A2C"/>
    <w:rsid w:val="46737A24"/>
    <w:rsid w:val="46CA0433"/>
    <w:rsid w:val="47B93D99"/>
    <w:rsid w:val="4828470F"/>
    <w:rsid w:val="48516FB5"/>
    <w:rsid w:val="48A57EC2"/>
    <w:rsid w:val="48B459D5"/>
    <w:rsid w:val="48CA74E0"/>
    <w:rsid w:val="48FF5A97"/>
    <w:rsid w:val="493337A9"/>
    <w:rsid w:val="493D1724"/>
    <w:rsid w:val="49497D40"/>
    <w:rsid w:val="4A9216E3"/>
    <w:rsid w:val="4AE820F1"/>
    <w:rsid w:val="4B3A12EF"/>
    <w:rsid w:val="4B691C1A"/>
    <w:rsid w:val="4B753358"/>
    <w:rsid w:val="4BC52E28"/>
    <w:rsid w:val="4CD245CC"/>
    <w:rsid w:val="4CDC3E37"/>
    <w:rsid w:val="4D2B4C2A"/>
    <w:rsid w:val="4D951248"/>
    <w:rsid w:val="4DF7294E"/>
    <w:rsid w:val="4E1477D8"/>
    <w:rsid w:val="4E634927"/>
    <w:rsid w:val="4E8967D7"/>
    <w:rsid w:val="4EAC5478"/>
    <w:rsid w:val="4EE259CC"/>
    <w:rsid w:val="4F096709"/>
    <w:rsid w:val="4F105D44"/>
    <w:rsid w:val="4F355850"/>
    <w:rsid w:val="4F537DE0"/>
    <w:rsid w:val="4F5C4B3F"/>
    <w:rsid w:val="4F8B14B0"/>
    <w:rsid w:val="4FB671CF"/>
    <w:rsid w:val="4FC136F4"/>
    <w:rsid w:val="4FE92F20"/>
    <w:rsid w:val="4FEE276A"/>
    <w:rsid w:val="4FFD7F4B"/>
    <w:rsid w:val="501F5F01"/>
    <w:rsid w:val="506D2311"/>
    <w:rsid w:val="508C0176"/>
    <w:rsid w:val="50BF05A8"/>
    <w:rsid w:val="51737DCC"/>
    <w:rsid w:val="52077FA0"/>
    <w:rsid w:val="52F61E27"/>
    <w:rsid w:val="53EB4DFF"/>
    <w:rsid w:val="545C6276"/>
    <w:rsid w:val="54C77D84"/>
    <w:rsid w:val="54DD6AF9"/>
    <w:rsid w:val="54EA382C"/>
    <w:rsid w:val="553573D9"/>
    <w:rsid w:val="5537272A"/>
    <w:rsid w:val="556C60B3"/>
    <w:rsid w:val="561A74D1"/>
    <w:rsid w:val="562E04CB"/>
    <w:rsid w:val="56493E35"/>
    <w:rsid w:val="57263CA9"/>
    <w:rsid w:val="57283E0B"/>
    <w:rsid w:val="574A1DC1"/>
    <w:rsid w:val="57AD0648"/>
    <w:rsid w:val="57C00B06"/>
    <w:rsid w:val="57CC0FC7"/>
    <w:rsid w:val="57D142CB"/>
    <w:rsid w:val="58021570"/>
    <w:rsid w:val="580E5197"/>
    <w:rsid w:val="5831455A"/>
    <w:rsid w:val="583302DE"/>
    <w:rsid w:val="5863030F"/>
    <w:rsid w:val="58B07A56"/>
    <w:rsid w:val="5906339C"/>
    <w:rsid w:val="5915699E"/>
    <w:rsid w:val="592616D2"/>
    <w:rsid w:val="59341B00"/>
    <w:rsid w:val="594971F2"/>
    <w:rsid w:val="59DE0E81"/>
    <w:rsid w:val="59F55223"/>
    <w:rsid w:val="59FF35B4"/>
    <w:rsid w:val="5A04705D"/>
    <w:rsid w:val="5A166E71"/>
    <w:rsid w:val="5ADD269A"/>
    <w:rsid w:val="5AE470AA"/>
    <w:rsid w:val="5AF24640"/>
    <w:rsid w:val="5B301727"/>
    <w:rsid w:val="5B43489A"/>
    <w:rsid w:val="5B5A5DEF"/>
    <w:rsid w:val="5B7C7236"/>
    <w:rsid w:val="5BC56904"/>
    <w:rsid w:val="5C0A6E8C"/>
    <w:rsid w:val="5C49101A"/>
    <w:rsid w:val="5C7C4F46"/>
    <w:rsid w:val="5C99566E"/>
    <w:rsid w:val="5CEC2D02"/>
    <w:rsid w:val="5D0B2E0C"/>
    <w:rsid w:val="5D2353DA"/>
    <w:rsid w:val="5D345E60"/>
    <w:rsid w:val="5D676DDA"/>
    <w:rsid w:val="5D8F31C2"/>
    <w:rsid w:val="5DF034C7"/>
    <w:rsid w:val="5E1E7C25"/>
    <w:rsid w:val="5E226DA4"/>
    <w:rsid w:val="5E2D7BEC"/>
    <w:rsid w:val="5E364A4E"/>
    <w:rsid w:val="5EBC3A41"/>
    <w:rsid w:val="5EFD567F"/>
    <w:rsid w:val="5F6D531F"/>
    <w:rsid w:val="5FAE2505"/>
    <w:rsid w:val="5FE00EBE"/>
    <w:rsid w:val="60056797"/>
    <w:rsid w:val="604B177D"/>
    <w:rsid w:val="61094D40"/>
    <w:rsid w:val="613872F0"/>
    <w:rsid w:val="614172DE"/>
    <w:rsid w:val="6160574F"/>
    <w:rsid w:val="61F31F12"/>
    <w:rsid w:val="62447F52"/>
    <w:rsid w:val="62E35058"/>
    <w:rsid w:val="633C39DB"/>
    <w:rsid w:val="636A546F"/>
    <w:rsid w:val="63AD6B42"/>
    <w:rsid w:val="640B738B"/>
    <w:rsid w:val="6424573C"/>
    <w:rsid w:val="642A353F"/>
    <w:rsid w:val="6452139E"/>
    <w:rsid w:val="64A96F10"/>
    <w:rsid w:val="64B660F0"/>
    <w:rsid w:val="64E55418"/>
    <w:rsid w:val="64F330AD"/>
    <w:rsid w:val="64F94A40"/>
    <w:rsid w:val="6511265D"/>
    <w:rsid w:val="651C4271"/>
    <w:rsid w:val="65A93AD5"/>
    <w:rsid w:val="65C23FA5"/>
    <w:rsid w:val="661A55F3"/>
    <w:rsid w:val="662B3EC2"/>
    <w:rsid w:val="6676066F"/>
    <w:rsid w:val="66B25BAB"/>
    <w:rsid w:val="678A56CC"/>
    <w:rsid w:val="67DD2D7C"/>
    <w:rsid w:val="67FF0980"/>
    <w:rsid w:val="6808013C"/>
    <w:rsid w:val="6837444B"/>
    <w:rsid w:val="68490BA5"/>
    <w:rsid w:val="6872092B"/>
    <w:rsid w:val="68A320F0"/>
    <w:rsid w:val="68B038E6"/>
    <w:rsid w:val="68C10A03"/>
    <w:rsid w:val="691702F9"/>
    <w:rsid w:val="692E7F1E"/>
    <w:rsid w:val="69430A4C"/>
    <w:rsid w:val="69836A41"/>
    <w:rsid w:val="699423CB"/>
    <w:rsid w:val="69FD635D"/>
    <w:rsid w:val="6A242849"/>
    <w:rsid w:val="6A3D4E61"/>
    <w:rsid w:val="6AC53330"/>
    <w:rsid w:val="6ADF78E5"/>
    <w:rsid w:val="6B0B3C2C"/>
    <w:rsid w:val="6B1348BC"/>
    <w:rsid w:val="6B6D3E7B"/>
    <w:rsid w:val="6B7874F8"/>
    <w:rsid w:val="6B8D0D02"/>
    <w:rsid w:val="6C1E3F43"/>
    <w:rsid w:val="6C7C2B89"/>
    <w:rsid w:val="6CB30AE5"/>
    <w:rsid w:val="6CDE2FDC"/>
    <w:rsid w:val="6DA86A73"/>
    <w:rsid w:val="6E2250C2"/>
    <w:rsid w:val="6E251458"/>
    <w:rsid w:val="6E92338D"/>
    <w:rsid w:val="6E934224"/>
    <w:rsid w:val="6EA50F15"/>
    <w:rsid w:val="6F1218C9"/>
    <w:rsid w:val="6F35142D"/>
    <w:rsid w:val="6FE10C9C"/>
    <w:rsid w:val="70257F20"/>
    <w:rsid w:val="70375E28"/>
    <w:rsid w:val="705404D0"/>
    <w:rsid w:val="70593DDE"/>
    <w:rsid w:val="70A16AEC"/>
    <w:rsid w:val="70DF5DB7"/>
    <w:rsid w:val="71134033"/>
    <w:rsid w:val="711D1701"/>
    <w:rsid w:val="714C76AF"/>
    <w:rsid w:val="714D2E86"/>
    <w:rsid w:val="72401A80"/>
    <w:rsid w:val="7298562B"/>
    <w:rsid w:val="72CA2166"/>
    <w:rsid w:val="72D46DF2"/>
    <w:rsid w:val="73047240"/>
    <w:rsid w:val="730C3D48"/>
    <w:rsid w:val="736C596F"/>
    <w:rsid w:val="739A5FC5"/>
    <w:rsid w:val="74125278"/>
    <w:rsid w:val="744A3547"/>
    <w:rsid w:val="744C5512"/>
    <w:rsid w:val="7474619D"/>
    <w:rsid w:val="74B01946"/>
    <w:rsid w:val="7500127F"/>
    <w:rsid w:val="75435570"/>
    <w:rsid w:val="755639B1"/>
    <w:rsid w:val="75F45394"/>
    <w:rsid w:val="76087494"/>
    <w:rsid w:val="765E373E"/>
    <w:rsid w:val="76912AA8"/>
    <w:rsid w:val="76936197"/>
    <w:rsid w:val="76CA7A83"/>
    <w:rsid w:val="76F747F8"/>
    <w:rsid w:val="77DA4BE2"/>
    <w:rsid w:val="77E122CA"/>
    <w:rsid w:val="79A45903"/>
    <w:rsid w:val="79AB3A2C"/>
    <w:rsid w:val="79AD4916"/>
    <w:rsid w:val="7A2D6D03"/>
    <w:rsid w:val="7A604F75"/>
    <w:rsid w:val="7AF244C2"/>
    <w:rsid w:val="7B3922D8"/>
    <w:rsid w:val="7B711426"/>
    <w:rsid w:val="7C2B1938"/>
    <w:rsid w:val="7C8313D5"/>
    <w:rsid w:val="7CB1637A"/>
    <w:rsid w:val="7CD82575"/>
    <w:rsid w:val="7D033D2B"/>
    <w:rsid w:val="7D0564AB"/>
    <w:rsid w:val="7D5052A6"/>
    <w:rsid w:val="7DE50961"/>
    <w:rsid w:val="7E813419"/>
    <w:rsid w:val="7EF3340F"/>
    <w:rsid w:val="7F0204F0"/>
    <w:rsid w:val="7F106C3A"/>
    <w:rsid w:val="7F405F57"/>
    <w:rsid w:val="7FAF1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9"/>
    <w:pPr>
      <w:keepNext/>
      <w:keepLines/>
      <w:spacing w:before="340" w:after="330" w:line="578" w:lineRule="auto"/>
      <w:jc w:val="center"/>
      <w:outlineLvl w:val="0"/>
    </w:pPr>
    <w:rPr>
      <w:rFonts w:eastAsia="仿宋_GB2312"/>
      <w:b/>
      <w:bCs/>
      <w:kern w:val="44"/>
      <w:sz w:val="44"/>
      <w:szCs w:val="44"/>
    </w:rPr>
  </w:style>
  <w:style w:type="paragraph" w:styleId="2">
    <w:name w:val="heading 2"/>
    <w:basedOn w:val="1"/>
    <w:next w:val="1"/>
    <w:link w:val="84"/>
    <w:qFormat/>
    <w:uiPriority w:val="9"/>
    <w:pPr>
      <w:keepNext/>
      <w:keepLines/>
      <w:spacing w:before="260" w:after="260" w:line="400" w:lineRule="exact"/>
      <w:outlineLvl w:val="1"/>
    </w:pPr>
    <w:rPr>
      <w:rFonts w:ascii="Arial" w:hAnsi="Arial" w:eastAsia="黑体"/>
      <w:b/>
      <w:bCs/>
      <w:sz w:val="24"/>
      <w:szCs w:val="32"/>
    </w:rPr>
  </w:style>
  <w:style w:type="paragraph" w:styleId="4">
    <w:name w:val="heading 3"/>
    <w:basedOn w:val="1"/>
    <w:next w:val="1"/>
    <w:link w:val="60"/>
    <w:qFormat/>
    <w:uiPriority w:val="9"/>
    <w:pPr>
      <w:keepNext/>
      <w:keepLines/>
      <w:spacing w:before="260" w:after="260" w:line="416" w:lineRule="auto"/>
      <w:outlineLvl w:val="2"/>
    </w:pPr>
    <w:rPr>
      <w:b/>
      <w:bCs/>
      <w:sz w:val="32"/>
      <w:szCs w:val="32"/>
    </w:rPr>
  </w:style>
  <w:style w:type="paragraph" w:styleId="5">
    <w:name w:val="heading 4"/>
    <w:basedOn w:val="1"/>
    <w:next w:val="1"/>
    <w:link w:val="1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7"/>
    <w:link w:val="128"/>
    <w:qFormat/>
    <w:uiPriority w:val="9"/>
    <w:pPr>
      <w:keepNext/>
      <w:keepLines/>
      <w:numPr>
        <w:ilvl w:val="4"/>
        <w:numId w:val="1"/>
      </w:numPr>
      <w:spacing w:before="280" w:after="290" w:line="376" w:lineRule="auto"/>
      <w:outlineLvl w:val="4"/>
    </w:pPr>
    <w:rPr>
      <w:b/>
      <w:sz w:val="28"/>
    </w:rPr>
  </w:style>
  <w:style w:type="paragraph" w:styleId="8">
    <w:name w:val="heading 6"/>
    <w:basedOn w:val="1"/>
    <w:next w:val="7"/>
    <w:link w:val="129"/>
    <w:qFormat/>
    <w:uiPriority w:val="9"/>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30"/>
    <w:qFormat/>
    <w:uiPriority w:val="9"/>
    <w:pPr>
      <w:keepNext/>
      <w:keepLines/>
      <w:numPr>
        <w:ilvl w:val="6"/>
        <w:numId w:val="1"/>
      </w:numPr>
      <w:spacing w:before="240" w:after="64" w:line="320" w:lineRule="auto"/>
      <w:outlineLvl w:val="6"/>
    </w:pPr>
    <w:rPr>
      <w:b/>
      <w:sz w:val="24"/>
    </w:rPr>
  </w:style>
  <w:style w:type="paragraph" w:styleId="10">
    <w:name w:val="heading 8"/>
    <w:basedOn w:val="1"/>
    <w:next w:val="7"/>
    <w:link w:val="131"/>
    <w:qFormat/>
    <w:uiPriority w:val="9"/>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132"/>
    <w:qFormat/>
    <w:uiPriority w:val="9"/>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8"/>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35"/>
    <w:pPr>
      <w:spacing w:before="152" w:after="160"/>
    </w:pPr>
    <w:rPr>
      <w:rFonts w:ascii="Arial" w:hAnsi="Arial" w:eastAsia="黑体" w:cs="Arial"/>
      <w:sz w:val="20"/>
      <w:szCs w:val="20"/>
    </w:rPr>
  </w:style>
  <w:style w:type="paragraph" w:styleId="14">
    <w:name w:val="Document Map"/>
    <w:basedOn w:val="1"/>
    <w:link w:val="134"/>
    <w:qFormat/>
    <w:uiPriority w:val="99"/>
    <w:pPr>
      <w:shd w:val="clear" w:color="auto" w:fill="000080"/>
    </w:pPr>
  </w:style>
  <w:style w:type="paragraph" w:styleId="15">
    <w:name w:val="annotation text"/>
    <w:basedOn w:val="1"/>
    <w:link w:val="74"/>
    <w:qFormat/>
    <w:uiPriority w:val="99"/>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8"/>
    <w:link w:val="135"/>
    <w:qFormat/>
    <w:uiPriority w:val="0"/>
    <w:pPr>
      <w:spacing w:line="380" w:lineRule="exact"/>
    </w:pPr>
    <w:rPr>
      <w:sz w:val="24"/>
    </w:rPr>
  </w:style>
  <w:style w:type="paragraph" w:styleId="18">
    <w:name w:val="toc 2"/>
    <w:basedOn w:val="1"/>
    <w:next w:val="1"/>
    <w:qFormat/>
    <w:uiPriority w:val="0"/>
    <w:pPr>
      <w:ind w:left="560" w:leftChars="200" w:firstLine="0" w:firstLineChars="0"/>
      <w:jc w:val="left"/>
    </w:pPr>
    <w:rPr>
      <w:rFonts w:ascii="Calibri" w:hAnsi="Calibri" w:eastAsia="宋体" w:cs="Times New Roman"/>
      <w:b/>
      <w:bCs/>
      <w:smallCaps/>
      <w:sz w:val="22"/>
      <w:szCs w:val="22"/>
    </w:rPr>
  </w:style>
  <w:style w:type="paragraph" w:styleId="19">
    <w:name w:val="Body Text Indent"/>
    <w:basedOn w:val="1"/>
    <w:next w:val="1"/>
    <w:link w:val="67"/>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pPr>
  </w:style>
  <w:style w:type="paragraph" w:styleId="21">
    <w:name w:val="List 2"/>
    <w:basedOn w:val="1"/>
    <w:qFormat/>
    <w:uiPriority w:val="0"/>
    <w:pPr>
      <w:ind w:left="100" w:leftChars="200" w:hanging="200" w:hangingChars="200"/>
    </w:pPr>
    <w:rPr>
      <w:sz w:val="28"/>
    </w:rPr>
  </w:style>
  <w:style w:type="paragraph" w:styleId="22">
    <w:name w:val="Plain Text"/>
    <w:basedOn w:val="1"/>
    <w:next w:val="1"/>
    <w:link w:val="54"/>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qFormat/>
    <w:uiPriority w:val="0"/>
    <w:pPr>
      <w:ind w:firstLine="630"/>
    </w:pPr>
    <w:rPr>
      <w:sz w:val="32"/>
      <w:szCs w:val="20"/>
    </w:rPr>
  </w:style>
  <w:style w:type="paragraph" w:styleId="25">
    <w:name w:val="Balloon Text"/>
    <w:basedOn w:val="1"/>
    <w:link w:val="73"/>
    <w:qFormat/>
    <w:uiPriority w:val="99"/>
    <w:rPr>
      <w:sz w:val="18"/>
      <w:szCs w:val="18"/>
      <w:lang w:val="zh-CN"/>
    </w:rPr>
  </w:style>
  <w:style w:type="paragraph" w:styleId="26">
    <w:name w:val="footer"/>
    <w:basedOn w:val="1"/>
    <w:link w:val="69"/>
    <w:qFormat/>
    <w:uiPriority w:val="99"/>
    <w:pPr>
      <w:tabs>
        <w:tab w:val="center" w:pos="4153"/>
        <w:tab w:val="right" w:pos="8306"/>
      </w:tabs>
      <w:snapToGrid w:val="0"/>
      <w:jc w:val="left"/>
    </w:pPr>
    <w:rPr>
      <w:sz w:val="18"/>
      <w:szCs w:val="18"/>
      <w:lang w:val="zh-CN"/>
    </w:rPr>
  </w:style>
  <w:style w:type="paragraph" w:styleId="27">
    <w:name w:val="header"/>
    <w:basedOn w:val="1"/>
    <w:link w:val="71"/>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Subtitle"/>
    <w:basedOn w:val="1"/>
    <w:next w:val="1"/>
    <w:link w:val="72"/>
    <w:qFormat/>
    <w:uiPriority w:val="0"/>
    <w:pPr>
      <w:spacing w:line="312" w:lineRule="auto"/>
      <w:ind w:left="200" w:leftChars="200"/>
      <w:jc w:val="left"/>
      <w:outlineLvl w:val="1"/>
    </w:pPr>
    <w:rPr>
      <w:rFonts w:ascii="Cambria" w:hAnsi="Cambria"/>
      <w:b/>
      <w:bCs/>
      <w:kern w:val="28"/>
      <w:sz w:val="28"/>
      <w:szCs w:val="32"/>
    </w:rPr>
  </w:style>
  <w:style w:type="paragraph" w:styleId="30">
    <w:name w:val="List"/>
    <w:basedOn w:val="1"/>
    <w:qFormat/>
    <w:uiPriority w:val="0"/>
    <w:pPr>
      <w:ind w:left="200" w:hanging="200" w:hangingChars="200"/>
    </w:pPr>
    <w:rPr>
      <w:sz w:val="28"/>
    </w:rPr>
  </w:style>
  <w:style w:type="paragraph" w:styleId="31">
    <w:name w:val="Body Text Indent 3"/>
    <w:basedOn w:val="1"/>
    <w:qFormat/>
    <w:uiPriority w:val="0"/>
    <w:pPr>
      <w:spacing w:after="120"/>
      <w:ind w:left="420" w:leftChars="200"/>
    </w:pPr>
    <w:rPr>
      <w:sz w:val="16"/>
      <w:szCs w:val="16"/>
    </w:rPr>
  </w:style>
  <w:style w:type="paragraph" w:styleId="32">
    <w:name w:val="Body Text 2"/>
    <w:basedOn w:val="1"/>
    <w:qFormat/>
    <w:uiPriority w:val="0"/>
    <w:pPr>
      <w:spacing w:after="120" w:line="480" w:lineRule="auto"/>
    </w:p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5"/>
    <w:next w:val="15"/>
    <w:link w:val="85"/>
    <w:qFormat/>
    <w:uiPriority w:val="0"/>
    <w:rPr>
      <w:b/>
      <w:bCs/>
    </w:rPr>
  </w:style>
  <w:style w:type="paragraph" w:styleId="36">
    <w:name w:val="Body Text First Indent"/>
    <w:basedOn w:val="17"/>
    <w:qFormat/>
    <w:uiPriority w:val="0"/>
    <w:pPr>
      <w:ind w:firstLine="420" w:firstLineChars="100"/>
    </w:pPr>
    <w:rPr>
      <w:rFonts w:ascii="宋体"/>
      <w:sz w:val="21"/>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rFonts w:ascii="Times New Roman" w:hAnsi="Times New Roman" w:eastAsia="宋体" w:cs="Times New Roman"/>
      <w:b/>
      <w:bCs/>
    </w:rPr>
  </w:style>
  <w:style w:type="character" w:styleId="41">
    <w:name w:val="page number"/>
    <w:qFormat/>
    <w:uiPriority w:val="0"/>
    <w:rPr>
      <w:rFonts w:ascii="Times New Roman" w:hAnsi="Times New Roman" w:eastAsia="宋体" w:cs="Times New Roman"/>
    </w:rPr>
  </w:style>
  <w:style w:type="character" w:styleId="42">
    <w:name w:val="FollowedHyperlink"/>
    <w:basedOn w:val="39"/>
    <w:unhideWhenUsed/>
    <w:qFormat/>
    <w:uiPriority w:val="99"/>
    <w:rPr>
      <w:color w:val="954F72" w:themeColor="followedHyperlink"/>
      <w:u w:val="single"/>
      <w14:textFill>
        <w14:solidFill>
          <w14:schemeClr w14:val="folHlink"/>
        </w14:solidFill>
      </w14:textFill>
    </w:rPr>
  </w:style>
  <w:style w:type="character" w:styleId="43">
    <w:name w:val="Emphasis"/>
    <w:qFormat/>
    <w:uiPriority w:val="0"/>
    <w:rPr>
      <w:rFonts w:ascii="Times New Roman" w:hAnsi="Times New Roman" w:eastAsia="宋体" w:cs="Times New Roman"/>
      <w:color w:val="CC0033"/>
    </w:rPr>
  </w:style>
  <w:style w:type="character" w:styleId="44">
    <w:name w:val="Hyperlink"/>
    <w:qFormat/>
    <w:uiPriority w:val="99"/>
    <w:rPr>
      <w:rFonts w:ascii="Times New Roman" w:hAnsi="Times New Roman" w:eastAsia="宋体" w:cs="Times New Roman"/>
      <w:color w:val="0000FF"/>
      <w:u w:val="single"/>
    </w:rPr>
  </w:style>
  <w:style w:type="character" w:styleId="45">
    <w:name w:val="annotation reference"/>
    <w:qFormat/>
    <w:uiPriority w:val="0"/>
    <w:rPr>
      <w:rFonts w:ascii="Times New Roman" w:hAnsi="Times New Roman" w:eastAsia="宋体" w:cs="Times New Roman"/>
      <w:sz w:val="21"/>
      <w:szCs w:val="21"/>
    </w:rPr>
  </w:style>
  <w:style w:type="character" w:styleId="46">
    <w:name w:val="HTML Sample"/>
    <w:basedOn w:val="39"/>
    <w:semiHidden/>
    <w:unhideWhenUsed/>
    <w:qFormat/>
    <w:uiPriority w:val="99"/>
    <w:rPr>
      <w:rFonts w:ascii="Courier New" w:hAnsi="Courier New"/>
    </w:rPr>
  </w:style>
  <w:style w:type="character" w:customStyle="1" w:styleId="47">
    <w:name w:val="font21"/>
    <w:qFormat/>
    <w:uiPriority w:val="0"/>
    <w:rPr>
      <w:rFonts w:hint="eastAsia" w:ascii="宋体" w:hAnsi="宋体" w:eastAsia="宋体" w:cs="宋体"/>
      <w:color w:val="000000"/>
      <w:sz w:val="20"/>
      <w:szCs w:val="20"/>
    </w:rPr>
  </w:style>
  <w:style w:type="character" w:customStyle="1" w:styleId="48">
    <w:name w:val="st1"/>
    <w:qFormat/>
    <w:uiPriority w:val="0"/>
    <w:rPr>
      <w:rFonts w:ascii="Times New Roman" w:hAnsi="Times New Roman" w:eastAsia="宋体" w:cs="Times New Roman"/>
    </w:rPr>
  </w:style>
  <w:style w:type="character" w:customStyle="1" w:styleId="49">
    <w:name w:val="标题 1 字符"/>
    <w:link w:val="3"/>
    <w:qFormat/>
    <w:uiPriority w:val="9"/>
    <w:rPr>
      <w:rFonts w:ascii="Times New Roman" w:hAnsi="Times New Roman" w:eastAsia="仿宋_GB2312" w:cs="Times New Roman"/>
      <w:b/>
      <w:bCs/>
      <w:kern w:val="44"/>
      <w:sz w:val="44"/>
      <w:szCs w:val="44"/>
      <w:lang w:val="en-US" w:eastAsia="zh-CN" w:bidi="ar-SA"/>
    </w:rPr>
  </w:style>
  <w:style w:type="character" w:customStyle="1" w:styleId="50">
    <w:name w:val="ca-2"/>
    <w:qFormat/>
    <w:uiPriority w:val="0"/>
    <w:rPr>
      <w:rFonts w:ascii="Times New Roman" w:hAnsi="Times New Roman" w:eastAsia="宋体" w:cs="Times New Roman"/>
    </w:rPr>
  </w:style>
  <w:style w:type="character" w:customStyle="1" w:styleId="51">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2">
    <w:name w:val="1ji Char"/>
    <w:link w:val="53"/>
    <w:qFormat/>
    <w:uiPriority w:val="0"/>
    <w:rPr>
      <w:rFonts w:ascii="宋体" w:hAnsi="宋体" w:eastAsia="仿宋_GB2312" w:cs="Times New Roman"/>
      <w:b/>
      <w:bCs/>
      <w:kern w:val="44"/>
      <w:sz w:val="36"/>
      <w:szCs w:val="44"/>
      <w:lang w:val="en-US" w:eastAsia="zh-CN" w:bidi="ar-SA"/>
    </w:rPr>
  </w:style>
  <w:style w:type="paragraph" w:customStyle="1" w:styleId="53">
    <w:name w:val="1ji"/>
    <w:basedOn w:val="3"/>
    <w:link w:val="52"/>
    <w:qFormat/>
    <w:uiPriority w:val="0"/>
    <w:pPr>
      <w:keepLines w:val="0"/>
      <w:widowControl/>
      <w:spacing w:before="0" w:after="0" w:line="240" w:lineRule="auto"/>
    </w:pPr>
    <w:rPr>
      <w:rFonts w:ascii="宋体" w:hAnsi="宋体"/>
      <w:sz w:val="36"/>
    </w:rPr>
  </w:style>
  <w:style w:type="character" w:customStyle="1" w:styleId="54">
    <w:name w:val="纯文本 字符"/>
    <w:link w:val="22"/>
    <w:qFormat/>
    <w:uiPriority w:val="0"/>
    <w:rPr>
      <w:rFonts w:ascii="宋体" w:hAnsi="Courier New" w:eastAsia="宋体" w:cs="Courier New"/>
      <w:kern w:val="2"/>
      <w:sz w:val="21"/>
      <w:szCs w:val="21"/>
      <w:lang w:val="en-US" w:eastAsia="zh-CN" w:bidi="ar-SA"/>
    </w:rPr>
  </w:style>
  <w:style w:type="character" w:customStyle="1" w:styleId="55">
    <w:name w:val="font41"/>
    <w:qFormat/>
    <w:uiPriority w:val="0"/>
    <w:rPr>
      <w:rFonts w:hint="default" w:ascii="Times New Roman" w:hAnsi="Times New Roman" w:eastAsia="宋体" w:cs="Times New Roman"/>
      <w:color w:val="000000"/>
      <w:sz w:val="20"/>
      <w:szCs w:val="20"/>
    </w:rPr>
  </w:style>
  <w:style w:type="character" w:customStyle="1" w:styleId="56">
    <w:name w:val="font31"/>
    <w:qFormat/>
    <w:uiPriority w:val="0"/>
    <w:rPr>
      <w:rFonts w:hint="default" w:ascii="Times New Roman" w:hAnsi="Times New Roman" w:eastAsia="宋体" w:cs="Times New Roman"/>
      <w:color w:val="000000"/>
      <w:sz w:val="20"/>
      <w:szCs w:val="20"/>
    </w:rPr>
  </w:style>
  <w:style w:type="character" w:customStyle="1" w:styleId="57">
    <w:name w:val="apple-style-span"/>
    <w:qFormat/>
    <w:uiPriority w:val="0"/>
    <w:rPr>
      <w:rFonts w:ascii="Times New Roman" w:hAnsi="Times New Roman" w:eastAsia="宋体" w:cs="Times New Roman"/>
    </w:rPr>
  </w:style>
  <w:style w:type="character" w:customStyle="1" w:styleId="58">
    <w:name w:val="正文缩进 字符"/>
    <w:link w:val="7"/>
    <w:qFormat/>
    <w:uiPriority w:val="0"/>
    <w:rPr>
      <w:rFonts w:ascii="Times New Roman" w:hAnsi="Times New Roman" w:eastAsia="宋体" w:cs="Times New Roman"/>
      <w:kern w:val="2"/>
      <w:sz w:val="21"/>
      <w:lang w:val="en-US" w:eastAsia="zh-CN" w:bidi="ar-SA"/>
    </w:rPr>
  </w:style>
  <w:style w:type="character" w:customStyle="1" w:styleId="59">
    <w:name w:val="font51"/>
    <w:qFormat/>
    <w:uiPriority w:val="0"/>
    <w:rPr>
      <w:rFonts w:hint="default" w:ascii="Times New Roman" w:hAnsi="Times New Roman" w:eastAsia="宋体" w:cs="Times New Roman"/>
      <w:color w:val="000000"/>
      <w:sz w:val="20"/>
      <w:szCs w:val="20"/>
    </w:rPr>
  </w:style>
  <w:style w:type="character" w:customStyle="1" w:styleId="60">
    <w:name w:val="标题 3 字符"/>
    <w:link w:val="4"/>
    <w:qFormat/>
    <w:uiPriority w:val="9"/>
    <w:rPr>
      <w:rFonts w:ascii="Times New Roman" w:hAnsi="Times New Roman" w:eastAsia="宋体" w:cs="Times New Roman"/>
      <w:b/>
      <w:bCs/>
      <w:kern w:val="2"/>
      <w:sz w:val="32"/>
      <w:szCs w:val="32"/>
      <w:lang w:val="en-US" w:eastAsia="zh-CN" w:bidi="ar-SA"/>
    </w:rPr>
  </w:style>
  <w:style w:type="character" w:customStyle="1" w:styleId="61">
    <w:name w:val="apple-converted-space"/>
    <w:qFormat/>
    <w:uiPriority w:val="0"/>
    <w:rPr>
      <w:rFonts w:ascii="Times New Roman" w:hAnsi="Times New Roman" w:eastAsia="宋体" w:cs="Times New Roman"/>
    </w:rPr>
  </w:style>
  <w:style w:type="character" w:customStyle="1" w:styleId="62">
    <w:name w:val="Header Char"/>
    <w:qFormat/>
    <w:uiPriority w:val="0"/>
    <w:rPr>
      <w:rFonts w:ascii="Calibri" w:hAnsi="Calibri" w:eastAsia="宋体" w:cs="Times New Roman"/>
      <w:kern w:val="2"/>
      <w:sz w:val="18"/>
      <w:szCs w:val="18"/>
      <w:lang w:val="en-US" w:eastAsia="zh-CN" w:bidi="ar-SA"/>
    </w:rPr>
  </w:style>
  <w:style w:type="character" w:customStyle="1" w:styleId="63">
    <w:name w:val="Footer Char"/>
    <w:qFormat/>
    <w:uiPriority w:val="0"/>
    <w:rPr>
      <w:rFonts w:ascii="Calibri" w:hAnsi="Calibri" w:eastAsia="宋体" w:cs="Times New Roman"/>
      <w:kern w:val="2"/>
      <w:sz w:val="18"/>
      <w:szCs w:val="18"/>
      <w:lang w:val="en-US" w:eastAsia="zh-CN" w:bidi="ar-SA"/>
    </w:rPr>
  </w:style>
  <w:style w:type="character" w:customStyle="1" w:styleId="64">
    <w:name w:val="Plain Text Char"/>
    <w:qFormat/>
    <w:uiPriority w:val="0"/>
    <w:rPr>
      <w:rFonts w:ascii="宋体" w:hAnsi="Courier New" w:eastAsia="宋体" w:cs="Times New Roman"/>
      <w:lang w:bidi="ar-SA"/>
    </w:rPr>
  </w:style>
  <w:style w:type="character" w:customStyle="1" w:styleId="65">
    <w:name w:val="普通文字 Char Char3"/>
    <w:qFormat/>
    <w:uiPriority w:val="0"/>
    <w:rPr>
      <w:rFonts w:ascii="宋体" w:hAnsi="Times New Roman" w:eastAsia="宋体" w:cs="Courier New"/>
      <w:kern w:val="2"/>
      <w:sz w:val="21"/>
      <w:szCs w:val="21"/>
      <w:lang w:val="en-US" w:eastAsia="zh-CN" w:bidi="ar-SA"/>
    </w:rPr>
  </w:style>
  <w:style w:type="character" w:customStyle="1" w:styleId="66">
    <w:name w:val="样式 正文 +"/>
    <w:qFormat/>
    <w:uiPriority w:val="0"/>
    <w:rPr>
      <w:rFonts w:ascii="Times New Roman" w:hAnsi="Times New Roman" w:eastAsia="宋体" w:cs="Times New Roman"/>
      <w:kern w:val="0"/>
      <w:sz w:val="28"/>
    </w:rPr>
  </w:style>
  <w:style w:type="character" w:customStyle="1" w:styleId="67">
    <w:name w:val="正文文本缩进 字符"/>
    <w:link w:val="19"/>
    <w:qFormat/>
    <w:uiPriority w:val="0"/>
    <w:rPr>
      <w:rFonts w:ascii="仿宋_GB2312" w:hAnsi="Times New Roman" w:eastAsia="仿宋_GB2312" w:cs="Times New Roman"/>
      <w:kern w:val="2"/>
      <w:sz w:val="32"/>
      <w:lang w:val="en-US" w:eastAsia="zh-CN" w:bidi="ar-SA"/>
    </w:rPr>
  </w:style>
  <w:style w:type="character" w:customStyle="1" w:styleId="68">
    <w:name w:val="普通文字 Char Char2"/>
    <w:qFormat/>
    <w:uiPriority w:val="0"/>
    <w:rPr>
      <w:rFonts w:ascii="宋体" w:hAnsi="Courier New" w:eastAsia="宋体" w:cs="Times New Roman"/>
      <w:kern w:val="2"/>
      <w:sz w:val="21"/>
      <w:lang w:val="en-US" w:eastAsia="zh-CN" w:bidi="ar-SA"/>
    </w:rPr>
  </w:style>
  <w:style w:type="character" w:customStyle="1" w:styleId="69">
    <w:name w:val="页脚 字符"/>
    <w:link w:val="26"/>
    <w:qFormat/>
    <w:uiPriority w:val="99"/>
    <w:rPr>
      <w:rFonts w:ascii="Times New Roman" w:hAnsi="Times New Roman" w:eastAsia="宋体" w:cs="Times New Roman"/>
      <w:kern w:val="2"/>
      <w:sz w:val="18"/>
      <w:szCs w:val="18"/>
    </w:rPr>
  </w:style>
  <w:style w:type="character" w:customStyle="1" w:styleId="70">
    <w:name w:val="样式 宋体 小四"/>
    <w:qFormat/>
    <w:uiPriority w:val="0"/>
    <w:rPr>
      <w:rFonts w:ascii="宋体" w:hAnsi="宋体" w:eastAsia="宋体" w:cs="Times New Roman"/>
      <w:sz w:val="24"/>
    </w:rPr>
  </w:style>
  <w:style w:type="character" w:customStyle="1" w:styleId="71">
    <w:name w:val="页眉 字符"/>
    <w:link w:val="27"/>
    <w:qFormat/>
    <w:uiPriority w:val="99"/>
    <w:rPr>
      <w:rFonts w:ascii="Times New Roman" w:hAnsi="Times New Roman" w:eastAsia="宋体" w:cs="Times New Roman"/>
      <w:kern w:val="2"/>
      <w:sz w:val="18"/>
      <w:szCs w:val="18"/>
      <w:lang w:val="en-US" w:eastAsia="zh-CN" w:bidi="ar-SA"/>
    </w:rPr>
  </w:style>
  <w:style w:type="character" w:customStyle="1" w:styleId="72">
    <w:name w:val="副标题 字符"/>
    <w:link w:val="29"/>
    <w:qFormat/>
    <w:uiPriority w:val="0"/>
    <w:rPr>
      <w:rFonts w:ascii="Cambria" w:hAnsi="Cambria" w:eastAsia="宋体" w:cs="Times New Roman"/>
      <w:b/>
      <w:bCs/>
      <w:kern w:val="28"/>
      <w:sz w:val="28"/>
      <w:szCs w:val="32"/>
      <w:lang w:val="en-US" w:eastAsia="zh-CN" w:bidi="ar-SA"/>
    </w:rPr>
  </w:style>
  <w:style w:type="character" w:customStyle="1" w:styleId="73">
    <w:name w:val="批注框文本 字符"/>
    <w:link w:val="25"/>
    <w:qFormat/>
    <w:uiPriority w:val="99"/>
    <w:rPr>
      <w:rFonts w:ascii="Times New Roman" w:hAnsi="Times New Roman" w:eastAsia="宋体" w:cs="Times New Roman"/>
      <w:kern w:val="2"/>
      <w:sz w:val="18"/>
      <w:szCs w:val="18"/>
    </w:rPr>
  </w:style>
  <w:style w:type="character" w:customStyle="1" w:styleId="74">
    <w:name w:val="批注文字 字符"/>
    <w:link w:val="15"/>
    <w:qFormat/>
    <w:uiPriority w:val="99"/>
    <w:rPr>
      <w:rFonts w:ascii="Times New Roman" w:hAnsi="Times New Roman" w:eastAsia="宋体" w:cs="Times New Roman"/>
      <w:kern w:val="2"/>
      <w:sz w:val="21"/>
      <w:szCs w:val="24"/>
      <w:lang w:val="en-US" w:eastAsia="zh-CN" w:bidi="ar-SA"/>
    </w:rPr>
  </w:style>
  <w:style w:type="character" w:customStyle="1" w:styleId="75">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6">
    <w:name w:val="ca-1"/>
    <w:qFormat/>
    <w:uiPriority w:val="0"/>
    <w:rPr>
      <w:rFonts w:ascii="Times New Roman" w:hAnsi="Times New Roman" w:eastAsia="宋体" w:cs="Times New Roman"/>
    </w:rPr>
  </w:style>
  <w:style w:type="character" w:customStyle="1" w:styleId="77">
    <w:name w:val="正文360首行缩进 Char"/>
    <w:link w:val="78"/>
    <w:qFormat/>
    <w:uiPriority w:val="0"/>
    <w:rPr>
      <w:rFonts w:ascii="Times New Roman" w:hAnsi="Times New Roman" w:eastAsia="宋体" w:cs="Times New Roman"/>
      <w:sz w:val="24"/>
      <w:szCs w:val="24"/>
    </w:rPr>
  </w:style>
  <w:style w:type="paragraph" w:customStyle="1" w:styleId="78">
    <w:name w:val="正文360首行缩进"/>
    <w:basedOn w:val="1"/>
    <w:link w:val="77"/>
    <w:qFormat/>
    <w:uiPriority w:val="0"/>
    <w:pPr>
      <w:widowControl/>
      <w:spacing w:before="120" w:line="300" w:lineRule="auto"/>
      <w:ind w:firstLine="200"/>
      <w:jc w:val="left"/>
    </w:pPr>
    <w:rPr>
      <w:kern w:val="0"/>
      <w:sz w:val="24"/>
    </w:rPr>
  </w:style>
  <w:style w:type="character" w:customStyle="1" w:styleId="79">
    <w:name w:val="List Paragraph Char"/>
    <w:link w:val="80"/>
    <w:qFormat/>
    <w:locked/>
    <w:uiPriority w:val="0"/>
    <w:rPr>
      <w:rFonts w:ascii="宋体" w:hAnsi="宋体" w:cs="宋体"/>
      <w:sz w:val="24"/>
      <w:szCs w:val="24"/>
    </w:rPr>
  </w:style>
  <w:style w:type="paragraph" w:customStyle="1" w:styleId="80">
    <w:name w:val="列表段落1"/>
    <w:basedOn w:val="1"/>
    <w:link w:val="79"/>
    <w:qFormat/>
    <w:uiPriority w:val="0"/>
    <w:pPr>
      <w:widowControl/>
      <w:ind w:firstLine="420" w:firstLineChars="200"/>
      <w:jc w:val="left"/>
    </w:pPr>
    <w:rPr>
      <w:rFonts w:ascii="宋体" w:hAnsi="宋体"/>
      <w:kern w:val="0"/>
      <w:sz w:val="24"/>
      <w:lang w:val="zh-CN"/>
    </w:rPr>
  </w:style>
  <w:style w:type="character" w:customStyle="1" w:styleId="81">
    <w:name w:val="yyii"/>
    <w:qFormat/>
    <w:uiPriority w:val="0"/>
    <w:rPr>
      <w:rFonts w:ascii="Times New Roman" w:hAnsi="Times New Roman" w:eastAsia="宋体" w:cs="Times New Roman"/>
    </w:rPr>
  </w:style>
  <w:style w:type="character" w:customStyle="1" w:styleId="82">
    <w:name w:val="纯文本 Char1"/>
    <w:qFormat/>
    <w:uiPriority w:val="0"/>
    <w:rPr>
      <w:rFonts w:ascii="宋体" w:hAnsi="Courier New" w:eastAsia="宋体" w:cs="Times New Roman"/>
      <w:kern w:val="2"/>
      <w:sz w:val="21"/>
    </w:rPr>
  </w:style>
  <w:style w:type="character" w:customStyle="1" w:styleId="83">
    <w:name w:val="标题 1 Char1"/>
    <w:qFormat/>
    <w:uiPriority w:val="0"/>
    <w:rPr>
      <w:rFonts w:ascii="Times New Roman" w:hAnsi="Times New Roman" w:eastAsia="宋体" w:cs="Times New Roman"/>
      <w:b/>
      <w:bCs/>
      <w:kern w:val="44"/>
      <w:sz w:val="44"/>
      <w:szCs w:val="44"/>
    </w:rPr>
  </w:style>
  <w:style w:type="character" w:customStyle="1" w:styleId="84">
    <w:name w:val="标题 2 字符"/>
    <w:link w:val="2"/>
    <w:qFormat/>
    <w:uiPriority w:val="9"/>
    <w:rPr>
      <w:rFonts w:ascii="Arial" w:hAnsi="Arial" w:eastAsia="黑体"/>
      <w:b/>
      <w:bCs/>
      <w:kern w:val="2"/>
      <w:sz w:val="24"/>
      <w:szCs w:val="32"/>
    </w:rPr>
  </w:style>
  <w:style w:type="character" w:customStyle="1" w:styleId="85">
    <w:name w:val="批注主题 字符"/>
    <w:link w:val="35"/>
    <w:qFormat/>
    <w:uiPriority w:val="0"/>
    <w:rPr>
      <w:rFonts w:ascii="Times New Roman" w:hAnsi="Times New Roman" w:eastAsia="宋体" w:cs="Times New Roman"/>
      <w:b/>
      <w:bCs/>
      <w:kern w:val="2"/>
      <w:sz w:val="21"/>
      <w:szCs w:val="24"/>
      <w:lang w:val="en-US" w:eastAsia="zh-CN" w:bidi="ar-SA"/>
    </w:rPr>
  </w:style>
  <w:style w:type="paragraph" w:customStyle="1" w:styleId="86">
    <w:name w:val="目录 11"/>
    <w:basedOn w:val="1"/>
    <w:next w:val="1"/>
    <w:qFormat/>
    <w:uiPriority w:val="39"/>
  </w:style>
  <w:style w:type="paragraph" w:customStyle="1" w:styleId="87">
    <w:name w:val="目录 21"/>
    <w:basedOn w:val="1"/>
    <w:next w:val="1"/>
    <w:qFormat/>
    <w:uiPriority w:val="39"/>
    <w:pPr>
      <w:tabs>
        <w:tab w:val="right" w:leader="dot" w:pos="9402"/>
      </w:tabs>
      <w:ind w:left="718" w:leftChars="200" w:hanging="298" w:hangingChars="142"/>
    </w:pPr>
  </w:style>
  <w:style w:type="paragraph" w:customStyle="1" w:styleId="88">
    <w:name w:val="目录 31"/>
    <w:basedOn w:val="1"/>
    <w:next w:val="1"/>
    <w:qFormat/>
    <w:uiPriority w:val="39"/>
    <w:pPr>
      <w:ind w:left="840" w:leftChars="400"/>
    </w:pPr>
  </w:style>
  <w:style w:type="paragraph" w:customStyle="1" w:styleId="89">
    <w:name w:val="正文首行缩进1"/>
    <w:basedOn w:val="17"/>
    <w:qFormat/>
    <w:uiPriority w:val="0"/>
    <w:pPr>
      <w:spacing w:after="120" w:line="240" w:lineRule="auto"/>
      <w:ind w:firstLine="420" w:firstLineChars="100"/>
    </w:pPr>
    <w:rPr>
      <w:sz w:val="21"/>
    </w:rPr>
  </w:style>
  <w:style w:type="paragraph" w:customStyle="1" w:styleId="90">
    <w:name w:val="Char Char1 Char Char Char Char"/>
    <w:basedOn w:val="14"/>
    <w:qFormat/>
    <w:uiPriority w:val="0"/>
    <w:rPr>
      <w:rFonts w:ascii="Tahoma" w:hAnsi="Tahoma"/>
      <w:sz w:val="24"/>
    </w:rPr>
  </w:style>
  <w:style w:type="paragraph" w:customStyle="1" w:styleId="91">
    <w:name w:val="列出段落1"/>
    <w:basedOn w:val="1"/>
    <w:qFormat/>
    <w:uiPriority w:val="99"/>
    <w:pPr>
      <w:ind w:firstLine="420" w:firstLineChars="200"/>
    </w:pPr>
    <w:rPr>
      <w:rFonts w:ascii="Calibri" w:hAnsi="Calibri"/>
    </w:rPr>
  </w:style>
  <w:style w:type="paragraph" w:customStyle="1" w:styleId="92">
    <w:name w:val="Char Char Char1 Char"/>
    <w:basedOn w:val="14"/>
    <w:qFormat/>
    <w:uiPriority w:val="0"/>
  </w:style>
  <w:style w:type="paragraph" w:customStyle="1" w:styleId="93">
    <w:name w:val="pa-5"/>
    <w:basedOn w:val="1"/>
    <w:qFormat/>
    <w:uiPriority w:val="0"/>
    <w:pPr>
      <w:widowControl/>
      <w:spacing w:before="150" w:after="150"/>
      <w:jc w:val="left"/>
    </w:pPr>
    <w:rPr>
      <w:rFonts w:ascii="宋体" w:hAnsi="宋体" w:cs="宋体"/>
      <w:kern w:val="0"/>
      <w:sz w:val="24"/>
    </w:rPr>
  </w:style>
  <w:style w:type="paragraph" w:customStyle="1" w:styleId="94">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5">
    <w:name w:val="Char Char1 Char Char Char Char1"/>
    <w:basedOn w:val="14"/>
    <w:qFormat/>
    <w:uiPriority w:val="0"/>
    <w:rPr>
      <w:rFonts w:ascii="Tahoma" w:hAnsi="Tahoma"/>
      <w:sz w:val="24"/>
    </w:rPr>
  </w:style>
  <w:style w:type="paragraph" w:customStyle="1" w:styleId="96">
    <w:name w:val="_Style 35"/>
    <w:basedOn w:val="14"/>
    <w:qFormat/>
    <w:uiPriority w:val="0"/>
    <w:pPr>
      <w:widowControl/>
      <w:ind w:firstLine="454"/>
      <w:jc w:val="left"/>
    </w:pPr>
  </w:style>
  <w:style w:type="paragraph" w:customStyle="1" w:styleId="97">
    <w:name w:val="5 Char Char Char Char Char Char Char Char Char Char"/>
    <w:basedOn w:val="1"/>
    <w:qFormat/>
    <w:uiPriority w:val="0"/>
  </w:style>
  <w:style w:type="paragraph" w:customStyle="1" w:styleId="9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9">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100">
    <w:name w:val="默认段落字体 Para Char"/>
    <w:basedOn w:val="1"/>
    <w:qFormat/>
    <w:uiPriority w:val="0"/>
    <w:rPr>
      <w:szCs w:val="20"/>
    </w:rPr>
  </w:style>
  <w:style w:type="paragraph" w:customStyle="1" w:styleId="101">
    <w:name w:val="表格文字"/>
    <w:basedOn w:val="1"/>
    <w:qFormat/>
    <w:uiPriority w:val="0"/>
    <w:pPr>
      <w:spacing w:before="25" w:after="25"/>
      <w:jc w:val="left"/>
    </w:pPr>
    <w:rPr>
      <w:bCs/>
      <w:spacing w:val="10"/>
      <w:kern w:val="0"/>
      <w:sz w:val="24"/>
    </w:rPr>
  </w:style>
  <w:style w:type="paragraph" w:customStyle="1" w:styleId="102">
    <w:name w:val="_Style 7"/>
    <w:basedOn w:val="14"/>
    <w:qFormat/>
    <w:uiPriority w:val="0"/>
  </w:style>
  <w:style w:type="paragraph" w:customStyle="1" w:styleId="103">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默认段落字体 Para Char Char Char Char Char Char Char Char Char1 Char Char Char Char"/>
    <w:basedOn w:val="1"/>
    <w:qFormat/>
    <w:uiPriority w:val="0"/>
    <w:rPr>
      <w:rFonts w:ascii="Tahoma" w:hAnsi="Tahoma"/>
      <w:sz w:val="24"/>
      <w:szCs w:val="20"/>
    </w:rPr>
  </w:style>
  <w:style w:type="paragraph" w:customStyle="1" w:styleId="105">
    <w:name w:val="样式 标题 1 + 居中 段前: 0 磅 段后: 0 磅 行距: 固定值 30 磅"/>
    <w:basedOn w:val="3"/>
    <w:qFormat/>
    <w:uiPriority w:val="0"/>
    <w:pPr>
      <w:spacing w:before="0" w:after="0" w:line="600" w:lineRule="exact"/>
    </w:pPr>
    <w:rPr>
      <w:rFonts w:eastAsia="宋体" w:cs="宋体"/>
      <w:szCs w:val="20"/>
    </w:rPr>
  </w:style>
  <w:style w:type="paragraph" w:customStyle="1" w:styleId="106">
    <w:name w:val="样式 小四 行距: 1.5 倍行距"/>
    <w:basedOn w:val="1"/>
    <w:qFormat/>
    <w:uiPriority w:val="0"/>
    <w:pPr>
      <w:spacing w:line="360" w:lineRule="auto"/>
      <w:ind w:firstLine="480" w:firstLineChars="200"/>
    </w:pPr>
    <w:rPr>
      <w:rFonts w:cs="宋体"/>
      <w:sz w:val="24"/>
      <w:szCs w:val="20"/>
    </w:rPr>
  </w:style>
  <w:style w:type="paragraph" w:customStyle="1" w:styleId="107">
    <w:name w:val="p0"/>
    <w:basedOn w:val="1"/>
    <w:qFormat/>
    <w:uiPriority w:val="0"/>
    <w:pPr>
      <w:widowControl/>
    </w:pPr>
    <w:rPr>
      <w:rFonts w:ascii="宋体" w:hAnsi="宋体" w:cs="宋体"/>
      <w:kern w:val="0"/>
      <w:szCs w:val="21"/>
    </w:rPr>
  </w:style>
  <w:style w:type="paragraph" w:customStyle="1" w:styleId="108">
    <w:name w:val="Char Char Char Char Char Char Char Char Char Char Char Char"/>
    <w:basedOn w:val="1"/>
    <w:qFormat/>
    <w:uiPriority w:val="0"/>
    <w:pPr>
      <w:widowControl/>
      <w:spacing w:after="160" w:line="240" w:lineRule="exact"/>
      <w:jc w:val="left"/>
    </w:pPr>
  </w:style>
  <w:style w:type="paragraph" w:customStyle="1" w:styleId="109">
    <w:name w:val="Char Char Char1 Char1"/>
    <w:basedOn w:val="1"/>
    <w:qFormat/>
    <w:uiPriority w:val="0"/>
    <w:rPr>
      <w:rFonts w:ascii="Calibri" w:hAnsi="Calibri"/>
      <w:szCs w:val="22"/>
    </w:rPr>
  </w:style>
  <w:style w:type="paragraph" w:customStyle="1" w:styleId="110">
    <w:name w:val="Char Char Char Char Char Char Char"/>
    <w:basedOn w:val="1"/>
    <w:qFormat/>
    <w:uiPriority w:val="0"/>
  </w:style>
  <w:style w:type="paragraph" w:customStyle="1" w:styleId="111">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2">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3">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5">
    <w:name w:val="Char"/>
    <w:basedOn w:val="14"/>
    <w:qFormat/>
    <w:uiPriority w:val="0"/>
    <w:pPr>
      <w:widowControl/>
      <w:ind w:firstLine="454"/>
      <w:jc w:val="left"/>
    </w:pPr>
    <w:rPr>
      <w:rFonts w:ascii="Tahoma" w:hAnsi="Tahoma" w:cs="宋体"/>
      <w:kern w:val="0"/>
      <w:sz w:val="24"/>
      <w:szCs w:val="20"/>
    </w:rPr>
  </w:style>
  <w:style w:type="paragraph" w:customStyle="1" w:styleId="116">
    <w:name w:val="Char1"/>
    <w:basedOn w:val="14"/>
    <w:qFormat/>
    <w:uiPriority w:val="0"/>
    <w:pPr>
      <w:widowControl/>
      <w:ind w:firstLine="454"/>
      <w:jc w:val="left"/>
    </w:pPr>
    <w:rPr>
      <w:rFonts w:ascii="Tahoma" w:hAnsi="Tahoma" w:cs="宋体"/>
      <w:kern w:val="0"/>
      <w:sz w:val="24"/>
      <w:szCs w:val="20"/>
    </w:rPr>
  </w:style>
  <w:style w:type="paragraph" w:customStyle="1" w:styleId="117">
    <w:name w:val="1"/>
    <w:basedOn w:val="1"/>
    <w:next w:val="22"/>
    <w:qFormat/>
    <w:uiPriority w:val="0"/>
    <w:rPr>
      <w:rFonts w:ascii="宋体" w:hAnsi="Courier New"/>
      <w:szCs w:val="20"/>
    </w:rPr>
  </w:style>
  <w:style w:type="paragraph" w:customStyle="1" w:styleId="118">
    <w:name w:val="_Style 2"/>
    <w:basedOn w:val="1"/>
    <w:qFormat/>
    <w:uiPriority w:val="0"/>
    <w:pPr>
      <w:ind w:firstLine="420" w:firstLineChars="200"/>
    </w:pPr>
  </w:style>
  <w:style w:type="paragraph" w:customStyle="1" w:styleId="119">
    <w:name w:val="正文段"/>
    <w:basedOn w:val="1"/>
    <w:qFormat/>
    <w:uiPriority w:val="0"/>
    <w:pPr>
      <w:widowControl/>
      <w:snapToGrid w:val="0"/>
      <w:spacing w:after="156" w:afterLines="50"/>
      <w:ind w:firstLine="200" w:firstLineChars="200"/>
    </w:pPr>
    <w:rPr>
      <w:kern w:val="0"/>
      <w:sz w:val="24"/>
      <w:szCs w:val="20"/>
    </w:rPr>
  </w:style>
  <w:style w:type="paragraph" w:customStyle="1" w:styleId="120">
    <w:name w:val="列出段落"/>
    <w:basedOn w:val="1"/>
    <w:qFormat/>
    <w:uiPriority w:val="34"/>
    <w:pPr>
      <w:ind w:firstLine="420" w:firstLineChars="200"/>
    </w:pPr>
    <w:rPr>
      <w:rFonts w:ascii="Calibri" w:hAnsi="Calibri"/>
      <w:szCs w:val="22"/>
    </w:rPr>
  </w:style>
  <w:style w:type="paragraph" w:customStyle="1" w:styleId="12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2">
    <w:name w:val="未处理的提及1"/>
    <w:basedOn w:val="39"/>
    <w:unhideWhenUsed/>
    <w:qFormat/>
    <w:uiPriority w:val="99"/>
    <w:rPr>
      <w:color w:val="605E5C"/>
      <w:shd w:val="clear" w:color="auto" w:fill="E1DFDD"/>
    </w:rPr>
  </w:style>
  <w:style w:type="character" w:customStyle="1" w:styleId="123">
    <w:name w:val="font81"/>
    <w:basedOn w:val="39"/>
    <w:qFormat/>
    <w:uiPriority w:val="0"/>
    <w:rPr>
      <w:rFonts w:hint="eastAsia" w:ascii="宋体" w:hAnsi="宋体" w:eastAsia="宋体" w:cs="宋体"/>
      <w:color w:val="000000"/>
      <w:sz w:val="18"/>
      <w:szCs w:val="18"/>
      <w:u w:val="none"/>
    </w:rPr>
  </w:style>
  <w:style w:type="paragraph" w:customStyle="1" w:styleId="124">
    <w:name w:val="列表段落2"/>
    <w:basedOn w:val="1"/>
    <w:qFormat/>
    <w:uiPriority w:val="34"/>
    <w:pPr>
      <w:ind w:firstLine="420" w:firstLineChars="200"/>
    </w:pPr>
  </w:style>
  <w:style w:type="character" w:customStyle="1" w:styleId="125">
    <w:name w:val="未处理的提及2"/>
    <w:basedOn w:val="39"/>
    <w:unhideWhenUsed/>
    <w:qFormat/>
    <w:uiPriority w:val="99"/>
    <w:rPr>
      <w:color w:val="605E5C"/>
      <w:shd w:val="clear" w:color="auto" w:fill="E1DFDD"/>
    </w:rPr>
  </w:style>
  <w:style w:type="character" w:customStyle="1" w:styleId="126">
    <w:name w:val="纯文本 字符1"/>
    <w:qFormat/>
    <w:uiPriority w:val="0"/>
    <w:rPr>
      <w:rFonts w:ascii="宋体" w:hAnsi="Courier New" w:eastAsia="宋体" w:cs="Courier New"/>
      <w:kern w:val="2"/>
      <w:sz w:val="21"/>
      <w:szCs w:val="21"/>
      <w:lang w:val="en-US" w:eastAsia="zh-CN" w:bidi="ar-SA"/>
    </w:rPr>
  </w:style>
  <w:style w:type="character" w:customStyle="1" w:styleId="127">
    <w:name w:val="标题 4 字符"/>
    <w:basedOn w:val="39"/>
    <w:link w:val="5"/>
    <w:qFormat/>
    <w:uiPriority w:val="9"/>
    <w:rPr>
      <w:rFonts w:asciiTheme="majorHAnsi" w:hAnsiTheme="majorHAnsi" w:eastAsiaTheme="majorEastAsia" w:cstheme="majorBidi"/>
      <w:b/>
      <w:bCs/>
      <w:kern w:val="2"/>
      <w:sz w:val="28"/>
      <w:szCs w:val="28"/>
    </w:rPr>
  </w:style>
  <w:style w:type="character" w:customStyle="1" w:styleId="128">
    <w:name w:val="标题 5 字符"/>
    <w:basedOn w:val="39"/>
    <w:link w:val="6"/>
    <w:qFormat/>
    <w:uiPriority w:val="9"/>
    <w:rPr>
      <w:b/>
      <w:kern w:val="2"/>
      <w:sz w:val="28"/>
      <w:szCs w:val="24"/>
    </w:rPr>
  </w:style>
  <w:style w:type="character" w:customStyle="1" w:styleId="129">
    <w:name w:val="标题 6 字符"/>
    <w:basedOn w:val="39"/>
    <w:link w:val="8"/>
    <w:qFormat/>
    <w:uiPriority w:val="9"/>
    <w:rPr>
      <w:rFonts w:ascii="Arial" w:hAnsi="Arial" w:eastAsia="黑体"/>
      <w:b/>
      <w:kern w:val="2"/>
      <w:sz w:val="24"/>
      <w:szCs w:val="24"/>
    </w:rPr>
  </w:style>
  <w:style w:type="character" w:customStyle="1" w:styleId="130">
    <w:name w:val="标题 7 字符"/>
    <w:basedOn w:val="39"/>
    <w:link w:val="9"/>
    <w:qFormat/>
    <w:uiPriority w:val="9"/>
    <w:rPr>
      <w:b/>
      <w:kern w:val="2"/>
      <w:sz w:val="24"/>
      <w:szCs w:val="24"/>
    </w:rPr>
  </w:style>
  <w:style w:type="character" w:customStyle="1" w:styleId="131">
    <w:name w:val="标题 8 字符"/>
    <w:basedOn w:val="39"/>
    <w:link w:val="10"/>
    <w:qFormat/>
    <w:uiPriority w:val="9"/>
    <w:rPr>
      <w:rFonts w:ascii="Arial" w:hAnsi="Arial" w:eastAsia="黑体"/>
      <w:kern w:val="2"/>
      <w:sz w:val="24"/>
      <w:szCs w:val="24"/>
    </w:rPr>
  </w:style>
  <w:style w:type="character" w:customStyle="1" w:styleId="132">
    <w:name w:val="标题 9 字符"/>
    <w:basedOn w:val="39"/>
    <w:link w:val="11"/>
    <w:qFormat/>
    <w:uiPriority w:val="9"/>
    <w:rPr>
      <w:rFonts w:ascii="Arial" w:hAnsi="Arial" w:eastAsia="黑体"/>
      <w:kern w:val="2"/>
      <w:sz w:val="21"/>
      <w:szCs w:val="24"/>
    </w:rPr>
  </w:style>
  <w:style w:type="paragraph" w:customStyle="1" w:styleId="133">
    <w:name w:val="TOC 71"/>
    <w:basedOn w:val="1"/>
    <w:next w:val="1"/>
    <w:unhideWhenUsed/>
    <w:qFormat/>
    <w:uiPriority w:val="39"/>
    <w:pPr>
      <w:spacing w:line="360" w:lineRule="auto"/>
      <w:ind w:left="1440" w:firstLine="200" w:firstLineChars="200"/>
      <w:jc w:val="left"/>
    </w:pPr>
    <w:rPr>
      <w:rFonts w:ascii="Calibri" w:hAnsi="Calibri"/>
      <w:sz w:val="18"/>
      <w:szCs w:val="18"/>
    </w:rPr>
  </w:style>
  <w:style w:type="character" w:customStyle="1" w:styleId="134">
    <w:name w:val="文档结构图 字符"/>
    <w:basedOn w:val="39"/>
    <w:link w:val="14"/>
    <w:qFormat/>
    <w:uiPriority w:val="99"/>
    <w:rPr>
      <w:kern w:val="2"/>
      <w:sz w:val="21"/>
      <w:szCs w:val="24"/>
      <w:shd w:val="clear" w:color="auto" w:fill="000080"/>
    </w:rPr>
  </w:style>
  <w:style w:type="character" w:customStyle="1" w:styleId="135">
    <w:name w:val="正文文本 字符"/>
    <w:basedOn w:val="39"/>
    <w:link w:val="17"/>
    <w:qFormat/>
    <w:uiPriority w:val="0"/>
    <w:rPr>
      <w:kern w:val="2"/>
      <w:sz w:val="24"/>
      <w:szCs w:val="24"/>
    </w:rPr>
  </w:style>
  <w:style w:type="paragraph" w:customStyle="1" w:styleId="136">
    <w:name w:val="TOC 51"/>
    <w:basedOn w:val="1"/>
    <w:next w:val="1"/>
    <w:unhideWhenUsed/>
    <w:qFormat/>
    <w:uiPriority w:val="39"/>
    <w:pPr>
      <w:spacing w:line="360" w:lineRule="auto"/>
      <w:ind w:left="960" w:firstLine="200" w:firstLineChars="200"/>
      <w:jc w:val="left"/>
    </w:pPr>
    <w:rPr>
      <w:rFonts w:ascii="Calibri" w:hAnsi="Calibri"/>
      <w:sz w:val="18"/>
      <w:szCs w:val="18"/>
    </w:rPr>
  </w:style>
  <w:style w:type="paragraph" w:customStyle="1" w:styleId="137">
    <w:name w:val="TOC 31"/>
    <w:basedOn w:val="1"/>
    <w:next w:val="1"/>
    <w:unhideWhenUsed/>
    <w:qFormat/>
    <w:uiPriority w:val="39"/>
    <w:pPr>
      <w:spacing w:line="360" w:lineRule="auto"/>
      <w:ind w:left="480" w:firstLine="200" w:firstLineChars="200"/>
      <w:jc w:val="left"/>
    </w:pPr>
    <w:rPr>
      <w:rFonts w:ascii="Calibri" w:hAnsi="Calibri"/>
      <w:i/>
      <w:iCs/>
      <w:sz w:val="20"/>
      <w:szCs w:val="20"/>
    </w:rPr>
  </w:style>
  <w:style w:type="paragraph" w:customStyle="1" w:styleId="138">
    <w:name w:val="TOC 81"/>
    <w:basedOn w:val="1"/>
    <w:next w:val="1"/>
    <w:unhideWhenUsed/>
    <w:qFormat/>
    <w:uiPriority w:val="39"/>
    <w:pPr>
      <w:spacing w:line="360" w:lineRule="auto"/>
      <w:ind w:left="1680" w:firstLine="200" w:firstLineChars="200"/>
      <w:jc w:val="left"/>
    </w:pPr>
    <w:rPr>
      <w:rFonts w:ascii="Calibri" w:hAnsi="Calibri"/>
      <w:sz w:val="18"/>
      <w:szCs w:val="18"/>
    </w:rPr>
  </w:style>
  <w:style w:type="paragraph" w:customStyle="1" w:styleId="139">
    <w:name w:val="TOC 41"/>
    <w:basedOn w:val="1"/>
    <w:next w:val="1"/>
    <w:unhideWhenUsed/>
    <w:qFormat/>
    <w:uiPriority w:val="39"/>
    <w:pPr>
      <w:spacing w:line="360" w:lineRule="auto"/>
      <w:ind w:left="720" w:firstLine="200" w:firstLineChars="200"/>
      <w:jc w:val="left"/>
    </w:pPr>
    <w:rPr>
      <w:rFonts w:ascii="Calibri" w:hAnsi="Calibri"/>
      <w:sz w:val="18"/>
      <w:szCs w:val="18"/>
    </w:rPr>
  </w:style>
  <w:style w:type="paragraph" w:customStyle="1" w:styleId="140">
    <w:name w:val="TOC 61"/>
    <w:basedOn w:val="1"/>
    <w:next w:val="1"/>
    <w:unhideWhenUsed/>
    <w:qFormat/>
    <w:uiPriority w:val="39"/>
    <w:pPr>
      <w:spacing w:line="360" w:lineRule="auto"/>
      <w:ind w:left="1200" w:firstLine="200" w:firstLineChars="200"/>
      <w:jc w:val="left"/>
    </w:pPr>
    <w:rPr>
      <w:rFonts w:ascii="Calibri" w:hAnsi="Calibri"/>
      <w:sz w:val="18"/>
      <w:szCs w:val="18"/>
    </w:rPr>
  </w:style>
  <w:style w:type="paragraph" w:customStyle="1" w:styleId="141">
    <w:name w:val="TOC 21"/>
    <w:basedOn w:val="1"/>
    <w:next w:val="1"/>
    <w:unhideWhenUsed/>
    <w:qFormat/>
    <w:uiPriority w:val="39"/>
    <w:pPr>
      <w:spacing w:line="360" w:lineRule="auto"/>
      <w:ind w:left="240" w:firstLine="200" w:firstLineChars="200"/>
      <w:jc w:val="left"/>
    </w:pPr>
    <w:rPr>
      <w:rFonts w:ascii="Calibri" w:hAnsi="Calibri"/>
      <w:smallCaps/>
      <w:sz w:val="20"/>
      <w:szCs w:val="20"/>
    </w:rPr>
  </w:style>
  <w:style w:type="paragraph" w:customStyle="1" w:styleId="142">
    <w:name w:val="TOC 91"/>
    <w:basedOn w:val="1"/>
    <w:next w:val="1"/>
    <w:unhideWhenUsed/>
    <w:qFormat/>
    <w:uiPriority w:val="39"/>
    <w:pPr>
      <w:spacing w:line="360" w:lineRule="auto"/>
      <w:ind w:left="1920" w:firstLine="200" w:firstLineChars="200"/>
      <w:jc w:val="left"/>
    </w:pPr>
    <w:rPr>
      <w:rFonts w:ascii="Calibri" w:hAnsi="Calibri"/>
      <w:sz w:val="18"/>
      <w:szCs w:val="18"/>
    </w:rPr>
  </w:style>
  <w:style w:type="table" w:customStyle="1" w:styleId="143">
    <w:name w:val="网格型1"/>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正文文本 Char1"/>
    <w:basedOn w:val="39"/>
    <w:semiHidden/>
    <w:qFormat/>
    <w:uiPriority w:val="99"/>
    <w:rPr>
      <w:sz w:val="24"/>
    </w:rPr>
  </w:style>
  <w:style w:type="paragraph" w:customStyle="1" w:styleId="145">
    <w:name w:val="修订1"/>
    <w:hidden/>
    <w:unhideWhenUsed/>
    <w:qFormat/>
    <w:uiPriority w:val="99"/>
    <w:rPr>
      <w:rFonts w:ascii="Calibri" w:hAnsi="Calibri" w:eastAsia="宋体" w:cs="Times New Roman"/>
      <w:kern w:val="2"/>
      <w:sz w:val="24"/>
      <w:szCs w:val="22"/>
      <w:lang w:val="en-US" w:eastAsia="zh-CN" w:bidi="ar-SA"/>
    </w:rPr>
  </w:style>
  <w:style w:type="character" w:customStyle="1" w:styleId="146">
    <w:name w:val="占位符文本1"/>
    <w:semiHidden/>
    <w:qFormat/>
    <w:uiPriority w:val="99"/>
    <w:rPr>
      <w:color w:val="808080"/>
    </w:rPr>
  </w:style>
  <w:style w:type="paragraph" w:customStyle="1" w:styleId="147">
    <w:name w:val="WPSOffice手动目录 1"/>
    <w:qFormat/>
    <w:uiPriority w:val="0"/>
    <w:rPr>
      <w:rFonts w:ascii="Times New Roman" w:hAnsi="Times New Roman" w:eastAsia="宋体" w:cs="Times New Roman"/>
      <w:lang w:val="en-US" w:eastAsia="zh-CN" w:bidi="ar-SA"/>
    </w:rPr>
  </w:style>
  <w:style w:type="paragraph" w:customStyle="1" w:styleId="14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9">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50">
    <w:name w:val="font01"/>
    <w:basedOn w:val="39"/>
    <w:qFormat/>
    <w:uiPriority w:val="0"/>
    <w:rPr>
      <w:rFonts w:hint="eastAsia" w:ascii="宋体" w:hAnsi="宋体" w:eastAsia="宋体" w:cs="宋体"/>
      <w:color w:val="000000"/>
      <w:sz w:val="24"/>
      <w:szCs w:val="24"/>
      <w:u w:val="none"/>
    </w:rPr>
  </w:style>
  <w:style w:type="paragraph" w:customStyle="1" w:styleId="151">
    <w:name w:val="TOC 标题1"/>
    <w:basedOn w:val="3"/>
    <w:next w:val="1"/>
    <w:unhideWhenUsed/>
    <w:qFormat/>
    <w:uiPriority w:val="39"/>
    <w:pPr>
      <w:widowControl/>
      <w:spacing w:before="240" w:after="0" w:line="259" w:lineRule="auto"/>
      <w:jc w:val="left"/>
      <w:outlineLvl w:val="9"/>
    </w:pPr>
    <w:rPr>
      <w:rFonts w:ascii="Cambria" w:hAnsi="Cambria" w:eastAsia="宋体"/>
      <w:b w:val="0"/>
      <w:bCs w:val="0"/>
      <w:color w:val="365F91"/>
      <w:kern w:val="0"/>
      <w:sz w:val="32"/>
      <w:szCs w:val="32"/>
    </w:rPr>
  </w:style>
  <w:style w:type="paragraph" w:styleId="152">
    <w:name w:val="List Paragraph"/>
    <w:basedOn w:val="1"/>
    <w:qFormat/>
    <w:uiPriority w:val="99"/>
    <w:pPr>
      <w:ind w:firstLine="420" w:firstLineChars="200"/>
    </w:pPr>
  </w:style>
  <w:style w:type="character" w:customStyle="1" w:styleId="153">
    <w:name w:val="Unresolved Mention"/>
    <w:basedOn w:val="39"/>
    <w:semiHidden/>
    <w:unhideWhenUsed/>
    <w:qFormat/>
    <w:uiPriority w:val="99"/>
    <w:rPr>
      <w:color w:val="605E5C"/>
      <w:shd w:val="clear" w:color="auto" w:fill="E1DFDD"/>
    </w:rPr>
  </w:style>
  <w:style w:type="character" w:customStyle="1" w:styleId="154">
    <w:name w:val="font61"/>
    <w:qFormat/>
    <w:uiPriority w:val="0"/>
    <w:rPr>
      <w:rFonts w:hint="eastAsia" w:ascii="宋体" w:hAnsi="宋体" w:eastAsia="宋体" w:cs="宋体"/>
      <w:color w:val="000000"/>
      <w:sz w:val="18"/>
      <w:szCs w:val="18"/>
      <w:u w:val="none"/>
    </w:rPr>
  </w:style>
  <w:style w:type="character" w:customStyle="1" w:styleId="155">
    <w:name w:val="font91"/>
    <w:qFormat/>
    <w:uiPriority w:val="0"/>
    <w:rPr>
      <w:rFonts w:hint="default" w:ascii="Times New Roman" w:hAnsi="Times New Roman" w:cs="Times New Roman"/>
      <w:color w:val="000000"/>
      <w:sz w:val="18"/>
      <w:szCs w:val="18"/>
      <w:u w:val="single"/>
    </w:rPr>
  </w:style>
  <w:style w:type="paragraph" w:customStyle="1" w:styleId="1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7">
    <w:name w:val="标题1.0"/>
    <w:basedOn w:val="1"/>
    <w:next w:val="1"/>
    <w:qFormat/>
    <w:uiPriority w:val="0"/>
    <w:pPr>
      <w:jc w:val="center"/>
      <w:outlineLvl w:val="0"/>
    </w:pPr>
    <w:rPr>
      <w:rFonts w:asciiTheme="minorEastAsia" w:hAnsiTheme="minorEastAsia" w:eastAsiaTheme="minorEastAsia" w:cstheme="minorBidi"/>
      <w:b/>
      <w:color w:val="0070C0"/>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AF175-1F30-4369-8DF1-883D08BE1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9718</Words>
  <Characters>10430</Characters>
  <Lines>157</Lines>
  <Paragraphs>44</Paragraphs>
  <TotalTime>0</TotalTime>
  <ScaleCrop>false</ScaleCrop>
  <LinksUpToDate>false</LinksUpToDate>
  <CharactersWithSpaces>10520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2020-10-27T08:16:00Z</dcterms:created>
  <dc:creator>Huang Qian</dc:creator>
  <cp:lastModifiedBy>Administrator</cp:lastModifiedBy>
  <cp:lastPrinted>2026-04-24T02:02:00Z</cp:lastPrinted>
  <dcterms:modified xsi:type="dcterms:W3CDTF">2026-04-24T06:14:50Z</dcterms:modified>
  <dc:title>竞争性谈判文件</dc:title>
  <cp:revision>635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2B4B7DABCECD4576B7B8F78EEA42F7DA_13</vt:lpwstr>
  </property>
  <property fmtid="{D5CDD505-2E9C-101B-9397-08002B2CF9AE}" pid="4" name="KSOTemplateDocerSaveRecord">
    <vt:lpwstr>eyJoZGlkIjoiZjYyNTZlMTkyNWI4ZDk4M2Y4MGU4YzA2ZDc2Y2NjMzgiLCJ1c2VySWQiOiI0MDE0MjAwNDQifQ==</vt:lpwstr>
  </property>
</Properties>
</file>