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spacing w:before="156" w:beforeLines="50" w:line="780" w:lineRule="exact"/>
        <w:jc w:val="center"/>
        <w:rPr>
          <w:rFonts w:ascii="方正小标宋_GBK" w:hAnsi="黑体" w:eastAsia="方正小标宋_GBK"/>
          <w:b/>
          <w:sz w:val="84"/>
          <w:szCs w:val="84"/>
        </w:rPr>
      </w:pPr>
      <w:r>
        <w:rPr>
          <w:rFonts w:hint="eastAsia" w:ascii="方正小标宋_GBK" w:hAnsi="黑体" w:eastAsia="方正小标宋_GBK"/>
          <w:b/>
          <w:sz w:val="84"/>
          <w:szCs w:val="84"/>
        </w:rPr>
        <w:t>竞争性谈判采购文件</w:t>
      </w:r>
    </w:p>
    <w:p/>
    <w:p/>
    <w:p/>
    <w:p/>
    <w:p/>
    <w:p/>
    <w:p/>
    <w:p/>
    <w:p/>
    <w:p/>
    <w:p/>
    <w:p/>
    <w:p>
      <w:pPr>
        <w:spacing w:line="500" w:lineRule="exact"/>
        <w:ind w:firstLine="1280" w:firstLineChars="400"/>
        <w:rPr>
          <w:rFonts w:ascii="方正小标宋_GBK" w:hAnsi="微软雅黑" w:eastAsia="方正小标宋_GBK"/>
          <w:sz w:val="32"/>
          <w:szCs w:val="32"/>
        </w:rPr>
      </w:pPr>
      <w:r>
        <w:rPr>
          <w:rFonts w:hint="eastAsia" w:ascii="方正小标宋_GBK" w:hAnsi="微软雅黑" w:eastAsia="方正小标宋_GBK"/>
          <w:sz w:val="32"/>
          <w:szCs w:val="32"/>
        </w:rPr>
        <w:t>项目名称:灵山县人民法院融科技法庭设备采购项目</w:t>
      </w:r>
    </w:p>
    <w:p>
      <w:pPr>
        <w:spacing w:line="500" w:lineRule="exact"/>
        <w:ind w:firstLine="1280" w:firstLineChars="400"/>
        <w:rPr>
          <w:rFonts w:ascii="方正小标宋_GBK" w:hAnsi="微软雅黑" w:eastAsia="方正小标宋_GBK"/>
          <w:sz w:val="32"/>
          <w:szCs w:val="32"/>
        </w:rPr>
      </w:pPr>
      <w:r>
        <w:rPr>
          <w:rFonts w:hint="eastAsia" w:ascii="方正小标宋_GBK" w:hAnsi="微软雅黑" w:eastAsia="方正小标宋_GBK"/>
          <w:sz w:val="32"/>
          <w:szCs w:val="32"/>
        </w:rPr>
        <w:t>项目编号:QZZC2026-J1-990172-QZSZ</w:t>
      </w:r>
    </w:p>
    <w:p/>
    <w:p/>
    <w:p/>
    <w:p/>
    <w:p/>
    <w:p/>
    <w:p/>
    <w:p/>
    <w:p/>
    <w:p/>
    <w:p/>
    <w:p/>
    <w:p/>
    <w:p/>
    <w:p/>
    <w:p/>
    <w:p/>
    <w:p/>
    <w:p>
      <w:pPr>
        <w:spacing w:line="360" w:lineRule="exact"/>
        <w:jc w:val="center"/>
        <w:rPr>
          <w:rFonts w:ascii="方正小标宋_GBK" w:hAnsi="微软雅黑" w:eastAsia="方正小标宋_GBK"/>
          <w:sz w:val="32"/>
          <w:szCs w:val="32"/>
        </w:rPr>
      </w:pPr>
      <w:r>
        <w:rPr>
          <w:rFonts w:hint="eastAsia" w:ascii="方正小标宋_GBK" w:hAnsi="微软雅黑" w:eastAsia="方正小标宋_GBK"/>
          <w:sz w:val="32"/>
          <w:szCs w:val="32"/>
        </w:rPr>
        <w:t>钦州市政府采购中心</w:t>
      </w:r>
    </w:p>
    <w:p>
      <w:pPr>
        <w:tabs>
          <w:tab w:val="left" w:pos="360"/>
        </w:tabs>
        <w:spacing w:line="440" w:lineRule="exact"/>
        <w:jc w:val="center"/>
        <w:rPr>
          <w:rFonts w:ascii="仿宋_GB2312" w:hAnsi="宋体" w:eastAsia="仿宋_GB2312"/>
          <w:sz w:val="32"/>
          <w:szCs w:val="32"/>
        </w:rPr>
      </w:pPr>
      <w:r>
        <w:rPr>
          <w:rFonts w:hint="eastAsia" w:ascii="方正小标宋_GBK" w:hAnsi="微软雅黑" w:eastAsia="方正小标宋_GBK"/>
          <w:sz w:val="32"/>
          <w:szCs w:val="32"/>
        </w:rPr>
        <w:t>2026年</w:t>
      </w:r>
      <w:r>
        <w:rPr>
          <w:rFonts w:hint="eastAsia" w:ascii="方正小标宋_GBK" w:hAnsi="微软雅黑" w:eastAsia="方正小标宋_GBK"/>
          <w:sz w:val="32"/>
          <w:szCs w:val="32"/>
          <w:lang w:val="en-US" w:eastAsia="zh-CN"/>
        </w:rPr>
        <w:t>7</w:t>
      </w:r>
      <w:r>
        <w:rPr>
          <w:rFonts w:hint="eastAsia" w:ascii="方正小标宋_GBK" w:hAnsi="微软雅黑" w:eastAsia="方正小标宋_GBK"/>
          <w:sz w:val="32"/>
          <w:szCs w:val="32"/>
        </w:rPr>
        <w:t>月</w:t>
      </w:r>
    </w:p>
    <w:p/>
    <w:p/>
    <w:p>
      <w:pPr>
        <w:spacing w:line="640" w:lineRule="exact"/>
        <w:jc w:val="center"/>
        <w:rPr>
          <w:rFonts w:ascii="方正小标宋_GBK" w:hAnsi="宋体" w:eastAsia="方正小标宋_GBK"/>
          <w:b/>
          <w:sz w:val="32"/>
          <w:szCs w:val="32"/>
        </w:rPr>
      </w:pPr>
      <w:r>
        <w:rPr>
          <w:rFonts w:hint="eastAsia" w:ascii="方正小标宋_GBK" w:hAnsi="宋体" w:eastAsia="方正小标宋_GBK"/>
          <w:b/>
          <w:sz w:val="44"/>
          <w:szCs w:val="44"/>
        </w:rPr>
        <w:t>目   录</w:t>
      </w:r>
    </w:p>
    <w:p/>
    <w:p>
      <w:pPr>
        <w:pStyle w:val="29"/>
        <w:tabs>
          <w:tab w:val="right" w:leader="dot" w:pos="9514"/>
        </w:tabs>
        <w:spacing w:line="1000" w:lineRule="exact"/>
        <w:rPr>
          <w:rFonts w:asciiTheme="minorHAnsi" w:hAnsiTheme="minorHAnsi" w:eastAsiaTheme="minorEastAsia" w:cstheme="minorBidi"/>
          <w:sz w:val="28"/>
          <w:szCs w:val="28"/>
        </w:rPr>
      </w:pPr>
      <w:bookmarkStart w:id="0" w:name="_Toc354479497"/>
      <w:r>
        <w:rPr>
          <w:rFonts w:hint="eastAsia" w:ascii="方正小标宋_GBK" w:hAnsi="仿宋" w:eastAsia="方正小标宋_GBK"/>
          <w:b/>
          <w:sz w:val="28"/>
          <w:szCs w:val="28"/>
        </w:rPr>
        <w:fldChar w:fldCharType="begin"/>
      </w:r>
      <w:r>
        <w:rPr>
          <w:rFonts w:hint="eastAsia" w:ascii="方正小标宋_GBK" w:hAnsi="仿宋" w:eastAsia="方正小标宋_GBK"/>
          <w:b/>
          <w:sz w:val="28"/>
          <w:szCs w:val="28"/>
        </w:rPr>
        <w:instrText xml:space="preserve"> TOC \o "1-1" \h \z \u </w:instrText>
      </w:r>
      <w:r>
        <w:rPr>
          <w:rFonts w:hint="eastAsia" w:ascii="方正小标宋_GBK" w:hAnsi="仿宋" w:eastAsia="方正小标宋_GBK"/>
          <w:b/>
          <w:sz w:val="28"/>
          <w:szCs w:val="28"/>
        </w:rPr>
        <w:fldChar w:fldCharType="separate"/>
      </w:r>
      <w:r>
        <w:fldChar w:fldCharType="begin"/>
      </w:r>
      <w:r>
        <w:instrText xml:space="preserve"> HYPERLINK \l "_Toc92355023" </w:instrText>
      </w:r>
      <w:r>
        <w:fldChar w:fldCharType="separate"/>
      </w:r>
      <w:r>
        <w:rPr>
          <w:rStyle w:val="49"/>
          <w:rFonts w:ascii="方正小标宋_GBK" w:hAnsi="宋体" w:eastAsia="方正小标宋_GBK"/>
          <w:color w:val="auto"/>
          <w:sz w:val="28"/>
          <w:szCs w:val="28"/>
        </w:rPr>
        <w:t>第一章  竞争性谈判公告</w:t>
      </w:r>
      <w:r>
        <w:rPr>
          <w:sz w:val="28"/>
          <w:szCs w:val="28"/>
        </w:rPr>
        <w:tab/>
      </w:r>
      <w:r>
        <w:rPr>
          <w:sz w:val="28"/>
          <w:szCs w:val="28"/>
        </w:rPr>
        <w:fldChar w:fldCharType="begin"/>
      </w:r>
      <w:r>
        <w:rPr>
          <w:sz w:val="28"/>
          <w:szCs w:val="28"/>
        </w:rPr>
        <w:instrText xml:space="preserve"> PAGEREF _Toc92355023 \h </w:instrText>
      </w:r>
      <w:r>
        <w:rPr>
          <w:sz w:val="28"/>
          <w:szCs w:val="28"/>
        </w:rPr>
        <w:fldChar w:fldCharType="separate"/>
      </w:r>
      <w:r>
        <w:rPr>
          <w:sz w:val="28"/>
          <w:szCs w:val="28"/>
        </w:rPr>
        <w:t>1</w:t>
      </w:r>
      <w:r>
        <w:rPr>
          <w:sz w:val="28"/>
          <w:szCs w:val="28"/>
        </w:rPr>
        <w:fldChar w:fldCharType="end"/>
      </w:r>
      <w:r>
        <w:rPr>
          <w:sz w:val="28"/>
          <w:szCs w:val="28"/>
        </w:rPr>
        <w:fldChar w:fldCharType="end"/>
      </w:r>
    </w:p>
    <w:p>
      <w:pPr>
        <w:pStyle w:val="29"/>
        <w:tabs>
          <w:tab w:val="right" w:leader="dot" w:pos="9514"/>
        </w:tabs>
        <w:spacing w:line="1000" w:lineRule="exact"/>
        <w:rPr>
          <w:rFonts w:asciiTheme="minorHAnsi" w:hAnsiTheme="minorHAnsi" w:eastAsiaTheme="minorEastAsia" w:cstheme="minorBidi"/>
          <w:sz w:val="28"/>
          <w:szCs w:val="28"/>
        </w:rPr>
      </w:pPr>
      <w:r>
        <w:fldChar w:fldCharType="begin"/>
      </w:r>
      <w:r>
        <w:instrText xml:space="preserve"> HYPERLINK \l "_Toc92355024" </w:instrText>
      </w:r>
      <w:r>
        <w:fldChar w:fldCharType="separate"/>
      </w:r>
      <w:r>
        <w:rPr>
          <w:rStyle w:val="49"/>
          <w:rFonts w:ascii="方正小标宋_GBK" w:hAnsi="宋体" w:eastAsia="方正小标宋_GBK"/>
          <w:color w:val="auto"/>
          <w:sz w:val="28"/>
          <w:szCs w:val="28"/>
        </w:rPr>
        <w:t>第二章  项目需求</w:t>
      </w:r>
      <w:r>
        <w:rPr>
          <w:sz w:val="28"/>
          <w:szCs w:val="28"/>
        </w:rPr>
        <w:tab/>
      </w:r>
      <w:r>
        <w:rPr>
          <w:sz w:val="28"/>
          <w:szCs w:val="28"/>
        </w:rPr>
        <w:fldChar w:fldCharType="begin"/>
      </w:r>
      <w:r>
        <w:rPr>
          <w:sz w:val="28"/>
          <w:szCs w:val="28"/>
        </w:rPr>
        <w:instrText xml:space="preserve"> PAGEREF _Toc92355024 \h </w:instrText>
      </w:r>
      <w:r>
        <w:rPr>
          <w:sz w:val="28"/>
          <w:szCs w:val="28"/>
        </w:rPr>
        <w:fldChar w:fldCharType="separate"/>
      </w:r>
      <w:r>
        <w:rPr>
          <w:sz w:val="28"/>
          <w:szCs w:val="28"/>
        </w:rPr>
        <w:t>5</w:t>
      </w:r>
      <w:r>
        <w:rPr>
          <w:sz w:val="28"/>
          <w:szCs w:val="28"/>
        </w:rPr>
        <w:fldChar w:fldCharType="end"/>
      </w:r>
      <w:r>
        <w:rPr>
          <w:sz w:val="28"/>
          <w:szCs w:val="28"/>
        </w:rPr>
        <w:fldChar w:fldCharType="end"/>
      </w:r>
    </w:p>
    <w:p>
      <w:pPr>
        <w:pStyle w:val="29"/>
        <w:tabs>
          <w:tab w:val="right" w:leader="dot" w:pos="9514"/>
        </w:tabs>
        <w:spacing w:line="1000" w:lineRule="exact"/>
        <w:rPr>
          <w:rFonts w:hint="eastAsia" w:eastAsia="宋体" w:asciiTheme="minorHAnsi" w:hAnsiTheme="minorHAnsi" w:cstheme="minorBidi"/>
          <w:sz w:val="28"/>
          <w:szCs w:val="28"/>
          <w:lang w:eastAsia="zh-CN"/>
        </w:rPr>
      </w:pPr>
      <w:r>
        <w:fldChar w:fldCharType="begin"/>
      </w:r>
      <w:r>
        <w:instrText xml:space="preserve"> HYPERLINK \l "_Toc92355025" </w:instrText>
      </w:r>
      <w:r>
        <w:fldChar w:fldCharType="separate"/>
      </w:r>
      <w:r>
        <w:rPr>
          <w:rStyle w:val="49"/>
          <w:rFonts w:ascii="方正小标宋简体" w:eastAsia="方正小标宋简体"/>
          <w:color w:val="auto"/>
          <w:sz w:val="28"/>
          <w:szCs w:val="28"/>
        </w:rPr>
        <w:t>第三章  供应商须知</w:t>
      </w:r>
      <w:r>
        <w:rPr>
          <w:sz w:val="28"/>
          <w:szCs w:val="28"/>
        </w:rPr>
        <w:tab/>
      </w:r>
      <w:r>
        <w:rPr>
          <w:rFonts w:hint="eastAsia"/>
          <w:sz w:val="28"/>
          <w:szCs w:val="28"/>
          <w:lang w:val="en-US" w:eastAsia="zh-CN"/>
        </w:rPr>
        <w:t>5</w:t>
      </w:r>
      <w:r>
        <w:rPr>
          <w:rFonts w:hint="eastAsia"/>
          <w:sz w:val="28"/>
          <w:szCs w:val="28"/>
        </w:rPr>
        <w:fldChar w:fldCharType="end"/>
      </w:r>
      <w:r>
        <w:rPr>
          <w:rFonts w:hint="eastAsia"/>
          <w:sz w:val="28"/>
          <w:szCs w:val="28"/>
          <w:lang w:val="en-US" w:eastAsia="zh-CN"/>
        </w:rPr>
        <w:t>2</w:t>
      </w:r>
    </w:p>
    <w:p>
      <w:pPr>
        <w:pStyle w:val="29"/>
        <w:tabs>
          <w:tab w:val="right" w:leader="dot" w:pos="9514"/>
        </w:tabs>
        <w:spacing w:line="1000" w:lineRule="exact"/>
        <w:rPr>
          <w:rFonts w:asciiTheme="minorHAnsi" w:hAnsiTheme="minorHAnsi" w:eastAsiaTheme="minorEastAsia" w:cstheme="minorBidi"/>
          <w:sz w:val="28"/>
          <w:szCs w:val="28"/>
        </w:rPr>
      </w:pPr>
      <w:r>
        <w:fldChar w:fldCharType="begin"/>
      </w:r>
      <w:r>
        <w:instrText xml:space="preserve"> HYPERLINK \l "_Toc92355026" </w:instrText>
      </w:r>
      <w:r>
        <w:fldChar w:fldCharType="separate"/>
      </w:r>
      <w:r>
        <w:rPr>
          <w:rStyle w:val="49"/>
          <w:rFonts w:ascii="方正小标宋_GBK" w:hAnsi="宋体" w:eastAsia="方正小标宋_GBK"/>
          <w:color w:val="auto"/>
          <w:sz w:val="28"/>
          <w:szCs w:val="28"/>
        </w:rPr>
        <w:t>第四章  评定标准及推荐原则</w:t>
      </w:r>
      <w:r>
        <w:rPr>
          <w:sz w:val="28"/>
          <w:szCs w:val="28"/>
        </w:rPr>
        <w:tab/>
      </w:r>
      <w:r>
        <w:rPr>
          <w:sz w:val="28"/>
          <w:szCs w:val="28"/>
        </w:rPr>
        <w:fldChar w:fldCharType="begin"/>
      </w:r>
      <w:r>
        <w:rPr>
          <w:sz w:val="28"/>
          <w:szCs w:val="28"/>
        </w:rPr>
        <w:instrText xml:space="preserve"> PAGEREF _Toc92355026 \h </w:instrText>
      </w:r>
      <w:r>
        <w:rPr>
          <w:sz w:val="28"/>
          <w:szCs w:val="28"/>
        </w:rPr>
        <w:fldChar w:fldCharType="separate"/>
      </w:r>
      <w:r>
        <w:rPr>
          <w:sz w:val="28"/>
          <w:szCs w:val="28"/>
        </w:rPr>
        <w:t>66</w:t>
      </w:r>
      <w:r>
        <w:rPr>
          <w:sz w:val="28"/>
          <w:szCs w:val="28"/>
        </w:rPr>
        <w:fldChar w:fldCharType="end"/>
      </w:r>
      <w:r>
        <w:rPr>
          <w:sz w:val="28"/>
          <w:szCs w:val="28"/>
        </w:rPr>
        <w:fldChar w:fldCharType="end"/>
      </w:r>
    </w:p>
    <w:p>
      <w:pPr>
        <w:pStyle w:val="29"/>
        <w:tabs>
          <w:tab w:val="right" w:leader="dot" w:pos="9514"/>
        </w:tabs>
        <w:spacing w:line="1000" w:lineRule="exact"/>
        <w:rPr>
          <w:rFonts w:asciiTheme="minorHAnsi" w:hAnsiTheme="minorHAnsi" w:eastAsiaTheme="minorEastAsia" w:cstheme="minorBidi"/>
          <w:sz w:val="28"/>
          <w:szCs w:val="28"/>
        </w:rPr>
      </w:pPr>
      <w:r>
        <w:fldChar w:fldCharType="begin"/>
      </w:r>
      <w:r>
        <w:instrText xml:space="preserve"> HYPERLINK \l "_Toc92355027" </w:instrText>
      </w:r>
      <w:r>
        <w:fldChar w:fldCharType="separate"/>
      </w:r>
      <w:r>
        <w:rPr>
          <w:rStyle w:val="49"/>
          <w:rFonts w:ascii="方正小标宋_GBK" w:eastAsia="方正小标宋_GBK"/>
          <w:color w:val="auto"/>
          <w:sz w:val="28"/>
          <w:szCs w:val="28"/>
        </w:rPr>
        <w:t>第五章  合同文本</w:t>
      </w:r>
      <w:r>
        <w:rPr>
          <w:sz w:val="28"/>
          <w:szCs w:val="28"/>
        </w:rPr>
        <w:tab/>
      </w:r>
      <w:r>
        <w:rPr>
          <w:sz w:val="28"/>
          <w:szCs w:val="28"/>
        </w:rPr>
        <w:fldChar w:fldCharType="begin"/>
      </w:r>
      <w:r>
        <w:rPr>
          <w:sz w:val="28"/>
          <w:szCs w:val="28"/>
        </w:rPr>
        <w:instrText xml:space="preserve"> PAGEREF _Toc92355027 \h </w:instrText>
      </w:r>
      <w:r>
        <w:rPr>
          <w:sz w:val="28"/>
          <w:szCs w:val="28"/>
        </w:rPr>
        <w:fldChar w:fldCharType="separate"/>
      </w:r>
      <w:r>
        <w:rPr>
          <w:sz w:val="28"/>
          <w:szCs w:val="28"/>
        </w:rPr>
        <w:t>6</w:t>
      </w:r>
      <w:bookmarkStart w:id="207" w:name="_GoBack"/>
      <w:bookmarkEnd w:id="207"/>
      <w:r>
        <w:rPr>
          <w:sz w:val="28"/>
          <w:szCs w:val="28"/>
        </w:rPr>
        <w:t>9</w:t>
      </w:r>
      <w:r>
        <w:rPr>
          <w:sz w:val="28"/>
          <w:szCs w:val="28"/>
        </w:rPr>
        <w:fldChar w:fldCharType="end"/>
      </w:r>
      <w:r>
        <w:rPr>
          <w:sz w:val="28"/>
          <w:szCs w:val="28"/>
        </w:rPr>
        <w:fldChar w:fldCharType="end"/>
      </w:r>
    </w:p>
    <w:p>
      <w:pPr>
        <w:pStyle w:val="29"/>
        <w:tabs>
          <w:tab w:val="right" w:leader="dot" w:pos="9514"/>
        </w:tabs>
        <w:spacing w:line="1000" w:lineRule="exact"/>
        <w:rPr>
          <w:rFonts w:asciiTheme="minorHAnsi" w:hAnsiTheme="minorHAnsi" w:eastAsiaTheme="minorEastAsia" w:cstheme="minorBidi"/>
          <w:sz w:val="28"/>
          <w:szCs w:val="28"/>
        </w:rPr>
      </w:pPr>
      <w:r>
        <w:fldChar w:fldCharType="begin"/>
      </w:r>
      <w:r>
        <w:instrText xml:space="preserve"> HYPERLINK \l "_Toc92355028" </w:instrText>
      </w:r>
      <w:r>
        <w:fldChar w:fldCharType="separate"/>
      </w:r>
      <w:r>
        <w:rPr>
          <w:rStyle w:val="49"/>
          <w:rFonts w:ascii="方正小标宋_GBK" w:hAnsi="方正小标宋_GBK" w:eastAsia="方正小标宋_GBK"/>
          <w:color w:val="auto"/>
          <w:sz w:val="28"/>
          <w:szCs w:val="28"/>
        </w:rPr>
        <w:t>第六章  响应文件格式</w:t>
      </w:r>
      <w:r>
        <w:rPr>
          <w:sz w:val="28"/>
          <w:szCs w:val="28"/>
        </w:rPr>
        <w:tab/>
      </w:r>
      <w:r>
        <w:rPr>
          <w:sz w:val="28"/>
          <w:szCs w:val="28"/>
        </w:rPr>
        <w:fldChar w:fldCharType="begin"/>
      </w:r>
      <w:r>
        <w:rPr>
          <w:sz w:val="28"/>
          <w:szCs w:val="28"/>
        </w:rPr>
        <w:instrText xml:space="preserve"> PAGEREF _Toc92355028 \h </w:instrText>
      </w:r>
      <w:r>
        <w:rPr>
          <w:sz w:val="28"/>
          <w:szCs w:val="28"/>
        </w:rPr>
        <w:fldChar w:fldCharType="separate"/>
      </w:r>
      <w:r>
        <w:rPr>
          <w:sz w:val="28"/>
          <w:szCs w:val="28"/>
        </w:rPr>
        <w:t>85</w:t>
      </w:r>
      <w:r>
        <w:rPr>
          <w:sz w:val="28"/>
          <w:szCs w:val="28"/>
        </w:rPr>
        <w:fldChar w:fldCharType="end"/>
      </w:r>
      <w:r>
        <w:rPr>
          <w:sz w:val="28"/>
          <w:szCs w:val="28"/>
        </w:rPr>
        <w:fldChar w:fldCharType="end"/>
      </w:r>
    </w:p>
    <w:p>
      <w:pPr>
        <w:sectPr>
          <w:footerReference r:id="rId5" w:type="first"/>
          <w:headerReference r:id="rId3" w:type="default"/>
          <w:footerReference r:id="rId4" w:type="default"/>
          <w:pgSz w:w="11906" w:h="16838"/>
          <w:pgMar w:top="936" w:right="1191" w:bottom="936" w:left="1191" w:header="851" w:footer="992" w:gutter="0"/>
          <w:pgNumType w:start="1"/>
          <w:cols w:space="720" w:num="1"/>
          <w:docGrid w:type="lines" w:linePitch="312" w:charSpace="0"/>
        </w:sectPr>
      </w:pPr>
      <w:r>
        <w:rPr>
          <w:rFonts w:hint="eastAsia"/>
        </w:rPr>
        <w:fldChar w:fldCharType="end"/>
      </w:r>
    </w:p>
    <w:p/>
    <w:p>
      <w:pPr>
        <w:widowControl/>
        <w:jc w:val="left"/>
      </w:pPr>
    </w:p>
    <w:p/>
    <w:p/>
    <w:p/>
    <w:p/>
    <w:p/>
    <w:p/>
    <w:p/>
    <w:p/>
    <w:p/>
    <w:p/>
    <w:p/>
    <w:p/>
    <w:p>
      <w:pPr>
        <w:pStyle w:val="3"/>
        <w:spacing w:line="400" w:lineRule="exact"/>
        <w:rPr>
          <w:rFonts w:ascii="方正小标宋_GBK" w:hAnsi="宋体" w:eastAsia="方正小标宋_GBK"/>
        </w:rPr>
      </w:pPr>
      <w:bookmarkStart w:id="1" w:name="_Toc92355023"/>
      <w:r>
        <w:rPr>
          <w:rFonts w:hint="eastAsia" w:ascii="方正小标宋_GBK" w:hAnsi="宋体" w:eastAsia="方正小标宋_GBK"/>
        </w:rPr>
        <w:t>第一章  竞争性谈判公告</w:t>
      </w:r>
      <w:bookmarkEnd w:id="0"/>
      <w:bookmarkEnd w:id="1"/>
    </w:p>
    <w:p>
      <w:pPr>
        <w:spacing w:line="600" w:lineRule="exact"/>
        <w:jc w:val="center"/>
      </w:pPr>
      <w:r>
        <w:rPr>
          <w:rFonts w:ascii="黑体" w:hAnsi="宋体" w:eastAsia="黑体"/>
          <w:b/>
          <w:sz w:val="32"/>
          <w:szCs w:val="32"/>
        </w:rPr>
        <w:br w:type="page"/>
      </w:r>
    </w:p>
    <w:p>
      <w:pPr>
        <w:spacing w:line="600" w:lineRule="exact"/>
        <w:jc w:val="center"/>
        <w:rPr>
          <w:rFonts w:ascii="方正小标宋_GBK" w:hAnsi="宋体" w:eastAsia="方正小标宋_GBK"/>
          <w:b/>
          <w:sz w:val="34"/>
          <w:szCs w:val="34"/>
        </w:rPr>
      </w:pPr>
      <w:r>
        <w:rPr>
          <w:rFonts w:hint="eastAsia" w:ascii="方正小标宋_GBK" w:hAnsi="宋体" w:eastAsia="方正小标宋_GBK"/>
          <w:b/>
          <w:sz w:val="34"/>
          <w:szCs w:val="34"/>
        </w:rPr>
        <w:t>钦州市政府采购中心关于灵山县人民法院融科技法庭设备采购项目</w:t>
      </w:r>
      <w:r>
        <w:rPr>
          <w:rFonts w:ascii="方正小标宋_GBK" w:hAnsi="宋体" w:eastAsia="方正小标宋_GBK"/>
          <w:b/>
          <w:sz w:val="34"/>
          <w:szCs w:val="34"/>
        </w:rPr>
        <w:t>(</w:t>
      </w:r>
      <w:r>
        <w:rPr>
          <w:rFonts w:hint="eastAsia" w:ascii="方正小标宋_GBK" w:hAnsi="宋体" w:eastAsia="方正小标宋_GBK"/>
          <w:b/>
          <w:sz w:val="34"/>
          <w:szCs w:val="34"/>
        </w:rPr>
        <w:t>QZZC2026-J1-990172-QZSZ</w:t>
      </w:r>
      <w:r>
        <w:rPr>
          <w:rFonts w:ascii="方正小标宋_GBK" w:hAnsi="宋体" w:eastAsia="方正小标宋_GBK"/>
          <w:b/>
          <w:sz w:val="34"/>
          <w:szCs w:val="34"/>
        </w:rPr>
        <w:t>)</w:t>
      </w:r>
      <w:r>
        <w:rPr>
          <w:rFonts w:hint="eastAsia" w:ascii="方正小标宋_GBK" w:hAnsi="宋体" w:eastAsia="方正小标宋_GBK"/>
          <w:b/>
          <w:sz w:val="34"/>
          <w:szCs w:val="34"/>
        </w:rPr>
        <w:t>的竞争性谈判公告</w:t>
      </w:r>
    </w:p>
    <w:p>
      <w:pPr>
        <w:pBdr>
          <w:top w:val="single" w:color="auto" w:sz="4" w:space="0"/>
          <w:left w:val="single" w:color="auto" w:sz="4" w:space="4"/>
          <w:bottom w:val="single" w:color="auto" w:sz="4" w:space="1"/>
          <w:right w:val="single" w:color="auto" w:sz="4" w:space="4"/>
        </w:pBdr>
        <w:spacing w:line="400" w:lineRule="exact"/>
        <w:rPr>
          <w:rFonts w:ascii="方正小标宋简体" w:hAnsi="宋体" w:eastAsia="方正小标宋简体"/>
          <w:b/>
          <w:sz w:val="32"/>
          <w:szCs w:val="32"/>
        </w:rPr>
      </w:pPr>
      <w:bookmarkStart w:id="2" w:name="_Toc38370138"/>
      <w:r>
        <w:rPr>
          <w:rFonts w:hint="eastAsia" w:ascii="宋体" w:hAnsi="宋体"/>
          <w:szCs w:val="21"/>
        </w:rPr>
        <w:t>项目概况</w:t>
      </w:r>
    </w:p>
    <w:p>
      <w:pPr>
        <w:pBdr>
          <w:top w:val="single" w:color="auto" w:sz="4" w:space="0"/>
          <w:left w:val="single" w:color="auto" w:sz="4" w:space="4"/>
          <w:bottom w:val="single" w:color="auto" w:sz="4" w:space="1"/>
          <w:right w:val="single" w:color="auto" w:sz="4" w:space="4"/>
        </w:pBdr>
        <w:spacing w:line="400" w:lineRule="exact"/>
        <w:ind w:firstLine="420" w:firstLineChars="200"/>
        <w:rPr>
          <w:rFonts w:ascii="宋体" w:hAnsi="宋体"/>
          <w:szCs w:val="21"/>
        </w:rPr>
      </w:pPr>
      <w:r>
        <w:rPr>
          <w:rFonts w:hint="eastAsia" w:ascii="宋体" w:hAnsi="宋体"/>
          <w:szCs w:val="21"/>
        </w:rPr>
        <w:t>灵山县人民法院融科技法庭设备采购项目的潜在供应商应在广西政府采购云平台（https://www.gcy.zfcg.gxzf.gov.cn/）获取采购文件，并于</w:t>
      </w:r>
      <w:bookmarkStart w:id="3" w:name="OLE_LINK9"/>
      <w:r>
        <w:rPr>
          <w:rFonts w:hint="eastAsia" w:ascii="宋体" w:hAnsi="宋体"/>
          <w:szCs w:val="21"/>
        </w:rPr>
        <w:t>2026年</w:t>
      </w:r>
      <w:r>
        <w:rPr>
          <w:rFonts w:hint="eastAsia" w:ascii="宋体" w:hAnsi="宋体"/>
          <w:szCs w:val="21"/>
          <w:lang w:val="en-US" w:eastAsia="zh-CN"/>
        </w:rPr>
        <w:t>7</w:t>
      </w:r>
      <w:r>
        <w:rPr>
          <w:rFonts w:hint="eastAsia" w:ascii="宋体" w:hAnsi="宋体"/>
          <w:szCs w:val="21"/>
        </w:rPr>
        <w:t>月</w:t>
      </w:r>
      <w:r>
        <w:rPr>
          <w:rFonts w:hint="eastAsia" w:ascii="宋体" w:hAnsi="宋体"/>
          <w:szCs w:val="21"/>
          <w:lang w:val="en-US" w:eastAsia="zh-CN"/>
        </w:rPr>
        <w:t>30</w:t>
      </w:r>
      <w:r>
        <w:rPr>
          <w:rFonts w:hint="eastAsia" w:ascii="宋体" w:hAnsi="宋体"/>
          <w:szCs w:val="21"/>
        </w:rPr>
        <w:t>日</w:t>
      </w:r>
      <w:bookmarkEnd w:id="3"/>
      <w:r>
        <w:rPr>
          <w:rFonts w:hint="eastAsia" w:ascii="宋体" w:hAnsi="宋体"/>
          <w:szCs w:val="21"/>
        </w:rPr>
        <w:t>9:30（北京时间）前</w:t>
      </w:r>
      <w:r>
        <w:rPr>
          <w:rFonts w:hint="eastAsia" w:ascii="宋体" w:hAnsi="宋体"/>
          <w:bCs/>
          <w:szCs w:val="21"/>
        </w:rPr>
        <w:t>提交响应</w:t>
      </w:r>
      <w:r>
        <w:rPr>
          <w:rFonts w:ascii="宋体" w:hAnsi="宋体"/>
          <w:bCs/>
          <w:szCs w:val="21"/>
        </w:rPr>
        <w:t>文件</w:t>
      </w:r>
      <w:r>
        <w:rPr>
          <w:rFonts w:hint="eastAsia" w:ascii="宋体" w:hAnsi="宋体"/>
          <w:szCs w:val="21"/>
        </w:rPr>
        <w:t>。</w:t>
      </w:r>
    </w:p>
    <w:bookmarkEnd w:id="2"/>
    <w:p>
      <w:pPr>
        <w:spacing w:line="400" w:lineRule="exact"/>
        <w:rPr>
          <w:b/>
        </w:rPr>
      </w:pPr>
      <w:bookmarkStart w:id="4" w:name="_Toc28359079"/>
      <w:bookmarkStart w:id="5" w:name="_Toc35393621"/>
      <w:bookmarkStart w:id="6" w:name="_Toc28359002"/>
      <w:bookmarkStart w:id="7" w:name="_Toc35393790"/>
      <w:bookmarkStart w:id="8" w:name="_Hlk24379207"/>
      <w:bookmarkStart w:id="9" w:name="_Toc38370146"/>
      <w:r>
        <w:rPr>
          <w:rFonts w:hint="eastAsia"/>
          <w:b/>
        </w:rPr>
        <w:t>一、项目基本情况</w:t>
      </w:r>
      <w:bookmarkEnd w:id="4"/>
      <w:bookmarkEnd w:id="5"/>
      <w:bookmarkEnd w:id="6"/>
      <w:bookmarkEnd w:id="7"/>
    </w:p>
    <w:p>
      <w:pPr>
        <w:spacing w:line="400" w:lineRule="exact"/>
        <w:ind w:firstLine="420"/>
      </w:pPr>
      <w:r>
        <w:rPr>
          <w:rFonts w:hint="eastAsia"/>
        </w:rPr>
        <w:t>项目编号：QZZC2026-J1-990172-QZSZ</w:t>
      </w:r>
    </w:p>
    <w:p>
      <w:pPr>
        <w:spacing w:line="400" w:lineRule="exact"/>
        <w:ind w:firstLine="420"/>
      </w:pPr>
      <w:r>
        <w:rPr>
          <w:rFonts w:hint="eastAsia"/>
        </w:rPr>
        <w:t>项目名称：</w:t>
      </w:r>
      <w:bookmarkStart w:id="10" w:name="OLE_LINK1"/>
      <w:r>
        <w:rPr>
          <w:rFonts w:hint="eastAsia"/>
        </w:rPr>
        <w:t>灵山县人民法院</w:t>
      </w:r>
      <w:bookmarkEnd w:id="10"/>
      <w:r>
        <w:rPr>
          <w:rFonts w:hint="eastAsia"/>
        </w:rPr>
        <w:t>融科技法庭设备采购项目</w:t>
      </w:r>
    </w:p>
    <w:bookmarkEnd w:id="8"/>
    <w:p>
      <w:pPr>
        <w:spacing w:line="400" w:lineRule="exact"/>
        <w:ind w:firstLine="420"/>
      </w:pPr>
      <w:r>
        <w:rPr>
          <w:rFonts w:hint="eastAsia"/>
        </w:rPr>
        <w:t>预算总金额(元)：678</w:t>
      </w:r>
      <w:r>
        <w:rPr>
          <w:rFonts w:hint="eastAsia"/>
          <w:lang w:val="en-US" w:eastAsia="zh-CN"/>
        </w:rPr>
        <w:t>,</w:t>
      </w:r>
      <w:r>
        <w:rPr>
          <w:rFonts w:hint="eastAsia"/>
        </w:rPr>
        <w:t>754.00</w:t>
      </w:r>
    </w:p>
    <w:p>
      <w:pPr>
        <w:spacing w:line="400" w:lineRule="exact"/>
        <w:ind w:firstLine="420"/>
      </w:pPr>
      <w:r>
        <w:rPr>
          <w:rFonts w:hint="eastAsia"/>
        </w:rPr>
        <w:t>采购需求：</w:t>
      </w:r>
    </w:p>
    <w:p>
      <w:pPr>
        <w:spacing w:line="400" w:lineRule="exact"/>
      </w:pPr>
    </w:p>
    <w:p>
      <w:pPr>
        <w:spacing w:line="400" w:lineRule="exact"/>
        <w:ind w:firstLine="420"/>
      </w:pPr>
      <w:r>
        <w:rPr>
          <w:rFonts w:hint="eastAsia"/>
        </w:rPr>
        <w:t>标项名称：灵山县人民法院融科技法庭设备采购项目</w:t>
      </w:r>
    </w:p>
    <w:p>
      <w:pPr>
        <w:spacing w:line="400" w:lineRule="exact"/>
        <w:ind w:firstLine="420"/>
      </w:pPr>
      <w:r>
        <w:rPr>
          <w:rFonts w:hint="eastAsia"/>
        </w:rPr>
        <w:t>数量：1</w:t>
      </w:r>
    </w:p>
    <w:p>
      <w:pPr>
        <w:spacing w:line="400" w:lineRule="exact"/>
        <w:ind w:firstLine="420"/>
      </w:pPr>
      <w:r>
        <w:rPr>
          <w:rFonts w:hint="eastAsia"/>
        </w:rPr>
        <w:t>预算金额(元</w:t>
      </w:r>
      <w:r>
        <w:t>)</w:t>
      </w:r>
      <w:r>
        <w:rPr>
          <w:rFonts w:hint="eastAsia"/>
        </w:rPr>
        <w:t>：678</w:t>
      </w:r>
      <w:r>
        <w:rPr>
          <w:rFonts w:hint="eastAsia"/>
          <w:lang w:val="en-US" w:eastAsia="zh-CN"/>
        </w:rPr>
        <w:t>,</w:t>
      </w:r>
      <w:r>
        <w:rPr>
          <w:rFonts w:hint="eastAsia"/>
        </w:rPr>
        <w:t>754.00</w:t>
      </w:r>
    </w:p>
    <w:p>
      <w:pPr>
        <w:spacing w:line="400" w:lineRule="exact"/>
        <w:ind w:firstLine="420"/>
      </w:pPr>
      <w:r>
        <w:rPr>
          <w:rFonts w:hint="eastAsia"/>
        </w:rPr>
        <w:t xml:space="preserve">简要规格描述或项目基本概况介绍、用途：灵山县人民法院融科技法庭设备一批，具体详见采购需求。 </w:t>
      </w:r>
    </w:p>
    <w:p>
      <w:pPr>
        <w:spacing w:line="400" w:lineRule="exact"/>
        <w:ind w:firstLine="420"/>
      </w:pPr>
      <w:r>
        <w:rPr>
          <w:rFonts w:hint="eastAsia"/>
        </w:rPr>
        <w:t>最高限价(如有</w:t>
      </w:r>
      <w:r>
        <w:t>)</w:t>
      </w:r>
      <w:r>
        <w:rPr>
          <w:rFonts w:hint="eastAsia"/>
        </w:rPr>
        <w:t>：</w:t>
      </w:r>
    </w:p>
    <w:p>
      <w:pPr>
        <w:spacing w:line="400" w:lineRule="exact"/>
        <w:ind w:firstLine="420"/>
      </w:pPr>
      <w:r>
        <w:rPr>
          <w:rFonts w:hint="eastAsia"/>
        </w:rPr>
        <w:t>合同履行期限：合同签订完成后45天内交货且安装调试完毕，并达到验收条件。</w:t>
      </w:r>
    </w:p>
    <w:p>
      <w:pPr>
        <w:spacing w:line="400" w:lineRule="exact"/>
        <w:ind w:firstLine="420"/>
      </w:pPr>
      <w:r>
        <w:rPr>
          <w:rFonts w:hint="eastAsia"/>
        </w:rPr>
        <w:t>本标项(否</w:t>
      </w:r>
      <w:r>
        <w:t>)</w:t>
      </w:r>
      <w:r>
        <w:rPr>
          <w:rFonts w:hint="eastAsia"/>
        </w:rPr>
        <w:t>接受联合体竞标。</w:t>
      </w:r>
    </w:p>
    <w:p>
      <w:pPr>
        <w:spacing w:line="400" w:lineRule="exact"/>
        <w:ind w:firstLine="420"/>
      </w:pPr>
      <w:r>
        <w:rPr>
          <w:rFonts w:hint="eastAsia"/>
        </w:rPr>
        <w:t>备注：</w:t>
      </w:r>
    </w:p>
    <w:p>
      <w:pPr>
        <w:spacing w:line="400" w:lineRule="exact"/>
        <w:ind w:firstLine="420"/>
      </w:pPr>
    </w:p>
    <w:p>
      <w:pPr>
        <w:spacing w:line="400" w:lineRule="exact"/>
        <w:rPr>
          <w:b/>
        </w:rPr>
      </w:pPr>
      <w:bookmarkStart w:id="11" w:name="_Toc35393791"/>
      <w:bookmarkStart w:id="12" w:name="_Toc28359003"/>
      <w:bookmarkStart w:id="13" w:name="_Toc35393622"/>
      <w:bookmarkStart w:id="14" w:name="_Toc28359080"/>
      <w:r>
        <w:rPr>
          <w:rFonts w:hint="eastAsia"/>
          <w:b/>
        </w:rPr>
        <w:t>二、申请人的资格要求：</w:t>
      </w:r>
      <w:bookmarkEnd w:id="11"/>
      <w:bookmarkEnd w:id="12"/>
      <w:bookmarkEnd w:id="13"/>
      <w:bookmarkEnd w:id="14"/>
      <w:bookmarkStart w:id="15" w:name="_Toc28359081"/>
      <w:bookmarkStart w:id="16" w:name="_Toc28359004"/>
      <w:bookmarkStart w:id="17" w:name="_Toc35393792"/>
      <w:bookmarkStart w:id="18" w:name="_Toc35393623"/>
    </w:p>
    <w:p>
      <w:pPr>
        <w:spacing w:line="400" w:lineRule="exact"/>
        <w:ind w:firstLine="420"/>
        <w:rPr>
          <w:b/>
        </w:rPr>
      </w:pPr>
      <w:r>
        <w:rPr>
          <w:rFonts w:hint="eastAsia"/>
        </w:rPr>
        <w:t>1.满足《中华人民共和国政府采购法》第二十二条规定</w:t>
      </w:r>
    </w:p>
    <w:p>
      <w:pPr>
        <w:spacing w:line="400" w:lineRule="exact"/>
        <w:ind w:firstLine="420"/>
      </w:pPr>
      <w:r>
        <w:rPr>
          <w:rFonts w:hint="eastAsia"/>
        </w:rPr>
        <w:t>2.落实政府采购政策需满足的资格要求：无 </w:t>
      </w:r>
    </w:p>
    <w:p>
      <w:pPr>
        <w:spacing w:line="400" w:lineRule="exact"/>
        <w:ind w:firstLine="435"/>
      </w:pPr>
      <w:r>
        <w:rPr>
          <w:rFonts w:hint="eastAsia"/>
        </w:rPr>
        <w:t>3.本项目的特定资格要求：无</w:t>
      </w:r>
    </w:p>
    <w:p>
      <w:pPr>
        <w:spacing w:line="400" w:lineRule="exact"/>
        <w:rPr>
          <w:b/>
        </w:rPr>
      </w:pPr>
      <w:r>
        <w:rPr>
          <w:rFonts w:hint="eastAsia"/>
          <w:b/>
        </w:rPr>
        <w:t>三、获取采购文件</w:t>
      </w:r>
      <w:bookmarkEnd w:id="15"/>
      <w:bookmarkEnd w:id="16"/>
      <w:bookmarkEnd w:id="17"/>
      <w:bookmarkEnd w:id="18"/>
    </w:p>
    <w:p>
      <w:pPr>
        <w:spacing w:line="400" w:lineRule="exact"/>
        <w:ind w:firstLine="420"/>
        <w:jc w:val="left"/>
      </w:pPr>
      <w:bookmarkStart w:id="19" w:name="_Toc38370141"/>
      <w:r>
        <w:rPr>
          <w:rFonts w:hint="eastAsia"/>
        </w:rPr>
        <w:t>时间：2026年</w:t>
      </w:r>
      <w:r>
        <w:rPr>
          <w:rFonts w:hint="eastAsia"/>
          <w:lang w:val="en-US" w:eastAsia="zh-CN"/>
        </w:rPr>
        <w:t>7</w:t>
      </w:r>
      <w:r>
        <w:rPr>
          <w:rFonts w:hint="eastAsia"/>
        </w:rPr>
        <w:t>月</w:t>
      </w:r>
      <w:r>
        <w:rPr>
          <w:rFonts w:hint="eastAsia"/>
          <w:lang w:val="en-US" w:eastAsia="zh-CN"/>
        </w:rPr>
        <w:t>24</w:t>
      </w:r>
      <w:r>
        <w:rPr>
          <w:rFonts w:hint="eastAsia"/>
        </w:rPr>
        <w:t>日至2026年</w:t>
      </w:r>
      <w:r>
        <w:rPr>
          <w:rFonts w:hint="eastAsia"/>
          <w:lang w:val="en-US" w:eastAsia="zh-CN"/>
        </w:rPr>
        <w:t>7</w:t>
      </w:r>
      <w:r>
        <w:rPr>
          <w:rFonts w:hint="eastAsia"/>
        </w:rPr>
        <w:t>月</w:t>
      </w:r>
      <w:r>
        <w:rPr>
          <w:rFonts w:hint="eastAsia"/>
          <w:lang w:val="en-US" w:eastAsia="zh-CN"/>
        </w:rPr>
        <w:t>28</w:t>
      </w:r>
      <w:r>
        <w:rPr>
          <w:rFonts w:hint="eastAsia"/>
        </w:rPr>
        <w:t>日 ，每天上午00:00至12:00，</w:t>
      </w:r>
      <w:r>
        <w:rPr>
          <w:rFonts w:hint="eastAsia"/>
        </w:rPr>
        <w:t>下午12:00至23:59（北京时间，法定节假日除外）</w:t>
      </w:r>
    </w:p>
    <w:p>
      <w:pPr>
        <w:spacing w:line="400" w:lineRule="exact"/>
        <w:ind w:firstLine="420"/>
      </w:pPr>
      <w:r>
        <w:rPr>
          <w:rFonts w:hint="eastAsia"/>
        </w:rPr>
        <w:t>地点(网址</w:t>
      </w:r>
      <w:r>
        <w:t>)</w:t>
      </w:r>
      <w:r>
        <w:rPr>
          <w:rFonts w:hint="eastAsia"/>
        </w:rPr>
        <w:t>：</w:t>
      </w:r>
      <w:r>
        <w:rPr>
          <w:rFonts w:hint="eastAsia" w:ascii="宋体" w:hAnsi="宋体"/>
          <w:szCs w:val="21"/>
        </w:rPr>
        <w:t>广西政府采购云平台（https://www.gcy.zfcg.gxzf.gov.cn/）</w:t>
      </w:r>
    </w:p>
    <w:p>
      <w:pPr>
        <w:spacing w:line="400" w:lineRule="exact"/>
        <w:ind w:firstLine="420"/>
        <w:rPr>
          <w:rFonts w:ascii="宋体" w:hAnsi="宋体"/>
          <w:szCs w:val="21"/>
        </w:rPr>
      </w:pPr>
      <w:r>
        <w:rPr>
          <w:rFonts w:hint="eastAsia"/>
        </w:rPr>
        <w:t>方式</w:t>
      </w:r>
      <w:r>
        <w:rPr>
          <w:rFonts w:hint="eastAsia" w:ascii="宋体" w:hAnsi="宋体"/>
          <w:szCs w:val="21"/>
        </w:rPr>
        <w:t>：供应商登录广西政府采购云平台https://www.gcy.zfcg.gxzf.gov.cn/在线申请获取采购文件（进入“项目采购”应用，在获取采购文件菜单中选择项目，申请获取采购文件）</w:t>
      </w:r>
    </w:p>
    <w:p>
      <w:pPr>
        <w:spacing w:line="400" w:lineRule="exact"/>
        <w:ind w:firstLine="420"/>
      </w:pPr>
      <w:r>
        <w:rPr>
          <w:rFonts w:hint="eastAsia"/>
        </w:rPr>
        <w:t>售价(元</w:t>
      </w:r>
      <w:r>
        <w:t>)</w:t>
      </w:r>
      <w:r>
        <w:rPr>
          <w:rFonts w:hint="eastAsia"/>
        </w:rPr>
        <w:t>：0</w:t>
      </w:r>
    </w:p>
    <w:p>
      <w:pPr>
        <w:spacing w:line="400" w:lineRule="exact"/>
        <w:rPr>
          <w:b/>
        </w:rPr>
      </w:pPr>
      <w:r>
        <w:rPr>
          <w:rFonts w:hint="eastAsia"/>
          <w:b/>
          <w:bCs/>
        </w:rPr>
        <w:t>四、</w:t>
      </w:r>
      <w:bookmarkEnd w:id="19"/>
      <w:bookmarkStart w:id="20" w:name="_Toc28359082"/>
      <w:bookmarkStart w:id="21" w:name="_Toc28359005"/>
      <w:bookmarkStart w:id="22" w:name="_Toc35393793"/>
      <w:bookmarkStart w:id="23" w:name="_Toc35393624"/>
      <w:r>
        <w:rPr>
          <w:rFonts w:hint="eastAsia"/>
          <w:b/>
        </w:rPr>
        <w:t>响应文件</w:t>
      </w:r>
      <w:bookmarkEnd w:id="20"/>
      <w:bookmarkEnd w:id="21"/>
      <w:r>
        <w:rPr>
          <w:rFonts w:hint="eastAsia"/>
          <w:b/>
        </w:rPr>
        <w:t>提交</w:t>
      </w:r>
      <w:bookmarkEnd w:id="22"/>
      <w:bookmarkEnd w:id="23"/>
    </w:p>
    <w:p>
      <w:pPr>
        <w:spacing w:line="400" w:lineRule="exact"/>
        <w:ind w:firstLine="420"/>
        <w:rPr>
          <w:rFonts w:hint="eastAsia" w:ascii="宋体" w:hAnsi="宋体"/>
          <w:szCs w:val="21"/>
        </w:rPr>
      </w:pPr>
      <w:r>
        <w:rPr>
          <w:rFonts w:hint="eastAsia" w:ascii="宋体" w:hAnsi="宋体"/>
          <w:szCs w:val="21"/>
        </w:rPr>
        <w:t>截止时间：</w:t>
      </w:r>
      <w:r>
        <w:rPr>
          <w:rFonts w:hint="eastAsia" w:ascii="宋体" w:hAnsi="宋体"/>
          <w:szCs w:val="21"/>
        </w:rPr>
        <w:t>2026年</w:t>
      </w:r>
      <w:r>
        <w:rPr>
          <w:rFonts w:hint="eastAsia" w:ascii="宋体" w:hAnsi="宋体"/>
          <w:szCs w:val="21"/>
          <w:lang w:val="en-US" w:eastAsia="zh-CN"/>
        </w:rPr>
        <w:t>7</w:t>
      </w:r>
      <w:r>
        <w:rPr>
          <w:rFonts w:hint="eastAsia" w:ascii="宋体" w:hAnsi="宋体"/>
          <w:szCs w:val="21"/>
        </w:rPr>
        <w:t>月</w:t>
      </w:r>
      <w:r>
        <w:rPr>
          <w:rFonts w:hint="eastAsia" w:ascii="宋体" w:hAnsi="宋体"/>
          <w:szCs w:val="21"/>
          <w:lang w:val="en-US" w:eastAsia="zh-CN"/>
        </w:rPr>
        <w:t>30</w:t>
      </w:r>
      <w:r>
        <w:rPr>
          <w:rFonts w:hint="eastAsia" w:ascii="宋体" w:hAnsi="宋体"/>
          <w:szCs w:val="21"/>
        </w:rPr>
        <w:t>日9:30（北京时间）</w:t>
      </w:r>
    </w:p>
    <w:p>
      <w:pPr>
        <w:spacing w:line="400" w:lineRule="exact"/>
        <w:ind w:firstLine="420"/>
        <w:rPr>
          <w:rFonts w:ascii="宋体" w:hAnsi="宋体" w:cs="Courier New"/>
          <w:szCs w:val="21"/>
        </w:rPr>
      </w:pPr>
      <w:r>
        <w:rPr>
          <w:rFonts w:hint="eastAsia"/>
        </w:rPr>
        <w:t>地点(网址）：</w:t>
      </w:r>
      <w:r>
        <w:rPr>
          <w:rFonts w:hint="eastAsia" w:ascii="宋体" w:hAnsi="宋体"/>
          <w:szCs w:val="21"/>
        </w:rPr>
        <w:t>广西政府采购云平台（https://www.gcy.zfcg.gxzf.gov.cn/）</w:t>
      </w:r>
    </w:p>
    <w:p>
      <w:pPr>
        <w:spacing w:line="400" w:lineRule="exact"/>
        <w:rPr>
          <w:rFonts w:ascii="宋体" w:hAnsi="宋体" w:cs="Courier New"/>
          <w:b/>
          <w:bCs/>
          <w:szCs w:val="21"/>
        </w:rPr>
      </w:pPr>
      <w:r>
        <w:rPr>
          <w:rFonts w:hint="eastAsia" w:ascii="宋体" w:hAnsi="宋体" w:cs="Courier New"/>
          <w:b/>
          <w:bCs/>
          <w:szCs w:val="21"/>
        </w:rPr>
        <w:t>五、响应文件开启</w:t>
      </w:r>
    </w:p>
    <w:p>
      <w:pPr>
        <w:spacing w:line="400" w:lineRule="exact"/>
        <w:ind w:firstLine="420" w:firstLineChars="200"/>
        <w:rPr>
          <w:rFonts w:ascii="宋体" w:hAnsi="宋体" w:cs="Courier New"/>
          <w:szCs w:val="21"/>
        </w:rPr>
      </w:pPr>
      <w:r>
        <w:rPr>
          <w:rFonts w:hint="eastAsia" w:ascii="宋体" w:hAnsi="宋体" w:cs="Courier New"/>
          <w:szCs w:val="21"/>
        </w:rPr>
        <w:t>开启时间：</w:t>
      </w:r>
      <w:r>
        <w:rPr>
          <w:rFonts w:hint="eastAsia" w:ascii="宋体" w:hAnsi="宋体"/>
          <w:szCs w:val="21"/>
        </w:rPr>
        <w:t>2026年</w:t>
      </w:r>
      <w:r>
        <w:rPr>
          <w:rFonts w:hint="eastAsia" w:ascii="宋体" w:hAnsi="宋体"/>
          <w:szCs w:val="21"/>
          <w:lang w:val="en-US" w:eastAsia="zh-CN"/>
        </w:rPr>
        <w:t>7</w:t>
      </w:r>
      <w:r>
        <w:rPr>
          <w:rFonts w:hint="eastAsia" w:ascii="宋体" w:hAnsi="宋体"/>
          <w:szCs w:val="21"/>
        </w:rPr>
        <w:t>月</w:t>
      </w:r>
      <w:r>
        <w:rPr>
          <w:rFonts w:hint="eastAsia" w:ascii="宋体" w:hAnsi="宋体"/>
          <w:szCs w:val="21"/>
          <w:lang w:val="en-US" w:eastAsia="zh-CN"/>
        </w:rPr>
        <w:t>30</w:t>
      </w:r>
      <w:r>
        <w:rPr>
          <w:rFonts w:hint="eastAsia" w:ascii="宋体" w:hAnsi="宋体"/>
          <w:szCs w:val="21"/>
        </w:rPr>
        <w:t>日</w:t>
      </w:r>
      <w:r>
        <w:rPr>
          <w:rFonts w:hint="eastAsia"/>
        </w:rPr>
        <w:t>9</w:t>
      </w:r>
      <w:r>
        <w:t>:</w:t>
      </w:r>
      <w:r>
        <w:rPr>
          <w:rFonts w:hint="eastAsia"/>
        </w:rPr>
        <w:t>30（北京时间）</w:t>
      </w:r>
    </w:p>
    <w:p>
      <w:pPr>
        <w:spacing w:line="400" w:lineRule="exact"/>
        <w:ind w:firstLine="420"/>
        <w:rPr>
          <w:rFonts w:ascii="宋体" w:hAnsi="宋体" w:cs="Courier New"/>
          <w:szCs w:val="21"/>
        </w:rPr>
      </w:pPr>
      <w:r>
        <w:rPr>
          <w:rFonts w:hint="eastAsia" w:ascii="宋体" w:hAnsi="宋体" w:cs="Courier New"/>
          <w:szCs w:val="21"/>
        </w:rPr>
        <w:t>地点：</w:t>
      </w:r>
      <w:bookmarkStart w:id="24" w:name="_Toc35393625"/>
      <w:bookmarkStart w:id="25" w:name="_Toc28359084"/>
      <w:bookmarkStart w:id="26" w:name="_Toc28359007"/>
      <w:bookmarkStart w:id="27" w:name="_Toc35393794"/>
      <w:r>
        <w:rPr>
          <w:rFonts w:hint="eastAsia"/>
        </w:rPr>
        <w:t>广西钦州市金海湾东大街8号市政务服务中心三楼开标室</w:t>
      </w:r>
    </w:p>
    <w:p>
      <w:pPr>
        <w:spacing w:line="400" w:lineRule="exact"/>
        <w:rPr>
          <w:b/>
        </w:rPr>
      </w:pPr>
      <w:r>
        <w:rPr>
          <w:rFonts w:hint="eastAsia"/>
          <w:b/>
        </w:rPr>
        <w:t>六、公告期限</w:t>
      </w:r>
      <w:bookmarkEnd w:id="24"/>
      <w:bookmarkEnd w:id="25"/>
      <w:bookmarkEnd w:id="26"/>
      <w:bookmarkEnd w:id="27"/>
    </w:p>
    <w:p>
      <w:pPr>
        <w:spacing w:line="400" w:lineRule="exact"/>
        <w:ind w:firstLine="420"/>
      </w:pPr>
      <w:r>
        <w:rPr>
          <w:rFonts w:hint="eastAsia"/>
        </w:rPr>
        <w:t>自本公告发布之日起</w:t>
      </w:r>
      <w:r>
        <w:t>3</w:t>
      </w:r>
      <w:r>
        <w:rPr>
          <w:rFonts w:hint="eastAsia"/>
        </w:rPr>
        <w:t>个工作日。</w:t>
      </w:r>
    </w:p>
    <w:p>
      <w:pPr>
        <w:spacing w:line="400" w:lineRule="exact"/>
        <w:rPr>
          <w:b/>
        </w:rPr>
      </w:pPr>
      <w:bookmarkStart w:id="28" w:name="_Toc28359085"/>
      <w:bookmarkStart w:id="29" w:name="_Toc35393796"/>
      <w:bookmarkStart w:id="30" w:name="_Toc28359008"/>
      <w:bookmarkStart w:id="31" w:name="_Toc35393627"/>
      <w:r>
        <w:rPr>
          <w:rFonts w:hint="eastAsia"/>
          <w:b/>
        </w:rPr>
        <w:t>七、其他补充事宜</w:t>
      </w:r>
    </w:p>
    <w:p>
      <w:pPr>
        <w:spacing w:line="400" w:lineRule="exact"/>
        <w:ind w:firstLine="420"/>
      </w:pPr>
      <w:r>
        <w:rPr>
          <w:rFonts w:hint="eastAsia"/>
        </w:rPr>
        <w:t>1.本项目须要落实的政府采购政策：</w:t>
      </w:r>
    </w:p>
    <w:p>
      <w:pPr>
        <w:spacing w:line="400" w:lineRule="exact"/>
        <w:ind w:left="420" w:leftChars="200"/>
      </w:pPr>
      <w:r>
        <w:rPr>
          <w:rFonts w:hint="eastAsia"/>
        </w:rPr>
        <w:t>(1)财政部 工业和信息化部关于印发《政府采购促进中小企业发展管理办法》的通知(财库﹝2020﹞</w:t>
      </w:r>
    </w:p>
    <w:p>
      <w:pPr>
        <w:spacing w:line="400" w:lineRule="exact"/>
        <w:ind w:left="420" w:hanging="420" w:hangingChars="200"/>
      </w:pPr>
      <w:r>
        <w:rPr>
          <w:rFonts w:hint="eastAsia"/>
        </w:rPr>
        <w:t>46号)</w:t>
      </w:r>
      <w:r>
        <w:rPr>
          <w:rFonts w:hint="eastAsia"/>
        </w:rPr>
        <w:br w:type="textWrapping"/>
      </w:r>
      <w:r>
        <w:rPr>
          <w:rFonts w:hint="eastAsia"/>
        </w:rPr>
        <w:t>(2)财政部 司法部关于政府采购支持监狱企业发展有关问题的通知 (财库﹝2014﹞68号)</w:t>
      </w:r>
      <w:r>
        <w:rPr>
          <w:rFonts w:hint="eastAsia"/>
        </w:rPr>
        <w:br w:type="textWrapping"/>
      </w:r>
      <w:r>
        <w:rPr>
          <w:rFonts w:hint="eastAsia"/>
        </w:rPr>
        <w:t>(3)财政部 民政部 中国残疾人联合会关于促进残疾人就业政府采购政策的通知 (财库﹝2017﹞141</w:t>
      </w:r>
    </w:p>
    <w:p>
      <w:pPr>
        <w:spacing w:line="400" w:lineRule="exact"/>
        <w:ind w:left="420" w:hanging="420" w:hangingChars="200"/>
      </w:pPr>
      <w:r>
        <w:rPr>
          <w:rFonts w:hint="eastAsia"/>
        </w:rPr>
        <w:t>号)</w:t>
      </w:r>
      <w:r>
        <w:rPr>
          <w:rFonts w:hint="eastAsia"/>
        </w:rPr>
        <w:br w:type="textWrapping"/>
      </w:r>
      <w:r>
        <w:rPr>
          <w:rFonts w:hint="eastAsia"/>
        </w:rPr>
        <w:t>(4)财政部 发展改革委 生态环境部 市场监管总局关于调整优化节能产品、环境标志产品政府采购执</w:t>
      </w:r>
    </w:p>
    <w:p>
      <w:pPr>
        <w:spacing w:line="400" w:lineRule="exact"/>
        <w:ind w:left="420" w:hanging="420" w:hangingChars="200"/>
      </w:pPr>
      <w:r>
        <w:rPr>
          <w:rFonts w:hint="eastAsia"/>
        </w:rPr>
        <w:t>行机制的通知（财库〔2019〕9号）</w:t>
      </w:r>
      <w:r>
        <w:rPr>
          <w:rFonts w:hint="eastAsia"/>
        </w:rPr>
        <w:br w:type="textWrapping"/>
      </w:r>
      <w:r>
        <w:rPr>
          <w:rFonts w:hint="eastAsia"/>
        </w:rPr>
        <w:t>(5) 财政部 发展改革委 关于印发节能产品政府采购品目清单的通知（财库〔2019〕19号）</w:t>
      </w:r>
    </w:p>
    <w:p>
      <w:pPr>
        <w:spacing w:line="400" w:lineRule="exact"/>
        <w:ind w:firstLine="420"/>
      </w:pPr>
      <w:r>
        <w:rPr>
          <w:rFonts w:hint="eastAsia"/>
        </w:rPr>
        <w:t>(6) 国家市场监督管理总局 《强制性产品认证管理规定》</w:t>
      </w:r>
    </w:p>
    <w:p>
      <w:pPr>
        <w:spacing w:line="400" w:lineRule="exact"/>
        <w:ind w:firstLine="420"/>
      </w:pPr>
      <w:r>
        <w:rPr>
          <w:rFonts w:hint="eastAsia"/>
        </w:rPr>
        <w:t>(7)国务院办公厅关于在政府采购中实施本国产品标准及相关政策的通知(国办发〔2025〕34号)</w:t>
      </w:r>
    </w:p>
    <w:p>
      <w:pPr>
        <w:spacing w:line="400" w:lineRule="exact"/>
        <w:ind w:firstLine="420"/>
      </w:pPr>
      <w:r>
        <w:rPr>
          <w:rFonts w:hint="eastAsia"/>
        </w:rPr>
        <w:t>2</w:t>
      </w:r>
      <w:r>
        <w:t>.</w:t>
      </w:r>
      <w:bookmarkStart w:id="32" w:name="_Hlk91598380"/>
      <w:r>
        <w:rPr>
          <w:rFonts w:hint="eastAsia"/>
        </w:rPr>
        <w:t>全流程电子化</w:t>
      </w:r>
      <w:bookmarkEnd w:id="32"/>
      <w:r>
        <w:rPr>
          <w:rFonts w:hint="eastAsia"/>
        </w:rPr>
        <w:t>要求：</w:t>
      </w:r>
    </w:p>
    <w:p>
      <w:pPr>
        <w:spacing w:line="400" w:lineRule="exact"/>
        <w:ind w:firstLine="420"/>
      </w:pPr>
      <w:bookmarkStart w:id="33" w:name="_Hlk147760486"/>
      <w:r>
        <w:rPr>
          <w:rFonts w:hint="eastAsia"/>
        </w:rPr>
        <w:t>本项目为全流程电子化项目，供应商应做好参与全流程电子化交易的充分准备，熟悉掌握电子化采购项目操作指南(操作指南：</w:t>
      </w:r>
      <w:r>
        <w:rPr>
          <w:rFonts w:hint="eastAsia"/>
          <w:u w:val="single"/>
        </w:rPr>
        <w:t>广西</w:t>
      </w:r>
      <w:r>
        <w:fldChar w:fldCharType="begin"/>
      </w:r>
      <w:r>
        <w:instrText xml:space="preserve"> HYPERLINK "https://helpcenter.zcygov.cn/document/" \l "/document/dashboard?siteCode=beijing&amp;channel=dt" </w:instrText>
      </w:r>
      <w:r>
        <w:fldChar w:fldCharType="separate"/>
      </w:r>
      <w:r>
        <w:rPr>
          <w:rStyle w:val="49"/>
          <w:rFonts w:hint="eastAsia"/>
          <w:color w:val="auto"/>
        </w:rPr>
        <w:t>政采云电子卖场首页右上角—服务中心—帮助文档—项目采购</w:t>
      </w:r>
      <w:r>
        <w:rPr>
          <w:rStyle w:val="49"/>
          <w:rFonts w:hint="eastAsia"/>
          <w:color w:val="auto"/>
        </w:rPr>
        <w:fldChar w:fldCharType="end"/>
      </w:r>
      <w:r>
        <w:rPr>
          <w:rFonts w:hint="eastAsia"/>
        </w:rPr>
        <w:t>)，及时完成CA申领和绑定(操作指南：</w:t>
      </w:r>
      <w:r>
        <w:rPr>
          <w:rFonts w:hint="eastAsia"/>
          <w:u w:val="single"/>
        </w:rPr>
        <w:t>广西</w:t>
      </w:r>
      <w:r>
        <w:fldChar w:fldCharType="begin"/>
      </w:r>
      <w:r>
        <w:instrText xml:space="preserve"> HYPERLINK "https://helpcenter.zcygov.cn/document/" \l "/document/detail?siteCode=beijing&amp;manualId=795&amp;topicId=4081" </w:instrText>
      </w:r>
      <w:r>
        <w:fldChar w:fldCharType="separate"/>
      </w:r>
      <w:r>
        <w:rPr>
          <w:rStyle w:val="49"/>
          <w:rFonts w:hint="eastAsia"/>
          <w:color w:val="auto"/>
        </w:rPr>
        <w:t>政采云电子卖场首页右上角—帮助文档—入驻与配置—CA管理</w:t>
      </w:r>
      <w:r>
        <w:rPr>
          <w:rStyle w:val="49"/>
          <w:rFonts w:hint="eastAsia"/>
          <w:color w:val="auto"/>
        </w:rPr>
        <w:fldChar w:fldCharType="end"/>
      </w:r>
      <w:r>
        <w:rPr>
          <w:rFonts w:hint="eastAsia"/>
        </w:rPr>
        <w:t>；CA证书申领路径：</w:t>
      </w:r>
      <w:r>
        <w:rPr>
          <w:rFonts w:hint="eastAsia"/>
          <w:u w:val="single"/>
        </w:rPr>
        <w:t>广西</w:t>
      </w:r>
      <w:r>
        <w:fldChar w:fldCharType="begin"/>
      </w:r>
      <w:r>
        <w:instrText xml:space="preserve"> HYPERLINK "https://helpcenter.zcygov.cn/document/" \l "/document/detail?siteCode=beijing&amp;manualId=795&amp;topicId=4083" </w:instrText>
      </w:r>
      <w:r>
        <w:fldChar w:fldCharType="separate"/>
      </w:r>
      <w:r>
        <w:rPr>
          <w:rStyle w:val="49"/>
          <w:rFonts w:hint="eastAsia"/>
          <w:color w:val="auto"/>
        </w:rPr>
        <w:t>政采云平台—我的工作台右上角—CA管理—CA证书申领</w:t>
      </w:r>
      <w:r>
        <w:rPr>
          <w:rStyle w:val="49"/>
          <w:rFonts w:hint="eastAsia"/>
          <w:color w:val="auto"/>
        </w:rPr>
        <w:fldChar w:fldCharType="end"/>
      </w:r>
      <w:r>
        <w:rPr>
          <w:rFonts w:hint="eastAsia"/>
        </w:rPr>
        <w:t>)。因未注册入库、未办理CA数字证书、CA证书故障、操作不当等原因造成谈判失败等后果由供应商承担。</w:t>
      </w:r>
    </w:p>
    <w:bookmarkEnd w:id="33"/>
    <w:p>
      <w:pPr>
        <w:spacing w:line="400" w:lineRule="exact"/>
        <w:ind w:firstLine="420"/>
      </w:pPr>
      <w:r>
        <w:t>(1)</w:t>
      </w:r>
      <w:r>
        <w:rPr>
          <w:rFonts w:hint="eastAsia"/>
        </w:rPr>
        <w:t>依法获取采购文件：供应商须在获取采购文件时间内登录</w:t>
      </w:r>
      <w:r>
        <w:rPr>
          <w:rFonts w:hint="eastAsia"/>
          <w:u w:val="single"/>
        </w:rPr>
        <w:t>广西</w:t>
      </w:r>
      <w:r>
        <w:fldChar w:fldCharType="begin"/>
      </w:r>
      <w:r>
        <w:instrText xml:space="preserve"> HYPERLINK "https://www.zcygov.cn/" </w:instrText>
      </w:r>
      <w:r>
        <w:fldChar w:fldCharType="separate"/>
      </w:r>
      <w:r>
        <w:rPr>
          <w:rStyle w:val="49"/>
          <w:rFonts w:hint="eastAsia"/>
          <w:color w:val="auto"/>
        </w:rPr>
        <w:t>政府采购云平台</w:t>
      </w:r>
      <w:r>
        <w:rPr>
          <w:rStyle w:val="49"/>
          <w:rFonts w:hint="eastAsia"/>
          <w:color w:val="auto"/>
        </w:rPr>
        <w:fldChar w:fldCharType="end"/>
      </w:r>
      <w:r>
        <w:rPr>
          <w:rFonts w:hint="eastAsia"/>
        </w:rPr>
        <w:t>申请下载采购文件才视作依法获取采购文件。</w:t>
      </w:r>
    </w:p>
    <w:p>
      <w:pPr>
        <w:spacing w:line="400" w:lineRule="exact"/>
        <w:ind w:firstLine="420"/>
        <w:rPr>
          <w:b/>
        </w:rPr>
      </w:pPr>
      <w:r>
        <w:rPr>
          <w:rFonts w:hint="eastAsia"/>
        </w:rPr>
        <w:t>(</w:t>
      </w:r>
      <w:r>
        <w:t>2)</w:t>
      </w:r>
      <w:r>
        <w:rPr>
          <w:rFonts w:hint="eastAsia"/>
        </w:rPr>
        <w:t>供应商应通过广西政府采购云平台客户端制作响应文件，供应商自行前往下载安装（</w:t>
      </w:r>
      <w:r>
        <w:rPr>
          <w:rFonts w:hint="eastAsia"/>
        </w:rPr>
        <w:fldChar w:fldCharType="begin"/>
      </w:r>
      <w:r>
        <w:instrText xml:space="preserve"> HYPERLINK "https://sitecdn.zcycdn.com/zcy-client/bidding-client-new/official/guangxi/GuangXiSetup.exe" </w:instrText>
      </w:r>
      <w:r>
        <w:rPr>
          <w:rFonts w:hint="eastAsia"/>
        </w:rPr>
        <w:fldChar w:fldCharType="separate"/>
      </w:r>
      <w:r>
        <w:rPr>
          <w:rFonts w:hint="eastAsia"/>
        </w:rPr>
        <w:t>客户端下载</w:t>
      </w:r>
      <w:r>
        <w:rPr>
          <w:rFonts w:hint="eastAsia"/>
        </w:rPr>
        <w:fldChar w:fldCharType="end"/>
      </w:r>
      <w:r>
        <w:rPr>
          <w:rFonts w:hint="eastAsia"/>
        </w:rPr>
        <w:t>）。</w:t>
      </w:r>
    </w:p>
    <w:p>
      <w:pPr>
        <w:spacing w:line="400" w:lineRule="exact"/>
        <w:ind w:firstLine="420"/>
      </w:pPr>
      <w:r>
        <w:rPr>
          <w:rFonts w:hint="eastAsia"/>
        </w:rPr>
        <w:t>(</w:t>
      </w:r>
      <w:r>
        <w:t>3)</w:t>
      </w:r>
      <w:r>
        <w:rPr>
          <w:rFonts w:hint="eastAsia"/>
        </w:rPr>
        <w:t>供应商须按照采购文件和广西政府采购云平台的要求进行编制、上传、加密、提交、解密响应文件，响应文件提交截止时间后，广西政府采购云平台自动提取全部响应文件，各供应商须在提交截止时间后30分钟内对已上传广西政府采购云平台的响应文件进行解密，参与本项目的全部供应商在规定的解密时限内解密完成或解密时限结束后，我中心开启响应文件；供应商在解密时限内未完成解密的，广西政府采购云平台默认为供应商放弃参与本项目。</w:t>
      </w:r>
    </w:p>
    <w:p>
      <w:pPr>
        <w:spacing w:line="400" w:lineRule="exact"/>
        <w:ind w:firstLine="420"/>
        <w:rPr>
          <w:b/>
        </w:rPr>
      </w:pPr>
      <w:r>
        <w:rPr>
          <w:rFonts w:hint="eastAsia"/>
        </w:rPr>
        <w:t>(</w:t>
      </w:r>
      <w:r>
        <w:t>4)</w:t>
      </w:r>
      <w:r>
        <w:rPr>
          <w:rFonts w:hint="eastAsia"/>
        </w:rPr>
        <w:t>供应商法定代表人或委托代理人须按时登录</w:t>
      </w:r>
      <w:bookmarkStart w:id="34" w:name="_Hlk90367388"/>
      <w:r>
        <w:rPr>
          <w:rFonts w:hint="eastAsia"/>
        </w:rPr>
        <w:t>广西</w:t>
      </w:r>
      <w:r>
        <w:rPr>
          <w:rFonts w:hint="eastAsia" w:ascii="宋体" w:hAnsi="宋体" w:cs="Courier New"/>
          <w:szCs w:val="21"/>
        </w:rPr>
        <w:t>政采云远程开标大厅</w:t>
      </w:r>
      <w:bookmarkEnd w:id="34"/>
      <w:r>
        <w:rPr>
          <w:rFonts w:hint="eastAsia"/>
        </w:rPr>
        <w:t>，保持全程在线并关注评审谈判进度，评审期间谈判小组提出澄清等要求时，供应商须在规定时间内进行应答，否则按采购文件或广西政采云平台的相关规定执行。</w:t>
      </w:r>
    </w:p>
    <w:p>
      <w:pPr>
        <w:spacing w:line="400" w:lineRule="exact"/>
        <w:ind w:firstLine="420"/>
        <w:rPr>
          <w:rFonts w:hAnsi="宋体"/>
        </w:rPr>
      </w:pPr>
      <w:r>
        <w:rPr>
          <w:rFonts w:hint="eastAsia"/>
        </w:rPr>
        <w:t>(</w:t>
      </w:r>
      <w:r>
        <w:t>5)</w:t>
      </w:r>
      <w:r>
        <w:rPr>
          <w:rFonts w:hint="eastAsia"/>
        </w:rPr>
        <w:t>供应商参与谈判过程中涉及广西政府采购云平台的问题，请咨询广西政采云</w:t>
      </w:r>
      <w:r>
        <w:rPr>
          <w:rFonts w:hint="eastAsia" w:hAnsi="宋体"/>
        </w:rPr>
        <w:t>技术支持热线：</w:t>
      </w:r>
      <w:r>
        <w:rPr>
          <w:rFonts w:hAnsi="宋体"/>
        </w:rPr>
        <w:t>95763</w:t>
      </w:r>
      <w:r>
        <w:rPr>
          <w:rFonts w:hint="eastAsia" w:hAnsi="宋体"/>
        </w:rPr>
        <w:t>。</w:t>
      </w:r>
    </w:p>
    <w:p>
      <w:pPr>
        <w:spacing w:line="400" w:lineRule="exact"/>
        <w:ind w:firstLine="420"/>
        <w:jc w:val="left"/>
        <w:rPr>
          <w:rFonts w:hAnsi="宋体"/>
        </w:rPr>
      </w:pPr>
      <w:r>
        <w:rPr>
          <w:rFonts w:hint="eastAsia" w:hAnsi="宋体"/>
        </w:rPr>
        <w:t>3</w:t>
      </w:r>
      <w:r>
        <w:rPr>
          <w:rFonts w:hAnsi="宋体"/>
        </w:rPr>
        <w:t>.</w:t>
      </w:r>
      <w:r>
        <w:rPr>
          <w:rFonts w:hint="eastAsia" w:hAnsi="宋体"/>
        </w:rPr>
        <w:t>查询媒体：中国政府采购网、</w:t>
      </w:r>
      <w:r>
        <w:rPr>
          <w:rFonts w:hint="eastAsia"/>
        </w:rPr>
        <w:fldChar w:fldCharType="begin"/>
      </w:r>
      <w:r>
        <w:instrText xml:space="preserve"> HYPERLINK "http://zfcg.gxzf.gov.cn/" </w:instrText>
      </w:r>
      <w:r>
        <w:rPr>
          <w:rFonts w:hint="eastAsia"/>
        </w:rPr>
        <w:fldChar w:fldCharType="separate"/>
      </w:r>
      <w:r>
        <w:rPr>
          <w:rStyle w:val="49"/>
          <w:rFonts w:hint="eastAsia" w:hAnsi="宋体"/>
          <w:color w:val="auto"/>
          <w:u w:val="none"/>
        </w:rPr>
        <w:t>广西政府采购网</w:t>
      </w:r>
      <w:r>
        <w:rPr>
          <w:rStyle w:val="49"/>
          <w:rFonts w:hint="eastAsia" w:hAnsi="宋体"/>
          <w:color w:val="auto"/>
          <w:u w:val="none"/>
        </w:rPr>
        <w:fldChar w:fldCharType="end"/>
      </w:r>
      <w:r>
        <w:rPr>
          <w:rFonts w:hint="eastAsia" w:hAnsi="宋体"/>
        </w:rPr>
        <w:t>。</w:t>
      </w:r>
    </w:p>
    <w:p>
      <w:pPr>
        <w:spacing w:line="400" w:lineRule="exact"/>
        <w:ind w:firstLine="420"/>
        <w:jc w:val="left"/>
        <w:rPr>
          <w:rFonts w:hAnsi="宋体"/>
        </w:rPr>
      </w:pPr>
      <w:bookmarkStart w:id="35" w:name="_Hlk107409555"/>
      <w:r>
        <w:rPr>
          <w:rFonts w:hint="eastAsia" w:hAnsi="宋体"/>
        </w:rPr>
        <w:t>4</w:t>
      </w:r>
      <w:r>
        <w:rPr>
          <w:rFonts w:hAnsi="宋体"/>
        </w:rPr>
        <w:t>.</w:t>
      </w:r>
      <w:r>
        <w:rPr>
          <w:rFonts w:hint="eastAsia" w:hAnsi="宋体"/>
        </w:rPr>
        <w:t>钦州市政府采购中心联系方式：</w:t>
      </w:r>
    </w:p>
    <w:p>
      <w:pPr>
        <w:spacing w:line="400" w:lineRule="exact"/>
        <w:ind w:firstLine="420"/>
        <w:jc w:val="left"/>
        <w:rPr>
          <w:rFonts w:hAnsi="宋体"/>
        </w:rPr>
      </w:pPr>
      <w:r>
        <w:rPr>
          <w:rFonts w:hAnsi="宋体"/>
        </w:rPr>
        <w:t>(1)</w:t>
      </w:r>
      <w:r>
        <w:rPr>
          <w:rFonts w:hint="eastAsia" w:hAnsi="宋体"/>
        </w:rPr>
        <w:t>采购部(采购文件</w:t>
      </w:r>
      <w:r>
        <w:rPr>
          <w:rFonts w:hAnsi="宋体"/>
        </w:rPr>
        <w:t>)</w:t>
      </w:r>
    </w:p>
    <w:p>
      <w:pPr>
        <w:spacing w:line="400" w:lineRule="exact"/>
        <w:ind w:firstLine="420"/>
        <w:jc w:val="left"/>
        <w:rPr>
          <w:rFonts w:hAnsi="宋体"/>
        </w:rPr>
      </w:pPr>
      <w:r>
        <w:rPr>
          <w:rFonts w:hint="eastAsia" w:hAnsi="宋体"/>
        </w:rPr>
        <w:t>联系人：苏晓婷</w:t>
      </w:r>
      <w:r>
        <w:rPr>
          <w:rFonts w:hAnsi="宋体"/>
        </w:rPr>
        <w:t xml:space="preserve">  </w:t>
      </w:r>
      <w:r>
        <w:rPr>
          <w:rFonts w:hint="eastAsia" w:hAnsi="宋体"/>
        </w:rPr>
        <w:t xml:space="preserve"> 联系方式：0777-2886022</w:t>
      </w:r>
    </w:p>
    <w:p>
      <w:pPr>
        <w:spacing w:line="400" w:lineRule="exact"/>
        <w:ind w:firstLine="420"/>
        <w:jc w:val="left"/>
        <w:rPr>
          <w:rFonts w:hAnsi="宋体"/>
        </w:rPr>
      </w:pPr>
      <w:r>
        <w:rPr>
          <w:rFonts w:hint="eastAsia" w:hAnsi="宋体"/>
        </w:rPr>
        <w:t>(</w:t>
      </w:r>
      <w:r>
        <w:rPr>
          <w:rFonts w:hAnsi="宋体"/>
        </w:rPr>
        <w:t>2)</w:t>
      </w:r>
      <w:r>
        <w:rPr>
          <w:rFonts w:hint="eastAsia" w:hAnsi="宋体"/>
        </w:rPr>
        <w:t>综合二部(评审、谈判、成交及合同管理)</w:t>
      </w:r>
    </w:p>
    <w:p>
      <w:pPr>
        <w:spacing w:line="400" w:lineRule="exact"/>
        <w:ind w:firstLine="420"/>
        <w:jc w:val="left"/>
        <w:rPr>
          <w:rFonts w:hAnsi="宋体"/>
        </w:rPr>
      </w:pPr>
      <w:r>
        <w:rPr>
          <w:rFonts w:hint="eastAsia" w:hAnsi="宋体"/>
        </w:rPr>
        <w:t xml:space="preserve">联系人：陈侃、陈启梅 </w:t>
      </w:r>
      <w:r>
        <w:rPr>
          <w:rFonts w:hAnsi="宋体"/>
        </w:rPr>
        <w:t xml:space="preserve">  </w:t>
      </w:r>
      <w:r>
        <w:rPr>
          <w:rFonts w:hint="eastAsia" w:hAnsi="宋体"/>
        </w:rPr>
        <w:t>联系方式：0777-2886006</w:t>
      </w:r>
      <w:bookmarkEnd w:id="35"/>
    </w:p>
    <w:p>
      <w:pPr>
        <w:spacing w:line="400" w:lineRule="exact"/>
        <w:rPr>
          <w:b/>
        </w:rPr>
      </w:pPr>
      <w:r>
        <w:rPr>
          <w:rFonts w:hint="eastAsia"/>
          <w:b/>
        </w:rPr>
        <w:t>八、对本次采购项目提出询问，请按</w:t>
      </w:r>
      <w:r>
        <w:rPr>
          <w:b/>
        </w:rPr>
        <w:t>以下方式</w:t>
      </w:r>
      <w:r>
        <w:rPr>
          <w:rFonts w:hint="eastAsia"/>
          <w:b/>
        </w:rPr>
        <w:t>联系</w:t>
      </w:r>
      <w:bookmarkEnd w:id="28"/>
      <w:bookmarkEnd w:id="29"/>
      <w:bookmarkEnd w:id="30"/>
      <w:bookmarkEnd w:id="31"/>
    </w:p>
    <w:bookmarkEnd w:id="9"/>
    <w:p>
      <w:pPr>
        <w:spacing w:line="400" w:lineRule="exact"/>
        <w:ind w:firstLine="420" w:firstLineChars="200"/>
      </w:pPr>
      <w:r>
        <w:rPr>
          <w:rFonts w:hint="eastAsia"/>
        </w:rPr>
        <w:t>1.采购人信息</w:t>
      </w:r>
    </w:p>
    <w:p>
      <w:pPr>
        <w:spacing w:line="400" w:lineRule="exact"/>
        <w:ind w:firstLine="420" w:firstLineChars="200"/>
      </w:pPr>
      <w:bookmarkStart w:id="36" w:name="_Toc38370147"/>
      <w:r>
        <w:rPr>
          <w:rFonts w:hint="eastAsia"/>
        </w:rPr>
        <w:t xml:space="preserve">名称：灵山县人民法院 </w:t>
      </w:r>
    </w:p>
    <w:p>
      <w:pPr>
        <w:spacing w:line="400" w:lineRule="exact"/>
        <w:ind w:firstLine="420" w:firstLineChars="200"/>
      </w:pPr>
      <w:r>
        <w:rPr>
          <w:rFonts w:hint="eastAsia"/>
        </w:rPr>
        <w:t>地址：钦州市灵山县江南路4号</w:t>
      </w:r>
    </w:p>
    <w:bookmarkEnd w:id="36"/>
    <w:p>
      <w:pPr>
        <w:spacing w:line="400" w:lineRule="exact"/>
        <w:ind w:firstLine="420" w:firstLineChars="200"/>
      </w:pPr>
      <w:r>
        <w:rPr>
          <w:rFonts w:hint="eastAsia"/>
        </w:rPr>
        <w:t>项目联系人：苏方滨</w:t>
      </w:r>
    </w:p>
    <w:p>
      <w:pPr>
        <w:spacing w:line="400" w:lineRule="exact"/>
        <w:ind w:firstLine="420" w:firstLineChars="200"/>
      </w:pPr>
      <w:r>
        <w:rPr>
          <w:rFonts w:hint="eastAsia"/>
        </w:rPr>
        <w:t>项目联系方式：0777-6420207</w:t>
      </w:r>
    </w:p>
    <w:p>
      <w:pPr>
        <w:spacing w:line="400" w:lineRule="exact"/>
        <w:ind w:firstLine="420" w:firstLineChars="200"/>
      </w:pPr>
      <w:r>
        <w:rPr>
          <w:rFonts w:hint="eastAsia"/>
        </w:rPr>
        <w:t>2.采购代理机构信息</w:t>
      </w:r>
    </w:p>
    <w:p>
      <w:pPr>
        <w:spacing w:line="400" w:lineRule="exact"/>
        <w:ind w:firstLine="420" w:firstLineChars="200"/>
      </w:pPr>
      <w:r>
        <w:rPr>
          <w:rFonts w:hint="eastAsia"/>
        </w:rPr>
        <w:t>名称：钦州市政府采购中心</w:t>
      </w:r>
    </w:p>
    <w:p>
      <w:pPr>
        <w:spacing w:line="400" w:lineRule="exact"/>
        <w:ind w:firstLine="420" w:firstLineChars="200"/>
      </w:pPr>
      <w:r>
        <w:rPr>
          <w:rFonts w:hint="eastAsia"/>
        </w:rPr>
        <w:t>地址：钦州市金海湾东大街8号</w:t>
      </w:r>
    </w:p>
    <w:p>
      <w:pPr>
        <w:spacing w:line="400" w:lineRule="exact"/>
        <w:ind w:firstLine="420" w:firstLineChars="200"/>
      </w:pPr>
      <w:r>
        <w:rPr>
          <w:rFonts w:hint="eastAsia"/>
        </w:rPr>
        <w:t>项目联系人：</w:t>
      </w:r>
      <w:bookmarkStart w:id="37" w:name="_Toc28359087"/>
      <w:bookmarkStart w:id="38" w:name="_Toc28359010"/>
      <w:r>
        <w:rPr>
          <w:rFonts w:hint="eastAsia"/>
        </w:rPr>
        <w:t>苏晓婷</w:t>
      </w:r>
    </w:p>
    <w:p>
      <w:pPr>
        <w:spacing w:line="400" w:lineRule="exact"/>
        <w:ind w:firstLine="420"/>
        <w:jc w:val="left"/>
        <w:rPr>
          <w:rFonts w:hAnsi="宋体"/>
        </w:rPr>
      </w:pPr>
      <w:r>
        <w:rPr>
          <w:rFonts w:hint="eastAsia"/>
        </w:rPr>
        <w:t>项目联系方式：</w:t>
      </w:r>
      <w:r>
        <w:rPr>
          <w:rFonts w:hint="eastAsia" w:hAnsi="宋体"/>
        </w:rPr>
        <w:t>0777-2886022</w:t>
      </w:r>
    </w:p>
    <w:p>
      <w:pPr>
        <w:spacing w:line="400" w:lineRule="exact"/>
        <w:ind w:firstLine="420" w:firstLineChars="200"/>
      </w:pPr>
    </w:p>
    <w:p>
      <w:pPr>
        <w:widowControl/>
        <w:jc w:val="left"/>
      </w:pPr>
      <w:r>
        <w:br w:type="page"/>
      </w:r>
    </w:p>
    <w:p>
      <w:pPr>
        <w:spacing w:line="400" w:lineRule="exact"/>
        <w:ind w:firstLine="420" w:firstLineChars="200"/>
      </w:pPr>
    </w:p>
    <w:p/>
    <w:bookmarkEnd w:id="37"/>
    <w:bookmarkEnd w:id="38"/>
    <w:p/>
    <w:p/>
    <w:p/>
    <w:p/>
    <w:p/>
    <w:p/>
    <w:p/>
    <w:p/>
    <w:p/>
    <w:p/>
    <w:p/>
    <w:p/>
    <w:p>
      <w:pPr>
        <w:pStyle w:val="3"/>
        <w:spacing w:line="400" w:lineRule="exact"/>
        <w:rPr>
          <w:rFonts w:ascii="方正小标宋_GBK" w:hAnsi="宋体" w:eastAsia="方正小标宋_GBK"/>
        </w:rPr>
      </w:pPr>
      <w:bookmarkStart w:id="39" w:name="_Toc92355024"/>
      <w:r>
        <w:rPr>
          <w:rFonts w:hint="eastAsia" w:ascii="方正小标宋_GBK" w:hAnsi="宋体" w:eastAsia="方正小标宋_GBK"/>
        </w:rPr>
        <w:t>第二章  项目需求</w:t>
      </w:r>
      <w:bookmarkEnd w:id="39"/>
    </w:p>
    <w:p>
      <w:pPr>
        <w:spacing w:line="440" w:lineRule="exact"/>
        <w:jc w:val="center"/>
        <w:rPr>
          <w:rFonts w:ascii="宋体" w:hAnsi="宋体"/>
          <w:b/>
          <w:sz w:val="36"/>
          <w:szCs w:val="36"/>
        </w:rPr>
      </w:pPr>
      <w:r>
        <w:rPr>
          <w:rFonts w:ascii="宋体" w:hAnsi="宋体"/>
          <w:b/>
          <w:szCs w:val="21"/>
        </w:rPr>
        <w:br w:type="page"/>
      </w:r>
      <w:bookmarkStart w:id="40" w:name="_Toc354479498"/>
      <w:bookmarkStart w:id="41" w:name="_Toc358477280"/>
      <w:r>
        <w:rPr>
          <w:rFonts w:hint="eastAsia" w:ascii="宋体" w:hAnsi="宋体"/>
          <w:b/>
          <w:sz w:val="36"/>
          <w:szCs w:val="36"/>
        </w:rPr>
        <w:t>项目需求</w:t>
      </w:r>
    </w:p>
    <w:p>
      <w:pPr>
        <w:spacing w:line="396" w:lineRule="exact"/>
        <w:rPr>
          <w:rFonts w:ascii="宋体" w:hAnsi="宋体"/>
          <w:b/>
          <w:szCs w:val="21"/>
        </w:rPr>
      </w:pPr>
    </w:p>
    <w:p>
      <w:pPr>
        <w:spacing w:line="430" w:lineRule="exact"/>
        <w:rPr>
          <w:rFonts w:ascii="宋体" w:hAnsi="宋体"/>
          <w:b/>
          <w:bCs/>
          <w:szCs w:val="21"/>
        </w:rPr>
      </w:pPr>
      <w:bookmarkStart w:id="42" w:name="_Hlk89960406"/>
      <w:r>
        <w:rPr>
          <w:rFonts w:hint="eastAsia" w:ascii="宋体" w:hAnsi="宋体"/>
          <w:b/>
          <w:bCs/>
          <w:szCs w:val="21"/>
        </w:rPr>
        <w:t>说明：</w:t>
      </w:r>
    </w:p>
    <w:p>
      <w:pPr>
        <w:spacing w:line="430" w:lineRule="exact"/>
        <w:ind w:firstLine="420" w:firstLineChars="200"/>
        <w:rPr>
          <w:rFonts w:hint="eastAsia" w:ascii="宋体" w:hAnsi="宋体"/>
          <w:color w:val="auto"/>
          <w:szCs w:val="21"/>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根据《财政部 发展改革委 生态环境部 市场监管总局关于调整优化节能产品、环境标志产品政府采购执行机制的通知》（财库〔2019〕9号）和《关于印发节能产品政府采购品目清单的通知》（财库〔2019〕19号）的规定，</w:t>
      </w:r>
      <w:r>
        <w:rPr>
          <w:rFonts w:hint="eastAsia" w:ascii="宋体" w:hAnsi="宋体" w:cs="宋体"/>
          <w:b/>
          <w:bCs/>
          <w:color w:val="auto"/>
          <w:szCs w:val="21"/>
          <w:highlight w:val="none"/>
        </w:rPr>
        <w:t>采购需求中的产品属于节能产品政府采购品目清单内标注“★”的，</w:t>
      </w:r>
      <w:r>
        <w:rPr>
          <w:rFonts w:hint="eastAsia" w:ascii="宋体" w:hAnsi="宋体" w:cs="宋体"/>
          <w:b/>
          <w:bCs/>
          <w:color w:val="auto"/>
          <w:szCs w:val="21"/>
          <w:highlight w:val="none"/>
          <w:lang w:val="en-US" w:eastAsia="zh-CN"/>
        </w:rPr>
        <w:t>竞标</w:t>
      </w:r>
      <w:r>
        <w:rPr>
          <w:rFonts w:hint="eastAsia" w:ascii="宋体" w:hAnsi="宋体" w:cs="宋体"/>
          <w:b/>
          <w:bCs/>
          <w:color w:val="auto"/>
          <w:szCs w:val="21"/>
          <w:highlight w:val="none"/>
        </w:rPr>
        <w:t>人的</w:t>
      </w:r>
      <w:r>
        <w:rPr>
          <w:rFonts w:hint="eastAsia" w:ascii="宋体" w:hAnsi="宋体" w:cs="宋体"/>
          <w:b/>
          <w:bCs/>
          <w:color w:val="auto"/>
          <w:szCs w:val="21"/>
          <w:highlight w:val="none"/>
          <w:lang w:val="en-US" w:eastAsia="zh-CN"/>
        </w:rPr>
        <w:t>竞标</w:t>
      </w:r>
      <w:r>
        <w:rPr>
          <w:rFonts w:hint="eastAsia" w:ascii="宋体" w:hAnsi="宋体" w:cs="宋体"/>
          <w:b/>
          <w:bCs/>
          <w:color w:val="auto"/>
          <w:szCs w:val="21"/>
          <w:highlight w:val="none"/>
        </w:rPr>
        <w:t>货物必须使用政府强制采购的节能产品，</w:t>
      </w:r>
      <w:r>
        <w:rPr>
          <w:rFonts w:hint="eastAsia" w:ascii="宋体" w:hAnsi="宋体" w:cs="宋体"/>
          <w:b/>
          <w:bCs/>
          <w:color w:val="auto"/>
          <w:szCs w:val="21"/>
          <w:highlight w:val="none"/>
          <w:lang w:val="en-US" w:eastAsia="zh-CN"/>
        </w:rPr>
        <w:t>竞标</w:t>
      </w:r>
      <w:r>
        <w:rPr>
          <w:rFonts w:hint="eastAsia" w:ascii="宋体" w:hAnsi="宋体" w:cs="宋体"/>
          <w:b/>
          <w:bCs/>
          <w:color w:val="auto"/>
          <w:szCs w:val="21"/>
          <w:highlight w:val="none"/>
        </w:rPr>
        <w:t>人必须在</w:t>
      </w:r>
      <w:r>
        <w:rPr>
          <w:rFonts w:hint="eastAsia" w:ascii="宋体" w:hAnsi="宋体" w:cs="宋体"/>
          <w:b/>
          <w:bCs/>
          <w:color w:val="auto"/>
          <w:szCs w:val="21"/>
          <w:highlight w:val="none"/>
          <w:lang w:val="en-US" w:eastAsia="zh-CN"/>
        </w:rPr>
        <w:t>响应</w:t>
      </w:r>
      <w:r>
        <w:rPr>
          <w:rFonts w:hint="eastAsia" w:ascii="宋体" w:hAnsi="宋体" w:cs="宋体"/>
          <w:b/>
          <w:bCs/>
          <w:color w:val="auto"/>
          <w:szCs w:val="21"/>
          <w:highlight w:val="none"/>
        </w:rPr>
        <w:t>文件中提供所</w:t>
      </w:r>
      <w:r>
        <w:rPr>
          <w:rFonts w:hint="eastAsia" w:ascii="宋体" w:hAnsi="宋体" w:cs="宋体"/>
          <w:b/>
          <w:bCs/>
          <w:color w:val="auto"/>
          <w:szCs w:val="21"/>
          <w:highlight w:val="none"/>
          <w:lang w:val="en-US" w:eastAsia="zh-CN"/>
        </w:rPr>
        <w:t>竞标</w:t>
      </w:r>
      <w:r>
        <w:rPr>
          <w:rFonts w:hint="eastAsia" w:ascii="宋体" w:hAnsi="宋体" w:cs="宋体"/>
          <w:b/>
          <w:bCs/>
          <w:color w:val="auto"/>
          <w:szCs w:val="21"/>
          <w:highlight w:val="none"/>
        </w:rPr>
        <w:t>产品的节能产品认证证书复印件（加盖</w:t>
      </w:r>
      <w:r>
        <w:rPr>
          <w:rFonts w:hint="eastAsia" w:ascii="宋体" w:hAnsi="宋体" w:cs="宋体"/>
          <w:b/>
          <w:bCs/>
          <w:color w:val="auto"/>
          <w:szCs w:val="21"/>
          <w:highlight w:val="none"/>
          <w:lang w:val="en-US" w:eastAsia="zh-CN"/>
        </w:rPr>
        <w:t>竞标</w:t>
      </w:r>
      <w:r>
        <w:rPr>
          <w:rFonts w:hint="eastAsia" w:ascii="宋体" w:hAnsi="宋体" w:cs="宋体"/>
          <w:b/>
          <w:bCs/>
          <w:color w:val="auto"/>
          <w:szCs w:val="21"/>
          <w:highlight w:val="none"/>
        </w:rPr>
        <w:t>人</w:t>
      </w:r>
      <w:r>
        <w:rPr>
          <w:rFonts w:hint="eastAsia" w:ascii="宋体" w:hAnsi="宋体" w:cs="宋体"/>
          <w:b/>
          <w:bCs/>
          <w:color w:val="auto"/>
          <w:szCs w:val="21"/>
          <w:highlight w:val="none"/>
          <w:lang w:val="en-US" w:eastAsia="zh-CN"/>
        </w:rPr>
        <w:t>公</w:t>
      </w:r>
      <w:r>
        <w:rPr>
          <w:rFonts w:hint="eastAsia" w:ascii="宋体" w:hAnsi="宋体" w:cs="宋体"/>
          <w:b/>
          <w:bCs/>
          <w:color w:val="auto"/>
          <w:szCs w:val="21"/>
          <w:highlight w:val="none"/>
        </w:rPr>
        <w:t>章），否则按无效</w:t>
      </w:r>
      <w:r>
        <w:rPr>
          <w:rFonts w:hint="eastAsia" w:ascii="宋体" w:hAnsi="宋体" w:cs="宋体"/>
          <w:b/>
          <w:bCs/>
          <w:color w:val="auto"/>
          <w:szCs w:val="21"/>
          <w:highlight w:val="none"/>
          <w:lang w:val="en-US" w:eastAsia="zh-CN"/>
        </w:rPr>
        <w:t>响应</w:t>
      </w:r>
      <w:r>
        <w:rPr>
          <w:rFonts w:hint="eastAsia" w:ascii="宋体" w:hAnsi="宋体" w:cs="宋体"/>
          <w:b/>
          <w:bCs/>
          <w:color w:val="auto"/>
          <w:szCs w:val="21"/>
          <w:highlight w:val="none"/>
        </w:rPr>
        <w:t>处理。</w:t>
      </w:r>
    </w:p>
    <w:p>
      <w:pPr>
        <w:spacing w:line="430" w:lineRule="exact"/>
        <w:ind w:firstLine="420" w:firstLineChars="200"/>
        <w:rPr>
          <w:rFonts w:ascii="宋体" w:hAnsi="宋体"/>
          <w:szCs w:val="21"/>
        </w:rPr>
      </w:pPr>
      <w:r>
        <w:rPr>
          <w:rFonts w:hint="eastAsia" w:ascii="宋体" w:hAnsi="宋体"/>
          <w:szCs w:val="21"/>
          <w:lang w:val="en-US" w:eastAsia="zh-CN"/>
        </w:rPr>
        <w:t>2</w:t>
      </w:r>
      <w:r>
        <w:rPr>
          <w:rFonts w:hint="eastAsia" w:ascii="宋体" w:hAnsi="宋体"/>
          <w:szCs w:val="21"/>
        </w:rPr>
        <w:t>.本表中的品牌型号、技术参数及其性能（规格）仅起参考作用，供应商可选用其他品牌型号替代，</w:t>
      </w:r>
      <w:r>
        <w:rPr>
          <w:rFonts w:hint="eastAsia" w:ascii="宋体" w:hAnsi="宋体"/>
        </w:rPr>
        <w:t>但替代的产品整体上要相当于或优于参考品牌型号或其技术参数性能（规格）要求。</w:t>
      </w:r>
    </w:p>
    <w:p>
      <w:pPr>
        <w:spacing w:line="430" w:lineRule="exact"/>
        <w:ind w:firstLine="420" w:firstLineChars="200"/>
        <w:rPr>
          <w:rFonts w:ascii="宋体" w:hAnsi="宋体"/>
          <w:szCs w:val="21"/>
        </w:rPr>
      </w:pPr>
      <w:r>
        <w:rPr>
          <w:rFonts w:hint="eastAsia" w:ascii="宋体" w:hAnsi="宋体"/>
          <w:szCs w:val="21"/>
          <w:lang w:val="en-US" w:eastAsia="zh-CN"/>
        </w:rPr>
        <w:t>3</w:t>
      </w:r>
      <w:r>
        <w:rPr>
          <w:rFonts w:ascii="宋体" w:hAnsi="宋体"/>
          <w:szCs w:val="21"/>
        </w:rPr>
        <w:t>.</w:t>
      </w:r>
      <w:r>
        <w:rPr>
          <w:rFonts w:hint="eastAsia" w:ascii="宋体" w:hAnsi="宋体"/>
          <w:szCs w:val="21"/>
        </w:rPr>
        <w:t>供应商必须自行为其产品侵犯其他供应商或专利人的专利成果承担相应法律责任；同时，具有产品专利的供应商应在其响应文件中提供与其自有产品专利相关的有效证明材料，否则，不能就其产品的专利在本项目谈判过程中被侵权问题提出异议。</w:t>
      </w:r>
    </w:p>
    <w:p>
      <w:pPr>
        <w:spacing w:line="430" w:lineRule="exact"/>
        <w:ind w:firstLine="420" w:firstLineChars="200"/>
        <w:rPr>
          <w:rFonts w:ascii="宋体" w:hAnsi="宋体"/>
          <w:szCs w:val="21"/>
        </w:rPr>
      </w:pPr>
      <w:r>
        <w:rPr>
          <w:rFonts w:hint="eastAsia" w:ascii="宋体" w:hAnsi="宋体"/>
          <w:szCs w:val="21"/>
          <w:lang w:val="en-US" w:eastAsia="zh-CN"/>
        </w:rPr>
        <w:t>4</w:t>
      </w:r>
      <w:r>
        <w:rPr>
          <w:rFonts w:hint="eastAsia" w:ascii="宋体" w:hAnsi="宋体"/>
          <w:szCs w:val="21"/>
        </w:rPr>
        <w:t>.本项目不接受供应商提供通过中国海关报关验放进入中国境内且产自关境外的产品。</w:t>
      </w:r>
    </w:p>
    <w:p>
      <w:pPr>
        <w:spacing w:line="430" w:lineRule="exact"/>
        <w:ind w:firstLine="420" w:firstLineChars="200"/>
        <w:rPr>
          <w:rFonts w:ascii="宋体" w:hAnsi="宋体"/>
          <w:szCs w:val="21"/>
        </w:rPr>
      </w:pPr>
      <w:r>
        <w:rPr>
          <w:rFonts w:hint="eastAsia" w:ascii="宋体" w:hAnsi="宋体"/>
          <w:szCs w:val="21"/>
          <w:lang w:val="en-US" w:eastAsia="zh-CN"/>
        </w:rPr>
        <w:t>5</w:t>
      </w:r>
      <w:r>
        <w:rPr>
          <w:rFonts w:ascii="宋体" w:hAnsi="宋体"/>
          <w:szCs w:val="21"/>
        </w:rPr>
        <w:t>.</w:t>
      </w:r>
      <w:r>
        <w:rPr>
          <w:rFonts w:hint="eastAsia" w:ascii="宋体" w:hAnsi="宋体"/>
          <w:szCs w:val="21"/>
        </w:rPr>
        <w:t>谈判文件中可能实质性变动的内容：</w:t>
      </w:r>
      <w:r>
        <w:rPr>
          <w:rFonts w:hint="eastAsia" w:ascii="宋体" w:hAnsi="宋体" w:cs="宋体"/>
          <w:kern w:val="0"/>
          <w:szCs w:val="21"/>
          <w:u w:val="single"/>
        </w:rPr>
        <w:t>采购需求的技术、服务要求以及合同草案条款</w:t>
      </w:r>
      <w:r>
        <w:rPr>
          <w:rFonts w:hint="eastAsia" w:ascii="宋体" w:hAnsi="宋体" w:cs="宋体"/>
          <w:b/>
          <w:kern w:val="0"/>
          <w:szCs w:val="21"/>
        </w:rPr>
        <w:t>。</w:t>
      </w:r>
    </w:p>
    <w:p>
      <w:pPr>
        <w:spacing w:line="430" w:lineRule="exact"/>
        <w:ind w:firstLine="422" w:firstLineChars="200"/>
        <w:rPr>
          <w:rFonts w:ascii="宋体" w:hAnsi="宋体"/>
          <w:b/>
          <w:bCs/>
          <w:szCs w:val="21"/>
        </w:rPr>
      </w:pPr>
      <w:r>
        <w:rPr>
          <w:rFonts w:hint="eastAsia" w:ascii="宋体" w:hAnsi="宋体"/>
          <w:b/>
          <w:bCs/>
          <w:szCs w:val="21"/>
          <w:lang w:val="en-US" w:eastAsia="zh-CN"/>
        </w:rPr>
        <w:t>6</w:t>
      </w:r>
      <w:r>
        <w:rPr>
          <w:rFonts w:ascii="宋体" w:hAnsi="宋体"/>
          <w:b/>
          <w:bCs/>
          <w:szCs w:val="21"/>
        </w:rPr>
        <w:t>.</w:t>
      </w:r>
      <w:r>
        <w:rPr>
          <w:rFonts w:hint="eastAsia" w:ascii="宋体" w:hAnsi="宋体"/>
          <w:b/>
          <w:bCs/>
          <w:szCs w:val="21"/>
        </w:rPr>
        <w:t>标注★号的技术参数为实质性响应条款，要求必须满足或优于，否则视为无效响应文件。</w:t>
      </w:r>
    </w:p>
    <w:p>
      <w:pPr>
        <w:spacing w:line="430" w:lineRule="exact"/>
        <w:ind w:firstLine="420" w:firstLineChars="200"/>
        <w:rPr>
          <w:rFonts w:ascii="宋体" w:hAnsi="宋体"/>
          <w:b/>
          <w:bCs/>
          <w:szCs w:val="21"/>
        </w:rPr>
      </w:pPr>
      <w:r>
        <w:rPr>
          <w:rFonts w:hint="eastAsia" w:ascii="宋体" w:hAnsi="宋体"/>
          <w:szCs w:val="21"/>
          <w:lang w:val="en-US" w:eastAsia="zh-CN"/>
        </w:rPr>
        <w:t>7</w:t>
      </w:r>
      <w:r>
        <w:rPr>
          <w:rFonts w:ascii="宋体" w:hAnsi="宋体"/>
          <w:szCs w:val="21"/>
        </w:rPr>
        <w:t>.</w:t>
      </w:r>
      <w:r>
        <w:rPr>
          <w:rFonts w:hint="eastAsia" w:ascii="宋体" w:hAnsi="宋体"/>
          <w:szCs w:val="21"/>
        </w:rPr>
        <w:t>本项目对应的中小企业划分标准所属行业为</w:t>
      </w:r>
      <w:r>
        <w:rPr>
          <w:rFonts w:hint="eastAsia" w:ascii="宋体" w:hAnsi="宋体"/>
          <w:szCs w:val="21"/>
          <w:lang w:eastAsia="zh-CN"/>
        </w:rPr>
        <w:t>：</w:t>
      </w:r>
      <w:r>
        <w:rPr>
          <w:rFonts w:hint="eastAsia" w:ascii="宋体" w:hAnsi="宋体"/>
          <w:b/>
          <w:bCs/>
          <w:szCs w:val="21"/>
          <w:u w:val="single"/>
        </w:rPr>
        <w:t xml:space="preserve"> </w:t>
      </w:r>
      <w:r>
        <w:rPr>
          <w:rFonts w:ascii="宋体" w:hAnsi="宋体"/>
          <w:b/>
          <w:bCs/>
          <w:szCs w:val="21"/>
          <w:u w:val="single"/>
        </w:rPr>
        <w:t xml:space="preserve"> </w:t>
      </w:r>
      <w:r>
        <w:rPr>
          <w:rFonts w:hint="eastAsia" w:ascii="宋体" w:hAnsi="宋体"/>
          <w:b/>
          <w:bCs/>
          <w:szCs w:val="21"/>
          <w:u w:val="single"/>
        </w:rPr>
        <w:t>工业</w:t>
      </w:r>
      <w:r>
        <w:rPr>
          <w:rFonts w:ascii="宋体" w:hAnsi="宋体"/>
          <w:b/>
          <w:bCs/>
          <w:szCs w:val="21"/>
          <w:u w:val="single"/>
        </w:rPr>
        <w:t xml:space="preserve"> </w:t>
      </w:r>
      <w:r>
        <w:rPr>
          <w:rFonts w:hint="eastAsia" w:ascii="宋体" w:hAnsi="宋体"/>
          <w:b/>
          <w:bCs/>
          <w:szCs w:val="21"/>
        </w:rPr>
        <w:t>。</w:t>
      </w:r>
    </w:p>
    <w:bookmarkEnd w:id="42"/>
    <w:p>
      <w:pPr>
        <w:spacing w:line="430" w:lineRule="exact"/>
        <w:jc w:val="left"/>
        <w:rPr>
          <w:rFonts w:ascii="宋体" w:hAnsi="宋体"/>
          <w:szCs w:val="21"/>
        </w:rPr>
      </w:pPr>
      <w:r>
        <w:rPr>
          <w:rFonts w:ascii="宋体" w:hAnsi="宋体"/>
          <w:szCs w:val="21"/>
        </w:rPr>
        <w:br w:type="page"/>
      </w:r>
    </w:p>
    <w:p>
      <w:pPr>
        <w:pStyle w:val="32"/>
        <w:rPr>
          <w:b/>
          <w:bCs/>
          <w:sz w:val="21"/>
        </w:rPr>
        <w:sectPr>
          <w:headerReference r:id="rId6" w:type="default"/>
          <w:footerReference r:id="rId7" w:type="default"/>
          <w:pgSz w:w="11906" w:h="16838"/>
          <w:pgMar w:top="936" w:right="991" w:bottom="1135" w:left="993" w:header="851" w:footer="992" w:gutter="0"/>
          <w:pgNumType w:start="1"/>
          <w:cols w:space="720" w:num="1"/>
          <w:docGrid w:type="lines" w:linePitch="312" w:charSpace="0"/>
        </w:sectPr>
      </w:pPr>
    </w:p>
    <w:p>
      <w:pPr>
        <w:pStyle w:val="32"/>
        <w:numPr>
          <w:ilvl w:val="0"/>
          <w:numId w:val="2"/>
        </w:numPr>
        <w:rPr>
          <w:b/>
          <w:bCs/>
          <w:sz w:val="21"/>
        </w:rPr>
      </w:pPr>
      <w:bookmarkStart w:id="43" w:name="_Toc92355025"/>
      <w:r>
        <w:rPr>
          <w:rFonts w:hint="eastAsia"/>
          <w:b/>
          <w:bCs/>
          <w:sz w:val="21"/>
        </w:rPr>
        <w:t>刑庭一套</w:t>
      </w:r>
    </w:p>
    <w:tbl>
      <w:tblPr>
        <w:tblStyle w:val="42"/>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7"/>
        <w:gridCol w:w="417"/>
        <w:gridCol w:w="807"/>
        <w:gridCol w:w="417"/>
        <w:gridCol w:w="440"/>
        <w:gridCol w:w="7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dxa"/>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序号</w:t>
            </w:r>
          </w:p>
        </w:tc>
        <w:tc>
          <w:tcPr>
            <w:tcW w:w="417" w:type="dxa"/>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类型</w:t>
            </w:r>
          </w:p>
        </w:tc>
        <w:tc>
          <w:tcPr>
            <w:tcW w:w="807" w:type="dxa"/>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产品名称</w:t>
            </w:r>
          </w:p>
        </w:tc>
        <w:tc>
          <w:tcPr>
            <w:tcW w:w="417" w:type="dxa"/>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数量</w:t>
            </w:r>
          </w:p>
        </w:tc>
        <w:tc>
          <w:tcPr>
            <w:tcW w:w="440" w:type="dxa"/>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单位</w:t>
            </w:r>
          </w:p>
        </w:tc>
        <w:tc>
          <w:tcPr>
            <w:tcW w:w="7000" w:type="dxa"/>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主要技术参数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6"/>
            <w:vAlign w:val="center"/>
          </w:tcPr>
          <w:p>
            <w:pPr>
              <w:widowControl/>
              <w:spacing w:line="360" w:lineRule="auto"/>
              <w:rPr>
                <w:rFonts w:ascii="宋体" w:hAnsi="宋体" w:cs="宋体"/>
                <w:b/>
                <w:bCs/>
                <w:color w:val="000000"/>
                <w:kern w:val="0"/>
                <w:szCs w:val="21"/>
              </w:rPr>
            </w:pPr>
            <w:r>
              <w:rPr>
                <w:rFonts w:hint="eastAsia" w:ascii="宋体" w:hAnsi="宋体" w:cs="宋体"/>
                <w:b/>
                <w:bCs/>
                <w:color w:val="000000"/>
                <w:kern w:val="0"/>
                <w:szCs w:val="21"/>
              </w:rPr>
              <w:t>一、标配产品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6"/>
            <w:vAlign w:val="center"/>
          </w:tcPr>
          <w:p>
            <w:pPr>
              <w:widowControl/>
              <w:spacing w:line="360" w:lineRule="auto"/>
              <w:rPr>
                <w:rFonts w:ascii="宋体" w:hAnsi="宋体" w:cs="宋体"/>
                <w:b/>
                <w:bCs/>
                <w:kern w:val="0"/>
                <w:szCs w:val="21"/>
              </w:rPr>
            </w:pPr>
            <w:r>
              <w:rPr>
                <w:rFonts w:hint="eastAsia" w:ascii="宋体" w:hAnsi="宋体" w:cs="宋体"/>
                <w:b/>
                <w:bCs/>
                <w:kern w:val="0"/>
                <w:szCs w:val="21"/>
              </w:rPr>
              <w:t>无纸化庭审核心设备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w:t>
            </w:r>
          </w:p>
        </w:tc>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庭审设备</w:t>
            </w: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庭审主机</w:t>
            </w:r>
          </w:p>
        </w:tc>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套</w:t>
            </w:r>
          </w:p>
        </w:tc>
        <w:tc>
          <w:tcPr>
            <w:tcW w:w="7000" w:type="dxa"/>
            <w:vAlign w:val="center"/>
          </w:tcPr>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1.采用一体化嵌入式架构及嵌入式Linux操作系统，集成音视频矩阵、编解码、智能分析等模块，具有画面合成、混音录像、视音频存储、光盘刻录加密、音视频智能处理及远程提讯，互联网庭审法庭端等功能。</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2.支持6路SDI输入，支持6路HDMI输入，4路DVI视频输入</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3.支持6路DVI视频输出，3路HDMI输出，支持1路USB3.0.1路USB2.0</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4.支持2路10M/100M/1000M自适应以太网口，支持网络多址，网络容错，负载均衡模式</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5.支持12路MicIn（支持48V幻象供电）、4路LineIn（包含1路3.5mm双声道），支持3路LineOut（2路莲花，1路3.5mm双声道）、2路XLROut</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6.支持4路RS485串行接口，6路RS232串行接口</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7.支持1路红外输入，4路红外输出，支持2路告警输入，2路告警输出</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8.支持4个SATA接口，每个SATA口可支持8TB硬盘</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9.支持一键开启、停止刻录；支持一键开关机；支持一键打点；支持一键DVD回放</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10.★内置8寸电容触控屏，支持实时显示通道状态、刻录/录制状态、USB接入状态、视频画面、光盘/硬盘总容量及已使用容量、刻录剩余时长、异常告警信息、CPU内存占用率、网络情况等</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11.★内置双DVD刻录光驱，支持光驱热插拔，支持便捷拆卸光驱，可实现在不拆设备机箱的情况下更换光驱</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12.视频编码格式：支持H.264和H.265，视频编码码率：支持在128kbps-8Mbps范围内设置，音频编码格式：支持G.711.AAC_LC和ADPCM；音频采样率：支持8kHz、16kHz、32kHz和48kHz可设置；音频编码码率：支持在32kbps~128kbps范围内设置</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13.支持6路IP摄像机（H.264或H.265摄像机）和SDI摄像机混合接入，支持2路远程点接入</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14.★支持4K、2K、1080P、720P、D1图像分辨率前端接入，并进入合成画面，支持前端接入类型：ONVIF、SIP、RTSP、H.323</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15.支持对PTZ摄像机进行PTZ操控，支持控制云台上、下、左、右、左上、左下、右上、右下转动，支持放大缩小、步长调节、光圈调节、灯光开关、雨刷开关和焦距调节（需前端设备支持）</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16.★支持两路证据展台（HDMI、DVI）接入并编码，支持两路证据编码独立录像，可同时将两路证据画面加入到合成画面中</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17.支持25路音频输入，能够实现远程声音和本地声音混音刻录，支持5组混音器设置，每路音频输入通道自定义加入不同混音器混音</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18.支持啸叫抑制、回声抵消、自动增益、音频降噪，变声等音频处理功能</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19.★支持SDI摄像机/IPC/远程点通道与本地/网络音频通道关联，实现自动切换发言话筒对应的前端图像，支持触发云台转动到配置的预置点</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20.支持合成画面、单通道画面和证据源画面本地录像，录像默认保存在本地硬盘</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21.录制的录像文件为标准的MP4文件，支持MP4录像文件下载，支持单独存储音频文件和获取音频文件</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22.支持合成画面的双光盘同步刻录、循环刻录和只录像不刻录，中途更换新光盘，可以识别上一张光盘停止的时间点，在新光盘中继续刻录</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23.支持断电续刻/续录功能，设备刻录过程中断电重启后，刻录机仍继续执行刻录任务</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24.支持光盘刻录自动封装通用播放器功能，光盘放入光驱中，能自动使用通用播放器播放录像，并同时展示笔录文件；支持时间进度显示功能</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25.支持重点标记功能，可以通过重点标记自动跳转到对应的录像和笔录时间点</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26.支持实时显示每个刻录机中是否有光盘、光盘刻录容量、光盘剩余时间、光盘剩余空间、刻录状态和刻录过程中的问题等状态</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27.★支持H.323协议接入视频会议，远程点支持双流</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28.支持用户授权，由用户组统一划分权限，支持最高三级权限登录，支持限制指定MAC地址或IP地址的机器登录客户端</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29.★支持对多种视频智能分析（证人保护、庭纪监督、区域看防、视频诊断、异常行为检测、姿态检测）的算法进行详细的参数配置，支持视频窗口绘制待检测区域</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30.支持单画面不少于2个人脸动态马赛克处理（马赛克随人脸移动），支持自定义设置马赛克等级（薄码，中码，厚码）和区域大小；支持证人声音变声功能，支持31种变声等级可选</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31.★支持对指定区域内庭审秩序不规范检测，如迟到、早退、中途离席、缺席、法官制服不规范检测，准确率不低于95%</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32.★在视频图像中设定检测区域，当有人员进入、逗留、离开均会产生告警信息，准确率不低于95%</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33.★支持对视频图像全画面的清晰度、偏色、曝光、视频干扰、遮挡、视频丢失指标进行检测</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34.支持庭审过程中的笔录刻录到光盘中，支持自定义笔录模板功能，支持笔录重点标记功能</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35.支持Raid0.Raid1.Raid5.RAID6.Raid10，支持硬盘SMART信息显示和坏道检测</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36.支持接入平台统一管理，可通过平台远程刻录或远程调阅录像等，具有VSIP、GB/T28181平台的接入设置选项，支持SNMP协议，支持接入运维平台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2</w:t>
            </w:r>
          </w:p>
        </w:tc>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庭审视频设备</w:t>
            </w: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4K超高清枪机摄像机</w:t>
            </w:r>
          </w:p>
        </w:tc>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5</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台</w:t>
            </w:r>
          </w:p>
        </w:tc>
        <w:tc>
          <w:tcPr>
            <w:tcW w:w="7000" w:type="dxa"/>
            <w:vAlign w:val="center"/>
          </w:tcPr>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 ★设备应采用1/1.8英寸CMOS传感器，内置2个GPU芯片，支持至少30倍光学变焦。</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 设备的最低照度至少为0.002Lux(彩色)， 0.0001Lux(黑白)。</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 设备的水平分辨力不低于2000TVL，信噪比不小于45dB，灰度等级不小于10级，宽动态范围不小于100dB。</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 设备支持三码流并发输出：可达到主码流4096×2160，帧率30帧/秒，第一辅码流1020×1080，帧率30帧/秒，第二辅码流704×576，帧率30帧/秒。</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 支持H.265.H.264.MJPEG编码格式；可将H.265.H.264格式设置为Baseline/Main/High Profile。支持Smart编码。</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 ★设备最大应支持分辨率4096×2160，帧率1fps~60fps可设置。</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 ★设备音频编码格式应支持PCMA、PCMU、ADPCM、G.711.G.722.G726.AAC_LC、OPUS音频编码标准，支持双向语音对讲、静音、哑音、混音、AEC回声抵消等功能。</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 ★支持1路SDI输出。</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9. 设备具有强光抑制功能，可以开启/关闭，支持电子透雾及光学透雾功能设置选项，支持电子防抖、陀螺仪防抖功能设置选项，防抖等级可设置，支持加热功能设置，支持除湿功能设置。</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 设备支持一个区域的ROI编码，区域大小可设置，支持4个矩形区域的区域遮盖，遮蔽区域颜色可以设置，遮蔽块可随云台转动而转动，支持镜像模式可实现左右翻转、上下翻转及中心翻转。</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11. 设备具有本机存储功能，支持1个外置TF卡，单卡最大可支持512GB。</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12. 设备具备网络自适应能力，在丢包率为≥20%的网络环境下，仍可正常显示监控画面。</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13. ★设备支持移动侦测、遮挡报警、警戒线、区域入侵、进入区域、离开区域、人员聚集、声音异常、物品遗留、物品拿取等智能分析功能。当以上的智能行为分析达到设定的阀值时，可通过WEB客户端给出报警提示，能够触发告警上传、语音提示、显示字幕、发送邮件、联动录像、并口告警输出、联动云台转台等多种报警方式。</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14. 支持1路RJ45 10M/100M以太网接口，1路RS485控制接口，1路Line In和1路LineOut，1路开关量报警输入，1路开关量报警输出。</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15. 设备应在-40°的低温及+70°的高温下都运行正常。</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16. 电源电压在DC12V±30%范围内变化时，摄像机应能正常工作。</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17.★为保证系统兼容性和稳定性，要求</w:t>
            </w:r>
            <w:r>
              <w:rPr>
                <w:rFonts w:hint="eastAsia" w:ascii="宋体" w:hAnsi="宋体" w:cs="宋体"/>
                <w:color w:val="000000" w:themeColor="text1"/>
                <w:kern w:val="0"/>
                <w:szCs w:val="21"/>
                <w:lang w:val="en-US" w:eastAsia="zh-CN"/>
                <w14:textFill>
                  <w14:solidFill>
                    <w14:schemeClr w14:val="tx1"/>
                  </w14:solidFill>
                </w14:textFill>
              </w:rPr>
              <w:t>必须</w:t>
            </w:r>
            <w:r>
              <w:rPr>
                <w:rFonts w:hint="eastAsia" w:ascii="宋体" w:hAnsi="宋体" w:cs="宋体"/>
                <w:color w:val="000000" w:themeColor="text1"/>
                <w:kern w:val="0"/>
                <w:szCs w:val="21"/>
                <w14:textFill>
                  <w14:solidFill>
                    <w14:schemeClr w14:val="tx1"/>
                  </w14:solidFill>
                </w14:textFill>
              </w:rPr>
              <w:t>与庭审主机</w:t>
            </w:r>
            <w:r>
              <w:rPr>
                <w:rFonts w:ascii="宋体" w:hAnsi="宋体" w:cs="宋体"/>
                <w:color w:val="000000" w:themeColor="text1"/>
                <w:kern w:val="0"/>
                <w:szCs w:val="21"/>
                <w14:textFill>
                  <w14:solidFill>
                    <w14:schemeClr w14:val="tx1"/>
                  </w14:solidFill>
                </w14:textFill>
              </w:rPr>
              <w:t>兼容</w:t>
            </w:r>
            <w:r>
              <w:rPr>
                <w:rFonts w:hint="eastAsia" w:ascii="宋体" w:hAnsi="宋体" w:cs="宋体"/>
                <w:color w:val="000000" w:themeColor="text1"/>
                <w:kern w:val="0"/>
                <w:szCs w:val="21"/>
                <w:lang w:eastAsia="zh-CN"/>
                <w14:textFill>
                  <w14:solidFill>
                    <w14:schemeClr w14:val="tx1"/>
                  </w14:solidFill>
                </w14:textFill>
              </w:rPr>
              <w:t>，</w:t>
            </w:r>
            <w:r>
              <w:rPr>
                <w:rFonts w:ascii="宋体" w:hAnsi="宋体" w:cs="宋体"/>
                <w:color w:val="000000" w:themeColor="text1"/>
                <w:kern w:val="0"/>
                <w:szCs w:val="21"/>
                <w14:textFill>
                  <w14:solidFill>
                    <w14:schemeClr w14:val="tx1"/>
                  </w14:solidFill>
                </w14:textFill>
              </w:rPr>
              <w:t>性</w:t>
            </w:r>
            <w:r>
              <w:rPr>
                <w:rFonts w:hint="eastAsia" w:ascii="宋体" w:hAnsi="宋体" w:cs="宋体"/>
                <w:color w:val="000000" w:themeColor="text1"/>
                <w:kern w:val="0"/>
                <w:szCs w:val="21"/>
                <w:lang w:val="en-US" w:eastAsia="zh-CN"/>
                <w14:textFill>
                  <w14:solidFill>
                    <w14:schemeClr w14:val="tx1"/>
                  </w14:solidFill>
                </w14:textFill>
              </w:rPr>
              <w:t>能稳定正常配套使用</w:t>
            </w:r>
            <w:r>
              <w:rPr>
                <w:rFonts w:hint="eastAsia" w:ascii="宋体" w:hAnsi="宋体" w:cs="宋体"/>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3</w:t>
            </w:r>
          </w:p>
        </w:tc>
        <w:tc>
          <w:tcPr>
            <w:tcW w:w="417" w:type="dxa"/>
            <w:vMerge w:val="restart"/>
            <w:vAlign w:val="center"/>
          </w:tcPr>
          <w:p>
            <w:pPr>
              <w:widowControl/>
              <w:spacing w:line="360" w:lineRule="auto"/>
              <w:jc w:val="center"/>
              <w:rPr>
                <w:rFonts w:ascii="宋体" w:hAnsi="宋体" w:cs="宋体"/>
                <w:kern w:val="0"/>
                <w:szCs w:val="21"/>
              </w:rPr>
            </w:pPr>
            <w:r>
              <w:rPr>
                <w:rFonts w:hint="eastAsia" w:ascii="宋体" w:hAnsi="宋体" w:cs="宋体"/>
                <w:kern w:val="0"/>
                <w:szCs w:val="21"/>
              </w:rPr>
              <w:t>庭审音频设备</w:t>
            </w: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桌面话筒</w:t>
            </w:r>
          </w:p>
        </w:tc>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8</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支</w:t>
            </w:r>
          </w:p>
        </w:tc>
        <w:tc>
          <w:tcPr>
            <w:tcW w:w="7000" w:type="dxa"/>
            <w:vAlign w:val="center"/>
          </w:tcPr>
          <w:p>
            <w:pPr>
              <w:widowControl/>
              <w:spacing w:line="360" w:lineRule="auto"/>
              <w:rPr>
                <w:rFonts w:ascii="宋体" w:hAnsi="宋体" w:cs="宋体"/>
                <w:kern w:val="0"/>
                <w:szCs w:val="21"/>
              </w:rPr>
            </w:pPr>
            <w:r>
              <w:rPr>
                <w:rFonts w:hint="eastAsia" w:ascii="宋体" w:hAnsi="宋体" w:cs="宋体"/>
                <w:kern w:val="0"/>
                <w:szCs w:val="21"/>
              </w:rPr>
              <w:t>1.指向性：心形指向性</w:t>
            </w:r>
            <w:r>
              <w:rPr>
                <w:rFonts w:hint="eastAsia" w:ascii="宋体" w:hAnsi="宋体" w:cs="宋体"/>
                <w:kern w:val="0"/>
                <w:szCs w:val="21"/>
              </w:rPr>
              <w:br w:type="textWrapping"/>
            </w:r>
            <w:r>
              <w:rPr>
                <w:rFonts w:hint="eastAsia" w:ascii="宋体" w:hAnsi="宋体" w:cs="宋体"/>
                <w:kern w:val="0"/>
                <w:szCs w:val="21"/>
              </w:rPr>
              <w:t>2.信噪比：≥65dB SPL 1kHz at 1Pa</w:t>
            </w:r>
            <w:r>
              <w:rPr>
                <w:rFonts w:hint="eastAsia" w:ascii="宋体" w:hAnsi="宋体" w:cs="宋体"/>
                <w:kern w:val="0"/>
                <w:szCs w:val="21"/>
              </w:rPr>
              <w:br w:type="textWrapping"/>
            </w:r>
            <w:r>
              <w:rPr>
                <w:rFonts w:hint="eastAsia" w:ascii="宋体" w:hAnsi="宋体" w:cs="宋体"/>
                <w:kern w:val="0"/>
                <w:szCs w:val="21"/>
              </w:rPr>
              <w:t>3.频率响应等同或优于20-18kHz</w:t>
            </w:r>
            <w:r>
              <w:rPr>
                <w:rFonts w:hint="eastAsia" w:ascii="宋体" w:hAnsi="宋体" w:cs="宋体"/>
                <w:kern w:val="0"/>
                <w:szCs w:val="21"/>
              </w:rPr>
              <w:br w:type="textWrapping"/>
            </w:r>
            <w:r>
              <w:rPr>
                <w:rFonts w:hint="eastAsia" w:ascii="宋体" w:hAnsi="宋体" w:cs="宋体"/>
                <w:kern w:val="0"/>
                <w:szCs w:val="21"/>
              </w:rPr>
              <w:t>4.输出阻抗：≥75</w:t>
            </w:r>
            <w:r>
              <w:rPr>
                <w:rFonts w:ascii="宋体" w:hAnsi="宋体" w:cs="Calibri"/>
                <w:kern w:val="0"/>
                <w:szCs w:val="21"/>
              </w:rPr>
              <w:t>Ω</w:t>
            </w:r>
            <w:r>
              <w:rPr>
                <w:rFonts w:hint="eastAsia" w:ascii="宋体" w:hAnsi="宋体" w:cs="宋体"/>
                <w:kern w:val="0"/>
                <w:szCs w:val="21"/>
              </w:rPr>
              <w:br w:type="textWrapping"/>
            </w:r>
            <w:r>
              <w:rPr>
                <w:rFonts w:hint="eastAsia" w:ascii="宋体" w:hAnsi="宋体" w:cs="宋体"/>
                <w:kern w:val="0"/>
                <w:szCs w:val="21"/>
              </w:rPr>
              <w:t>5.灵敏度：≥-40dB±2dB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4</w:t>
            </w:r>
          </w:p>
        </w:tc>
        <w:tc>
          <w:tcPr>
            <w:tcW w:w="417"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功率放大器</w:t>
            </w:r>
          </w:p>
        </w:tc>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2</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台</w:t>
            </w:r>
          </w:p>
        </w:tc>
        <w:tc>
          <w:tcPr>
            <w:tcW w:w="7000" w:type="dxa"/>
            <w:vAlign w:val="center"/>
          </w:tcPr>
          <w:p>
            <w:pPr>
              <w:widowControl/>
              <w:spacing w:line="360" w:lineRule="auto"/>
              <w:rPr>
                <w:rFonts w:ascii="宋体" w:hAnsi="宋体" w:cs="宋体"/>
                <w:kern w:val="0"/>
                <w:szCs w:val="21"/>
              </w:rPr>
            </w:pPr>
            <w:r>
              <w:rPr>
                <w:rFonts w:hint="eastAsia" w:ascii="宋体" w:hAnsi="宋体" w:cs="宋体"/>
                <w:kern w:val="0"/>
                <w:szCs w:val="21"/>
              </w:rPr>
              <w:t>1.标准≤1U机箱设计，采用D类数字功放设计方案。</w:t>
            </w:r>
            <w:r>
              <w:rPr>
                <w:rFonts w:hint="eastAsia" w:ascii="宋体" w:hAnsi="宋体" w:cs="宋体"/>
                <w:kern w:val="0"/>
                <w:szCs w:val="21"/>
              </w:rPr>
              <w:br w:type="textWrapping"/>
            </w:r>
            <w:r>
              <w:rPr>
                <w:rFonts w:hint="eastAsia" w:ascii="宋体" w:hAnsi="宋体" w:cs="宋体"/>
                <w:kern w:val="0"/>
                <w:szCs w:val="21"/>
              </w:rPr>
              <w:t>2.标准XLR输入接口和LINK输出口。</w:t>
            </w:r>
            <w:r>
              <w:rPr>
                <w:rFonts w:hint="eastAsia" w:ascii="宋体" w:hAnsi="宋体" w:cs="宋体"/>
                <w:kern w:val="0"/>
                <w:szCs w:val="21"/>
              </w:rPr>
              <w:br w:type="textWrapping"/>
            </w:r>
            <w:r>
              <w:rPr>
                <w:rFonts w:hint="eastAsia" w:ascii="宋体" w:hAnsi="宋体" w:cs="宋体"/>
                <w:kern w:val="0"/>
                <w:szCs w:val="21"/>
              </w:rPr>
              <w:t>3.电源采用开关电源技术，有效的抑制电源谐波。</w:t>
            </w:r>
            <w:r>
              <w:rPr>
                <w:rFonts w:hint="eastAsia" w:ascii="宋体" w:hAnsi="宋体" w:cs="宋体"/>
                <w:kern w:val="0"/>
                <w:szCs w:val="21"/>
              </w:rPr>
              <w:br w:type="textWrapping"/>
            </w:r>
            <w:r>
              <w:rPr>
                <w:rFonts w:hint="eastAsia" w:ascii="宋体" w:hAnsi="宋体" w:cs="宋体"/>
                <w:kern w:val="0"/>
                <w:szCs w:val="21"/>
              </w:rPr>
              <w:t xml:space="preserve">4.内置智能削峰限幅器，支持开机软启动，防止开机时向电网吸收大电流，干扰其它用电设备。 </w:t>
            </w:r>
            <w:r>
              <w:rPr>
                <w:rFonts w:hint="eastAsia" w:ascii="宋体" w:hAnsi="宋体" w:cs="宋体"/>
                <w:kern w:val="0"/>
                <w:szCs w:val="21"/>
              </w:rPr>
              <w:br w:type="textWrapping"/>
            </w:r>
            <w:r>
              <w:rPr>
                <w:rFonts w:hint="eastAsia" w:ascii="宋体" w:hAnsi="宋体" w:cs="宋体"/>
                <w:kern w:val="0"/>
                <w:szCs w:val="21"/>
              </w:rPr>
              <w:t>5.具有：过压保护，欠压保护，过流保护，直流保护，输出短路保护，温控风扇等功能。</w:t>
            </w:r>
            <w:r>
              <w:rPr>
                <w:rFonts w:hint="eastAsia" w:ascii="宋体" w:hAnsi="宋体" w:cs="宋体"/>
                <w:kern w:val="0"/>
                <w:szCs w:val="21"/>
              </w:rPr>
              <w:br w:type="textWrapping"/>
            </w:r>
            <w:r>
              <w:rPr>
                <w:rFonts w:hint="eastAsia" w:ascii="宋体" w:hAnsi="宋体" w:cs="宋体"/>
                <w:kern w:val="0"/>
                <w:szCs w:val="21"/>
              </w:rPr>
              <w:t>6.输出功率：立体声@8</w:t>
            </w:r>
            <w:r>
              <w:rPr>
                <w:rFonts w:ascii="宋体" w:hAnsi="宋体" w:cs="Calibri"/>
                <w:kern w:val="0"/>
                <w:szCs w:val="21"/>
              </w:rPr>
              <w:t>Ω</w:t>
            </w:r>
            <w:r>
              <w:rPr>
                <w:rFonts w:hint="eastAsia" w:ascii="宋体" w:hAnsi="宋体" w:cs="宋体"/>
                <w:kern w:val="0"/>
                <w:szCs w:val="21"/>
              </w:rPr>
              <w:t>：≥200W×2；立体声@4</w:t>
            </w:r>
            <w:r>
              <w:rPr>
                <w:rFonts w:ascii="宋体" w:hAnsi="宋体" w:cs="Calibri"/>
                <w:kern w:val="0"/>
                <w:szCs w:val="21"/>
              </w:rPr>
              <w:t>Ω</w:t>
            </w:r>
            <w:r>
              <w:rPr>
                <w:rFonts w:hint="eastAsia" w:ascii="宋体" w:hAnsi="宋体" w:cs="宋体"/>
                <w:kern w:val="0"/>
                <w:szCs w:val="21"/>
              </w:rPr>
              <w:t>：≥400W×2。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5</w:t>
            </w:r>
          </w:p>
        </w:tc>
        <w:tc>
          <w:tcPr>
            <w:tcW w:w="417"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音频处理器</w:t>
            </w:r>
          </w:p>
        </w:tc>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台</w:t>
            </w:r>
          </w:p>
        </w:tc>
        <w:tc>
          <w:tcPr>
            <w:tcW w:w="7000" w:type="dxa"/>
            <w:vAlign w:val="center"/>
          </w:tcPr>
          <w:p>
            <w:pPr>
              <w:pStyle w:val="16"/>
              <w:rPr>
                <w:rFonts w:ascii="宋体" w:hAnsi="宋体" w:cs="宋体"/>
                <w:kern w:val="0"/>
                <w:szCs w:val="21"/>
              </w:rPr>
            </w:pPr>
            <w:r>
              <w:rPr>
                <w:rFonts w:hint="eastAsia" w:ascii="宋体" w:hAnsi="宋体" w:cs="宋体"/>
                <w:kern w:val="0"/>
                <w:szCs w:val="21"/>
              </w:rPr>
              <w:t>1.处理器≥4核，主频≥2.0GHz。</w:t>
            </w:r>
            <w:r>
              <w:rPr>
                <w:rFonts w:hint="eastAsia" w:ascii="宋体" w:hAnsi="宋体" w:cs="宋体"/>
                <w:kern w:val="0"/>
                <w:szCs w:val="21"/>
              </w:rPr>
              <w:br w:type="textWrapping"/>
            </w:r>
            <w:r>
              <w:rPr>
                <w:rFonts w:hint="eastAsia" w:ascii="宋体" w:hAnsi="宋体" w:cs="宋体"/>
                <w:kern w:val="0"/>
                <w:szCs w:val="21"/>
              </w:rPr>
              <w:t>2.后面板具有≥4路线路音频凤凰端子平衡输入接口（具有48V幻象供电）、≥4路线路音频凤凰端子平衡输出接口、≥1个拨码开关、≥1个RJ45接口、≥1个RS232接口、≥1个RS485接口、≥8个可编程GPIO控制接口、≥1个接地柱；前面板具有≥2.0英寸 IPS 真彩显示屏、≥1个编码旋钮、≥1个USB存储设备接口。</w:t>
            </w:r>
            <w:r>
              <w:rPr>
                <w:rFonts w:hint="eastAsia" w:ascii="宋体" w:hAnsi="宋体" w:cs="宋体"/>
                <w:kern w:val="0"/>
                <w:szCs w:val="21"/>
              </w:rPr>
              <w:br w:type="textWrapping"/>
            </w:r>
            <w:r>
              <w:rPr>
                <w:rFonts w:hint="eastAsia" w:ascii="宋体" w:hAnsi="宋体" w:cs="宋体"/>
                <w:kern w:val="0"/>
                <w:szCs w:val="21"/>
              </w:rPr>
              <w:t>★3.输入通道支持前级放大、信号发生器、扩展器、压缩器、均衡器（≥12段参量均衡、可选10/15/31段图示均衡器可调，图示均衡器可用于单独调节带宽）、闪避器、自动增益、AM自动混音功能（门限式、增益共享式）、AFC自适应反馈消除、AEC回声消除、ANC噪声消除、音频矩阵；输出通道支持均衡器（≥16段参量均衡、可选10/15/31段图示均衡器可调，图示均衡器可用于单独调节带宽）、延时器、分频器、高低通滤波器、限幅器；基于啸叫检测门限更新法，具有移频+陷波组合反馈抑制，可以使用≥24个可编程陷波点，可自由分配动态/静态点，自动/手动切换。（</w:t>
            </w:r>
            <w:r>
              <w:rPr>
                <w:rFonts w:hint="eastAsia" w:ascii="宋体" w:hAnsi="宋体" w:eastAsia="宋体" w:cs="宋体"/>
                <w:kern w:val="0"/>
                <w:sz w:val="21"/>
                <w:szCs w:val="21"/>
                <w:lang w:val="en-US" w:eastAsia="zh-CN" w:bidi="ar-SA"/>
              </w:rPr>
              <w:t>提供满足本条技术要求的相关有效证明材料复印件（加盖供应商公章），证明材料可以是国家认可的第三方检验（测）机构出具的合格有效的检验（测）报告、官网截图、功能截图或产品彩页等</w:t>
            </w:r>
            <w:r>
              <w:rPr>
                <w:rFonts w:hint="eastAsia" w:ascii="宋体" w:hAnsi="宋体" w:cs="宋体"/>
                <w:kern w:val="0"/>
                <w:szCs w:val="21"/>
              </w:rPr>
              <w:t>）</w:t>
            </w:r>
            <w:r>
              <w:rPr>
                <w:rFonts w:hint="eastAsia" w:ascii="宋体" w:hAnsi="宋体" w:cs="宋体"/>
                <w:kern w:val="0"/>
                <w:szCs w:val="21"/>
              </w:rPr>
              <w:br w:type="textWrapping"/>
            </w:r>
            <w:r>
              <w:rPr>
                <w:rFonts w:hint="eastAsia" w:ascii="宋体" w:hAnsi="宋体" w:cs="宋体"/>
                <w:kern w:val="0"/>
                <w:szCs w:val="21"/>
              </w:rPr>
              <w:t>4.具有矩阵增益调节功能，每个输入通道参与混音的增益可调，增益调节范围等同或优于-72dB到12dB。</w:t>
            </w:r>
            <w:r>
              <w:rPr>
                <w:rFonts w:hint="eastAsia" w:ascii="宋体" w:hAnsi="宋体" w:cs="宋体"/>
                <w:kern w:val="0"/>
                <w:szCs w:val="21"/>
              </w:rPr>
              <w:br w:type="textWrapping"/>
            </w:r>
            <w:r>
              <w:rPr>
                <w:rFonts w:hint="eastAsia" w:ascii="宋体" w:hAnsi="宋体" w:cs="宋体"/>
                <w:kern w:val="0"/>
                <w:szCs w:val="21"/>
              </w:rPr>
              <w:t>★5.音频处理器具有跨平台软件，可运行于windows操作系统或国产操作系统或Ubuntu桌面版操作系统。（提供满足本条技术要求的相关有效证明材料复印件（加盖供应商公章），证明材料可以是国家认可的第三方检验（测）机构出具的合格有效的检验（测）报告、官网截图、功能截图或产品彩页等）</w:t>
            </w:r>
            <w:r>
              <w:rPr>
                <w:rFonts w:hint="eastAsia" w:ascii="宋体" w:hAnsi="宋体" w:cs="宋体"/>
                <w:kern w:val="0"/>
                <w:szCs w:val="21"/>
              </w:rPr>
              <w:br w:type="textWrapping"/>
            </w:r>
            <w:r>
              <w:rPr>
                <w:rFonts w:hint="eastAsia" w:ascii="宋体" w:hAnsi="宋体" w:cs="宋体"/>
                <w:kern w:val="0"/>
                <w:szCs w:val="21"/>
              </w:rPr>
              <w:t>6.产品具有PC客户端、手机移动端、安卓平板端、IOS手机移动端、IOS平板端不同控制方式，可以通同时登入APP软件、PC客户端同时连接设备，并实现多端数据的同步。</w:t>
            </w:r>
            <w:r>
              <w:rPr>
                <w:rFonts w:hint="eastAsia" w:ascii="宋体" w:hAnsi="宋体" w:cs="宋体"/>
                <w:kern w:val="0"/>
                <w:szCs w:val="21"/>
              </w:rPr>
              <w:br w:type="textWrapping"/>
            </w:r>
            <w:r>
              <w:rPr>
                <w:rFonts w:hint="eastAsia" w:ascii="宋体" w:hAnsi="宋体" w:cs="宋体"/>
                <w:kern w:val="0"/>
                <w:szCs w:val="21"/>
              </w:rPr>
              <w:t>7.设备具有编码旋钮和IPS屏幕，可用于控制和配置设备静音，增益，场景；IPS屏幕能够显示IP地址，输入和输出通道的实时电平。</w:t>
            </w:r>
            <w:r>
              <w:rPr>
                <w:rFonts w:hint="eastAsia" w:ascii="宋体" w:hAnsi="宋体" w:cs="宋体"/>
                <w:kern w:val="0"/>
                <w:szCs w:val="21"/>
              </w:rPr>
              <w:br w:type="textWrapping"/>
            </w:r>
            <w:r>
              <w:rPr>
                <w:rFonts w:hint="eastAsia" w:ascii="宋体" w:hAnsi="宋体" w:cs="宋体"/>
                <w:kern w:val="0"/>
                <w:szCs w:val="21"/>
              </w:rPr>
              <w:t>8.具有设备定位功能，客户端一键定位局域网内同类设备，被定位的设备会显示定位信息。</w:t>
            </w:r>
            <w:r>
              <w:rPr>
                <w:rFonts w:hint="eastAsia" w:ascii="宋体" w:hAnsi="宋体" w:cs="宋体"/>
                <w:kern w:val="0"/>
                <w:szCs w:val="21"/>
              </w:rPr>
              <w:br w:type="textWrapping"/>
            </w:r>
            <w:r>
              <w:rPr>
                <w:rFonts w:hint="eastAsia" w:ascii="宋体" w:hAnsi="宋体" w:cs="宋体"/>
                <w:kern w:val="0"/>
                <w:szCs w:val="21"/>
              </w:rPr>
              <w:t>9.设备具有统一集中控制功能，支持≥65535台设备通过软件集中控制。</w:t>
            </w:r>
            <w:r>
              <w:rPr>
                <w:rFonts w:hint="eastAsia" w:ascii="宋体" w:hAnsi="宋体" w:cs="宋体"/>
                <w:kern w:val="0"/>
                <w:szCs w:val="21"/>
              </w:rPr>
              <w:br w:type="textWrapping"/>
            </w:r>
            <w:r>
              <w:rPr>
                <w:rFonts w:hint="eastAsia" w:ascii="宋体" w:hAnsi="宋体" w:cs="宋体"/>
                <w:kern w:val="0"/>
                <w:szCs w:val="21"/>
              </w:rPr>
              <w:t>10.音频处理器软件可融入会议音频综合管理平台实现音频设备统一管理，平台可扫描数字会议主机、音频处理器、混音器、抑制器、功放类产品在线情况，同款产品多台在线设备也可扫描，并显示设备硬件名称、硬件IP地址、在线、离线状态信息；具备一键上传配置信息至云端或保存本地进行备份和一键还原配置信息功能。</w:t>
            </w:r>
            <w:r>
              <w:rPr>
                <w:rFonts w:hint="eastAsia" w:ascii="宋体" w:hAnsi="宋体" w:cs="宋体"/>
                <w:kern w:val="0"/>
                <w:szCs w:val="21"/>
              </w:rPr>
              <w:br w:type="textWrapping"/>
            </w:r>
            <w:r>
              <w:rPr>
                <w:rFonts w:hint="eastAsia" w:ascii="宋体" w:hAnsi="宋体" w:cs="宋体"/>
                <w:kern w:val="0"/>
                <w:szCs w:val="21"/>
              </w:rPr>
              <w:t>11.支持双机热备份；当主机出现故障时，备用主机自动承担服务，切换时间≤2s。</w:t>
            </w:r>
            <w:r>
              <w:rPr>
                <w:rFonts w:hint="eastAsia" w:ascii="宋体" w:hAnsi="宋体" w:cs="宋体"/>
                <w:kern w:val="0"/>
                <w:szCs w:val="21"/>
              </w:rPr>
              <w:br w:type="textWrapping"/>
            </w:r>
            <w:r>
              <w:rPr>
                <w:rFonts w:hint="eastAsia" w:ascii="宋体" w:hAnsi="宋体" w:cs="宋体"/>
                <w:kern w:val="0"/>
                <w:szCs w:val="21"/>
              </w:rPr>
              <w:t>12.采用AI人工智能宽度学习算法进行噪声抑制，根据不同使用场景提供≥三个AI语音降噪档位可调整，有效降低甚至消除语言扩声系统中非人声类噪音信号，如拍掌、敲击桌子等非稳态噪声以及空调声、风扇声等稳态噪声，确保语音清晰度和可懂度（降噪能力≥40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5</w:t>
            </w:r>
          </w:p>
        </w:tc>
        <w:tc>
          <w:tcPr>
            <w:tcW w:w="417"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壁挂音箱</w:t>
            </w:r>
          </w:p>
        </w:tc>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4</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台</w:t>
            </w:r>
          </w:p>
        </w:tc>
        <w:tc>
          <w:tcPr>
            <w:tcW w:w="7000" w:type="dxa"/>
            <w:vAlign w:val="center"/>
          </w:tcPr>
          <w:p>
            <w:pPr>
              <w:widowControl/>
              <w:spacing w:line="360" w:lineRule="auto"/>
              <w:rPr>
                <w:rFonts w:ascii="宋体" w:hAnsi="宋体" w:cs="宋体"/>
                <w:kern w:val="0"/>
                <w:szCs w:val="21"/>
              </w:rPr>
            </w:pPr>
            <w:r>
              <w:rPr>
                <w:rFonts w:hint="eastAsia" w:ascii="宋体" w:hAnsi="宋体" w:cs="宋体"/>
                <w:kern w:val="0"/>
                <w:szCs w:val="21"/>
              </w:rPr>
              <w:t>1.阻抗≤8</w:t>
            </w:r>
            <w:r>
              <w:rPr>
                <w:rFonts w:ascii="宋体" w:hAnsi="宋体" w:cs="Calibri"/>
                <w:kern w:val="0"/>
                <w:szCs w:val="21"/>
              </w:rPr>
              <w:t>Ω</w:t>
            </w:r>
            <w:r>
              <w:rPr>
                <w:rFonts w:hint="eastAsia" w:ascii="宋体" w:hAnsi="宋体" w:cs="宋体"/>
                <w:kern w:val="0"/>
                <w:szCs w:val="21"/>
              </w:rPr>
              <w:br w:type="textWrapping"/>
            </w:r>
            <w:r>
              <w:rPr>
                <w:rFonts w:hint="eastAsia" w:ascii="宋体" w:hAnsi="宋体" w:cs="宋体"/>
                <w:kern w:val="0"/>
                <w:szCs w:val="21"/>
              </w:rPr>
              <w:t>2.频响等同或优于65Hz~20kHz</w:t>
            </w:r>
            <w:r>
              <w:rPr>
                <w:rFonts w:hint="eastAsia" w:ascii="宋体" w:hAnsi="宋体" w:cs="宋体"/>
                <w:kern w:val="0"/>
                <w:szCs w:val="21"/>
              </w:rPr>
              <w:br w:type="textWrapping"/>
            </w:r>
            <w:r>
              <w:rPr>
                <w:rFonts w:hint="eastAsia" w:ascii="宋体" w:hAnsi="宋体" w:cs="宋体"/>
                <w:kern w:val="0"/>
                <w:szCs w:val="21"/>
              </w:rPr>
              <w:t>3.额定功率≥150W</w:t>
            </w:r>
            <w:r>
              <w:rPr>
                <w:rFonts w:hint="eastAsia" w:ascii="宋体" w:hAnsi="宋体" w:cs="宋体"/>
                <w:kern w:val="0"/>
                <w:szCs w:val="21"/>
              </w:rPr>
              <w:br w:type="textWrapping"/>
            </w:r>
            <w:r>
              <w:rPr>
                <w:rFonts w:hint="eastAsia" w:ascii="宋体" w:hAnsi="宋体" w:cs="宋体"/>
                <w:kern w:val="0"/>
                <w:szCs w:val="21"/>
              </w:rPr>
              <w:t>4.灵敏度≥95dB/W/M</w:t>
            </w:r>
            <w:r>
              <w:rPr>
                <w:rFonts w:hint="eastAsia" w:ascii="宋体" w:hAnsi="宋体" w:cs="宋体"/>
                <w:kern w:val="0"/>
                <w:szCs w:val="21"/>
              </w:rPr>
              <w:br w:type="textWrapping"/>
            </w:r>
            <w:r>
              <w:rPr>
                <w:rFonts w:hint="eastAsia" w:ascii="宋体" w:hAnsi="宋体" w:cs="宋体"/>
                <w:kern w:val="0"/>
                <w:szCs w:val="21"/>
              </w:rPr>
              <w:t>5.水平覆盖角≥80°，垂直覆盖角≥60°</w:t>
            </w:r>
            <w:r>
              <w:rPr>
                <w:rFonts w:hint="eastAsia" w:ascii="宋体" w:hAnsi="宋体" w:cs="宋体"/>
                <w:kern w:val="0"/>
                <w:szCs w:val="21"/>
              </w:rPr>
              <w:br w:type="textWrapping"/>
            </w:r>
            <w:r>
              <w:rPr>
                <w:rFonts w:hint="eastAsia" w:ascii="宋体" w:hAnsi="宋体" w:cs="宋体"/>
                <w:kern w:val="0"/>
                <w:szCs w:val="21"/>
              </w:rPr>
              <w:t>6.高音≥3"锥形高音单元×1</w:t>
            </w:r>
            <w:r>
              <w:rPr>
                <w:rFonts w:hint="eastAsia" w:ascii="宋体" w:hAnsi="宋体" w:cs="宋体"/>
                <w:kern w:val="0"/>
                <w:szCs w:val="21"/>
              </w:rPr>
              <w:br w:type="textWrapping"/>
            </w:r>
            <w:r>
              <w:rPr>
                <w:rFonts w:hint="eastAsia" w:ascii="宋体" w:hAnsi="宋体" w:cs="宋体"/>
                <w:kern w:val="0"/>
                <w:szCs w:val="21"/>
              </w:rPr>
              <w:t>7.低音≥8"低音×1</w:t>
            </w:r>
            <w:r>
              <w:rPr>
                <w:rFonts w:hint="eastAsia" w:ascii="宋体" w:hAnsi="宋体" w:cs="宋体"/>
                <w:kern w:val="0"/>
                <w:szCs w:val="21"/>
              </w:rPr>
              <w:br w:type="textWrapping"/>
            </w:r>
            <w:r>
              <w:rPr>
                <w:rFonts w:hint="eastAsia" w:ascii="宋体" w:hAnsi="宋体" w:cs="宋体"/>
                <w:kern w:val="0"/>
                <w:szCs w:val="21"/>
              </w:rPr>
              <w:t>8.含SL系列音箱支架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6</w:t>
            </w:r>
          </w:p>
        </w:tc>
        <w:tc>
          <w:tcPr>
            <w:tcW w:w="417"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音响支架</w:t>
            </w:r>
          </w:p>
        </w:tc>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2</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个</w:t>
            </w:r>
          </w:p>
        </w:tc>
        <w:tc>
          <w:tcPr>
            <w:tcW w:w="7000" w:type="dxa"/>
            <w:vAlign w:val="center"/>
          </w:tcPr>
          <w:p>
            <w:pPr>
              <w:widowControl/>
              <w:spacing w:line="360" w:lineRule="auto"/>
              <w:rPr>
                <w:rFonts w:ascii="宋体" w:hAnsi="宋体" w:cs="宋体"/>
                <w:kern w:val="0"/>
                <w:szCs w:val="21"/>
              </w:rPr>
            </w:pPr>
            <w:r>
              <w:rPr>
                <w:rFonts w:hint="eastAsia" w:ascii="宋体" w:hAnsi="宋体" w:cs="宋体"/>
                <w:kern w:val="0"/>
                <w:szCs w:val="21"/>
              </w:rPr>
              <w:t>固定音响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7</w:t>
            </w:r>
          </w:p>
        </w:tc>
        <w:tc>
          <w:tcPr>
            <w:tcW w:w="417" w:type="dxa"/>
            <w:vMerge w:val="restart"/>
            <w:vAlign w:val="center"/>
          </w:tcPr>
          <w:p>
            <w:pPr>
              <w:widowControl/>
              <w:spacing w:line="360" w:lineRule="auto"/>
              <w:jc w:val="center"/>
              <w:rPr>
                <w:rFonts w:ascii="宋体" w:hAnsi="宋体" w:cs="宋体"/>
                <w:kern w:val="0"/>
                <w:szCs w:val="21"/>
              </w:rPr>
            </w:pPr>
            <w:r>
              <w:rPr>
                <w:rFonts w:hint="eastAsia" w:ascii="宋体" w:hAnsi="宋体" w:cs="宋体"/>
                <w:kern w:val="0"/>
                <w:szCs w:val="21"/>
              </w:rPr>
              <w:t>庭审显示设备</w:t>
            </w: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4K超清液晶电视</w:t>
            </w:r>
          </w:p>
        </w:tc>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2</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台</w:t>
            </w:r>
          </w:p>
        </w:tc>
        <w:tc>
          <w:tcPr>
            <w:tcW w:w="7000" w:type="dxa"/>
            <w:vAlign w:val="center"/>
          </w:tcPr>
          <w:p>
            <w:pPr>
              <w:widowControl/>
              <w:spacing w:line="360" w:lineRule="auto"/>
            </w:pPr>
            <w:r>
              <w:rPr>
                <w:rFonts w:hint="eastAsia"/>
              </w:rPr>
              <w:t>≥55英寸，分辨率≥3840*2160，刷新率≥60Hz，支持HDMI视频信号输入，支持4K超高清视频。</w:t>
            </w:r>
          </w:p>
          <w:p>
            <w:pPr>
              <w:widowControl/>
              <w:spacing w:line="360" w:lineRule="auto"/>
            </w:pPr>
            <w:r>
              <w:rPr>
                <w:rFonts w:hint="eastAsia" w:ascii="宋体" w:hAnsi="宋体" w:cs="宋体"/>
                <w:color w:val="auto"/>
                <w:kern w:val="0"/>
                <w:szCs w:val="21"/>
              </w:rPr>
              <w:t>★</w:t>
            </w:r>
            <w:r>
              <w:rPr>
                <w:rFonts w:hint="eastAsia" w:ascii="宋体" w:hAnsi="宋体" w:eastAsia="宋体" w:cs="宋体"/>
                <w:b/>
                <w:bCs/>
                <w:color w:val="auto"/>
                <w:kern w:val="0"/>
                <w:szCs w:val="21"/>
                <w:lang w:val="en-US" w:eastAsia="zh-CN"/>
              </w:rPr>
              <w:t>竞标</w:t>
            </w:r>
            <w:r>
              <w:rPr>
                <w:rFonts w:hint="eastAsia" w:ascii="宋体" w:hAnsi="宋体" w:eastAsia="宋体" w:cs="宋体"/>
                <w:b/>
                <w:bCs/>
                <w:color w:val="auto"/>
                <w:kern w:val="0"/>
                <w:szCs w:val="21"/>
              </w:rPr>
              <w:t>人必须在</w:t>
            </w:r>
            <w:r>
              <w:rPr>
                <w:rFonts w:hint="eastAsia" w:ascii="宋体" w:hAnsi="宋体" w:eastAsia="宋体" w:cs="宋体"/>
                <w:b/>
                <w:bCs/>
                <w:color w:val="auto"/>
                <w:kern w:val="0"/>
                <w:szCs w:val="21"/>
                <w:lang w:val="en-US" w:eastAsia="zh-CN"/>
              </w:rPr>
              <w:t>响应</w:t>
            </w:r>
            <w:r>
              <w:rPr>
                <w:rFonts w:hint="eastAsia" w:ascii="宋体" w:hAnsi="宋体" w:eastAsia="宋体" w:cs="宋体"/>
                <w:b/>
                <w:bCs/>
                <w:color w:val="auto"/>
                <w:kern w:val="0"/>
                <w:szCs w:val="21"/>
              </w:rPr>
              <w:t>文件中提供所</w:t>
            </w:r>
            <w:r>
              <w:rPr>
                <w:rFonts w:hint="eastAsia" w:ascii="宋体" w:hAnsi="宋体" w:eastAsia="宋体" w:cs="宋体"/>
                <w:b/>
                <w:bCs/>
                <w:color w:val="auto"/>
                <w:kern w:val="0"/>
                <w:szCs w:val="21"/>
                <w:lang w:val="en-US" w:eastAsia="zh-CN"/>
              </w:rPr>
              <w:t>竞标</w:t>
            </w:r>
            <w:r>
              <w:rPr>
                <w:rFonts w:hint="eastAsia" w:ascii="宋体" w:hAnsi="宋体" w:eastAsia="宋体" w:cs="宋体"/>
                <w:b/>
                <w:bCs/>
                <w:color w:val="auto"/>
                <w:kern w:val="0"/>
                <w:szCs w:val="21"/>
              </w:rPr>
              <w:t>产品的节能产品认证证书复印件（加盖</w:t>
            </w:r>
            <w:r>
              <w:rPr>
                <w:rFonts w:hint="eastAsia" w:ascii="宋体" w:hAnsi="宋体" w:eastAsia="宋体" w:cs="宋体"/>
                <w:b/>
                <w:bCs/>
                <w:color w:val="auto"/>
                <w:kern w:val="0"/>
                <w:szCs w:val="21"/>
                <w:lang w:val="en-US" w:eastAsia="zh-CN"/>
              </w:rPr>
              <w:t>竞标</w:t>
            </w:r>
            <w:r>
              <w:rPr>
                <w:rFonts w:hint="eastAsia" w:ascii="宋体" w:hAnsi="宋体" w:eastAsia="宋体" w:cs="宋体"/>
                <w:b/>
                <w:bCs/>
                <w:color w:val="auto"/>
                <w:kern w:val="0"/>
                <w:szCs w:val="21"/>
              </w:rPr>
              <w:t>人</w:t>
            </w:r>
            <w:r>
              <w:rPr>
                <w:rFonts w:hint="eastAsia" w:ascii="宋体" w:hAnsi="宋体" w:cs="宋体"/>
                <w:b/>
                <w:bCs/>
                <w:color w:val="auto"/>
                <w:kern w:val="0"/>
                <w:szCs w:val="21"/>
                <w:lang w:val="en-US" w:eastAsia="zh-CN"/>
              </w:rPr>
              <w:t>公</w:t>
            </w:r>
            <w:r>
              <w:rPr>
                <w:rFonts w:hint="eastAsia" w:ascii="宋体" w:hAnsi="宋体" w:eastAsia="宋体" w:cs="宋体"/>
                <w:b/>
                <w:bCs/>
                <w:color w:val="auto"/>
                <w:kern w:val="0"/>
                <w:szCs w:val="21"/>
              </w:rPr>
              <w:t>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9</w:t>
            </w:r>
          </w:p>
        </w:tc>
        <w:tc>
          <w:tcPr>
            <w:tcW w:w="417" w:type="dxa"/>
            <w:vMerge w:val="continue"/>
            <w:vAlign w:val="center"/>
          </w:tcPr>
          <w:p>
            <w:pPr>
              <w:widowControl/>
              <w:spacing w:line="360" w:lineRule="auto"/>
              <w:rPr>
                <w:rFonts w:ascii="宋体" w:hAnsi="宋体" w:cs="宋体"/>
                <w:kern w:val="0"/>
                <w:szCs w:val="21"/>
              </w:rPr>
            </w:pPr>
          </w:p>
        </w:tc>
        <w:tc>
          <w:tcPr>
            <w:tcW w:w="807" w:type="dxa"/>
            <w:noWrap/>
            <w:vAlign w:val="center"/>
          </w:tcPr>
          <w:p>
            <w:pPr>
              <w:widowControl/>
              <w:spacing w:line="360" w:lineRule="auto"/>
              <w:rPr>
                <w:rFonts w:ascii="宋体" w:hAnsi="宋体" w:cs="宋体"/>
                <w:kern w:val="0"/>
                <w:szCs w:val="21"/>
              </w:rPr>
            </w:pPr>
            <w:r>
              <w:rPr>
                <w:rFonts w:hint="eastAsia" w:ascii="宋体" w:hAnsi="宋体" w:cs="宋体"/>
                <w:kern w:val="0"/>
                <w:szCs w:val="21"/>
              </w:rPr>
              <w:t>液晶电视壁挂式支架</w:t>
            </w:r>
          </w:p>
        </w:tc>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2</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个</w:t>
            </w:r>
          </w:p>
        </w:tc>
        <w:tc>
          <w:tcPr>
            <w:tcW w:w="7000" w:type="dxa"/>
            <w:noWrap/>
            <w:vAlign w:val="center"/>
          </w:tcPr>
          <w:p>
            <w:pPr>
              <w:widowControl/>
              <w:spacing w:line="360" w:lineRule="auto"/>
              <w:rPr>
                <w:rFonts w:ascii="宋体" w:hAnsi="宋体" w:cs="宋体"/>
                <w:kern w:val="0"/>
                <w:szCs w:val="21"/>
              </w:rPr>
            </w:pPr>
            <w:r>
              <w:rPr>
                <w:rFonts w:hint="eastAsia" w:ascii="宋体" w:hAnsi="宋体" w:cs="宋体"/>
                <w:kern w:val="0"/>
                <w:szCs w:val="21"/>
              </w:rPr>
              <w:t>40-65寸电视移动挂架。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10</w:t>
            </w:r>
          </w:p>
        </w:tc>
        <w:tc>
          <w:tcPr>
            <w:tcW w:w="417"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庭审信息发布终端（含嵌入式信息发布软件）</w:t>
            </w:r>
          </w:p>
        </w:tc>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套</w:t>
            </w:r>
          </w:p>
        </w:tc>
        <w:tc>
          <w:tcPr>
            <w:tcW w:w="7000" w:type="dxa"/>
            <w:vAlign w:val="center"/>
          </w:tcPr>
          <w:p>
            <w:pPr>
              <w:widowControl/>
              <w:spacing w:line="360" w:lineRule="auto"/>
              <w:rPr>
                <w:rFonts w:ascii="宋体" w:hAnsi="宋体" w:cs="宋体"/>
                <w:kern w:val="0"/>
                <w:szCs w:val="21"/>
              </w:rPr>
            </w:pPr>
            <w:r>
              <w:rPr>
                <w:rFonts w:hint="eastAsia" w:ascii="宋体" w:hAnsi="宋体" w:cs="宋体"/>
                <w:kern w:val="0"/>
                <w:szCs w:val="21"/>
              </w:rPr>
              <w:t>软硬件一体，终端嵌入统一智能庭审发布系统，部署在法庭门口，用于显示本法庭当日全部庭审信息公告及庭审排期信息等。</w:t>
            </w:r>
          </w:p>
          <w:p>
            <w:pPr>
              <w:widowControl/>
              <w:spacing w:line="360" w:lineRule="auto"/>
              <w:rPr>
                <w:rFonts w:ascii="宋体" w:hAnsi="宋体" w:cs="宋体"/>
                <w:kern w:val="0"/>
                <w:szCs w:val="21"/>
              </w:rPr>
            </w:pPr>
            <w:r>
              <w:rPr>
                <w:rFonts w:hint="eastAsia" w:ascii="宋体" w:hAnsi="宋体" w:cs="宋体"/>
                <w:kern w:val="0"/>
                <w:szCs w:val="21"/>
              </w:rPr>
              <w:t>1.硬件参数要求：采用四核处理器；采用Android 系统； 2GB DDR4内存；8GB存储；21.5英寸显示屏；1920*1080显示分辨率；以太网RJ45接口，10M/100M自适应网络；</w:t>
            </w:r>
          </w:p>
          <w:p>
            <w:pPr>
              <w:widowControl/>
              <w:spacing w:line="360" w:lineRule="auto"/>
              <w:rPr>
                <w:rFonts w:ascii="宋体" w:hAnsi="宋体" w:cs="宋体"/>
                <w:kern w:val="0"/>
                <w:szCs w:val="21"/>
              </w:rPr>
            </w:pPr>
            <w:r>
              <w:rPr>
                <w:rFonts w:hint="eastAsia" w:ascii="宋体" w:hAnsi="宋体" w:cs="宋体"/>
                <w:kern w:val="0"/>
                <w:szCs w:val="21"/>
              </w:rPr>
              <w:t>2.软件参数要求：嵌入式信息发布软件，自动获取统一智能庭审系统的排期数据显示当前开庭的庭审信息；展示信息包含：法院名称、法庭名称、案号、开庭时间、审判成员。书记员、当事人、庭审视频等；同时，屏幕下方会以流动的方式显示全面的案件排期信息；当法庭正在开庭时，庭审发布应用系统支持将庭审视频实时同步到庭外的发布终端进行显示正在开庭的视频画面，直观地展示正在庭审的案件内容。</w:t>
            </w:r>
          </w:p>
          <w:p>
            <w:pPr>
              <w:widowControl/>
              <w:spacing w:line="360" w:lineRule="auto"/>
              <w:rPr>
                <w:rFonts w:ascii="宋体" w:hAnsi="宋体" w:cs="宋体"/>
                <w:kern w:val="0"/>
                <w:szCs w:val="21"/>
              </w:rPr>
            </w:pPr>
            <w:r>
              <w:rPr>
                <w:rFonts w:hint="eastAsia" w:ascii="宋体" w:hAnsi="宋体" w:cs="宋体"/>
                <w:kern w:val="0"/>
                <w:szCs w:val="21"/>
              </w:rPr>
              <w:t>★3.为保证系统兼容性和稳定性，</w:t>
            </w:r>
            <w:r>
              <w:rPr>
                <w:rFonts w:hint="eastAsia" w:ascii="宋体" w:hAnsi="宋体" w:cs="宋体"/>
                <w:color w:val="000000" w:themeColor="text1"/>
                <w:kern w:val="0"/>
                <w:szCs w:val="21"/>
                <w14:textFill>
                  <w14:solidFill>
                    <w14:schemeClr w14:val="tx1"/>
                  </w14:solidFill>
                </w14:textFill>
              </w:rPr>
              <w:t>要求</w:t>
            </w:r>
            <w:r>
              <w:rPr>
                <w:rFonts w:hint="eastAsia" w:ascii="宋体" w:hAnsi="宋体" w:cs="宋体"/>
                <w:color w:val="000000" w:themeColor="text1"/>
                <w:kern w:val="0"/>
                <w:szCs w:val="21"/>
                <w:lang w:val="en-US" w:eastAsia="zh-CN"/>
                <w14:textFill>
                  <w14:solidFill>
                    <w14:schemeClr w14:val="tx1"/>
                  </w14:solidFill>
                </w14:textFill>
              </w:rPr>
              <w:t>必须</w:t>
            </w:r>
            <w:r>
              <w:rPr>
                <w:rFonts w:hint="eastAsia" w:ascii="宋体" w:hAnsi="宋体" w:cs="宋体"/>
                <w:color w:val="000000" w:themeColor="text1"/>
                <w:kern w:val="0"/>
                <w:szCs w:val="21"/>
                <w14:textFill>
                  <w14:solidFill>
                    <w14:schemeClr w14:val="tx1"/>
                  </w14:solidFill>
                </w14:textFill>
              </w:rPr>
              <w:t>与庭审主机</w:t>
            </w:r>
            <w:r>
              <w:rPr>
                <w:rFonts w:ascii="宋体" w:hAnsi="宋体" w:cs="宋体"/>
                <w:color w:val="000000" w:themeColor="text1"/>
                <w:kern w:val="0"/>
                <w:szCs w:val="21"/>
                <w14:textFill>
                  <w14:solidFill>
                    <w14:schemeClr w14:val="tx1"/>
                  </w14:solidFill>
                </w14:textFill>
              </w:rPr>
              <w:t>兼容</w:t>
            </w:r>
            <w:r>
              <w:rPr>
                <w:rFonts w:hint="eastAsia" w:ascii="宋体" w:hAnsi="宋体" w:cs="宋体"/>
                <w:color w:val="000000" w:themeColor="text1"/>
                <w:kern w:val="0"/>
                <w:szCs w:val="21"/>
                <w:lang w:eastAsia="zh-CN"/>
                <w14:textFill>
                  <w14:solidFill>
                    <w14:schemeClr w14:val="tx1"/>
                  </w14:solidFill>
                </w14:textFill>
              </w:rPr>
              <w:t>，</w:t>
            </w:r>
            <w:r>
              <w:rPr>
                <w:rFonts w:ascii="宋体" w:hAnsi="宋体" w:cs="宋体"/>
                <w:color w:val="000000" w:themeColor="text1"/>
                <w:kern w:val="0"/>
                <w:szCs w:val="21"/>
                <w14:textFill>
                  <w14:solidFill>
                    <w14:schemeClr w14:val="tx1"/>
                  </w14:solidFill>
                </w14:textFill>
              </w:rPr>
              <w:t>性</w:t>
            </w:r>
            <w:r>
              <w:rPr>
                <w:rFonts w:hint="eastAsia" w:ascii="宋体" w:hAnsi="宋体" w:cs="宋体"/>
                <w:color w:val="000000" w:themeColor="text1"/>
                <w:kern w:val="0"/>
                <w:szCs w:val="21"/>
                <w:lang w:val="en-US" w:eastAsia="zh-CN"/>
                <w14:textFill>
                  <w14:solidFill>
                    <w14:schemeClr w14:val="tx1"/>
                  </w14:solidFill>
                </w14:textFill>
              </w:rPr>
              <w:t>能稳定正常配套使用</w:t>
            </w:r>
            <w:r>
              <w:rPr>
                <w:rFonts w:hint="eastAsia" w:ascii="宋体" w:hAnsi="宋体" w:cs="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11</w:t>
            </w:r>
          </w:p>
        </w:tc>
        <w:tc>
          <w:tcPr>
            <w:tcW w:w="417" w:type="dxa"/>
            <w:vMerge w:val="restart"/>
            <w:vAlign w:val="center"/>
          </w:tcPr>
          <w:p>
            <w:pPr>
              <w:widowControl/>
              <w:spacing w:line="360" w:lineRule="auto"/>
              <w:jc w:val="center"/>
              <w:rPr>
                <w:rFonts w:ascii="宋体" w:hAnsi="宋体" w:cs="宋体"/>
                <w:kern w:val="0"/>
                <w:szCs w:val="21"/>
              </w:rPr>
            </w:pPr>
            <w:r>
              <w:rPr>
                <w:rFonts w:hint="eastAsia" w:ascii="宋体" w:hAnsi="宋体" w:cs="宋体"/>
                <w:kern w:val="0"/>
                <w:szCs w:val="21"/>
              </w:rPr>
              <w:t>其他</w:t>
            </w: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千兆交换机</w:t>
            </w:r>
          </w:p>
        </w:tc>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台</w:t>
            </w:r>
          </w:p>
        </w:tc>
        <w:tc>
          <w:tcPr>
            <w:tcW w:w="7000" w:type="dxa"/>
            <w:vAlign w:val="center"/>
          </w:tcPr>
          <w:p>
            <w:pPr>
              <w:widowControl/>
              <w:spacing w:line="360" w:lineRule="auto"/>
              <w:rPr>
                <w:rFonts w:ascii="宋体" w:hAnsi="宋体" w:cs="宋体"/>
                <w:kern w:val="0"/>
                <w:szCs w:val="21"/>
              </w:rPr>
            </w:pPr>
            <w:r>
              <w:rPr>
                <w:rFonts w:hint="eastAsia" w:ascii="宋体" w:hAnsi="宋体" w:cs="宋体"/>
                <w:kern w:val="0"/>
                <w:szCs w:val="21"/>
              </w:rPr>
              <w:t>16口千兆网络交换机。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12</w:t>
            </w:r>
          </w:p>
        </w:tc>
        <w:tc>
          <w:tcPr>
            <w:tcW w:w="417"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网络机柜</w:t>
            </w:r>
          </w:p>
        </w:tc>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台</w:t>
            </w:r>
          </w:p>
        </w:tc>
        <w:tc>
          <w:tcPr>
            <w:tcW w:w="7000" w:type="dxa"/>
            <w:vAlign w:val="center"/>
          </w:tcPr>
          <w:p>
            <w:pPr>
              <w:widowControl/>
              <w:spacing w:line="360" w:lineRule="auto"/>
              <w:rPr>
                <w:rFonts w:ascii="宋体" w:hAnsi="宋体" w:cs="宋体"/>
                <w:kern w:val="0"/>
                <w:szCs w:val="21"/>
              </w:rPr>
            </w:pPr>
            <w:r>
              <w:rPr>
                <w:rFonts w:hint="eastAsia" w:ascii="宋体" w:hAnsi="宋体" w:cs="宋体"/>
                <w:kern w:val="0"/>
                <w:szCs w:val="21"/>
              </w:rPr>
              <w:t>1.产品类型：网络机柜</w:t>
            </w:r>
            <w:r>
              <w:rPr>
                <w:rFonts w:hint="eastAsia" w:ascii="宋体" w:hAnsi="宋体" w:cs="宋体"/>
                <w:kern w:val="0"/>
                <w:szCs w:val="21"/>
              </w:rPr>
              <w:br w:type="textWrapping"/>
            </w:r>
            <w:r>
              <w:rPr>
                <w:rFonts w:hint="eastAsia" w:ascii="宋体" w:hAnsi="宋体" w:cs="宋体"/>
                <w:kern w:val="0"/>
                <w:szCs w:val="21"/>
              </w:rPr>
              <w:t>2.机柜容量：22U；</w:t>
            </w:r>
            <w:r>
              <w:rPr>
                <w:rFonts w:hint="eastAsia" w:ascii="宋体" w:hAnsi="宋体" w:cs="宋体"/>
                <w:kern w:val="0"/>
                <w:szCs w:val="21"/>
              </w:rPr>
              <w:br w:type="textWrapping"/>
            </w:r>
            <w:r>
              <w:rPr>
                <w:rFonts w:hint="eastAsia" w:ascii="宋体" w:hAnsi="宋体" w:cs="宋体"/>
                <w:kern w:val="0"/>
                <w:szCs w:val="21"/>
              </w:rPr>
              <w:t>3.材料及工艺：材料SPSS采用优质冷轧钢板；</w:t>
            </w:r>
            <w:r>
              <w:rPr>
                <w:rFonts w:hint="eastAsia" w:ascii="宋体" w:hAnsi="宋体" w:cs="宋体"/>
                <w:kern w:val="0"/>
                <w:szCs w:val="21"/>
              </w:rPr>
              <w:br w:type="textWrapping"/>
            </w:r>
            <w:r>
              <w:rPr>
                <w:rFonts w:hint="eastAsia" w:ascii="宋体" w:hAnsi="宋体" w:cs="宋体"/>
                <w:kern w:val="0"/>
                <w:szCs w:val="21"/>
              </w:rPr>
              <w:t>4.规格：600×600×1166；</w:t>
            </w:r>
            <w:r>
              <w:rPr>
                <w:rFonts w:hint="eastAsia" w:ascii="宋体" w:hAnsi="宋体" w:cs="宋体"/>
                <w:kern w:val="0"/>
                <w:szCs w:val="21"/>
              </w:rPr>
              <w:br w:type="textWrapping"/>
            </w:r>
            <w:r>
              <w:rPr>
                <w:rFonts w:hint="eastAsia" w:ascii="宋体" w:hAnsi="宋体" w:cs="宋体"/>
                <w:kern w:val="0"/>
                <w:szCs w:val="21"/>
              </w:rPr>
              <w:t>5.产品标准:符合</w:t>
            </w:r>
            <w:r>
              <w:rPr>
                <w:rFonts w:hint="eastAsia" w:ascii="宋体" w:hAnsi="宋体" w:cs="宋体"/>
                <w:kern w:val="0"/>
                <w:szCs w:val="21"/>
                <w:lang w:val="en-US" w:eastAsia="zh-CN"/>
              </w:rPr>
              <w:t>国家</w:t>
            </w:r>
            <w:r>
              <w:rPr>
                <w:rFonts w:hint="eastAsia" w:ascii="宋体" w:hAnsi="宋体" w:cs="宋体"/>
                <w:kern w:val="0"/>
                <w:szCs w:val="21"/>
              </w:rPr>
              <w:t>标准；</w:t>
            </w:r>
            <w:r>
              <w:rPr>
                <w:rFonts w:hint="eastAsia" w:ascii="宋体" w:hAnsi="宋体" w:cs="宋体"/>
                <w:kern w:val="0"/>
                <w:szCs w:val="21"/>
              </w:rPr>
              <w:br w:type="textWrapping"/>
            </w:r>
            <w:r>
              <w:rPr>
                <w:rFonts w:hint="eastAsia" w:ascii="宋体" w:hAnsi="宋体" w:cs="宋体"/>
                <w:kern w:val="0"/>
                <w:szCs w:val="21"/>
              </w:rPr>
              <w:t>6.产品承重:静载800KG；</w:t>
            </w:r>
            <w:r>
              <w:rPr>
                <w:rFonts w:hint="eastAsia" w:ascii="宋体" w:hAnsi="宋体" w:cs="宋体"/>
                <w:kern w:val="0"/>
                <w:szCs w:val="21"/>
              </w:rPr>
              <w:br w:type="textWrapping"/>
            </w:r>
            <w:r>
              <w:rPr>
                <w:rFonts w:hint="eastAsia" w:ascii="宋体" w:hAnsi="宋体" w:cs="宋体"/>
                <w:kern w:val="0"/>
                <w:szCs w:val="21"/>
              </w:rPr>
              <w:t>7.防护等级:IP20；</w:t>
            </w:r>
            <w:r>
              <w:rPr>
                <w:rFonts w:hint="eastAsia" w:ascii="宋体" w:hAnsi="宋体" w:cs="宋体"/>
                <w:kern w:val="0"/>
                <w:szCs w:val="21"/>
              </w:rPr>
              <w:br w:type="textWrapping"/>
            </w:r>
            <w:r>
              <w:rPr>
                <w:rFonts w:hint="eastAsia" w:ascii="宋体" w:hAnsi="宋体" w:cs="宋体"/>
                <w:kern w:val="0"/>
                <w:szCs w:val="21"/>
              </w:rPr>
              <w:t>8.表面处理:方孔条镀蓝锌，其余脱脂，磷化，静电喷塑。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dxa"/>
            <w:vMerge w:val="restart"/>
            <w:vAlign w:val="center"/>
          </w:tcPr>
          <w:p>
            <w:pPr>
              <w:widowControl/>
              <w:spacing w:line="360" w:lineRule="auto"/>
              <w:jc w:val="center"/>
              <w:rPr>
                <w:rFonts w:hint="eastAsia" w:ascii="宋体" w:hAnsi="宋体" w:cs="宋体"/>
                <w:kern w:val="0"/>
                <w:szCs w:val="21"/>
              </w:rPr>
            </w:pPr>
            <w:r>
              <w:rPr>
                <w:rFonts w:hint="eastAsia" w:ascii="宋体" w:hAnsi="宋体" w:cs="宋体"/>
                <w:kern w:val="0"/>
                <w:szCs w:val="21"/>
              </w:rPr>
              <w:t>13</w:t>
            </w:r>
          </w:p>
          <w:p>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417" w:type="dxa"/>
            <w:vMerge w:val="restart"/>
            <w:vAlign w:val="center"/>
          </w:tcPr>
          <w:p>
            <w:pPr>
              <w:widowControl/>
              <w:spacing w:line="360" w:lineRule="auto"/>
              <w:jc w:val="center"/>
              <w:rPr>
                <w:rFonts w:ascii="宋体" w:hAnsi="宋体" w:cs="宋体"/>
                <w:kern w:val="0"/>
                <w:szCs w:val="21"/>
              </w:rPr>
            </w:pPr>
            <w:r>
              <w:rPr>
                <w:rFonts w:hint="eastAsia" w:ascii="宋体" w:hAnsi="宋体" w:cs="宋体"/>
                <w:kern w:val="0"/>
                <w:szCs w:val="21"/>
              </w:rPr>
              <w:t>书记员操作平台</w:t>
            </w: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国产台式机</w:t>
            </w:r>
          </w:p>
        </w:tc>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8</w:t>
            </w:r>
          </w:p>
        </w:tc>
        <w:tc>
          <w:tcPr>
            <w:tcW w:w="440" w:type="dxa"/>
            <w:noWrap/>
            <w:vAlign w:val="center"/>
          </w:tcPr>
          <w:p>
            <w:pPr>
              <w:widowControl/>
              <w:spacing w:line="360" w:lineRule="auto"/>
              <w:rPr>
                <w:rFonts w:ascii="宋体" w:hAnsi="宋体" w:cs="宋体"/>
                <w:kern w:val="0"/>
                <w:szCs w:val="21"/>
              </w:rPr>
            </w:pPr>
            <w:r>
              <w:rPr>
                <w:rFonts w:hint="eastAsia" w:ascii="宋体" w:hAnsi="宋体" w:cs="宋体"/>
                <w:kern w:val="0"/>
                <w:szCs w:val="21"/>
              </w:rPr>
              <w:t>台</w:t>
            </w:r>
          </w:p>
        </w:tc>
        <w:tc>
          <w:tcPr>
            <w:tcW w:w="7000" w:type="dxa"/>
            <w:vAlign w:val="center"/>
          </w:tcPr>
          <w:p>
            <w:pPr>
              <w:widowControl/>
              <w:spacing w:line="360" w:lineRule="auto"/>
              <w:rPr>
                <w:rFonts w:hint="eastAsia" w:ascii="宋体" w:hAnsi="宋体" w:cs="宋体"/>
                <w:color w:val="auto"/>
                <w:kern w:val="0"/>
                <w:szCs w:val="21"/>
                <w:lang w:eastAsia="zh-CN"/>
              </w:rPr>
            </w:pPr>
            <w:r>
              <w:rPr>
                <w:rFonts w:hint="eastAsia" w:ascii="宋体" w:hAnsi="宋体" w:cs="宋体"/>
                <w:color w:val="auto"/>
                <w:kern w:val="0"/>
                <w:szCs w:val="21"/>
              </w:rPr>
              <w:t>具体参数详见附件一《席位主机（台式计算机）政府采购需求》</w:t>
            </w:r>
            <w:r>
              <w:rPr>
                <w:rFonts w:hint="eastAsia" w:ascii="宋体" w:hAnsi="宋体" w:cs="宋体"/>
                <w:color w:val="auto"/>
                <w:kern w:val="0"/>
                <w:szCs w:val="21"/>
                <w:lang w:eastAsia="zh-CN"/>
              </w:rPr>
              <w:t>。</w:t>
            </w:r>
          </w:p>
          <w:p>
            <w:pPr>
              <w:widowControl/>
              <w:spacing w:line="360" w:lineRule="auto"/>
              <w:rPr>
                <w:rFonts w:hint="eastAsia"/>
                <w:color w:val="auto"/>
              </w:rPr>
            </w:pPr>
            <w:r>
              <w:rPr>
                <w:rFonts w:hint="eastAsia" w:ascii="宋体" w:hAnsi="宋体" w:cs="宋体"/>
                <w:color w:val="auto"/>
                <w:kern w:val="0"/>
                <w:szCs w:val="21"/>
              </w:rPr>
              <w:t>★</w:t>
            </w:r>
            <w:r>
              <w:rPr>
                <w:rFonts w:hint="eastAsia" w:ascii="宋体" w:hAnsi="宋体" w:cs="宋体"/>
                <w:b/>
                <w:bCs/>
                <w:color w:val="auto"/>
                <w:kern w:val="0"/>
                <w:szCs w:val="21"/>
                <w:lang w:val="zh-CN" w:eastAsia="zh-CN"/>
              </w:rPr>
              <w:t>供应商必须在响应文件中提供所提供产品的3C认证及节能产品认证证书并加盖供应商公章。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dxa"/>
            <w:vMerge w:val="continue"/>
            <w:tcBorders/>
            <w:vAlign w:val="center"/>
          </w:tcPr>
          <w:p>
            <w:pPr>
              <w:widowControl/>
              <w:spacing w:line="360" w:lineRule="auto"/>
              <w:rPr>
                <w:rFonts w:ascii="宋体" w:hAnsi="宋体" w:cs="宋体"/>
                <w:kern w:val="0"/>
                <w:szCs w:val="21"/>
              </w:rPr>
            </w:pPr>
          </w:p>
        </w:tc>
        <w:tc>
          <w:tcPr>
            <w:tcW w:w="417"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显示器</w:t>
            </w:r>
          </w:p>
        </w:tc>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8</w:t>
            </w:r>
          </w:p>
        </w:tc>
        <w:tc>
          <w:tcPr>
            <w:tcW w:w="440" w:type="dxa"/>
            <w:noWrap/>
            <w:vAlign w:val="center"/>
          </w:tcPr>
          <w:p>
            <w:pPr>
              <w:widowControl/>
              <w:spacing w:line="360" w:lineRule="auto"/>
              <w:rPr>
                <w:rFonts w:ascii="宋体" w:hAnsi="宋体" w:cs="宋体"/>
                <w:kern w:val="0"/>
                <w:szCs w:val="21"/>
              </w:rPr>
            </w:pPr>
            <w:r>
              <w:rPr>
                <w:rFonts w:hint="eastAsia" w:ascii="宋体" w:hAnsi="宋体" w:cs="宋体"/>
                <w:kern w:val="0"/>
                <w:szCs w:val="21"/>
              </w:rPr>
              <w:t>台</w:t>
            </w:r>
          </w:p>
        </w:tc>
        <w:tc>
          <w:tcPr>
            <w:tcW w:w="7000" w:type="dxa"/>
            <w:vAlign w:val="center"/>
          </w:tcPr>
          <w:p>
            <w:pPr>
              <w:widowControl/>
              <w:spacing w:line="360" w:lineRule="auto"/>
              <w:rPr>
                <w:rFonts w:hint="eastAsia" w:ascii="宋体" w:hAnsi="宋体" w:cs="宋体"/>
                <w:color w:val="auto"/>
                <w:kern w:val="0"/>
                <w:szCs w:val="21"/>
                <w:lang w:eastAsia="zh-CN"/>
              </w:rPr>
            </w:pPr>
            <w:r>
              <w:rPr>
                <w:rFonts w:hint="eastAsia" w:ascii="宋体" w:hAnsi="宋体" w:cs="宋体"/>
                <w:color w:val="auto"/>
                <w:kern w:val="0"/>
                <w:szCs w:val="21"/>
              </w:rPr>
              <w:t>具体参数详见附件二《桌面显示器采购需求》</w:t>
            </w:r>
            <w:r>
              <w:rPr>
                <w:rFonts w:hint="eastAsia" w:ascii="宋体" w:hAnsi="宋体" w:cs="宋体"/>
                <w:color w:val="auto"/>
                <w:kern w:val="0"/>
                <w:szCs w:val="21"/>
                <w:lang w:eastAsia="zh-CN"/>
              </w:rPr>
              <w:t>。</w:t>
            </w:r>
          </w:p>
          <w:p>
            <w:pPr>
              <w:widowControl/>
              <w:spacing w:line="360" w:lineRule="auto"/>
              <w:rPr>
                <w:rFonts w:hint="eastAsia" w:ascii="宋体" w:hAnsi="宋体" w:cs="宋体"/>
                <w:color w:val="auto"/>
                <w:kern w:val="0"/>
                <w:szCs w:val="21"/>
              </w:rPr>
            </w:pPr>
            <w:r>
              <w:rPr>
                <w:rFonts w:hint="eastAsia" w:ascii="宋体" w:hAnsi="宋体" w:cs="宋体"/>
                <w:color w:val="auto"/>
                <w:kern w:val="0"/>
                <w:szCs w:val="21"/>
              </w:rPr>
              <w:t>★</w:t>
            </w:r>
            <w:r>
              <w:rPr>
                <w:rFonts w:hint="eastAsia" w:ascii="宋体" w:hAnsi="宋体" w:cs="宋体"/>
                <w:b/>
                <w:bCs/>
                <w:color w:val="auto"/>
                <w:kern w:val="0"/>
                <w:szCs w:val="21"/>
                <w:lang w:val="zh-CN" w:eastAsia="zh-CN"/>
              </w:rPr>
              <w:t>响应文件中必须提供该产品由国家确定的认证机构出具的处于有效期之内的节能产品认证证书并加盖供应商公章。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dxa"/>
            <w:vMerge w:val="continue"/>
            <w:tcBorders/>
            <w:vAlign w:val="center"/>
          </w:tcPr>
          <w:p>
            <w:pPr>
              <w:widowControl/>
              <w:spacing w:line="360" w:lineRule="auto"/>
              <w:rPr>
                <w:rFonts w:ascii="宋体" w:hAnsi="宋体" w:cs="宋体"/>
                <w:kern w:val="0"/>
                <w:szCs w:val="21"/>
              </w:rPr>
            </w:pPr>
          </w:p>
        </w:tc>
        <w:tc>
          <w:tcPr>
            <w:tcW w:w="417"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color w:val="auto"/>
                <w:kern w:val="0"/>
                <w:szCs w:val="21"/>
              </w:rPr>
            </w:pPr>
            <w:r>
              <w:rPr>
                <w:rFonts w:hint="eastAsia" w:ascii="宋体" w:hAnsi="宋体" w:cs="宋体"/>
                <w:color w:val="auto"/>
                <w:kern w:val="0"/>
                <w:szCs w:val="21"/>
              </w:rPr>
              <w:t>操作系统</w:t>
            </w:r>
          </w:p>
        </w:tc>
        <w:tc>
          <w:tcPr>
            <w:tcW w:w="417" w:type="dxa"/>
            <w:vAlign w:val="center"/>
          </w:tcPr>
          <w:p>
            <w:pPr>
              <w:widowControl/>
              <w:spacing w:line="360" w:lineRule="auto"/>
              <w:jc w:val="center"/>
              <w:rPr>
                <w:rFonts w:ascii="宋体" w:hAnsi="宋体" w:cs="宋体"/>
                <w:color w:val="auto"/>
                <w:kern w:val="0"/>
                <w:szCs w:val="21"/>
              </w:rPr>
            </w:pPr>
            <w:r>
              <w:rPr>
                <w:rFonts w:hint="eastAsia" w:ascii="宋体" w:hAnsi="宋体" w:cs="宋体"/>
                <w:color w:val="auto"/>
                <w:kern w:val="0"/>
                <w:szCs w:val="21"/>
              </w:rPr>
              <w:t>8</w:t>
            </w:r>
          </w:p>
        </w:tc>
        <w:tc>
          <w:tcPr>
            <w:tcW w:w="440" w:type="dxa"/>
            <w:noWrap/>
            <w:vAlign w:val="center"/>
          </w:tcPr>
          <w:p>
            <w:pPr>
              <w:widowControl/>
              <w:spacing w:line="360" w:lineRule="auto"/>
              <w:rPr>
                <w:rFonts w:ascii="宋体" w:hAnsi="宋体" w:cs="宋体"/>
                <w:color w:val="auto"/>
                <w:kern w:val="0"/>
                <w:szCs w:val="21"/>
              </w:rPr>
            </w:pPr>
            <w:r>
              <w:rPr>
                <w:rFonts w:hint="eastAsia" w:ascii="宋体" w:hAnsi="宋体" w:cs="宋体"/>
                <w:color w:val="auto"/>
                <w:kern w:val="0"/>
                <w:szCs w:val="21"/>
              </w:rPr>
              <w:t>套</w:t>
            </w:r>
          </w:p>
        </w:tc>
        <w:tc>
          <w:tcPr>
            <w:tcW w:w="7000" w:type="dxa"/>
            <w:vAlign w:val="center"/>
          </w:tcPr>
          <w:p>
            <w:pPr>
              <w:widowControl/>
              <w:spacing w:line="360" w:lineRule="auto"/>
              <w:rPr>
                <w:rFonts w:ascii="宋体" w:hAnsi="宋体" w:cs="宋体"/>
                <w:color w:val="auto"/>
                <w:kern w:val="0"/>
                <w:szCs w:val="21"/>
              </w:rPr>
            </w:pPr>
            <w:r>
              <w:rPr>
                <w:rFonts w:hint="eastAsia"/>
                <w:color w:val="auto"/>
              </w:rPr>
              <w:t>具体参数详见附件三《操作系统采购需求》。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dxa"/>
            <w:vMerge w:val="continue"/>
            <w:tcBorders/>
            <w:vAlign w:val="center"/>
          </w:tcPr>
          <w:p>
            <w:pPr>
              <w:widowControl/>
              <w:spacing w:line="360" w:lineRule="auto"/>
              <w:jc w:val="center"/>
              <w:rPr>
                <w:rFonts w:ascii="宋体" w:hAnsi="宋体" w:cs="宋体"/>
                <w:kern w:val="0"/>
                <w:szCs w:val="21"/>
              </w:rPr>
            </w:pPr>
          </w:p>
        </w:tc>
        <w:tc>
          <w:tcPr>
            <w:tcW w:w="417"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流式软件技术</w:t>
            </w:r>
          </w:p>
        </w:tc>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8</w:t>
            </w:r>
          </w:p>
        </w:tc>
        <w:tc>
          <w:tcPr>
            <w:tcW w:w="440" w:type="dxa"/>
            <w:noWrap/>
            <w:vAlign w:val="center"/>
          </w:tcPr>
          <w:p>
            <w:pPr>
              <w:widowControl/>
              <w:spacing w:line="360" w:lineRule="auto"/>
              <w:rPr>
                <w:rFonts w:ascii="宋体" w:hAnsi="宋体" w:cs="宋体"/>
                <w:kern w:val="0"/>
                <w:szCs w:val="21"/>
              </w:rPr>
            </w:pPr>
            <w:r>
              <w:rPr>
                <w:rFonts w:hint="eastAsia" w:ascii="宋体" w:hAnsi="宋体" w:cs="宋体"/>
                <w:kern w:val="0"/>
                <w:szCs w:val="21"/>
              </w:rPr>
              <w:t>套</w:t>
            </w:r>
          </w:p>
        </w:tc>
        <w:tc>
          <w:tcPr>
            <w:tcW w:w="7000" w:type="dxa"/>
            <w:vAlign w:val="center"/>
          </w:tcPr>
          <w:p>
            <w:pPr>
              <w:widowControl/>
              <w:numPr>
                <w:ilvl w:val="0"/>
                <w:numId w:val="3"/>
              </w:numPr>
              <w:spacing w:line="360" w:lineRule="auto"/>
              <w:rPr>
                <w:rFonts w:ascii="宋体" w:hAnsi="宋体" w:cs="宋体"/>
                <w:kern w:val="0"/>
                <w:szCs w:val="21"/>
              </w:rPr>
            </w:pPr>
            <w:r>
              <w:rPr>
                <w:rFonts w:hint="eastAsia" w:ascii="宋体" w:hAnsi="宋体" w:cs="宋体"/>
                <w:kern w:val="0"/>
                <w:szCs w:val="21"/>
              </w:rPr>
              <w:t>通用功能</w:t>
            </w:r>
            <w:r>
              <w:rPr>
                <w:rFonts w:hint="eastAsia" w:ascii="宋体" w:hAnsi="宋体" w:cs="宋体"/>
                <w:kern w:val="0"/>
                <w:szCs w:val="21"/>
              </w:rPr>
              <w:br w:type="textWrapping"/>
            </w:r>
            <w:r>
              <w:rPr>
                <w:rFonts w:hint="eastAsia" w:ascii="宋体" w:hAnsi="宋体" w:cs="宋体"/>
                <w:kern w:val="0"/>
                <w:szCs w:val="21"/>
              </w:rPr>
              <w:t>1) 支持运行于国产化环境，支持国产CPU芯片（鲲鹏、龙芯、飞腾、兆芯）、操作系统（统信、麒麟）。</w:t>
            </w:r>
            <w:r>
              <w:rPr>
                <w:rFonts w:hint="eastAsia" w:ascii="宋体" w:hAnsi="宋体" w:cs="宋体"/>
                <w:kern w:val="0"/>
                <w:szCs w:val="21"/>
              </w:rPr>
              <w:br w:type="textWrapping"/>
            </w:r>
            <w:r>
              <w:rPr>
                <w:rFonts w:hint="eastAsia" w:ascii="宋体" w:hAnsi="宋体" w:cs="宋体"/>
                <w:kern w:val="0"/>
                <w:szCs w:val="21"/>
              </w:rPr>
              <w:t>2) 文字，表格，演示三个组件均支持查找命令功能，输入功能名称后可以模糊匹配查询，帮助用户快速定位到功能入口。</w:t>
            </w:r>
            <w:r>
              <w:rPr>
                <w:rFonts w:hint="eastAsia" w:ascii="宋体" w:hAnsi="宋体" w:cs="宋体"/>
                <w:kern w:val="0"/>
                <w:szCs w:val="21"/>
              </w:rPr>
              <w:br w:type="textWrapping"/>
            </w:r>
            <w:r>
              <w:rPr>
                <w:rFonts w:hint="eastAsia" w:ascii="宋体" w:hAnsi="宋体" w:cs="宋体"/>
                <w:kern w:val="0"/>
                <w:szCs w:val="21"/>
              </w:rPr>
              <w:t>3) ★文字，表格，演示三个组件均支持在输出OFD时可设置输出范围。输出范围支持根据需要仅输出对应的页、工作表或者幻灯片，提高导出效率。</w:t>
            </w:r>
            <w:r>
              <w:rPr>
                <w:rFonts w:hint="eastAsia" w:ascii="宋体" w:hAnsi="宋体" w:cs="宋体"/>
                <w:kern w:val="0"/>
                <w:szCs w:val="21"/>
              </w:rPr>
              <w:br w:type="textWrapping"/>
            </w:r>
            <w:r>
              <w:rPr>
                <w:rFonts w:hint="eastAsia" w:ascii="宋体" w:hAnsi="宋体" w:cs="宋体"/>
                <w:kern w:val="0"/>
                <w:szCs w:val="21"/>
              </w:rPr>
              <w:t>4) 文字、表格、演示三个组件均支持丰富的公式元素、支持更多设置，可以满足各种场景公式编写需求。公式元素包括9种常用的预设函数：三角恒等式、二次公式、二次项定理、勾股定理等；8大类公式符号：基础数学、希腊字母、字符类符号、运算符、箭头、求反关系运算符、手写体、几何学；提供11类函数结构：分数、极限和对数、运算符等。公式选项包含公式的通用设置，比如显示方式和排版位置，每种函数也提供特有的设置项，比如针对大型运算符，支持改变极限符号位置、显示下限、显示上限、拉伸N元运算符，需要更改公式显示效果时，不需要重新插入，只需更改对应的设置项即可。</w:t>
            </w:r>
          </w:p>
          <w:p>
            <w:pPr>
              <w:widowControl/>
              <w:spacing w:line="360" w:lineRule="auto"/>
              <w:rPr>
                <w:rFonts w:ascii="宋体" w:hAnsi="宋体" w:cs="宋体"/>
                <w:kern w:val="0"/>
                <w:szCs w:val="21"/>
              </w:rPr>
            </w:pPr>
            <w:r>
              <w:rPr>
                <w:rFonts w:hint="eastAsia" w:ascii="宋体" w:hAnsi="宋体" w:cs="宋体"/>
                <w:kern w:val="0"/>
                <w:szCs w:val="21"/>
              </w:rPr>
              <w:t>5) ★文字、表格、演示均支持“文档拆分合并”功能。实现对wps、doc、docx、uot3.ppt、pptx、uop3.xls、xlsx、uos3.pdf格式的文档进行合并和拆分，且可自定义不同合并和拆分方式，包括合并范围、输出名称、输出目录、拆分范围等，帮助用户快速整合文档资料。（提供截图说明）</w:t>
            </w:r>
            <w:r>
              <w:rPr>
                <w:rFonts w:hint="eastAsia" w:ascii="宋体" w:hAnsi="宋体" w:cs="宋体"/>
                <w:kern w:val="0"/>
                <w:szCs w:val="21"/>
              </w:rPr>
              <w:br w:type="textWrapping"/>
            </w:r>
            <w:r>
              <w:rPr>
                <w:rFonts w:hint="eastAsia" w:ascii="宋体" w:hAnsi="宋体" w:cs="宋体"/>
                <w:kern w:val="0"/>
                <w:szCs w:val="21"/>
              </w:rPr>
              <w:t>6) ★文字、表格、演示均支持文本识别功能，可以截取系统内的图片或PDF中的文字，进行提取识别，方便用户将已经识别的字符直接添加入文档内，不需要再手动输入。</w:t>
            </w:r>
            <w:r>
              <w:rPr>
                <w:rFonts w:hint="eastAsia" w:ascii="宋体" w:hAnsi="宋体" w:cs="宋体"/>
                <w:kern w:val="0"/>
                <w:szCs w:val="21"/>
              </w:rPr>
              <w:br w:type="textWrapping"/>
            </w:r>
            <w:r>
              <w:rPr>
                <w:rFonts w:hint="eastAsia" w:ascii="宋体" w:hAnsi="宋体" w:cs="宋体"/>
                <w:kern w:val="0"/>
                <w:szCs w:val="21"/>
              </w:rPr>
              <w:t>二、文字模块</w:t>
            </w:r>
            <w:r>
              <w:rPr>
                <w:rFonts w:hint="eastAsia" w:ascii="宋体" w:hAnsi="宋体" w:cs="宋体"/>
                <w:kern w:val="0"/>
                <w:szCs w:val="21"/>
              </w:rPr>
              <w:br w:type="textWrapping"/>
            </w:r>
            <w:r>
              <w:rPr>
                <w:rFonts w:hint="eastAsia" w:ascii="宋体" w:hAnsi="宋体" w:cs="宋体"/>
                <w:kern w:val="0"/>
                <w:szCs w:val="21"/>
              </w:rPr>
              <w:t>1) ★支持本地磁盘文件搜索。可以根据文档名称，文档内容，按照时间及文件类型搜索出符合条件的文档素材，搜索出来的文档支持直接查看和引用，通过引用将文档内容直接插入到需要的文档中。（提供截图说明）</w:t>
            </w:r>
            <w:r>
              <w:rPr>
                <w:rFonts w:hint="eastAsia" w:ascii="宋体" w:hAnsi="宋体" w:cs="宋体"/>
                <w:kern w:val="0"/>
                <w:szCs w:val="21"/>
              </w:rPr>
              <w:br w:type="textWrapping"/>
            </w:r>
            <w:r>
              <w:rPr>
                <w:rFonts w:hint="eastAsia" w:ascii="宋体" w:hAnsi="宋体" w:cs="宋体"/>
                <w:kern w:val="0"/>
                <w:szCs w:val="21"/>
              </w:rPr>
              <w:t>2) 支持垂直审阅窗格、水平审阅窗格两种模式。支持通过审阅人、审阅时间筛选批注信息和修订信息。同时支持答复、解决等批注的操作。提供集中查看操作修订和批注的界面，可清晰查看每个修订和批注的内容方便快速跳转到对应的文档中的内容。尤其对于页数多的文档，可提升相关操作的效率。</w:t>
            </w:r>
            <w:r>
              <w:rPr>
                <w:rFonts w:hint="eastAsia" w:ascii="宋体" w:hAnsi="宋体" w:cs="宋体"/>
                <w:kern w:val="0"/>
                <w:szCs w:val="21"/>
              </w:rPr>
              <w:br w:type="textWrapping"/>
            </w:r>
            <w:r>
              <w:rPr>
                <w:rFonts w:hint="eastAsia" w:ascii="宋体" w:hAnsi="宋体" w:cs="宋体"/>
                <w:kern w:val="0"/>
                <w:szCs w:val="21"/>
              </w:rPr>
              <w:t>3) ★支持章节导航、书签导航功能。“章节导航”支持显示章节内容、更改章节标题、增加节、删除节、合并节。“书签导航”支持显示书签，按照书签的名称和位置排序等。</w:t>
            </w:r>
            <w:r>
              <w:rPr>
                <w:rFonts w:hint="eastAsia" w:ascii="宋体" w:hAnsi="宋体" w:cs="宋体"/>
                <w:kern w:val="0"/>
                <w:szCs w:val="21"/>
              </w:rPr>
              <w:br w:type="textWrapping"/>
            </w:r>
            <w:r>
              <w:rPr>
                <w:rFonts w:hint="eastAsia" w:ascii="宋体" w:hAnsi="宋体" w:cs="宋体"/>
                <w:kern w:val="0"/>
                <w:szCs w:val="21"/>
              </w:rPr>
              <w:t>4) 文字模块支持智能自动识别正文的段落结构，生成对应目录，节省手动设置标题格式时间。支持在导航窗格中进行查找和替换，支持一键全选正文的查找结果。</w:t>
            </w:r>
            <w:r>
              <w:rPr>
                <w:rFonts w:hint="eastAsia" w:ascii="宋体" w:hAnsi="宋体" w:cs="宋体"/>
                <w:kern w:val="0"/>
                <w:szCs w:val="21"/>
              </w:rPr>
              <w:br w:type="textWrapping"/>
            </w:r>
            <w:r>
              <w:rPr>
                <w:rFonts w:hint="eastAsia" w:ascii="宋体" w:hAnsi="宋体" w:cs="宋体"/>
                <w:kern w:val="0"/>
                <w:szCs w:val="21"/>
              </w:rPr>
              <w:t>5) 支持段落柄功能，快速设置、查看当前段落、选区的段落属性。</w:t>
            </w:r>
            <w:r>
              <w:rPr>
                <w:rFonts w:hint="eastAsia" w:ascii="宋体" w:hAnsi="宋体" w:cs="宋体"/>
                <w:kern w:val="0"/>
                <w:szCs w:val="21"/>
              </w:rPr>
              <w:br w:type="textWrapping"/>
            </w:r>
            <w:r>
              <w:rPr>
                <w:rFonts w:hint="eastAsia" w:ascii="宋体" w:hAnsi="宋体" w:cs="宋体"/>
                <w:kern w:val="0"/>
                <w:szCs w:val="21"/>
              </w:rPr>
              <w:br w:type="textWrapping"/>
            </w:r>
            <w:r>
              <w:rPr>
                <w:rFonts w:hint="eastAsia" w:ascii="宋体" w:hAnsi="宋体" w:cs="宋体"/>
                <w:kern w:val="0"/>
                <w:szCs w:val="21"/>
              </w:rPr>
              <w:t>三、表格模块</w:t>
            </w:r>
            <w:r>
              <w:rPr>
                <w:rFonts w:hint="eastAsia" w:ascii="宋体" w:hAnsi="宋体" w:cs="宋体"/>
                <w:kern w:val="0"/>
                <w:szCs w:val="21"/>
              </w:rPr>
              <w:br w:type="textWrapping"/>
            </w:r>
            <w:r>
              <w:rPr>
                <w:rFonts w:hint="eastAsia" w:ascii="宋体" w:hAnsi="宋体" w:cs="宋体"/>
                <w:kern w:val="0"/>
                <w:szCs w:val="21"/>
              </w:rPr>
              <w:t>1) 支持多种类型的错误检查，包括数字以文本形式存储、单元格前后有空字符串等错误类型，同时支持错误指示器，能够非常容易地看到出现错误的单元格。</w:t>
            </w:r>
            <w:r>
              <w:rPr>
                <w:rFonts w:hint="eastAsia" w:ascii="宋体" w:hAnsi="宋体" w:cs="宋体"/>
                <w:kern w:val="0"/>
                <w:szCs w:val="21"/>
              </w:rPr>
              <w:br w:type="textWrapping"/>
            </w:r>
            <w:r>
              <w:rPr>
                <w:rFonts w:hint="eastAsia" w:ascii="宋体" w:hAnsi="宋体" w:cs="宋体"/>
                <w:kern w:val="0"/>
                <w:szCs w:val="21"/>
              </w:rPr>
              <w:t>2) ★支持智能填充。根据已有的示例结果，一键智能分析出结果与原始数据之间的关系，据此填充同列的</w:t>
            </w:r>
            <w:r>
              <w:rPr>
                <w:rFonts w:hint="eastAsia" w:ascii="宋体" w:hAnsi="宋体" w:cs="宋体"/>
                <w:kern w:val="0"/>
                <w:szCs w:val="21"/>
              </w:rPr>
              <w:br w:type="textWrapping"/>
            </w:r>
            <w:r>
              <w:rPr>
                <w:rFonts w:hint="eastAsia" w:ascii="宋体" w:hAnsi="宋体" w:cs="宋体"/>
                <w:kern w:val="0"/>
                <w:szCs w:val="21"/>
              </w:rPr>
              <w:t>3) 支持单元格格式支持正负号自动识别。在数据需要校验时，此格式设置可以在数字前自动生成正负号，方便用户判断。</w:t>
            </w:r>
            <w:r>
              <w:rPr>
                <w:rFonts w:hint="eastAsia" w:ascii="宋体" w:hAnsi="宋体" w:cs="宋体"/>
                <w:kern w:val="0"/>
                <w:szCs w:val="21"/>
              </w:rPr>
              <w:br w:type="textWrapping"/>
            </w:r>
            <w:r>
              <w:rPr>
                <w:rFonts w:hint="eastAsia" w:ascii="宋体" w:hAnsi="宋体" w:cs="宋体"/>
                <w:kern w:val="0"/>
                <w:szCs w:val="21"/>
              </w:rPr>
              <w:t>4) ★支持“切片器”。通过插入单个或多个切片器，让用户更直观地筛选数据透视表，比普通筛选更灵活更方便。</w:t>
            </w:r>
            <w:r>
              <w:rPr>
                <w:rFonts w:hint="eastAsia" w:ascii="宋体" w:hAnsi="宋体" w:cs="宋体"/>
                <w:kern w:val="0"/>
                <w:szCs w:val="21"/>
              </w:rPr>
              <w:br w:type="textWrapping"/>
            </w:r>
            <w:r>
              <w:rPr>
                <w:rFonts w:hint="eastAsia" w:ascii="宋体" w:hAnsi="宋体" w:cs="宋体"/>
                <w:kern w:val="0"/>
                <w:szCs w:val="21"/>
              </w:rPr>
              <w:t>5) 支持“文件瘦身”。该功能可以通过对文件中的对象、重复样式、空白单元格内容进行瘦身，减小文件体积，提升文件打开效率。</w:t>
            </w:r>
            <w:r>
              <w:rPr>
                <w:rFonts w:hint="eastAsia" w:ascii="宋体" w:hAnsi="宋体" w:cs="宋体"/>
                <w:kern w:val="0"/>
                <w:szCs w:val="21"/>
              </w:rPr>
              <w:br w:type="textWrapping"/>
            </w:r>
            <w:r>
              <w:rPr>
                <w:rFonts w:hint="eastAsia" w:ascii="宋体" w:hAnsi="宋体" w:cs="宋体"/>
                <w:kern w:val="0"/>
                <w:szCs w:val="21"/>
              </w:rPr>
              <w:br w:type="textWrapping"/>
            </w:r>
            <w:r>
              <w:rPr>
                <w:rFonts w:hint="eastAsia" w:ascii="宋体" w:hAnsi="宋体" w:cs="宋体"/>
                <w:kern w:val="0"/>
                <w:szCs w:val="21"/>
              </w:rPr>
              <w:t>四、演示模块</w:t>
            </w:r>
            <w:r>
              <w:rPr>
                <w:rFonts w:hint="eastAsia" w:ascii="宋体" w:hAnsi="宋体" w:cs="宋体"/>
                <w:kern w:val="0"/>
                <w:szCs w:val="21"/>
              </w:rPr>
              <w:br w:type="textWrapping"/>
            </w:r>
            <w:r>
              <w:rPr>
                <w:rFonts w:hint="eastAsia" w:ascii="宋体" w:hAnsi="宋体" w:cs="宋体"/>
                <w:kern w:val="0"/>
                <w:szCs w:val="21"/>
              </w:rPr>
              <w:t>1) ★演示组件，支持多种智能图形（兼容SmartArt）的插入和编辑。包括层次结构、列表、循环、流程等，方便用户使用及创造更加多元化演示文稿。</w:t>
            </w:r>
            <w:r>
              <w:rPr>
                <w:rFonts w:hint="eastAsia" w:ascii="宋体" w:hAnsi="宋体" w:cs="宋体"/>
                <w:kern w:val="0"/>
                <w:szCs w:val="21"/>
              </w:rPr>
              <w:br w:type="textWrapping"/>
            </w:r>
            <w:r>
              <w:rPr>
                <w:rFonts w:hint="eastAsia" w:ascii="宋体" w:hAnsi="宋体" w:cs="宋体"/>
                <w:kern w:val="0"/>
                <w:szCs w:val="21"/>
              </w:rPr>
              <w:t>2) 支持将演示文件及相关媒体文件打包成文件夹/压缩文件，方便用户携带及使用，避免文档流转时媒体文件无法播放。</w:t>
            </w:r>
            <w:r>
              <w:rPr>
                <w:rFonts w:hint="eastAsia" w:ascii="宋体" w:hAnsi="宋体" w:cs="宋体"/>
                <w:kern w:val="0"/>
                <w:szCs w:val="21"/>
              </w:rPr>
              <w:br w:type="textWrapping"/>
            </w:r>
            <w:r>
              <w:rPr>
                <w:rFonts w:hint="eastAsia" w:ascii="宋体" w:hAnsi="宋体" w:cs="宋体"/>
                <w:kern w:val="0"/>
                <w:szCs w:val="21"/>
              </w:rPr>
              <w:t>3) ★支持嵌入音频/视频媒体对象嵌入后能跟随文档一起，支持将幻灯片背景另存为图片。</w:t>
            </w:r>
            <w:r>
              <w:rPr>
                <w:rFonts w:hint="eastAsia" w:ascii="宋体" w:hAnsi="宋体" w:cs="宋体"/>
                <w:kern w:val="0"/>
                <w:szCs w:val="21"/>
              </w:rPr>
              <w:br w:type="textWrapping"/>
            </w:r>
            <w:r>
              <w:rPr>
                <w:rFonts w:hint="eastAsia" w:ascii="宋体" w:hAnsi="宋体" w:cs="宋体"/>
                <w:kern w:val="0"/>
                <w:szCs w:val="21"/>
              </w:rPr>
              <w:t>4) 支持动画刷的功能，方便用户快速将指定的对话应用到其他对象上，节省添加动画时间。</w:t>
            </w:r>
            <w:r>
              <w:rPr>
                <w:rFonts w:hint="eastAsia" w:ascii="宋体" w:hAnsi="宋体" w:cs="宋体"/>
                <w:kern w:val="0"/>
                <w:szCs w:val="21"/>
              </w:rPr>
              <w:br w:type="textWrapping"/>
            </w:r>
            <w:r>
              <w:rPr>
                <w:rFonts w:hint="eastAsia" w:ascii="宋体" w:hAnsi="宋体" w:cs="宋体"/>
                <w:kern w:val="0"/>
                <w:szCs w:val="21"/>
              </w:rPr>
              <w:t>5) 普通视图支持使用画笔工具绘制墨迹，方便用户随手绘制墨迹内容，更加灵活。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　</w:t>
            </w:r>
          </w:p>
        </w:tc>
        <w:tc>
          <w:tcPr>
            <w:tcW w:w="417"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版式软件</w:t>
            </w:r>
          </w:p>
        </w:tc>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8</w:t>
            </w:r>
          </w:p>
        </w:tc>
        <w:tc>
          <w:tcPr>
            <w:tcW w:w="440" w:type="dxa"/>
            <w:noWrap/>
            <w:vAlign w:val="center"/>
          </w:tcPr>
          <w:p>
            <w:pPr>
              <w:widowControl/>
              <w:spacing w:line="360" w:lineRule="auto"/>
              <w:rPr>
                <w:rFonts w:ascii="宋体" w:hAnsi="宋体" w:cs="宋体"/>
                <w:kern w:val="0"/>
                <w:szCs w:val="21"/>
              </w:rPr>
            </w:pPr>
            <w:r>
              <w:rPr>
                <w:rFonts w:hint="eastAsia" w:ascii="宋体" w:hAnsi="宋体" w:cs="宋体"/>
                <w:kern w:val="0"/>
                <w:szCs w:val="21"/>
              </w:rPr>
              <w:t>套</w:t>
            </w:r>
          </w:p>
        </w:tc>
        <w:tc>
          <w:tcPr>
            <w:tcW w:w="7000" w:type="dxa"/>
            <w:vAlign w:val="center"/>
          </w:tcPr>
          <w:p>
            <w:pPr>
              <w:widowControl/>
              <w:numPr>
                <w:ilvl w:val="0"/>
                <w:numId w:val="4"/>
              </w:numPr>
              <w:spacing w:line="360" w:lineRule="auto"/>
              <w:rPr>
                <w:rFonts w:hint="eastAsia" w:ascii="宋体" w:hAnsi="宋体" w:cs="宋体"/>
                <w:kern w:val="0"/>
                <w:szCs w:val="21"/>
              </w:rPr>
            </w:pPr>
            <w:r>
              <w:rPr>
                <w:rFonts w:hint="eastAsia" w:ascii="宋体" w:hAnsi="宋体" w:cs="宋体"/>
                <w:kern w:val="0"/>
                <w:szCs w:val="21"/>
              </w:rPr>
              <w:t>符合OFD版式文档格式标准及电子公文应用领域的相关标准规范，具备OFD文件的编辑、检索、打印、水印、加解密、电子印章、手写签批、页面管理、注释管理、视图管理、语义管理等功能，以及功能说明书内的全部功能，通过国家保密科技评测中心的涉密信息系统产品检测并提供证书。</w:t>
            </w:r>
            <w:r>
              <w:rPr>
                <w:rFonts w:hint="eastAsia" w:ascii="宋体" w:hAnsi="宋体" w:cs="宋体"/>
                <w:kern w:val="0"/>
                <w:szCs w:val="21"/>
              </w:rPr>
              <w:br w:type="textWrapping"/>
            </w:r>
            <w:r>
              <w:rPr>
                <w:rFonts w:hint="eastAsia" w:ascii="宋体" w:hAnsi="宋体" w:cs="宋体"/>
                <w:kern w:val="0"/>
                <w:szCs w:val="21"/>
              </w:rPr>
              <w:t>(2) 文件操作，提供OFD/PDF版式文档打开、保存、另存、打印等基础功能，支持直接阅读ceb、cebx、sep、gw、gd、s2.s10.s92.s72.docx、xlsx、pptx、tiff、tif、jpg、jpeg、png、bmp、sfd等格式文档，可将打开文档导出为图片、PDF或TXT格式文档。</w:t>
            </w:r>
            <w:r>
              <w:rPr>
                <w:rFonts w:hint="eastAsia" w:ascii="宋体" w:hAnsi="宋体" w:cs="宋体"/>
                <w:kern w:val="0"/>
                <w:szCs w:val="21"/>
              </w:rPr>
              <w:br w:type="textWrapping"/>
            </w:r>
            <w:r>
              <w:rPr>
                <w:rFonts w:hint="eastAsia" w:ascii="宋体" w:hAnsi="宋体" w:cs="宋体"/>
                <w:kern w:val="0"/>
                <w:szCs w:val="21"/>
              </w:rPr>
              <w:t>(3) 阅读操作，支持翻页、跳转、缩放、全屏阅览，支持缩略图、大纲、语义、书签、数字签名、附件等导览功能。</w:t>
            </w:r>
            <w:r>
              <w:rPr>
                <w:rFonts w:hint="eastAsia" w:ascii="宋体" w:hAnsi="宋体" w:cs="宋体"/>
                <w:kern w:val="0"/>
                <w:szCs w:val="21"/>
              </w:rPr>
              <w:br w:type="textWrapping"/>
            </w:r>
            <w:r>
              <w:rPr>
                <w:rFonts w:hint="eastAsia" w:ascii="宋体" w:hAnsi="宋体" w:cs="宋体"/>
                <w:kern w:val="0"/>
                <w:szCs w:val="21"/>
              </w:rPr>
              <w:t>(4) ★文档编辑，支持OFD/PDF文档中的文字编辑、图片编辑功能，可在文档页面任意位置添加文本，可设置文本字体、字号、颜色等属性。</w:t>
            </w:r>
          </w:p>
          <w:p>
            <w:pPr>
              <w:widowControl/>
              <w:numPr>
                <w:ilvl w:val="0"/>
                <w:numId w:val="0"/>
              </w:numPr>
              <w:spacing w:line="360" w:lineRule="auto"/>
              <w:rPr>
                <w:rFonts w:ascii="宋体" w:hAnsi="宋体" w:cs="宋体"/>
                <w:kern w:val="0"/>
                <w:szCs w:val="21"/>
              </w:rPr>
            </w:pPr>
            <w:r>
              <w:rPr>
                <w:rFonts w:hint="eastAsia" w:ascii="宋体" w:hAnsi="宋体" w:cs="宋体"/>
                <w:kern w:val="0"/>
                <w:szCs w:val="21"/>
              </w:rPr>
              <w:t>(5) 电子签章，支持加盖电子签章和验章功能，普通盖章、骑缝章、署名章、预盖章、批量盖章等功能。</w:t>
            </w:r>
            <w:r>
              <w:rPr>
                <w:rFonts w:hint="eastAsia" w:ascii="宋体" w:hAnsi="宋体" w:cs="宋体"/>
                <w:kern w:val="0"/>
                <w:szCs w:val="21"/>
              </w:rPr>
              <w:br w:type="textWrapping"/>
            </w:r>
            <w:r>
              <w:rPr>
                <w:rFonts w:hint="eastAsia" w:ascii="宋体" w:hAnsi="宋体" w:cs="宋体"/>
                <w:kern w:val="0"/>
                <w:szCs w:val="21"/>
              </w:rPr>
              <w:t>(6) 修订注释，支持批注、删除、插入、替换、移动、修改、增加间距、缩小间距、前移、后移、切换字体等修订标记；支持图形注释、文本注释、文本框注释功能。</w:t>
            </w:r>
            <w:r>
              <w:rPr>
                <w:rFonts w:hint="eastAsia" w:ascii="宋体" w:hAnsi="宋体" w:cs="宋体"/>
                <w:kern w:val="0"/>
                <w:szCs w:val="21"/>
              </w:rPr>
              <w:br w:type="textWrapping"/>
            </w:r>
            <w:r>
              <w:rPr>
                <w:rFonts w:hint="eastAsia" w:ascii="宋体" w:hAnsi="宋体" w:cs="宋体"/>
                <w:kern w:val="0"/>
                <w:szCs w:val="21"/>
              </w:rPr>
              <w:t>(7) 手写签批，支持签字笔（粗、细）、软笔签批用笔选择，支持压感笔锋功能，根据写入时的用力大小来显示字体笔画的粗细程度，提供橡皮擦功能。</w:t>
            </w:r>
            <w:r>
              <w:rPr>
                <w:rFonts w:hint="eastAsia" w:ascii="宋体" w:hAnsi="宋体" w:cs="宋体"/>
                <w:kern w:val="0"/>
                <w:szCs w:val="21"/>
              </w:rPr>
              <w:br w:type="textWrapping"/>
            </w:r>
            <w:r>
              <w:rPr>
                <w:rFonts w:hint="eastAsia" w:ascii="宋体" w:hAnsi="宋体" w:cs="宋体"/>
                <w:kern w:val="0"/>
                <w:szCs w:val="21"/>
              </w:rPr>
              <w:t>(8) ★页面处理，支持拆分OFD；提供插入、删除、替换、提取、交换、移动等页面处理功能。需提供国家级第三方测试机构提供的测试报告</w:t>
            </w:r>
            <w:r>
              <w:rPr>
                <w:rFonts w:hint="eastAsia" w:ascii="宋体" w:hAnsi="宋体" w:cs="宋体"/>
                <w:kern w:val="0"/>
                <w:szCs w:val="21"/>
              </w:rPr>
              <w:br w:type="textWrapping"/>
            </w:r>
            <w:r>
              <w:rPr>
                <w:rFonts w:hint="eastAsia" w:ascii="宋体" w:hAnsi="宋体" w:cs="宋体"/>
                <w:kern w:val="0"/>
                <w:szCs w:val="21"/>
              </w:rPr>
              <w:t>(9) ★安全性，提供保存、另存、打印、复制、截屏等禁用控制功能，支持国密https打开远程文件，可为文档添加阅读有效期和操作权限，提供加密保护功能。</w:t>
            </w:r>
            <w:r>
              <w:rPr>
                <w:rFonts w:hint="eastAsia" w:ascii="宋体" w:hAnsi="宋体" w:cs="宋体"/>
                <w:kern w:val="0"/>
                <w:szCs w:val="21"/>
              </w:rPr>
              <w:br w:type="textWrapping"/>
            </w:r>
            <w:r>
              <w:rPr>
                <w:rFonts w:hint="eastAsia" w:ascii="宋体" w:hAnsi="宋体" w:cs="宋体"/>
                <w:kern w:val="0"/>
                <w:szCs w:val="21"/>
              </w:rPr>
              <w:t>(10) 支持通过统一管理系统进行版本升级、补丁分发、监控管理等功能，实现版式软件的统一运维监管；支持B/S和C/S集成模式，具有完善的二次开发接口。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14</w:t>
            </w:r>
          </w:p>
        </w:tc>
        <w:tc>
          <w:tcPr>
            <w:tcW w:w="417"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激光打印(国产)</w:t>
            </w:r>
          </w:p>
        </w:tc>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w:t>
            </w:r>
          </w:p>
        </w:tc>
        <w:tc>
          <w:tcPr>
            <w:tcW w:w="440" w:type="dxa"/>
            <w:noWrap/>
            <w:vAlign w:val="center"/>
          </w:tcPr>
          <w:p>
            <w:pPr>
              <w:widowControl/>
              <w:spacing w:line="360" w:lineRule="auto"/>
              <w:jc w:val="center"/>
              <w:rPr>
                <w:rFonts w:ascii="宋体" w:hAnsi="宋体" w:cs="宋体"/>
                <w:kern w:val="0"/>
                <w:szCs w:val="21"/>
              </w:rPr>
            </w:pPr>
            <w:r>
              <w:rPr>
                <w:rFonts w:hint="eastAsia" w:ascii="宋体" w:hAnsi="宋体" w:cs="宋体"/>
                <w:kern w:val="0"/>
                <w:szCs w:val="21"/>
              </w:rPr>
              <w:t>台</w:t>
            </w:r>
          </w:p>
        </w:tc>
        <w:tc>
          <w:tcPr>
            <w:tcW w:w="7000" w:type="dxa"/>
            <w:vAlign w:val="center"/>
          </w:tcPr>
          <w:p>
            <w:pPr>
              <w:widowControl/>
              <w:spacing w:line="360" w:lineRule="auto"/>
              <w:rPr>
                <w:rFonts w:ascii="宋体" w:hAnsi="宋体" w:cs="宋体"/>
                <w:kern w:val="0"/>
                <w:szCs w:val="21"/>
              </w:rPr>
            </w:pPr>
            <w:r>
              <w:rPr>
                <w:rFonts w:hint="eastAsia" w:ascii="宋体" w:hAnsi="宋体" w:cs="宋体"/>
                <w:kern w:val="0"/>
                <w:szCs w:val="21"/>
              </w:rPr>
              <w:t>1.类型：A4黑白激光多功能一体机</w:t>
            </w:r>
            <w:r>
              <w:rPr>
                <w:rFonts w:hint="eastAsia" w:ascii="宋体" w:hAnsi="宋体" w:cs="宋体"/>
                <w:kern w:val="0"/>
                <w:szCs w:val="21"/>
              </w:rPr>
              <w:br w:type="textWrapping"/>
            </w:r>
            <w:r>
              <w:rPr>
                <w:rFonts w:hint="eastAsia" w:ascii="宋体" w:hAnsi="宋体" w:cs="宋体"/>
                <w:kern w:val="0"/>
                <w:szCs w:val="21"/>
              </w:rPr>
              <w:t>2.打印速度：30页/分钟</w:t>
            </w:r>
            <w:r>
              <w:rPr>
                <w:rFonts w:hint="eastAsia" w:ascii="宋体" w:hAnsi="宋体" w:cs="宋体"/>
                <w:kern w:val="0"/>
                <w:szCs w:val="21"/>
              </w:rPr>
              <w:br w:type="textWrapping"/>
            </w:r>
            <w:r>
              <w:rPr>
                <w:rFonts w:hint="eastAsia" w:ascii="宋体" w:hAnsi="宋体" w:cs="宋体"/>
                <w:kern w:val="0"/>
                <w:szCs w:val="21"/>
              </w:rPr>
              <w:t>3.接口：USB2.0，10/100 Base-T Ethernet</w:t>
            </w:r>
            <w:r>
              <w:rPr>
                <w:rFonts w:hint="eastAsia" w:ascii="宋体" w:hAnsi="宋体" w:cs="宋体"/>
                <w:kern w:val="0"/>
                <w:szCs w:val="21"/>
              </w:rPr>
              <w:br w:type="textWrapping"/>
            </w:r>
            <w:r>
              <w:rPr>
                <w:rFonts w:hint="eastAsia" w:ascii="宋体" w:hAnsi="宋体" w:cs="宋体"/>
                <w:kern w:val="0"/>
                <w:szCs w:val="21"/>
              </w:rPr>
              <w:t>4.打印功能：最大幅面支持A4， 支持自动双面，网络打印</w:t>
            </w:r>
            <w:r>
              <w:rPr>
                <w:rFonts w:hint="eastAsia" w:ascii="宋体" w:hAnsi="宋体" w:cs="宋体"/>
                <w:kern w:val="0"/>
                <w:szCs w:val="21"/>
              </w:rPr>
              <w:br w:type="textWrapping"/>
            </w:r>
            <w:r>
              <w:rPr>
                <w:rFonts w:hint="eastAsia" w:ascii="宋体" w:hAnsi="宋体" w:cs="宋体"/>
                <w:kern w:val="0"/>
                <w:szCs w:val="21"/>
              </w:rPr>
              <w:t>5.复印功能：黑白模式，支持平台复印，连续复印份数1-99页</w:t>
            </w:r>
            <w:r>
              <w:rPr>
                <w:rFonts w:hint="eastAsia" w:ascii="宋体" w:hAnsi="宋体" w:cs="宋体"/>
                <w:kern w:val="0"/>
                <w:szCs w:val="21"/>
              </w:rPr>
              <w:br w:type="textWrapping"/>
            </w:r>
            <w:r>
              <w:rPr>
                <w:rFonts w:hint="eastAsia" w:ascii="宋体" w:hAnsi="宋体" w:cs="宋体"/>
                <w:kern w:val="0"/>
                <w:szCs w:val="21"/>
              </w:rPr>
              <w:t>6.扫描功能：支持彩色/灰度/黑白扫描，ADF+平台扫描模式</w:t>
            </w:r>
            <w:r>
              <w:rPr>
                <w:rFonts w:hint="eastAsia" w:ascii="宋体" w:hAnsi="宋体" w:cs="宋体"/>
                <w:kern w:val="0"/>
                <w:szCs w:val="21"/>
              </w:rPr>
              <w:br w:type="textWrapping"/>
            </w:r>
            <w:r>
              <w:rPr>
                <w:rFonts w:hint="eastAsia" w:ascii="宋体" w:hAnsi="宋体" w:cs="宋体"/>
                <w:kern w:val="0"/>
                <w:szCs w:val="21"/>
              </w:rPr>
              <w:t>7.标配35页输稿器</w:t>
            </w:r>
            <w:r>
              <w:rPr>
                <w:rFonts w:hint="eastAsia" w:ascii="宋体" w:hAnsi="宋体" w:cs="宋体"/>
                <w:kern w:val="0"/>
                <w:szCs w:val="21"/>
              </w:rPr>
              <w:br w:type="textWrapping"/>
            </w:r>
            <w:r>
              <w:rPr>
                <w:rFonts w:hint="eastAsia" w:ascii="宋体" w:hAnsi="宋体" w:cs="宋体"/>
                <w:kern w:val="0"/>
                <w:szCs w:val="21"/>
              </w:rPr>
              <w:t>8.纸盒容量：250+10</w:t>
            </w:r>
            <w:r>
              <w:rPr>
                <w:rFonts w:hint="eastAsia" w:ascii="宋体" w:hAnsi="宋体" w:cs="宋体"/>
                <w:kern w:val="0"/>
                <w:szCs w:val="21"/>
              </w:rPr>
              <w:br w:type="textWrapping"/>
            </w:r>
            <w:r>
              <w:rPr>
                <w:rFonts w:hint="eastAsia" w:ascii="宋体" w:hAnsi="宋体" w:cs="宋体"/>
                <w:kern w:val="0"/>
                <w:szCs w:val="21"/>
              </w:rPr>
              <w:t>9.支持的操作系统：windows xp/7/8/10；中标麒麟、统信（UOS）、中科方德、华普等等</w:t>
            </w:r>
            <w:r>
              <w:rPr>
                <w:rFonts w:hint="eastAsia" w:ascii="宋体" w:hAnsi="宋体" w:cs="宋体"/>
                <w:kern w:val="0"/>
                <w:szCs w:val="21"/>
              </w:rPr>
              <w:br w:type="textWrapping"/>
            </w:r>
            <w:r>
              <w:rPr>
                <w:rFonts w:hint="eastAsia" w:ascii="宋体" w:hAnsi="宋体" w:cs="宋体"/>
                <w:kern w:val="0"/>
                <w:szCs w:val="21"/>
              </w:rPr>
              <w:t>10.鼓粉分离：感光鼓：12000页 粉盒：3000页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15</w:t>
            </w:r>
          </w:p>
        </w:tc>
        <w:tc>
          <w:tcPr>
            <w:tcW w:w="417"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庭审专用高拍仪</w:t>
            </w:r>
          </w:p>
        </w:tc>
        <w:tc>
          <w:tcPr>
            <w:tcW w:w="417"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w:t>
            </w:r>
          </w:p>
        </w:tc>
        <w:tc>
          <w:tcPr>
            <w:tcW w:w="440" w:type="dxa"/>
            <w:noWrap/>
            <w:vAlign w:val="center"/>
          </w:tcPr>
          <w:p>
            <w:pPr>
              <w:widowControl/>
              <w:spacing w:line="360" w:lineRule="auto"/>
              <w:jc w:val="center"/>
              <w:rPr>
                <w:rFonts w:ascii="宋体" w:hAnsi="宋体" w:cs="宋体"/>
                <w:kern w:val="0"/>
                <w:szCs w:val="21"/>
              </w:rPr>
            </w:pPr>
            <w:r>
              <w:rPr>
                <w:rFonts w:hint="eastAsia" w:ascii="宋体" w:hAnsi="宋体" w:cs="宋体"/>
                <w:kern w:val="0"/>
                <w:szCs w:val="21"/>
              </w:rPr>
              <w:t>台</w:t>
            </w:r>
          </w:p>
        </w:tc>
        <w:tc>
          <w:tcPr>
            <w:tcW w:w="7000" w:type="dxa"/>
            <w:vAlign w:val="center"/>
          </w:tcPr>
          <w:p>
            <w:pPr>
              <w:widowControl/>
              <w:spacing w:line="360" w:lineRule="auto"/>
              <w:rPr>
                <w:rFonts w:ascii="宋体" w:hAnsi="宋体" w:cs="宋体"/>
                <w:kern w:val="0"/>
                <w:szCs w:val="21"/>
              </w:rPr>
            </w:pPr>
            <w:r>
              <w:rPr>
                <w:rFonts w:hint="eastAsia" w:ascii="宋体" w:hAnsi="宋体" w:cs="宋体"/>
                <w:kern w:val="0"/>
                <w:szCs w:val="21"/>
              </w:rPr>
              <w:t>1.CMOS传感器、≥1000万像素；</w:t>
            </w:r>
            <w:r>
              <w:rPr>
                <w:rFonts w:hint="eastAsia" w:ascii="宋体" w:hAnsi="宋体" w:cs="宋体"/>
                <w:kern w:val="0"/>
                <w:szCs w:val="21"/>
              </w:rPr>
              <w:br w:type="textWrapping"/>
            </w:r>
            <w:r>
              <w:rPr>
                <w:rFonts w:hint="eastAsia" w:ascii="宋体" w:hAnsi="宋体" w:cs="宋体"/>
                <w:kern w:val="0"/>
                <w:szCs w:val="21"/>
              </w:rPr>
              <w:t>2.分辨率：3672*2754；</w:t>
            </w:r>
            <w:r>
              <w:rPr>
                <w:rFonts w:hint="eastAsia" w:ascii="宋体" w:hAnsi="宋体" w:cs="宋体"/>
                <w:kern w:val="0"/>
                <w:szCs w:val="21"/>
              </w:rPr>
              <w:br w:type="textWrapping"/>
            </w:r>
            <w:r>
              <w:rPr>
                <w:rFonts w:hint="eastAsia" w:ascii="宋体" w:hAnsi="宋体" w:cs="宋体"/>
                <w:kern w:val="0"/>
                <w:szCs w:val="21"/>
              </w:rPr>
              <w:t>3.扫描方式：支持PC软件触发、检测翻页自动扫描、定时扫描、外接脚踏键四种方式；</w:t>
            </w:r>
            <w:r>
              <w:rPr>
                <w:rFonts w:hint="eastAsia" w:ascii="宋体" w:hAnsi="宋体" w:cs="宋体"/>
                <w:kern w:val="0"/>
                <w:szCs w:val="21"/>
              </w:rPr>
              <w:br w:type="textWrapping"/>
            </w:r>
            <w:r>
              <w:rPr>
                <w:rFonts w:hint="eastAsia" w:ascii="宋体" w:hAnsi="宋体" w:cs="宋体"/>
                <w:kern w:val="0"/>
                <w:szCs w:val="21"/>
              </w:rPr>
              <w:t>4.支持与庭审系统软件对接，用于庭前、庭中过程中的证据材料上传及展示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6"/>
            <w:vAlign w:val="center"/>
          </w:tcPr>
          <w:p>
            <w:pPr>
              <w:widowControl/>
              <w:spacing w:line="360" w:lineRule="auto"/>
              <w:rPr>
                <w:rFonts w:ascii="宋体" w:hAnsi="宋体" w:cs="宋体"/>
                <w:b/>
                <w:bCs/>
                <w:color w:val="000000"/>
                <w:kern w:val="0"/>
                <w:szCs w:val="21"/>
              </w:rPr>
            </w:pPr>
            <w:r>
              <w:rPr>
                <w:rFonts w:hint="eastAsia" w:ascii="宋体" w:hAnsi="宋体" w:cs="宋体"/>
                <w:b/>
                <w:bCs/>
                <w:color w:val="000000"/>
                <w:kern w:val="0"/>
                <w:szCs w:val="21"/>
              </w:rPr>
              <w:t>二、系统集成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dxa"/>
            <w:vAlign w:val="center"/>
          </w:tcPr>
          <w:p>
            <w:pPr>
              <w:widowControl/>
              <w:spacing w:line="360" w:lineRule="auto"/>
              <w:rPr>
                <w:rFonts w:ascii="宋体" w:hAnsi="宋体" w:cs="宋体"/>
                <w:kern w:val="0"/>
                <w:szCs w:val="21"/>
              </w:rPr>
            </w:pPr>
            <w:r>
              <w:rPr>
                <w:rFonts w:hint="eastAsia" w:ascii="宋体" w:hAnsi="宋体" w:cs="宋体"/>
                <w:kern w:val="0"/>
                <w:szCs w:val="21"/>
              </w:rPr>
              <w:t>16</w:t>
            </w:r>
          </w:p>
        </w:tc>
        <w:tc>
          <w:tcPr>
            <w:tcW w:w="417" w:type="dxa"/>
            <w:vAlign w:val="center"/>
          </w:tcPr>
          <w:p>
            <w:pPr>
              <w:widowControl/>
              <w:spacing w:line="360" w:lineRule="auto"/>
              <w:rPr>
                <w:rFonts w:ascii="宋体" w:hAnsi="宋体" w:cs="宋体"/>
                <w:kern w:val="0"/>
                <w:szCs w:val="21"/>
              </w:rPr>
            </w:pPr>
            <w:r>
              <w:rPr>
                <w:rFonts w:hint="eastAsia" w:ascii="宋体" w:hAnsi="宋体" w:cs="宋体"/>
                <w:kern w:val="0"/>
                <w:szCs w:val="21"/>
              </w:rPr>
              <w:t>系统集成</w:t>
            </w: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系统集成</w:t>
            </w:r>
          </w:p>
        </w:tc>
        <w:tc>
          <w:tcPr>
            <w:tcW w:w="417" w:type="dxa"/>
            <w:vAlign w:val="center"/>
          </w:tcPr>
          <w:p>
            <w:pPr>
              <w:widowControl/>
              <w:spacing w:line="360" w:lineRule="auto"/>
              <w:rPr>
                <w:rFonts w:ascii="宋体" w:hAnsi="宋体" w:cs="宋体"/>
                <w:kern w:val="0"/>
                <w:szCs w:val="21"/>
              </w:rPr>
            </w:pPr>
            <w:r>
              <w:rPr>
                <w:rFonts w:hint="eastAsia" w:ascii="宋体" w:hAnsi="宋体" w:cs="宋体"/>
                <w:kern w:val="0"/>
                <w:szCs w:val="21"/>
              </w:rPr>
              <w:t>1</w:t>
            </w:r>
          </w:p>
        </w:tc>
        <w:tc>
          <w:tcPr>
            <w:tcW w:w="440" w:type="dxa"/>
            <w:vAlign w:val="center"/>
          </w:tcPr>
          <w:p>
            <w:pPr>
              <w:widowControl/>
              <w:spacing w:line="360" w:lineRule="auto"/>
              <w:rPr>
                <w:rFonts w:ascii="宋体" w:hAnsi="宋体" w:cs="宋体"/>
                <w:kern w:val="0"/>
                <w:szCs w:val="21"/>
              </w:rPr>
            </w:pPr>
            <w:r>
              <w:rPr>
                <w:rFonts w:hint="eastAsia" w:ascii="宋体" w:hAnsi="宋体" w:cs="宋体"/>
                <w:kern w:val="0"/>
                <w:szCs w:val="21"/>
              </w:rPr>
              <w:t>套</w:t>
            </w:r>
          </w:p>
        </w:tc>
        <w:tc>
          <w:tcPr>
            <w:tcW w:w="7000" w:type="dxa"/>
            <w:vAlign w:val="center"/>
          </w:tcPr>
          <w:p>
            <w:pPr>
              <w:widowControl/>
              <w:spacing w:line="360" w:lineRule="auto"/>
              <w:rPr>
                <w:rFonts w:ascii="宋体" w:hAnsi="宋体" w:cs="宋体"/>
                <w:kern w:val="0"/>
                <w:szCs w:val="21"/>
              </w:rPr>
            </w:pPr>
            <w:r>
              <w:rPr>
                <w:rFonts w:hint="eastAsia" w:ascii="宋体" w:hAnsi="宋体" w:cs="宋体"/>
                <w:kern w:val="0"/>
                <w:szCs w:val="21"/>
              </w:rPr>
              <w:t>采用高质量线材，包括超六类千兆网线、RJ45屏蔽网络水晶接头、音视频线缆、HDMI线工程级4K数字高清线、高清视频HD-SDI线、电源线、控制线、摄像机支架、音响支架、HDMI转SDI线、网口转串口等法庭所需全部线材。</w:t>
            </w:r>
          </w:p>
        </w:tc>
      </w:tr>
    </w:tbl>
    <w:p>
      <w:pPr>
        <w:pStyle w:val="32"/>
        <w:rPr>
          <w:b/>
          <w:bCs/>
          <w:sz w:val="21"/>
        </w:rPr>
      </w:pPr>
    </w:p>
    <w:p>
      <w:pPr>
        <w:pStyle w:val="32"/>
        <w:rPr>
          <w:b/>
          <w:bCs/>
          <w:sz w:val="21"/>
        </w:rPr>
      </w:pPr>
    </w:p>
    <w:p>
      <w:pPr>
        <w:pStyle w:val="32"/>
        <w:rPr>
          <w:b/>
          <w:bCs/>
          <w:sz w:val="21"/>
        </w:rPr>
        <w:sectPr>
          <w:headerReference r:id="rId8" w:type="default"/>
          <w:footerReference r:id="rId9" w:type="default"/>
          <w:pgSz w:w="11906" w:h="16838"/>
          <w:pgMar w:top="936" w:right="991" w:bottom="1135" w:left="993" w:header="851" w:footer="992" w:gutter="0"/>
          <w:pgNumType w:start="1"/>
          <w:cols w:space="720" w:num="1"/>
          <w:docGrid w:type="lines" w:linePitch="312" w:charSpace="0"/>
        </w:sectPr>
      </w:pPr>
    </w:p>
    <w:p>
      <w:pPr>
        <w:pStyle w:val="32"/>
        <w:rPr>
          <w:b/>
          <w:bCs/>
          <w:sz w:val="21"/>
        </w:rPr>
      </w:pPr>
      <w:r>
        <w:rPr>
          <w:rFonts w:hint="eastAsia"/>
          <w:b/>
          <w:bCs/>
          <w:sz w:val="21"/>
        </w:rPr>
        <w:t>2.融合法庭</w:t>
      </w:r>
    </w:p>
    <w:tbl>
      <w:tblPr>
        <w:tblStyle w:val="42"/>
        <w:tblW w:w="9498"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0"/>
        <w:gridCol w:w="1300"/>
        <w:gridCol w:w="807"/>
        <w:gridCol w:w="440"/>
        <w:gridCol w:w="440"/>
        <w:gridCol w:w="60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40" w:type="dxa"/>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序号</w:t>
            </w:r>
          </w:p>
        </w:tc>
        <w:tc>
          <w:tcPr>
            <w:tcW w:w="1300" w:type="dxa"/>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类型</w:t>
            </w:r>
          </w:p>
        </w:tc>
        <w:tc>
          <w:tcPr>
            <w:tcW w:w="807" w:type="dxa"/>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产品名称</w:t>
            </w:r>
          </w:p>
        </w:tc>
        <w:tc>
          <w:tcPr>
            <w:tcW w:w="440" w:type="dxa"/>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数量</w:t>
            </w:r>
          </w:p>
        </w:tc>
        <w:tc>
          <w:tcPr>
            <w:tcW w:w="440" w:type="dxa"/>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单位</w:t>
            </w:r>
          </w:p>
        </w:tc>
        <w:tc>
          <w:tcPr>
            <w:tcW w:w="6071" w:type="dxa"/>
            <w:vAlign w:val="center"/>
          </w:tcPr>
          <w:p>
            <w:pPr>
              <w:widowControl/>
              <w:spacing w:line="360" w:lineRule="auto"/>
              <w:jc w:val="center"/>
              <w:rPr>
                <w:rFonts w:ascii="宋体" w:hAnsi="宋体" w:cs="宋体"/>
                <w:b/>
                <w:bCs/>
                <w:kern w:val="0"/>
                <w:szCs w:val="21"/>
              </w:rPr>
            </w:pPr>
            <w:r>
              <w:rPr>
                <w:rFonts w:hint="eastAsia" w:ascii="宋体" w:hAnsi="宋体" w:cs="宋体"/>
                <w:b/>
                <w:bCs/>
                <w:kern w:val="0"/>
                <w:szCs w:val="21"/>
              </w:rPr>
              <w:t>主要技术参数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6"/>
            <w:vAlign w:val="center"/>
          </w:tcPr>
          <w:p>
            <w:pPr>
              <w:widowControl/>
              <w:spacing w:line="360" w:lineRule="auto"/>
              <w:rPr>
                <w:rFonts w:ascii="宋体" w:hAnsi="宋体" w:cs="宋体"/>
                <w:b/>
                <w:bCs/>
                <w:color w:val="000000"/>
                <w:kern w:val="0"/>
                <w:szCs w:val="21"/>
              </w:rPr>
            </w:pPr>
            <w:r>
              <w:rPr>
                <w:rFonts w:hint="eastAsia" w:ascii="宋体" w:hAnsi="宋体" w:cs="宋体"/>
                <w:b/>
                <w:bCs/>
                <w:color w:val="000000"/>
                <w:kern w:val="0"/>
                <w:szCs w:val="21"/>
              </w:rPr>
              <w:t>一、标配产品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6"/>
            <w:vAlign w:val="center"/>
          </w:tcPr>
          <w:p>
            <w:pPr>
              <w:widowControl/>
              <w:spacing w:line="360" w:lineRule="auto"/>
              <w:rPr>
                <w:rFonts w:ascii="宋体" w:hAnsi="宋体" w:cs="宋体"/>
                <w:b/>
                <w:bCs/>
                <w:kern w:val="0"/>
                <w:szCs w:val="21"/>
              </w:rPr>
            </w:pPr>
            <w:r>
              <w:rPr>
                <w:rFonts w:hint="eastAsia" w:ascii="宋体" w:hAnsi="宋体" w:cs="宋体"/>
                <w:b/>
                <w:bCs/>
                <w:kern w:val="0"/>
                <w:szCs w:val="21"/>
              </w:rPr>
              <w:t>无纸化庭审核心设备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w:t>
            </w:r>
          </w:p>
        </w:tc>
        <w:tc>
          <w:tcPr>
            <w:tcW w:w="130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庭审设备</w:t>
            </w: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庭审主机</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套</w:t>
            </w:r>
          </w:p>
        </w:tc>
        <w:tc>
          <w:tcPr>
            <w:tcW w:w="6071" w:type="dxa"/>
            <w:vAlign w:val="center"/>
          </w:tcPr>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1.采用一体化嵌入式架构及嵌入式Linux操作系统，集成音视频矩阵、编解码、智能分析等模块，具有画面合成、混音录像、视音频存储、光盘刻录加密、音视频智能处理及远程提讯，互联网庭审法庭端等功能。</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2.支持6路SDI输入，支持6路HDMI输入，4路DVI视频输入</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3.支持6路DVI视频输出，3路HDMI输出，支持1路USB3.0.1路USB2.0</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4.支持2路10M/100M/1000M自适应以太网口，支持网络多址，网络容错，负载均衡模式</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5.支持12路MicIn（支持48V幻象供电）、4路LineIn（包含1路3.5mm双声道），支持3路LineOut（2路莲花，1路3.5mm双声道）、2路XLROut</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6.支持4路RS485串行接口，6路RS232串行接口</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7.支持1路红外输入，4路红外输出，支持2路告警输入，2路告警输出</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8.支持4个SATA接口，每个SATA口可支持8TB硬盘</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9.支持一键开启、停止刻录；支持一键开关机；支持一键打点；支持一键DVD回放</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10.★内置8寸电容触控屏，支持实时显示通道状态、刻录/录制状态、USB接入状态、视频画面、光盘/硬盘总容量及已使用容量、刻录剩余时长、异常告警信息、CPU内存占用率、网络情况等</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11.★内置双DVD刻录光驱，支持光驱热插拔，支持便捷拆卸光驱，可实现在不拆设备机箱的情况下更换光驱</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12.视频编码格式：支持H.264和H.265，视频编码码率：支持在128kbps-8Mbps范围内设置，音频编码格式：支持G.711.AAC_LC和ADPCM；音频采样率：支持8kHz、16kHz、32kHz和48kHz可设置；音频编码码率：支持在32kbps~128kbps范围内设置</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13.支持6路IP摄像机（H.264或H.265摄像机）和SDI摄像机混合接入，支持2路远程点接入</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14.★支持4K、2K、1080P、720P、D1图像分辨率前端接入，并进入合成画面，支持前端接入类型：ONVIF、SIP、RTSP、H.323</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15.支持对PTZ摄像机进行PTZ操控，支持控制云台上、下、左、右、左上、左下、右上、右下转动，支持放大缩小、步长调节、光圈调节、灯光开关、雨刷开关和焦距调节（需前端设备支持）</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16.★支持两路证据展台（HDMI、DVI）接入并编码，支持两路证据编码独立录像，可同时将两路证据画面加入到合成画面中</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17.支持25路音频输入，能够实现远程声音和本地声音混音刻录，支持5组混音器设置，每路音频输入通道自定义加入不同混音器混音</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18.支持啸叫抑制、回声抵消、自动增益、音频降噪，变声等音频处理功能</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19.★支持SDI摄像机/IPC/远程点通道与本地/网络音频通道关联，实现自动切换发言话筒对应的前端图像，支持触发云台转动到配置的预置点</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20.支持合成画面、单通道画面和证据源画面本地录像，录像默认保存在本地硬盘</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21.录制的录像文件为标准的MP4文件，支持MP4录像文件下载，支持单独存储音频文件和获取音频文件</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22.支持合成画面的双光盘同步刻录、循环刻录和只录像不刻录，中途更换新光盘，可以识别上一张光盘停止的时间点，在新光盘中继续刻录</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23.支持断电续刻/续录功能，设备刻录过程中断电重启后，刻录机仍继续执行刻录任务</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24.支持光盘刻录自动封装通用播放器功能，光盘放入光驱中，能自动使用通用播放器播放录像，并同时展示笔录文件；支持时间进度显示功能</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25.支持重点标记功能，可以通过重点标记自动跳转到对应的录像和笔录时间点</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26.支持实时显示每个刻录机中是否有光盘、光盘刻录容量、光盘剩余时间、光盘剩余空间、刻录状态和刻录过程中的问题等状态</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27.★支持H.323协议接入视频会议，远程点支持双流</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28.支持用户授权，由用户组统一划分权限，支持最高三级权限登录，支持限制指定MAC地址或IP地址的机器登录客户端</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29.★支持对多种视频智能分析（证人保护、庭纪监督、区域看防、视频诊断、异常行为检测、姿态检测）的算法进行详细的参数配置，支持视频窗口绘制待检测区域</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30.支持单画面不少于2个人脸动态马赛克处理（马赛克随人脸移动），支持自定义设置马赛克等级（薄码，中码，厚码）和区域大小；支持证人声音变声功能，支持31种变声等级可选</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31.★支持对指定区域内庭审秩序不规范检测，如迟到、早退、中途离席、缺席、法官制服不规范检测，准确率不低于95%</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32.★在视频图像中设定检测区域，当有人员进入、逗留、离开均会产生告警信息，准确率不低于95%</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33.★支持对视频图像全画面的清晰度、偏色、曝光、视频干扰、遮挡、视频丢失指标进行检测</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34.支持庭审过程中的笔录刻录到光盘中，支持自定义笔录模板功能，支持笔录重点标记功能</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35.支持Raid0.Raid1.Raid5.RAID6.Raid10，支持硬盘SMART信息显示和坏道检测</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36.支持接入平台统一管理，可通过平台远程刻录或远程调阅录像等，具有VSIP、GB/T28181平台的接入设置选项，支持SNMP协议，支持接入运维平台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2</w:t>
            </w:r>
          </w:p>
        </w:tc>
        <w:tc>
          <w:tcPr>
            <w:tcW w:w="130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庭审视频设备</w:t>
            </w: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4K超高清枪机摄像机</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5</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台</w:t>
            </w:r>
          </w:p>
        </w:tc>
        <w:tc>
          <w:tcPr>
            <w:tcW w:w="6071" w:type="dxa"/>
            <w:vAlign w:val="center"/>
          </w:tcPr>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 ★设备应采用1/1.8英寸CMOS传感器，内置2个GPU芯片，支持至少30倍光学变焦。</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2. 设备的最低照度至少为0.002Lux(彩色)， 0.0001Lux(黑白)。</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3. 设备的水平分辨力不低于2000TVL，信噪比不小于45dB，灰度等级不小于10级，宽动态范围不小于100dB。</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4. 设备支持三码流并发输出：可达到主码流4096×2160，帧率30帧/秒，第一辅码流1020×1080，帧率30帧/秒，第二辅码流704×576，帧率30帧/秒。</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5. 支持H.265.H.264.MJPEG编码格式；可将H.265.H.264格式设置为Baseline/Main/High Profile。支持Smart编码。</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6. ★设备最大应支持分辨率4096×2160，帧率1fps~60fps可设置。</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7. ★设备音频编码格式应支持PCMA、PCMU、ADPCM、G.711.G.722.G726.AAC_LC、OPUS音频编码标准，支持双向语音对讲、静音、哑音、混音、AEC回声抵消等功能。</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8. ★支持1路SDI输出。</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9. 设备具有强光抑制功能，可以开启/关闭，支持电子透雾及光学透雾功能设置选项，支持电子防抖、陀螺仪防抖功能设置选项，防抖等级可设置，支持加热功能设置，支持除湿功能设置。</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10. 设备支持一个区域的ROI编码，区域大小可设置，支持4个矩形区域的区域遮盖，遮蔽区域颜色可以设置，遮蔽块可随云台转动而转动，支持镜像模式可实现左右翻转、上下翻转及中心翻转。</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11. 设备具有本机存储功能，支持1个外置TF卡，单卡最大可支持512GB。</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12. 设备具备网络自适应能力，在丢包率为≥20%的网络环境下，仍可正常显示监控画面。</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13. ★设备支持移动侦测、遮挡报警、警戒线、区域入侵、进入区域、离开区域、人员聚集、声音异常、物品遗留、物品拿取等智能分析功能。当以上的智能行为分析达到设定的阀值时，可通过WEB客户端给出报警提示，能够触发告警上传、语音提示、显示字幕、发送邮件、联动录像、并口告警输出、联动云台转台等多种报警方式。</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14. 支持1路RJ45 10M/100M以太网接口，1路RS485控制接口，1路Line In和1路LineOut，1路开关量报警输入，1路开关量报警输出。</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15. 设备应在-40°的低温及+70°的高温下都运行正常。</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16. 电源电压在DC12V±30%范围内变化时，摄像机应能正常工作。</w:t>
            </w:r>
          </w:p>
          <w:p>
            <w:pPr>
              <w:widowControl/>
              <w:spacing w:line="360" w:lineRule="auto"/>
              <w:rPr>
                <w:rFonts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17.★为保证系统兼容性和稳定性，要求</w:t>
            </w:r>
            <w:r>
              <w:rPr>
                <w:rFonts w:hint="eastAsia" w:ascii="宋体" w:hAnsi="宋体" w:cs="宋体"/>
                <w:color w:val="000000" w:themeColor="text1"/>
                <w:kern w:val="0"/>
                <w:szCs w:val="21"/>
                <w:lang w:val="en-US" w:eastAsia="zh-CN"/>
                <w14:textFill>
                  <w14:solidFill>
                    <w14:schemeClr w14:val="tx1"/>
                  </w14:solidFill>
                </w14:textFill>
              </w:rPr>
              <w:t>必须</w:t>
            </w:r>
            <w:r>
              <w:rPr>
                <w:rFonts w:hint="eastAsia" w:ascii="宋体" w:hAnsi="宋体" w:cs="宋体"/>
                <w:color w:val="000000" w:themeColor="text1"/>
                <w:kern w:val="0"/>
                <w:szCs w:val="21"/>
                <w14:textFill>
                  <w14:solidFill>
                    <w14:schemeClr w14:val="tx1"/>
                  </w14:solidFill>
                </w14:textFill>
              </w:rPr>
              <w:t>与庭审主机</w:t>
            </w:r>
            <w:r>
              <w:rPr>
                <w:rFonts w:ascii="宋体" w:hAnsi="宋体" w:cs="宋体"/>
                <w:color w:val="000000" w:themeColor="text1"/>
                <w:kern w:val="0"/>
                <w:szCs w:val="21"/>
                <w14:textFill>
                  <w14:solidFill>
                    <w14:schemeClr w14:val="tx1"/>
                  </w14:solidFill>
                </w14:textFill>
              </w:rPr>
              <w:t>兼容</w:t>
            </w:r>
            <w:r>
              <w:rPr>
                <w:rFonts w:hint="eastAsia" w:ascii="宋体" w:hAnsi="宋体" w:cs="宋体"/>
                <w:color w:val="000000" w:themeColor="text1"/>
                <w:kern w:val="0"/>
                <w:szCs w:val="21"/>
                <w:lang w:eastAsia="zh-CN"/>
                <w14:textFill>
                  <w14:solidFill>
                    <w14:schemeClr w14:val="tx1"/>
                  </w14:solidFill>
                </w14:textFill>
              </w:rPr>
              <w:t>，</w:t>
            </w:r>
            <w:r>
              <w:rPr>
                <w:rFonts w:ascii="宋体" w:hAnsi="宋体" w:cs="宋体"/>
                <w:color w:val="000000" w:themeColor="text1"/>
                <w:kern w:val="0"/>
                <w:szCs w:val="21"/>
                <w14:textFill>
                  <w14:solidFill>
                    <w14:schemeClr w14:val="tx1"/>
                  </w14:solidFill>
                </w14:textFill>
              </w:rPr>
              <w:t>性</w:t>
            </w:r>
            <w:r>
              <w:rPr>
                <w:rFonts w:hint="eastAsia" w:ascii="宋体" w:hAnsi="宋体" w:cs="宋体"/>
                <w:color w:val="000000" w:themeColor="text1"/>
                <w:kern w:val="0"/>
                <w:szCs w:val="21"/>
                <w:lang w:val="en-US" w:eastAsia="zh-CN"/>
                <w14:textFill>
                  <w14:solidFill>
                    <w14:schemeClr w14:val="tx1"/>
                  </w14:solidFill>
                </w14:textFill>
              </w:rPr>
              <w:t>能稳定正常配套使用</w:t>
            </w:r>
            <w:r>
              <w:rPr>
                <w:rFonts w:hint="eastAsia" w:ascii="宋体" w:hAnsi="宋体" w:cs="宋体"/>
                <w:color w:val="000000" w:themeColor="text1"/>
                <w:kern w:val="0"/>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3</w:t>
            </w:r>
          </w:p>
        </w:tc>
        <w:tc>
          <w:tcPr>
            <w:tcW w:w="1300" w:type="dxa"/>
            <w:vMerge w:val="restart"/>
            <w:vAlign w:val="center"/>
          </w:tcPr>
          <w:p>
            <w:pPr>
              <w:widowControl/>
              <w:spacing w:line="360" w:lineRule="auto"/>
              <w:jc w:val="center"/>
              <w:rPr>
                <w:rFonts w:ascii="宋体" w:hAnsi="宋体" w:cs="宋体"/>
                <w:kern w:val="0"/>
                <w:szCs w:val="21"/>
              </w:rPr>
            </w:pPr>
            <w:r>
              <w:rPr>
                <w:rFonts w:hint="eastAsia" w:ascii="宋体" w:hAnsi="宋体" w:cs="宋体"/>
                <w:kern w:val="0"/>
                <w:szCs w:val="21"/>
              </w:rPr>
              <w:t>庭审音频设备</w:t>
            </w: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桌面话筒</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8</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支</w:t>
            </w:r>
          </w:p>
        </w:tc>
        <w:tc>
          <w:tcPr>
            <w:tcW w:w="6071" w:type="dxa"/>
            <w:vAlign w:val="center"/>
          </w:tcPr>
          <w:p>
            <w:pPr>
              <w:widowControl/>
              <w:spacing w:line="360" w:lineRule="auto"/>
              <w:rPr>
                <w:rFonts w:ascii="宋体" w:hAnsi="宋体" w:cs="宋体"/>
                <w:kern w:val="0"/>
                <w:szCs w:val="21"/>
              </w:rPr>
            </w:pPr>
            <w:r>
              <w:rPr>
                <w:rFonts w:hint="eastAsia" w:ascii="宋体" w:hAnsi="宋体" w:cs="宋体"/>
                <w:kern w:val="0"/>
                <w:szCs w:val="21"/>
              </w:rPr>
              <w:t>1.指向性：心形指向性</w:t>
            </w:r>
            <w:r>
              <w:rPr>
                <w:rFonts w:hint="eastAsia" w:ascii="宋体" w:hAnsi="宋体" w:cs="宋体"/>
                <w:kern w:val="0"/>
                <w:szCs w:val="21"/>
              </w:rPr>
              <w:br w:type="textWrapping"/>
            </w:r>
            <w:r>
              <w:rPr>
                <w:rFonts w:hint="eastAsia" w:ascii="宋体" w:hAnsi="宋体" w:cs="宋体"/>
                <w:kern w:val="0"/>
                <w:szCs w:val="21"/>
              </w:rPr>
              <w:t>2.信噪比：≥65dB SPL 1kHz at 1Pa</w:t>
            </w:r>
            <w:r>
              <w:rPr>
                <w:rFonts w:hint="eastAsia" w:ascii="宋体" w:hAnsi="宋体" w:cs="宋体"/>
                <w:kern w:val="0"/>
                <w:szCs w:val="21"/>
              </w:rPr>
              <w:br w:type="textWrapping"/>
            </w:r>
            <w:r>
              <w:rPr>
                <w:rFonts w:hint="eastAsia" w:ascii="宋体" w:hAnsi="宋体" w:cs="宋体"/>
                <w:kern w:val="0"/>
                <w:szCs w:val="21"/>
              </w:rPr>
              <w:t>3.频率响应等同或优于20-18kHz</w:t>
            </w:r>
            <w:r>
              <w:rPr>
                <w:rFonts w:hint="eastAsia" w:ascii="宋体" w:hAnsi="宋体" w:cs="宋体"/>
                <w:kern w:val="0"/>
                <w:szCs w:val="21"/>
              </w:rPr>
              <w:br w:type="textWrapping"/>
            </w:r>
            <w:r>
              <w:rPr>
                <w:rFonts w:hint="eastAsia" w:ascii="宋体" w:hAnsi="宋体" w:cs="宋体"/>
                <w:kern w:val="0"/>
                <w:szCs w:val="21"/>
              </w:rPr>
              <w:t>4.输出阻抗：≥75</w:t>
            </w:r>
            <w:r>
              <w:rPr>
                <w:rFonts w:ascii="宋体" w:hAnsi="宋体" w:cs="Calibri"/>
                <w:kern w:val="0"/>
                <w:szCs w:val="21"/>
              </w:rPr>
              <w:t>Ω</w:t>
            </w:r>
            <w:r>
              <w:rPr>
                <w:rFonts w:hint="eastAsia" w:ascii="宋体" w:hAnsi="宋体" w:cs="宋体"/>
                <w:kern w:val="0"/>
                <w:szCs w:val="21"/>
              </w:rPr>
              <w:br w:type="textWrapping"/>
            </w:r>
            <w:r>
              <w:rPr>
                <w:rFonts w:hint="eastAsia" w:ascii="宋体" w:hAnsi="宋体" w:cs="宋体"/>
                <w:kern w:val="0"/>
                <w:szCs w:val="21"/>
              </w:rPr>
              <w:t>5.灵敏度：≥-40dB±2dB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4</w:t>
            </w:r>
          </w:p>
        </w:tc>
        <w:tc>
          <w:tcPr>
            <w:tcW w:w="1300"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功率放大器</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台</w:t>
            </w:r>
          </w:p>
        </w:tc>
        <w:tc>
          <w:tcPr>
            <w:tcW w:w="6071" w:type="dxa"/>
            <w:vAlign w:val="center"/>
          </w:tcPr>
          <w:p>
            <w:pPr>
              <w:widowControl/>
              <w:spacing w:line="360" w:lineRule="auto"/>
              <w:rPr>
                <w:rFonts w:ascii="宋体" w:hAnsi="宋体" w:cs="宋体"/>
                <w:kern w:val="0"/>
                <w:szCs w:val="21"/>
              </w:rPr>
            </w:pPr>
            <w:r>
              <w:rPr>
                <w:rFonts w:hint="eastAsia" w:ascii="宋体" w:hAnsi="宋体" w:cs="宋体"/>
                <w:kern w:val="0"/>
                <w:szCs w:val="21"/>
              </w:rPr>
              <w:t>1.标准≤1U机箱设计，采用D类数字功放设计方案。</w:t>
            </w:r>
            <w:r>
              <w:rPr>
                <w:rFonts w:hint="eastAsia" w:ascii="宋体" w:hAnsi="宋体" w:cs="宋体"/>
                <w:kern w:val="0"/>
                <w:szCs w:val="21"/>
              </w:rPr>
              <w:br w:type="textWrapping"/>
            </w:r>
            <w:r>
              <w:rPr>
                <w:rFonts w:hint="eastAsia" w:ascii="宋体" w:hAnsi="宋体" w:cs="宋体"/>
                <w:kern w:val="0"/>
                <w:szCs w:val="21"/>
              </w:rPr>
              <w:t>★2.标准XLR输入接口和LINK输出口。（提供满足本条技术要求的相关有效证明材料复印件（加盖供应商公章），证明材料可以是国家认可的第三方检验（测）机构出具的合格有效的检验（测）报告、官网截图、功能截图或产品彩页等）</w:t>
            </w:r>
            <w:r>
              <w:rPr>
                <w:rFonts w:hint="eastAsia" w:ascii="宋体" w:hAnsi="宋体" w:cs="宋体"/>
                <w:kern w:val="0"/>
                <w:szCs w:val="21"/>
              </w:rPr>
              <w:br w:type="textWrapping"/>
            </w:r>
            <w:r>
              <w:rPr>
                <w:rFonts w:hint="eastAsia" w:ascii="宋体" w:hAnsi="宋体" w:cs="宋体"/>
                <w:kern w:val="0"/>
                <w:szCs w:val="21"/>
              </w:rPr>
              <w:t>★3.电源采用开关电源技术，有效的抑制电源谐波。（提供满足本条技术要求的相关有效证明材料复印件（加盖供应商公章），证明材料可以是国家认可的第三方检验（测）机构出具的合格有效的检验（测）报告、官网截图、功能截图或产品彩页等）</w:t>
            </w:r>
            <w:r>
              <w:rPr>
                <w:rFonts w:hint="eastAsia" w:ascii="宋体" w:hAnsi="宋体" w:cs="宋体"/>
                <w:kern w:val="0"/>
                <w:szCs w:val="21"/>
              </w:rPr>
              <w:br w:type="textWrapping"/>
            </w:r>
            <w:r>
              <w:rPr>
                <w:rFonts w:hint="eastAsia" w:ascii="宋体" w:hAnsi="宋体" w:cs="宋体"/>
                <w:kern w:val="0"/>
                <w:szCs w:val="21"/>
              </w:rPr>
              <w:t>★4.内置智能削峰限幅器，支持开机软启动，防止开机时向电网吸收大电流，干扰其它用电设备。 （提供满足本条技术要求的相关有效证明材料复印件（加盖供应商公章），证明材料可以是国家认可的第三方检验（测）机构出具的合格有效的检验（测）报告、官网截图、功能截图或产品彩页等）</w:t>
            </w:r>
            <w:r>
              <w:rPr>
                <w:rFonts w:hint="eastAsia" w:ascii="宋体" w:hAnsi="宋体" w:cs="宋体"/>
                <w:kern w:val="0"/>
                <w:szCs w:val="21"/>
              </w:rPr>
              <w:br w:type="textWrapping"/>
            </w:r>
            <w:r>
              <w:rPr>
                <w:rFonts w:hint="eastAsia" w:ascii="宋体" w:hAnsi="宋体" w:cs="宋体"/>
                <w:kern w:val="0"/>
                <w:szCs w:val="21"/>
              </w:rPr>
              <w:t>★5.具有：过压保护，欠压保护，过流保护，直流保护，输出短路保护，温控风扇等功能。（提供满足本条技术要求的相关有效证明材料复印件（加盖供应商公章），证明材料可以是国家认可的第三方检验（测）机构出具的合格有效的检验（测）报告、官网截图、功能截图或产品彩页等）</w:t>
            </w:r>
            <w:r>
              <w:rPr>
                <w:rFonts w:hint="eastAsia" w:ascii="宋体" w:hAnsi="宋体" w:cs="宋体"/>
                <w:kern w:val="0"/>
                <w:szCs w:val="21"/>
              </w:rPr>
              <w:br w:type="textWrapping"/>
            </w:r>
            <w:r>
              <w:rPr>
                <w:rFonts w:hint="eastAsia" w:ascii="宋体" w:hAnsi="宋体" w:cs="宋体"/>
                <w:kern w:val="0"/>
                <w:szCs w:val="21"/>
              </w:rPr>
              <w:t>★6.输出功率：立体声@8</w:t>
            </w:r>
            <w:r>
              <w:rPr>
                <w:rFonts w:ascii="宋体" w:hAnsi="宋体" w:cs="Calibri"/>
                <w:kern w:val="0"/>
                <w:szCs w:val="21"/>
              </w:rPr>
              <w:t>Ω</w:t>
            </w:r>
            <w:r>
              <w:rPr>
                <w:rFonts w:hint="eastAsia" w:ascii="宋体" w:hAnsi="宋体" w:cs="宋体"/>
                <w:kern w:val="0"/>
                <w:szCs w:val="21"/>
              </w:rPr>
              <w:t>：≥200W×2；立体声@4Ω：≥400W×2。（提供满足本条技术要求的相关有效证明材料复印件（加盖供应商公章），证明材料可以是国家认可的第三方检验（测）机构出具的合格有效的检验（测）报告、官网截图、功能截图或产品彩页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5</w:t>
            </w:r>
          </w:p>
        </w:tc>
        <w:tc>
          <w:tcPr>
            <w:tcW w:w="1300"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壁挂音箱</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2</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台</w:t>
            </w:r>
          </w:p>
        </w:tc>
        <w:tc>
          <w:tcPr>
            <w:tcW w:w="6071" w:type="dxa"/>
            <w:vAlign w:val="center"/>
          </w:tcPr>
          <w:p>
            <w:pPr>
              <w:widowControl/>
              <w:spacing w:line="360" w:lineRule="auto"/>
              <w:rPr>
                <w:rFonts w:ascii="宋体" w:hAnsi="宋体" w:cs="宋体"/>
                <w:kern w:val="0"/>
                <w:szCs w:val="21"/>
              </w:rPr>
            </w:pPr>
            <w:r>
              <w:rPr>
                <w:rFonts w:hint="eastAsia" w:ascii="宋体" w:hAnsi="宋体" w:cs="宋体"/>
                <w:kern w:val="0"/>
                <w:szCs w:val="21"/>
              </w:rPr>
              <w:t>1.阻抗≤8</w:t>
            </w:r>
            <w:r>
              <w:rPr>
                <w:rFonts w:ascii="宋体" w:hAnsi="宋体" w:cs="Calibri"/>
                <w:kern w:val="0"/>
                <w:szCs w:val="21"/>
              </w:rPr>
              <w:t>Ω</w:t>
            </w:r>
            <w:r>
              <w:rPr>
                <w:rFonts w:hint="eastAsia" w:ascii="宋体" w:hAnsi="宋体" w:cs="宋体"/>
                <w:kern w:val="0"/>
                <w:szCs w:val="21"/>
              </w:rPr>
              <w:br w:type="textWrapping"/>
            </w:r>
            <w:r>
              <w:rPr>
                <w:rFonts w:hint="eastAsia" w:ascii="宋体" w:hAnsi="宋体" w:cs="宋体"/>
                <w:kern w:val="0"/>
                <w:szCs w:val="21"/>
              </w:rPr>
              <w:t>★2.频响等同或优于65Hz~20kHz（提供满足本条技术要求的相关有效证明材料复印件（加盖供应商公章），证明材料可以是国家认可的第三方检验（测）机构出具的合格有效的检验（测）报告、官网截图、功能截图或产品彩页等）</w:t>
            </w:r>
            <w:r>
              <w:rPr>
                <w:rFonts w:hint="eastAsia" w:ascii="宋体" w:hAnsi="宋体" w:cs="宋体"/>
                <w:kern w:val="0"/>
                <w:szCs w:val="21"/>
              </w:rPr>
              <w:br w:type="textWrapping"/>
            </w:r>
            <w:r>
              <w:rPr>
                <w:rFonts w:hint="eastAsia" w:ascii="宋体" w:hAnsi="宋体" w:cs="宋体"/>
                <w:kern w:val="0"/>
                <w:szCs w:val="21"/>
              </w:rPr>
              <w:t>3.额定功率≥150W</w:t>
            </w:r>
            <w:r>
              <w:rPr>
                <w:rFonts w:hint="eastAsia" w:ascii="宋体" w:hAnsi="宋体" w:cs="宋体"/>
                <w:kern w:val="0"/>
                <w:szCs w:val="21"/>
              </w:rPr>
              <w:br w:type="textWrapping"/>
            </w:r>
            <w:r>
              <w:rPr>
                <w:rFonts w:hint="eastAsia" w:ascii="宋体" w:hAnsi="宋体" w:cs="宋体"/>
                <w:kern w:val="0"/>
                <w:szCs w:val="21"/>
              </w:rPr>
              <w:t>★4.灵敏度≥95dB/W/M（提供满足本条技术要求的相关有效证明材料复印件（加盖供应商公章），证明材料可以是国家认可的第三方检验（测）机构出具的合格有效的检验（测）报告、官网截图、功能截图或产品彩页等）</w:t>
            </w:r>
            <w:r>
              <w:rPr>
                <w:rFonts w:hint="eastAsia" w:ascii="宋体" w:hAnsi="宋体" w:cs="宋体"/>
                <w:kern w:val="0"/>
                <w:szCs w:val="21"/>
              </w:rPr>
              <w:br w:type="textWrapping"/>
            </w:r>
            <w:r>
              <w:rPr>
                <w:rFonts w:hint="eastAsia" w:ascii="宋体" w:hAnsi="宋体" w:cs="宋体"/>
                <w:kern w:val="0"/>
                <w:szCs w:val="21"/>
              </w:rPr>
              <w:t>5.水平覆盖角≥80°，垂直覆盖角≥60°</w:t>
            </w:r>
            <w:r>
              <w:rPr>
                <w:rFonts w:hint="eastAsia" w:ascii="宋体" w:hAnsi="宋体" w:cs="宋体"/>
                <w:kern w:val="0"/>
                <w:szCs w:val="21"/>
              </w:rPr>
              <w:br w:type="textWrapping"/>
            </w:r>
            <w:r>
              <w:rPr>
                <w:rFonts w:hint="eastAsia" w:ascii="宋体" w:hAnsi="宋体" w:cs="宋体"/>
                <w:kern w:val="0"/>
                <w:szCs w:val="21"/>
              </w:rPr>
              <w:t>6.高音≥3"锥形高音单元×1</w:t>
            </w:r>
            <w:r>
              <w:rPr>
                <w:rFonts w:hint="eastAsia" w:ascii="宋体" w:hAnsi="宋体" w:cs="宋体"/>
                <w:kern w:val="0"/>
                <w:szCs w:val="21"/>
              </w:rPr>
              <w:br w:type="textWrapping"/>
            </w:r>
            <w:r>
              <w:rPr>
                <w:rFonts w:hint="eastAsia" w:ascii="宋体" w:hAnsi="宋体" w:cs="宋体"/>
                <w:kern w:val="0"/>
                <w:szCs w:val="21"/>
              </w:rPr>
              <w:t>7.低音≥8"低音×1</w:t>
            </w:r>
            <w:r>
              <w:rPr>
                <w:rFonts w:hint="eastAsia" w:ascii="宋体" w:hAnsi="宋体" w:cs="宋体"/>
                <w:kern w:val="0"/>
                <w:szCs w:val="21"/>
              </w:rPr>
              <w:br w:type="textWrapping"/>
            </w:r>
            <w:r>
              <w:rPr>
                <w:rFonts w:hint="eastAsia" w:ascii="宋体" w:hAnsi="宋体" w:cs="宋体"/>
                <w:kern w:val="0"/>
                <w:szCs w:val="21"/>
              </w:rPr>
              <w:t>8.含SL系列音箱支架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6</w:t>
            </w:r>
          </w:p>
        </w:tc>
        <w:tc>
          <w:tcPr>
            <w:tcW w:w="1300"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音响支架</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2</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个</w:t>
            </w:r>
          </w:p>
        </w:tc>
        <w:tc>
          <w:tcPr>
            <w:tcW w:w="6071" w:type="dxa"/>
            <w:vAlign w:val="center"/>
          </w:tcPr>
          <w:p>
            <w:pPr>
              <w:widowControl/>
              <w:spacing w:line="360" w:lineRule="auto"/>
              <w:rPr>
                <w:rFonts w:ascii="宋体" w:hAnsi="宋体" w:cs="宋体"/>
                <w:kern w:val="0"/>
                <w:szCs w:val="21"/>
              </w:rPr>
            </w:pPr>
            <w:r>
              <w:rPr>
                <w:rFonts w:hint="eastAsia" w:ascii="宋体" w:hAnsi="宋体" w:cs="宋体"/>
                <w:kern w:val="0"/>
                <w:szCs w:val="21"/>
              </w:rPr>
              <w:t>固定音响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7</w:t>
            </w:r>
          </w:p>
        </w:tc>
        <w:tc>
          <w:tcPr>
            <w:tcW w:w="1300" w:type="dxa"/>
            <w:vMerge w:val="restart"/>
            <w:vAlign w:val="center"/>
          </w:tcPr>
          <w:p>
            <w:pPr>
              <w:widowControl/>
              <w:spacing w:line="360" w:lineRule="auto"/>
              <w:jc w:val="center"/>
              <w:rPr>
                <w:rFonts w:ascii="宋体" w:hAnsi="宋体" w:cs="宋体"/>
                <w:kern w:val="0"/>
                <w:szCs w:val="21"/>
              </w:rPr>
            </w:pPr>
            <w:r>
              <w:rPr>
                <w:rFonts w:hint="eastAsia" w:ascii="宋体" w:hAnsi="宋体" w:cs="宋体"/>
                <w:kern w:val="0"/>
                <w:szCs w:val="21"/>
              </w:rPr>
              <w:t>庭审显示设备</w:t>
            </w: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4K超清液晶电视</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2</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台</w:t>
            </w:r>
          </w:p>
        </w:tc>
        <w:tc>
          <w:tcPr>
            <w:tcW w:w="6071" w:type="dxa"/>
            <w:vAlign w:val="center"/>
          </w:tcPr>
          <w:p>
            <w:pPr>
              <w:widowControl/>
              <w:spacing w:line="360" w:lineRule="auto"/>
              <w:rPr>
                <w:rFonts w:hint="eastAsia"/>
              </w:rPr>
            </w:pPr>
            <w:r>
              <w:rPr>
                <w:rFonts w:hint="eastAsia"/>
              </w:rPr>
              <w:t>≥55英寸，分辨率≥3840*2160，刷新率≥60Hz，支持HDMI视频信号输入，支持4K超高清视频。</w:t>
            </w:r>
          </w:p>
          <w:p>
            <w:pPr>
              <w:pStyle w:val="2"/>
            </w:pPr>
            <w:r>
              <w:rPr>
                <w:rFonts w:hint="eastAsia" w:ascii="Times New Roman" w:hAnsi="Times New Roman" w:eastAsia="宋体" w:cs="Times New Roman"/>
                <w:b/>
                <w:bCs/>
                <w:kern w:val="2"/>
                <w:sz w:val="21"/>
                <w:szCs w:val="24"/>
                <w:lang w:val="en-US" w:eastAsia="zh-CN" w:bidi="ar-SA"/>
              </w:rPr>
              <w:t>★竞标人必须在响应文件中提供所竞标产品的节能产品认证证书复印件（加盖</w:t>
            </w:r>
            <w:r>
              <w:rPr>
                <w:rFonts w:hint="eastAsia" w:eastAsia="宋体" w:cs="Times New Roman"/>
                <w:b/>
                <w:bCs/>
                <w:kern w:val="2"/>
                <w:sz w:val="21"/>
                <w:szCs w:val="24"/>
                <w:lang w:val="en-US" w:eastAsia="zh-CN" w:bidi="ar-SA"/>
              </w:rPr>
              <w:t>竞标</w:t>
            </w:r>
            <w:r>
              <w:rPr>
                <w:rFonts w:hint="eastAsia" w:ascii="Times New Roman" w:hAnsi="Times New Roman" w:eastAsia="宋体" w:cs="Times New Roman"/>
                <w:b/>
                <w:bCs/>
                <w:kern w:val="2"/>
                <w:sz w:val="21"/>
                <w:szCs w:val="24"/>
                <w:lang w:val="en-US" w:eastAsia="zh-CN" w:bidi="ar-SA"/>
              </w:rPr>
              <w:t>人</w:t>
            </w:r>
            <w:r>
              <w:rPr>
                <w:rFonts w:hint="eastAsia" w:cs="Times New Roman"/>
                <w:b/>
                <w:bCs/>
                <w:kern w:val="2"/>
                <w:sz w:val="21"/>
                <w:szCs w:val="24"/>
                <w:lang w:val="en-US" w:eastAsia="zh-CN" w:bidi="ar-SA"/>
              </w:rPr>
              <w:t>公</w:t>
            </w:r>
            <w:r>
              <w:rPr>
                <w:rFonts w:hint="eastAsia" w:ascii="Times New Roman" w:hAnsi="Times New Roman" w:eastAsia="宋体" w:cs="Times New Roman"/>
                <w:b/>
                <w:bCs/>
                <w:kern w:val="2"/>
                <w:sz w:val="21"/>
                <w:szCs w:val="24"/>
                <w:lang w:val="en-US" w:eastAsia="zh-CN" w:bidi="ar-SA"/>
              </w:rPr>
              <w:t>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8</w:t>
            </w:r>
          </w:p>
        </w:tc>
        <w:tc>
          <w:tcPr>
            <w:tcW w:w="1300" w:type="dxa"/>
            <w:vMerge w:val="continue"/>
            <w:vAlign w:val="center"/>
          </w:tcPr>
          <w:p>
            <w:pPr>
              <w:widowControl/>
              <w:spacing w:line="360" w:lineRule="auto"/>
              <w:rPr>
                <w:rFonts w:ascii="宋体" w:hAnsi="宋体" w:cs="宋体"/>
                <w:kern w:val="0"/>
                <w:szCs w:val="21"/>
              </w:rPr>
            </w:pPr>
          </w:p>
        </w:tc>
        <w:tc>
          <w:tcPr>
            <w:tcW w:w="807" w:type="dxa"/>
            <w:noWrap/>
            <w:vAlign w:val="center"/>
          </w:tcPr>
          <w:p>
            <w:pPr>
              <w:widowControl/>
              <w:spacing w:line="360" w:lineRule="auto"/>
              <w:rPr>
                <w:rFonts w:ascii="宋体" w:hAnsi="宋体" w:cs="宋体"/>
                <w:kern w:val="0"/>
                <w:szCs w:val="21"/>
              </w:rPr>
            </w:pPr>
            <w:r>
              <w:rPr>
                <w:rFonts w:hint="eastAsia" w:ascii="宋体" w:hAnsi="宋体" w:cs="宋体"/>
                <w:kern w:val="0"/>
                <w:szCs w:val="21"/>
              </w:rPr>
              <w:t>液晶电视壁挂式支架</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2</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个</w:t>
            </w:r>
          </w:p>
        </w:tc>
        <w:tc>
          <w:tcPr>
            <w:tcW w:w="6071" w:type="dxa"/>
            <w:noWrap/>
            <w:vAlign w:val="center"/>
          </w:tcPr>
          <w:p>
            <w:pPr>
              <w:widowControl/>
              <w:spacing w:line="360" w:lineRule="auto"/>
              <w:rPr>
                <w:rFonts w:ascii="宋体" w:hAnsi="宋体" w:cs="宋体"/>
                <w:kern w:val="0"/>
                <w:szCs w:val="21"/>
              </w:rPr>
            </w:pPr>
            <w:r>
              <w:rPr>
                <w:rFonts w:hint="eastAsia" w:ascii="宋体" w:hAnsi="宋体" w:cs="宋体"/>
                <w:kern w:val="0"/>
                <w:szCs w:val="21"/>
              </w:rPr>
              <w:t>40-65寸电视移动挂架。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9</w:t>
            </w:r>
          </w:p>
        </w:tc>
        <w:tc>
          <w:tcPr>
            <w:tcW w:w="1300"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庭审信息发布终端（含嵌入式信息发布软件）</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套</w:t>
            </w:r>
          </w:p>
        </w:tc>
        <w:tc>
          <w:tcPr>
            <w:tcW w:w="6071" w:type="dxa"/>
            <w:vAlign w:val="center"/>
          </w:tcPr>
          <w:p>
            <w:pPr>
              <w:widowControl/>
              <w:spacing w:line="360" w:lineRule="auto"/>
              <w:rPr>
                <w:rFonts w:ascii="宋体" w:hAnsi="宋体" w:cs="宋体"/>
                <w:kern w:val="0"/>
                <w:szCs w:val="21"/>
              </w:rPr>
            </w:pPr>
            <w:r>
              <w:rPr>
                <w:rFonts w:hint="eastAsia" w:ascii="宋体" w:hAnsi="宋体" w:cs="宋体"/>
                <w:kern w:val="0"/>
                <w:szCs w:val="21"/>
              </w:rPr>
              <w:t>软硬件一体，终端嵌入统一智能庭审发布系统，部署在法庭门口，用于显示本法庭当日全部庭审信息公告及庭审排期信息等。</w:t>
            </w:r>
          </w:p>
          <w:p>
            <w:pPr>
              <w:widowControl/>
              <w:spacing w:line="360" w:lineRule="auto"/>
              <w:rPr>
                <w:rFonts w:ascii="宋体" w:hAnsi="宋体" w:cs="宋体"/>
                <w:kern w:val="0"/>
                <w:szCs w:val="21"/>
              </w:rPr>
            </w:pPr>
            <w:r>
              <w:rPr>
                <w:rFonts w:hint="eastAsia" w:ascii="宋体" w:hAnsi="宋体" w:cs="宋体"/>
                <w:kern w:val="0"/>
                <w:szCs w:val="21"/>
              </w:rPr>
              <w:t>1.硬件参数要求：采用四核处理器；采用Android 系统； 2GB DDR4内存；8GB存储；21.5英寸显示屏；1920*1080显示分辨率；以太网RJ45接口，10M/100M自适应网络；</w:t>
            </w:r>
          </w:p>
          <w:p>
            <w:pPr>
              <w:widowControl/>
              <w:spacing w:line="360" w:lineRule="auto"/>
              <w:rPr>
                <w:rFonts w:ascii="宋体" w:hAnsi="宋体" w:cs="宋体"/>
                <w:kern w:val="0"/>
                <w:szCs w:val="21"/>
              </w:rPr>
            </w:pPr>
            <w:r>
              <w:rPr>
                <w:rFonts w:hint="eastAsia" w:ascii="宋体" w:hAnsi="宋体" w:cs="宋体"/>
                <w:kern w:val="0"/>
                <w:szCs w:val="21"/>
              </w:rPr>
              <w:t>2.软件参数要求：嵌入式信息发布软件，自动获取统一智能庭审系统的排期数据显示当前开庭的庭审信息；展示信息包含：法院名称、法庭名称、案号、开庭时间、审判成员。书记员、当事人、庭审视频等；同时，屏幕下方会以流动的方式显示全面的案件排期信息；当法庭正在开庭时，庭审发布应用系统支持将庭审视频实时同步到庭外的发布终端进行显示正在开庭的视频画面，直观地展示正在庭审的案件内容。</w:t>
            </w:r>
          </w:p>
          <w:p>
            <w:pPr>
              <w:widowControl/>
              <w:spacing w:line="360" w:lineRule="auto"/>
              <w:rPr>
                <w:rFonts w:ascii="宋体" w:hAnsi="宋体" w:cs="宋体"/>
                <w:kern w:val="0"/>
                <w:szCs w:val="21"/>
              </w:rPr>
            </w:pPr>
            <w:r>
              <w:rPr>
                <w:rFonts w:hint="eastAsia" w:ascii="宋体" w:hAnsi="宋体" w:cs="宋体"/>
                <w:kern w:val="0"/>
                <w:szCs w:val="21"/>
              </w:rPr>
              <w:t>★3.为保证系统兼容性和稳定性，</w:t>
            </w:r>
            <w:r>
              <w:rPr>
                <w:rFonts w:hint="eastAsia" w:ascii="宋体" w:hAnsi="宋体" w:cs="宋体"/>
                <w:color w:val="000000" w:themeColor="text1"/>
                <w:kern w:val="0"/>
                <w:szCs w:val="21"/>
                <w14:textFill>
                  <w14:solidFill>
                    <w14:schemeClr w14:val="tx1"/>
                  </w14:solidFill>
                </w14:textFill>
              </w:rPr>
              <w:t>要求</w:t>
            </w:r>
            <w:r>
              <w:rPr>
                <w:rFonts w:hint="eastAsia" w:ascii="宋体" w:hAnsi="宋体" w:cs="宋体"/>
                <w:color w:val="000000" w:themeColor="text1"/>
                <w:kern w:val="0"/>
                <w:szCs w:val="21"/>
                <w:lang w:val="en-US" w:eastAsia="zh-CN"/>
                <w14:textFill>
                  <w14:solidFill>
                    <w14:schemeClr w14:val="tx1"/>
                  </w14:solidFill>
                </w14:textFill>
              </w:rPr>
              <w:t>必须</w:t>
            </w:r>
            <w:r>
              <w:rPr>
                <w:rFonts w:hint="eastAsia" w:ascii="宋体" w:hAnsi="宋体" w:cs="宋体"/>
                <w:color w:val="000000" w:themeColor="text1"/>
                <w:kern w:val="0"/>
                <w:szCs w:val="21"/>
                <w14:textFill>
                  <w14:solidFill>
                    <w14:schemeClr w14:val="tx1"/>
                  </w14:solidFill>
                </w14:textFill>
              </w:rPr>
              <w:t>与庭审主机</w:t>
            </w:r>
            <w:r>
              <w:rPr>
                <w:rFonts w:ascii="宋体" w:hAnsi="宋体" w:cs="宋体"/>
                <w:color w:val="000000" w:themeColor="text1"/>
                <w:kern w:val="0"/>
                <w:szCs w:val="21"/>
                <w14:textFill>
                  <w14:solidFill>
                    <w14:schemeClr w14:val="tx1"/>
                  </w14:solidFill>
                </w14:textFill>
              </w:rPr>
              <w:t>兼容</w:t>
            </w:r>
            <w:r>
              <w:rPr>
                <w:rFonts w:hint="eastAsia" w:ascii="宋体" w:hAnsi="宋体" w:cs="宋体"/>
                <w:color w:val="000000" w:themeColor="text1"/>
                <w:kern w:val="0"/>
                <w:szCs w:val="21"/>
                <w:lang w:eastAsia="zh-CN"/>
                <w14:textFill>
                  <w14:solidFill>
                    <w14:schemeClr w14:val="tx1"/>
                  </w14:solidFill>
                </w14:textFill>
              </w:rPr>
              <w:t>，</w:t>
            </w:r>
            <w:r>
              <w:rPr>
                <w:rFonts w:ascii="宋体" w:hAnsi="宋体" w:cs="宋体"/>
                <w:color w:val="000000" w:themeColor="text1"/>
                <w:kern w:val="0"/>
                <w:szCs w:val="21"/>
                <w14:textFill>
                  <w14:solidFill>
                    <w14:schemeClr w14:val="tx1"/>
                  </w14:solidFill>
                </w14:textFill>
              </w:rPr>
              <w:t>性</w:t>
            </w:r>
            <w:r>
              <w:rPr>
                <w:rFonts w:hint="eastAsia" w:ascii="宋体" w:hAnsi="宋体" w:cs="宋体"/>
                <w:color w:val="000000" w:themeColor="text1"/>
                <w:kern w:val="0"/>
                <w:szCs w:val="21"/>
                <w:lang w:val="en-US" w:eastAsia="zh-CN"/>
                <w14:textFill>
                  <w14:solidFill>
                    <w14:schemeClr w14:val="tx1"/>
                  </w14:solidFill>
                </w14:textFill>
              </w:rPr>
              <w:t>能稳定正常配套使用</w:t>
            </w:r>
            <w:r>
              <w:rPr>
                <w:rFonts w:hint="eastAsia" w:ascii="宋体" w:hAnsi="宋体" w:cs="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10</w:t>
            </w:r>
          </w:p>
        </w:tc>
        <w:tc>
          <w:tcPr>
            <w:tcW w:w="1300" w:type="dxa"/>
            <w:vMerge w:val="restart"/>
            <w:vAlign w:val="center"/>
          </w:tcPr>
          <w:p>
            <w:pPr>
              <w:widowControl/>
              <w:spacing w:line="360" w:lineRule="auto"/>
              <w:jc w:val="center"/>
              <w:rPr>
                <w:rFonts w:ascii="宋体" w:hAnsi="宋体" w:cs="宋体"/>
                <w:kern w:val="0"/>
                <w:szCs w:val="21"/>
              </w:rPr>
            </w:pPr>
            <w:r>
              <w:rPr>
                <w:rFonts w:hint="eastAsia" w:ascii="宋体" w:hAnsi="宋体" w:cs="宋体"/>
                <w:kern w:val="0"/>
                <w:szCs w:val="21"/>
              </w:rPr>
              <w:t>其他</w:t>
            </w: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千兆交换机</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台</w:t>
            </w:r>
          </w:p>
        </w:tc>
        <w:tc>
          <w:tcPr>
            <w:tcW w:w="6071" w:type="dxa"/>
            <w:vAlign w:val="center"/>
          </w:tcPr>
          <w:p>
            <w:pPr>
              <w:widowControl/>
              <w:spacing w:line="360" w:lineRule="auto"/>
              <w:rPr>
                <w:rFonts w:ascii="宋体" w:hAnsi="宋体" w:cs="宋体"/>
                <w:kern w:val="0"/>
                <w:szCs w:val="21"/>
              </w:rPr>
            </w:pPr>
            <w:r>
              <w:rPr>
                <w:rFonts w:hint="eastAsia" w:ascii="宋体" w:hAnsi="宋体" w:cs="宋体"/>
                <w:kern w:val="0"/>
                <w:szCs w:val="21"/>
              </w:rPr>
              <w:t>16口千兆网络交换机。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11</w:t>
            </w:r>
          </w:p>
        </w:tc>
        <w:tc>
          <w:tcPr>
            <w:tcW w:w="1300"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网络机柜</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台</w:t>
            </w:r>
          </w:p>
        </w:tc>
        <w:tc>
          <w:tcPr>
            <w:tcW w:w="6071" w:type="dxa"/>
            <w:vAlign w:val="center"/>
          </w:tcPr>
          <w:p>
            <w:pPr>
              <w:widowControl/>
              <w:spacing w:line="360" w:lineRule="auto"/>
              <w:rPr>
                <w:rFonts w:hint="eastAsia" w:ascii="宋体" w:hAnsi="宋体" w:cs="宋体"/>
                <w:kern w:val="0"/>
                <w:szCs w:val="21"/>
              </w:rPr>
            </w:pPr>
            <w:r>
              <w:rPr>
                <w:rFonts w:hint="eastAsia" w:ascii="宋体" w:hAnsi="宋体" w:cs="宋体"/>
                <w:kern w:val="0"/>
                <w:szCs w:val="21"/>
              </w:rPr>
              <w:t>1.产品类型：网络机柜</w:t>
            </w:r>
            <w:r>
              <w:rPr>
                <w:rFonts w:hint="eastAsia" w:ascii="宋体" w:hAnsi="宋体" w:cs="宋体"/>
                <w:kern w:val="0"/>
                <w:szCs w:val="21"/>
              </w:rPr>
              <w:br w:type="textWrapping"/>
            </w:r>
            <w:r>
              <w:rPr>
                <w:rFonts w:hint="eastAsia" w:ascii="宋体" w:hAnsi="宋体" w:cs="宋体"/>
                <w:kern w:val="0"/>
                <w:szCs w:val="21"/>
              </w:rPr>
              <w:t>2.机柜容量：22U；</w:t>
            </w:r>
            <w:r>
              <w:rPr>
                <w:rFonts w:hint="eastAsia" w:ascii="宋体" w:hAnsi="宋体" w:cs="宋体"/>
                <w:kern w:val="0"/>
                <w:szCs w:val="21"/>
              </w:rPr>
              <w:br w:type="textWrapping"/>
            </w:r>
            <w:r>
              <w:rPr>
                <w:rFonts w:hint="eastAsia" w:ascii="宋体" w:hAnsi="宋体" w:cs="宋体"/>
                <w:kern w:val="0"/>
                <w:szCs w:val="21"/>
              </w:rPr>
              <w:t>3.材料及工艺：材料SPSS采用优质冷轧钢板；</w:t>
            </w:r>
            <w:r>
              <w:rPr>
                <w:rFonts w:hint="eastAsia" w:ascii="宋体" w:hAnsi="宋体" w:cs="宋体"/>
                <w:kern w:val="0"/>
                <w:szCs w:val="21"/>
              </w:rPr>
              <w:br w:type="textWrapping"/>
            </w:r>
            <w:r>
              <w:rPr>
                <w:rFonts w:hint="eastAsia" w:ascii="宋体" w:hAnsi="宋体" w:cs="宋体"/>
                <w:kern w:val="0"/>
                <w:szCs w:val="21"/>
              </w:rPr>
              <w:t>4.规格：600×600×1166；</w:t>
            </w:r>
            <w:r>
              <w:rPr>
                <w:rFonts w:hint="eastAsia" w:ascii="宋体" w:hAnsi="宋体" w:cs="宋体"/>
                <w:kern w:val="0"/>
                <w:szCs w:val="21"/>
              </w:rPr>
              <w:br w:type="textWrapping"/>
            </w:r>
            <w:r>
              <w:rPr>
                <w:rFonts w:hint="eastAsia" w:ascii="宋体" w:hAnsi="宋体" w:cs="宋体"/>
                <w:kern w:val="0"/>
                <w:szCs w:val="21"/>
              </w:rPr>
              <w:t>5.产品标准:</w:t>
            </w:r>
            <w:r>
              <w:rPr>
                <w:rFonts w:hint="eastAsia" w:ascii="宋体" w:hAnsi="宋体" w:cs="宋体"/>
                <w:kern w:val="0"/>
                <w:szCs w:val="21"/>
                <w:lang w:val="en-US" w:eastAsia="zh-CN"/>
              </w:rPr>
              <w:t>国家标准</w:t>
            </w:r>
            <w:r>
              <w:rPr>
                <w:rFonts w:hint="eastAsia" w:ascii="宋体" w:hAnsi="宋体" w:cs="宋体"/>
                <w:kern w:val="0"/>
                <w:szCs w:val="21"/>
              </w:rPr>
              <w:br w:type="textWrapping"/>
            </w:r>
            <w:r>
              <w:rPr>
                <w:rFonts w:hint="eastAsia" w:ascii="宋体" w:hAnsi="宋体" w:cs="宋体"/>
                <w:kern w:val="0"/>
                <w:szCs w:val="21"/>
              </w:rPr>
              <w:t>6.产品承重:静载800KG；</w:t>
            </w:r>
            <w:r>
              <w:rPr>
                <w:rFonts w:hint="eastAsia" w:ascii="宋体" w:hAnsi="宋体" w:cs="宋体"/>
                <w:kern w:val="0"/>
                <w:szCs w:val="21"/>
              </w:rPr>
              <w:br w:type="textWrapping"/>
            </w:r>
            <w:r>
              <w:rPr>
                <w:rFonts w:hint="eastAsia" w:ascii="宋体" w:hAnsi="宋体" w:cs="宋体"/>
                <w:kern w:val="0"/>
                <w:szCs w:val="21"/>
              </w:rPr>
              <w:t>7.防护等级:IP20；</w:t>
            </w:r>
            <w:r>
              <w:rPr>
                <w:rFonts w:hint="eastAsia" w:ascii="宋体" w:hAnsi="宋体" w:cs="宋体"/>
                <w:kern w:val="0"/>
                <w:szCs w:val="21"/>
              </w:rPr>
              <w:br w:type="textWrapping"/>
            </w:r>
            <w:r>
              <w:rPr>
                <w:rFonts w:hint="eastAsia" w:ascii="宋体" w:hAnsi="宋体" w:cs="宋体"/>
                <w:kern w:val="0"/>
                <w:szCs w:val="21"/>
              </w:rPr>
              <w:t>8.表面处理:方孔条镀蓝锌，其余脱脂，磷化，静电喷塑。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4" w:hRule="atLeast"/>
        </w:trPr>
        <w:tc>
          <w:tcPr>
            <w:tcW w:w="440" w:type="dxa"/>
            <w:vAlign w:val="center"/>
          </w:tcPr>
          <w:p>
            <w:pPr>
              <w:widowControl/>
              <w:spacing w:line="360" w:lineRule="auto"/>
              <w:jc w:val="right"/>
              <w:rPr>
                <w:rFonts w:ascii="宋体" w:hAnsi="宋体" w:cs="宋体"/>
                <w:kern w:val="0"/>
                <w:szCs w:val="21"/>
              </w:rPr>
            </w:pPr>
            <w:r>
              <w:rPr>
                <w:rFonts w:hint="eastAsia" w:ascii="宋体" w:hAnsi="宋体" w:cs="宋体"/>
                <w:kern w:val="0"/>
                <w:szCs w:val="21"/>
              </w:rPr>
              <w:t>12</w:t>
            </w:r>
          </w:p>
        </w:tc>
        <w:tc>
          <w:tcPr>
            <w:tcW w:w="1300" w:type="dxa"/>
            <w:vMerge w:val="restart"/>
            <w:vAlign w:val="center"/>
          </w:tcPr>
          <w:p>
            <w:pPr>
              <w:widowControl/>
              <w:spacing w:line="360" w:lineRule="auto"/>
              <w:rPr>
                <w:rFonts w:ascii="宋体" w:hAnsi="宋体" w:cs="宋体"/>
                <w:kern w:val="0"/>
                <w:szCs w:val="21"/>
              </w:rPr>
            </w:pPr>
            <w:r>
              <w:rPr>
                <w:rFonts w:hint="eastAsia" w:ascii="宋体" w:hAnsi="宋体" w:cs="宋体"/>
                <w:kern w:val="0"/>
                <w:szCs w:val="21"/>
              </w:rPr>
              <w:t>书记员操作平台</w:t>
            </w: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国产台式机</w:t>
            </w:r>
          </w:p>
        </w:tc>
        <w:tc>
          <w:tcPr>
            <w:tcW w:w="440" w:type="dxa"/>
            <w:vAlign w:val="center"/>
          </w:tcPr>
          <w:p>
            <w:pPr>
              <w:widowControl/>
              <w:spacing w:line="360" w:lineRule="auto"/>
              <w:jc w:val="both"/>
              <w:rPr>
                <w:rFonts w:ascii="宋体" w:hAnsi="宋体" w:cs="宋体"/>
                <w:kern w:val="0"/>
                <w:szCs w:val="21"/>
              </w:rPr>
            </w:pPr>
            <w:r>
              <w:rPr>
                <w:rFonts w:hint="eastAsia" w:ascii="宋体" w:hAnsi="宋体" w:cs="宋体"/>
                <w:kern w:val="0"/>
                <w:szCs w:val="21"/>
              </w:rPr>
              <w:t>6</w:t>
            </w:r>
          </w:p>
        </w:tc>
        <w:tc>
          <w:tcPr>
            <w:tcW w:w="440" w:type="dxa"/>
            <w:noWrap/>
            <w:vAlign w:val="center"/>
          </w:tcPr>
          <w:p>
            <w:pPr>
              <w:widowControl/>
              <w:spacing w:line="360" w:lineRule="auto"/>
              <w:rPr>
                <w:rFonts w:ascii="宋体" w:hAnsi="宋体" w:cs="宋体"/>
                <w:kern w:val="0"/>
                <w:szCs w:val="21"/>
              </w:rPr>
            </w:pPr>
            <w:r>
              <w:rPr>
                <w:rFonts w:hint="eastAsia" w:ascii="宋体" w:hAnsi="宋体" w:cs="宋体"/>
                <w:kern w:val="0"/>
                <w:szCs w:val="21"/>
              </w:rPr>
              <w:t>台</w:t>
            </w:r>
          </w:p>
        </w:tc>
        <w:tc>
          <w:tcPr>
            <w:tcW w:w="6071" w:type="dxa"/>
            <w:vAlign w:val="center"/>
          </w:tcPr>
          <w:p>
            <w:pPr>
              <w:widowControl/>
              <w:spacing w:line="360" w:lineRule="auto"/>
              <w:rPr>
                <w:rFonts w:hint="eastAsia"/>
              </w:rPr>
            </w:pPr>
            <w:r>
              <w:rPr>
                <w:rFonts w:hint="eastAsia"/>
              </w:rPr>
              <w:t>具体参数详见附件一《席位主机（台式计算机）政府采购需求》</w:t>
            </w:r>
          </w:p>
          <w:p>
            <w:pPr>
              <w:pStyle w:val="2"/>
              <w:rPr>
                <w:rFonts w:hint="eastAsia"/>
              </w:rPr>
            </w:pPr>
            <w:r>
              <w:rPr>
                <w:rFonts w:hint="eastAsia" w:ascii="Times New Roman" w:hAnsi="Times New Roman" w:eastAsia="宋体" w:cs="Times New Roman"/>
                <w:b/>
                <w:bCs/>
                <w:color w:val="auto"/>
                <w:kern w:val="2"/>
                <w:sz w:val="21"/>
                <w:szCs w:val="24"/>
                <w:lang w:val="en-US" w:eastAsia="zh-CN" w:bidi="ar-SA"/>
              </w:rPr>
              <w:t>★</w:t>
            </w:r>
            <w:r>
              <w:rPr>
                <w:rFonts w:hint="eastAsia" w:ascii="Times New Roman" w:hAnsi="Times New Roman" w:eastAsia="宋体" w:cs="Times New Roman"/>
                <w:b/>
                <w:bCs/>
                <w:color w:val="auto"/>
                <w:kern w:val="2"/>
                <w:sz w:val="21"/>
                <w:szCs w:val="24"/>
                <w:lang w:val="zh-CN" w:eastAsia="zh-CN" w:bidi="ar-SA"/>
              </w:rPr>
              <w:t>供应商必须在响应文件中提供所提供产品的3C认证及节能产品认证证书并加盖供应商公章。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8" w:hRule="atLeast"/>
        </w:trPr>
        <w:tc>
          <w:tcPr>
            <w:tcW w:w="440" w:type="dxa"/>
            <w:vAlign w:val="center"/>
          </w:tcPr>
          <w:p>
            <w:pPr>
              <w:widowControl/>
              <w:spacing w:line="360" w:lineRule="auto"/>
              <w:jc w:val="right"/>
              <w:rPr>
                <w:rFonts w:ascii="宋体" w:hAnsi="宋体" w:cs="宋体"/>
                <w:kern w:val="0"/>
                <w:szCs w:val="21"/>
              </w:rPr>
            </w:pPr>
            <w:r>
              <w:rPr>
                <w:rFonts w:hint="eastAsia" w:ascii="宋体" w:hAnsi="宋体" w:cs="宋体"/>
                <w:kern w:val="0"/>
                <w:szCs w:val="21"/>
              </w:rPr>
              <w:t>13</w:t>
            </w:r>
          </w:p>
        </w:tc>
        <w:tc>
          <w:tcPr>
            <w:tcW w:w="1300"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显示器</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6</w:t>
            </w:r>
          </w:p>
        </w:tc>
        <w:tc>
          <w:tcPr>
            <w:tcW w:w="440" w:type="dxa"/>
            <w:noWrap/>
            <w:vAlign w:val="center"/>
          </w:tcPr>
          <w:p>
            <w:pPr>
              <w:widowControl/>
              <w:spacing w:line="360" w:lineRule="auto"/>
              <w:rPr>
                <w:rFonts w:ascii="宋体" w:hAnsi="宋体" w:cs="宋体"/>
                <w:kern w:val="0"/>
                <w:szCs w:val="21"/>
              </w:rPr>
            </w:pPr>
            <w:r>
              <w:rPr>
                <w:rFonts w:hint="eastAsia" w:ascii="宋体" w:hAnsi="宋体" w:cs="宋体"/>
                <w:kern w:val="0"/>
                <w:szCs w:val="21"/>
              </w:rPr>
              <w:t>台</w:t>
            </w:r>
          </w:p>
        </w:tc>
        <w:tc>
          <w:tcPr>
            <w:tcW w:w="6071" w:type="dxa"/>
            <w:vAlign w:val="center"/>
          </w:tcPr>
          <w:p>
            <w:pPr>
              <w:widowControl/>
              <w:spacing w:line="384" w:lineRule="auto"/>
              <w:jc w:val="both"/>
              <w:rPr>
                <w:rFonts w:hint="eastAsia"/>
              </w:rPr>
            </w:pPr>
            <w:r>
              <w:rPr>
                <w:rFonts w:hint="eastAsia"/>
              </w:rPr>
              <w:t>具体参数详见附件二《桌面显示器采购需求》</w:t>
            </w:r>
          </w:p>
          <w:p>
            <w:pPr>
              <w:pStyle w:val="2"/>
            </w:pPr>
            <w:r>
              <w:rPr>
                <w:rFonts w:hint="eastAsia" w:ascii="Times New Roman" w:hAnsi="Times New Roman" w:eastAsia="宋体" w:cs="Times New Roman"/>
                <w:b/>
                <w:bCs/>
                <w:color w:val="auto"/>
                <w:kern w:val="2"/>
                <w:sz w:val="21"/>
                <w:szCs w:val="24"/>
                <w:lang w:val="zh-CN" w:eastAsia="zh-CN" w:bidi="ar-SA"/>
              </w:rPr>
              <w:t>★响应文件中必须提供该产品由国家确定的认证机构出具的处于有效期之内的节能产品认证证书并加盖供应商公章。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vAlign w:val="center"/>
          </w:tcPr>
          <w:p>
            <w:pPr>
              <w:widowControl/>
              <w:spacing w:line="360" w:lineRule="auto"/>
              <w:jc w:val="right"/>
              <w:rPr>
                <w:rFonts w:ascii="宋体" w:hAnsi="宋体" w:cs="宋体"/>
                <w:kern w:val="0"/>
                <w:szCs w:val="21"/>
              </w:rPr>
            </w:pPr>
            <w:r>
              <w:rPr>
                <w:rFonts w:hint="eastAsia" w:ascii="宋体" w:hAnsi="宋体" w:cs="宋体"/>
                <w:kern w:val="0"/>
                <w:szCs w:val="21"/>
              </w:rPr>
              <w:t>14</w:t>
            </w:r>
          </w:p>
        </w:tc>
        <w:tc>
          <w:tcPr>
            <w:tcW w:w="1300"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操作系统</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6</w:t>
            </w:r>
          </w:p>
        </w:tc>
        <w:tc>
          <w:tcPr>
            <w:tcW w:w="440" w:type="dxa"/>
            <w:noWrap/>
            <w:vAlign w:val="center"/>
          </w:tcPr>
          <w:p>
            <w:pPr>
              <w:widowControl/>
              <w:spacing w:line="360" w:lineRule="auto"/>
              <w:rPr>
                <w:rFonts w:ascii="宋体" w:hAnsi="宋体" w:cs="宋体"/>
                <w:kern w:val="0"/>
                <w:szCs w:val="21"/>
              </w:rPr>
            </w:pPr>
            <w:r>
              <w:rPr>
                <w:rFonts w:hint="eastAsia" w:ascii="宋体" w:hAnsi="宋体" w:cs="宋体"/>
                <w:kern w:val="0"/>
                <w:szCs w:val="21"/>
              </w:rPr>
              <w:t>套</w:t>
            </w:r>
          </w:p>
        </w:tc>
        <w:tc>
          <w:tcPr>
            <w:tcW w:w="6071" w:type="dxa"/>
            <w:vAlign w:val="center"/>
          </w:tcPr>
          <w:p>
            <w:pPr>
              <w:widowControl/>
              <w:spacing w:line="360" w:lineRule="auto"/>
              <w:rPr>
                <w:rFonts w:ascii="宋体" w:hAnsi="宋体" w:cs="宋体"/>
                <w:kern w:val="0"/>
                <w:szCs w:val="21"/>
              </w:rPr>
            </w:pPr>
            <w:r>
              <w:rPr>
                <w:rFonts w:hint="eastAsia"/>
              </w:rPr>
              <w:t>具体参数详见附件三《操作系统采购需求》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vAlign w:val="center"/>
          </w:tcPr>
          <w:p>
            <w:pPr>
              <w:widowControl/>
              <w:spacing w:line="360" w:lineRule="auto"/>
              <w:jc w:val="right"/>
              <w:rPr>
                <w:rFonts w:ascii="宋体" w:hAnsi="宋体" w:cs="宋体"/>
                <w:kern w:val="0"/>
                <w:szCs w:val="21"/>
              </w:rPr>
            </w:pPr>
            <w:r>
              <w:rPr>
                <w:rFonts w:hint="eastAsia" w:ascii="宋体" w:hAnsi="宋体" w:cs="宋体"/>
                <w:kern w:val="0"/>
                <w:szCs w:val="21"/>
              </w:rPr>
              <w:t>15</w:t>
            </w:r>
          </w:p>
        </w:tc>
        <w:tc>
          <w:tcPr>
            <w:tcW w:w="1300"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流式软件技术</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6</w:t>
            </w:r>
          </w:p>
        </w:tc>
        <w:tc>
          <w:tcPr>
            <w:tcW w:w="440" w:type="dxa"/>
            <w:noWrap/>
            <w:vAlign w:val="center"/>
          </w:tcPr>
          <w:p>
            <w:pPr>
              <w:widowControl/>
              <w:spacing w:line="360" w:lineRule="auto"/>
              <w:rPr>
                <w:rFonts w:ascii="宋体" w:hAnsi="宋体" w:cs="宋体"/>
                <w:kern w:val="0"/>
                <w:szCs w:val="21"/>
              </w:rPr>
            </w:pPr>
            <w:r>
              <w:rPr>
                <w:rFonts w:hint="eastAsia" w:ascii="宋体" w:hAnsi="宋体" w:cs="宋体"/>
                <w:kern w:val="0"/>
                <w:szCs w:val="21"/>
              </w:rPr>
              <w:t>套</w:t>
            </w:r>
          </w:p>
        </w:tc>
        <w:tc>
          <w:tcPr>
            <w:tcW w:w="6071" w:type="dxa"/>
            <w:vAlign w:val="center"/>
          </w:tcPr>
          <w:p>
            <w:pPr>
              <w:widowControl/>
              <w:numPr>
                <w:ilvl w:val="0"/>
                <w:numId w:val="5"/>
              </w:numPr>
              <w:spacing w:line="360" w:lineRule="auto"/>
              <w:rPr>
                <w:rFonts w:hint="eastAsia" w:ascii="宋体" w:hAnsi="宋体" w:cs="宋体"/>
                <w:kern w:val="0"/>
                <w:szCs w:val="21"/>
              </w:rPr>
            </w:pPr>
            <w:r>
              <w:rPr>
                <w:rFonts w:hint="eastAsia" w:ascii="宋体" w:hAnsi="宋体" w:cs="宋体"/>
                <w:kern w:val="0"/>
                <w:szCs w:val="21"/>
              </w:rPr>
              <w:t>通用功能</w:t>
            </w:r>
            <w:r>
              <w:rPr>
                <w:rFonts w:hint="eastAsia" w:ascii="宋体" w:hAnsi="宋体" w:cs="宋体"/>
                <w:kern w:val="0"/>
                <w:szCs w:val="21"/>
              </w:rPr>
              <w:br w:type="textWrapping"/>
            </w:r>
            <w:r>
              <w:rPr>
                <w:rFonts w:hint="eastAsia" w:ascii="宋体" w:hAnsi="宋体" w:cs="宋体"/>
                <w:kern w:val="0"/>
                <w:szCs w:val="21"/>
              </w:rPr>
              <w:t>1) 支持运行于国产化环境，支持国产CPU芯片（鲲鹏、龙芯、飞腾、兆芯）、操作系统（统信、麒麟）。</w:t>
            </w:r>
            <w:r>
              <w:rPr>
                <w:rFonts w:hint="eastAsia" w:ascii="宋体" w:hAnsi="宋体" w:cs="宋体"/>
                <w:kern w:val="0"/>
                <w:szCs w:val="21"/>
              </w:rPr>
              <w:br w:type="textWrapping"/>
            </w:r>
            <w:r>
              <w:rPr>
                <w:rFonts w:hint="eastAsia" w:ascii="宋体" w:hAnsi="宋体" w:cs="宋体"/>
                <w:kern w:val="0"/>
                <w:szCs w:val="21"/>
              </w:rPr>
              <w:t>2) 文字，表格，演示三个组件均支持查找命令功能，输入功能名称后可以模糊匹配查询，帮助用户快速定位到功能入口。</w:t>
            </w:r>
            <w:r>
              <w:rPr>
                <w:rFonts w:hint="eastAsia" w:ascii="宋体" w:hAnsi="宋体" w:cs="宋体"/>
                <w:kern w:val="0"/>
                <w:szCs w:val="21"/>
              </w:rPr>
              <w:br w:type="textWrapping"/>
            </w:r>
            <w:r>
              <w:rPr>
                <w:rFonts w:hint="eastAsia" w:ascii="宋体" w:hAnsi="宋体" w:cs="宋体"/>
                <w:kern w:val="0"/>
                <w:szCs w:val="21"/>
              </w:rPr>
              <w:t>3) ★文字，表格，演示三个组件均支持在输出OFD时可设置输出范围。输出范围支持根据需要仅输出对应的页、工作表或者幻灯片，提高导出效率。</w:t>
            </w:r>
          </w:p>
          <w:p>
            <w:pPr>
              <w:widowControl/>
              <w:numPr>
                <w:ilvl w:val="0"/>
                <w:numId w:val="6"/>
              </w:numPr>
              <w:spacing w:line="360" w:lineRule="auto"/>
              <w:rPr>
                <w:rFonts w:hint="eastAsia" w:ascii="宋体" w:hAnsi="宋体" w:cs="宋体"/>
                <w:kern w:val="0"/>
                <w:szCs w:val="21"/>
              </w:rPr>
            </w:pPr>
            <w:r>
              <w:rPr>
                <w:rFonts w:hint="eastAsia" w:ascii="宋体" w:hAnsi="宋体" w:cs="宋体"/>
                <w:kern w:val="0"/>
                <w:szCs w:val="21"/>
              </w:rPr>
              <w:t>文字、表格、演示三个组件均支持丰富的公式元素、支持更多设置，可以满足各种场景公式编写需求。公式元素包括9种常用的预设函数：三角恒等式、二次公式、二次项定理、勾股定理等；8大类公式符号：基础数学、希腊字母、字符类符号、运算符、箭头、求反关系运算符、手写体、几何学；提供11类函数结构：分数、极限和对数、运算符等。公式选项包含公式的通用设置，比如显示方式和排版位置，每种函数也提供特有的设置项，比如针对大型运算符，支持改变极限符号位置、显示下限、显示上限、拉伸N元运算符，需要更改公式显示效果时，不需要重新插入，只需更改对应的设置项即可。</w:t>
            </w:r>
            <w:r>
              <w:rPr>
                <w:rFonts w:hint="eastAsia" w:ascii="宋体" w:hAnsi="宋体" w:cs="宋体"/>
                <w:kern w:val="0"/>
                <w:szCs w:val="21"/>
              </w:rPr>
              <w:br w:type="textWrapping"/>
            </w:r>
            <w:r>
              <w:rPr>
                <w:rFonts w:hint="eastAsia" w:ascii="宋体" w:hAnsi="宋体" w:cs="宋体"/>
                <w:kern w:val="0"/>
                <w:szCs w:val="21"/>
              </w:rPr>
              <w:t>5) ★文字、表格、演示均支持“文档拆分合并”功能。实现对wps、doc、docx、uot3.ppt、pptx、uop3.xls、xlsx、uos3.pdf格式的文档进行合并和拆分，且可自定义不同合并和拆分方式，包括合并范围、输出名称、输出目录、拆分范围等，帮助用户快速整合文档资料。</w:t>
            </w:r>
            <w:r>
              <w:rPr>
                <w:rFonts w:hint="eastAsia" w:ascii="宋体" w:hAnsi="宋体" w:cs="宋体"/>
                <w:kern w:val="0"/>
                <w:szCs w:val="21"/>
              </w:rPr>
              <w:br w:type="textWrapping"/>
            </w:r>
            <w:r>
              <w:rPr>
                <w:rFonts w:hint="eastAsia" w:ascii="宋体" w:hAnsi="宋体" w:cs="宋体"/>
                <w:kern w:val="0"/>
                <w:szCs w:val="21"/>
              </w:rPr>
              <w:t>6) ★文字、表格、演示均支持文本识别功能，可以截取系统内的图片或PDF中的文字，进行提取识别，方便用户将已经识别的字符直接添加入文档内，不需要再手动输入。</w:t>
            </w:r>
            <w:r>
              <w:rPr>
                <w:rFonts w:hint="eastAsia" w:ascii="宋体" w:hAnsi="宋体" w:cs="宋体"/>
                <w:kern w:val="0"/>
                <w:szCs w:val="21"/>
              </w:rPr>
              <w:br w:type="textWrapping"/>
            </w:r>
            <w:r>
              <w:rPr>
                <w:rFonts w:hint="eastAsia" w:ascii="宋体" w:hAnsi="宋体" w:cs="宋体"/>
                <w:kern w:val="0"/>
                <w:szCs w:val="21"/>
              </w:rPr>
              <w:t>二、文字模块</w:t>
            </w:r>
            <w:r>
              <w:rPr>
                <w:rFonts w:hint="eastAsia" w:ascii="宋体" w:hAnsi="宋体" w:cs="宋体"/>
                <w:kern w:val="0"/>
                <w:szCs w:val="21"/>
              </w:rPr>
              <w:br w:type="textWrapping"/>
            </w:r>
            <w:r>
              <w:rPr>
                <w:rFonts w:hint="eastAsia" w:ascii="宋体" w:hAnsi="宋体" w:cs="宋体"/>
                <w:kern w:val="0"/>
                <w:szCs w:val="21"/>
              </w:rPr>
              <w:t>1) ★支持本地磁盘文件搜索。可以根据文档名称，文档内容，按照时间及文件类型搜索出符合条件的文档素材，搜索出来的文档支持直接查看和引用，通过引用将文档内容直接插入到需要的文档中。</w:t>
            </w:r>
            <w:r>
              <w:rPr>
                <w:rFonts w:hint="eastAsia" w:ascii="宋体" w:hAnsi="宋体" w:cs="宋体"/>
                <w:kern w:val="0"/>
                <w:szCs w:val="21"/>
              </w:rPr>
              <w:br w:type="textWrapping"/>
            </w:r>
            <w:r>
              <w:rPr>
                <w:rFonts w:hint="eastAsia" w:ascii="宋体" w:hAnsi="宋体" w:cs="宋体"/>
                <w:kern w:val="0"/>
                <w:szCs w:val="21"/>
              </w:rPr>
              <w:t>2) 支持垂直审阅窗格、水平审阅窗格两种模式。支持通过审阅人、审阅时间筛选批注信息和修订信息。同时支持答复、解决等批注的操作。提供集中查看操作修订和批注的界面，可清晰查看每个修订和批注的内容方便快速跳转到对应的文档中的内容。尤其对于页数多的文档，可提升相关操作的效率。</w:t>
            </w:r>
            <w:r>
              <w:rPr>
                <w:rFonts w:hint="eastAsia" w:ascii="宋体" w:hAnsi="宋体" w:cs="宋体"/>
                <w:kern w:val="0"/>
                <w:szCs w:val="21"/>
              </w:rPr>
              <w:br w:type="textWrapping"/>
            </w:r>
            <w:r>
              <w:rPr>
                <w:rFonts w:hint="eastAsia" w:ascii="宋体" w:hAnsi="宋体" w:cs="宋体"/>
                <w:kern w:val="0"/>
                <w:szCs w:val="21"/>
              </w:rPr>
              <w:t>3) ★支持章节导航、书签导航功能。“章节导航”支持显示章节内容、更改章节标题、增加节、删除节、合并节。“书签导航”支持显示书签，按照书签的名称和位置排序等。</w:t>
            </w:r>
            <w:r>
              <w:rPr>
                <w:rFonts w:hint="eastAsia" w:ascii="宋体" w:hAnsi="宋体" w:cs="宋体"/>
                <w:kern w:val="0"/>
                <w:szCs w:val="21"/>
              </w:rPr>
              <w:br w:type="textWrapping"/>
            </w:r>
            <w:r>
              <w:rPr>
                <w:rFonts w:hint="eastAsia" w:ascii="宋体" w:hAnsi="宋体" w:cs="宋体"/>
                <w:kern w:val="0"/>
                <w:szCs w:val="21"/>
              </w:rPr>
              <w:t>4) 文字模块支持智能自动识别正文的段落结构，生成对应目录，节省手动设置标题格式时间。支持在导航窗格中进行查找和替换，支持一键全选正文的查找结果。</w:t>
            </w:r>
            <w:r>
              <w:rPr>
                <w:rFonts w:hint="eastAsia" w:ascii="宋体" w:hAnsi="宋体" w:cs="宋体"/>
                <w:kern w:val="0"/>
                <w:szCs w:val="21"/>
              </w:rPr>
              <w:br w:type="textWrapping"/>
            </w:r>
            <w:r>
              <w:rPr>
                <w:rFonts w:hint="eastAsia" w:ascii="宋体" w:hAnsi="宋体" w:cs="宋体"/>
                <w:kern w:val="0"/>
                <w:szCs w:val="21"/>
              </w:rPr>
              <w:t>5) 支持段落柄功能，快速设置、查看当前段落、选区的段落属性。</w:t>
            </w:r>
            <w:r>
              <w:rPr>
                <w:rFonts w:hint="eastAsia" w:ascii="宋体" w:hAnsi="宋体" w:cs="宋体"/>
                <w:kern w:val="0"/>
                <w:szCs w:val="21"/>
              </w:rPr>
              <w:br w:type="textWrapping"/>
            </w:r>
            <w:r>
              <w:rPr>
                <w:rFonts w:hint="eastAsia" w:ascii="宋体" w:hAnsi="宋体" w:cs="宋体"/>
                <w:kern w:val="0"/>
                <w:szCs w:val="21"/>
              </w:rPr>
              <w:t>三、表格模块</w:t>
            </w:r>
            <w:r>
              <w:rPr>
                <w:rFonts w:hint="eastAsia" w:ascii="宋体" w:hAnsi="宋体" w:cs="宋体"/>
                <w:kern w:val="0"/>
                <w:szCs w:val="21"/>
              </w:rPr>
              <w:br w:type="textWrapping"/>
            </w:r>
            <w:r>
              <w:rPr>
                <w:rFonts w:hint="eastAsia" w:ascii="宋体" w:hAnsi="宋体" w:cs="宋体"/>
                <w:kern w:val="0"/>
                <w:szCs w:val="21"/>
              </w:rPr>
              <w:t>1) 支持多种类型的错误检查，包括数字以文本形式存储、单元格前后有空字符串等错误类型，同时支持错误指示器，能够非常容易地看到出现错误的单元格。</w:t>
            </w:r>
            <w:r>
              <w:rPr>
                <w:rFonts w:hint="eastAsia" w:ascii="宋体" w:hAnsi="宋体" w:cs="宋体"/>
                <w:kern w:val="0"/>
                <w:szCs w:val="21"/>
              </w:rPr>
              <w:br w:type="textWrapping"/>
            </w:r>
            <w:r>
              <w:rPr>
                <w:rFonts w:hint="eastAsia" w:ascii="宋体" w:hAnsi="宋体" w:cs="宋体"/>
                <w:kern w:val="0"/>
                <w:szCs w:val="21"/>
              </w:rPr>
              <w:t>2) ★支持智能填充。根据已有的示例结果，一键智能分析出结果与原始数据之间的关系，据此填充同列</w:t>
            </w:r>
          </w:p>
          <w:p>
            <w:pPr>
              <w:widowControl/>
              <w:numPr>
                <w:ilvl w:val="0"/>
                <w:numId w:val="7"/>
              </w:numPr>
              <w:spacing w:line="360" w:lineRule="auto"/>
              <w:rPr>
                <w:rFonts w:hint="eastAsia" w:ascii="宋体" w:hAnsi="宋体" w:cs="宋体"/>
                <w:kern w:val="0"/>
                <w:szCs w:val="21"/>
              </w:rPr>
            </w:pPr>
            <w:r>
              <w:rPr>
                <w:rFonts w:hint="eastAsia" w:ascii="宋体" w:hAnsi="宋体" w:cs="宋体"/>
                <w:kern w:val="0"/>
                <w:szCs w:val="21"/>
              </w:rPr>
              <w:t>支持单元格格式支持正负号自动识别。在数据需要校验时，此格式设置可以在数字前自动生成正负号，方便用户判断。</w:t>
            </w:r>
            <w:r>
              <w:rPr>
                <w:rFonts w:hint="eastAsia" w:ascii="宋体" w:hAnsi="宋体" w:cs="宋体"/>
                <w:kern w:val="0"/>
                <w:szCs w:val="21"/>
              </w:rPr>
              <w:br w:type="textWrapping"/>
            </w:r>
            <w:r>
              <w:rPr>
                <w:rFonts w:hint="eastAsia" w:ascii="宋体" w:hAnsi="宋体" w:cs="宋体"/>
                <w:kern w:val="0"/>
                <w:szCs w:val="21"/>
              </w:rPr>
              <w:t>4) ★支持“切片器”。通过插入单个或多个切片器，让用户更直观地筛选数据透视表，比普通筛选更灵活更方便。</w:t>
            </w:r>
          </w:p>
          <w:p>
            <w:pPr>
              <w:widowControl/>
              <w:numPr>
                <w:ilvl w:val="0"/>
                <w:numId w:val="7"/>
              </w:numPr>
              <w:spacing w:line="360" w:lineRule="auto"/>
              <w:ind w:left="0" w:leftChars="0" w:firstLine="0" w:firstLineChars="0"/>
              <w:rPr>
                <w:rFonts w:hint="eastAsia" w:ascii="宋体" w:hAnsi="宋体" w:cs="宋体"/>
                <w:kern w:val="0"/>
                <w:szCs w:val="21"/>
              </w:rPr>
            </w:pPr>
            <w:r>
              <w:rPr>
                <w:rFonts w:hint="eastAsia" w:ascii="宋体" w:hAnsi="宋体" w:cs="宋体"/>
                <w:kern w:val="0"/>
                <w:szCs w:val="21"/>
              </w:rPr>
              <w:t>支持“文件瘦身”。该功能可以通过对文件中的对象、重复样式、空白单元格内容进行瘦身，减小文件体积，提升文件打开效率。</w:t>
            </w:r>
            <w:r>
              <w:rPr>
                <w:rFonts w:hint="eastAsia" w:ascii="宋体" w:hAnsi="宋体" w:cs="宋体"/>
                <w:kern w:val="0"/>
                <w:szCs w:val="21"/>
              </w:rPr>
              <w:br w:type="textWrapping"/>
            </w:r>
            <w:r>
              <w:rPr>
                <w:rFonts w:hint="eastAsia" w:ascii="宋体" w:hAnsi="宋体" w:cs="宋体"/>
                <w:kern w:val="0"/>
                <w:szCs w:val="21"/>
              </w:rPr>
              <w:t>四、演示模块</w:t>
            </w:r>
            <w:r>
              <w:rPr>
                <w:rFonts w:hint="eastAsia" w:ascii="宋体" w:hAnsi="宋体" w:cs="宋体"/>
                <w:kern w:val="0"/>
                <w:szCs w:val="21"/>
              </w:rPr>
              <w:br w:type="textWrapping"/>
            </w:r>
            <w:r>
              <w:rPr>
                <w:rFonts w:hint="eastAsia" w:ascii="宋体" w:hAnsi="宋体" w:cs="宋体"/>
                <w:kern w:val="0"/>
                <w:szCs w:val="21"/>
              </w:rPr>
              <w:t>1) ★演示组件，支持多种智能图形（兼容SmartArt）的插入和编辑。包括层次结构、列表、循环、流程等，方便用户使用及创造更加多元化演示文稿。</w:t>
            </w:r>
          </w:p>
          <w:p>
            <w:pPr>
              <w:widowControl/>
              <w:numPr>
                <w:ilvl w:val="0"/>
                <w:numId w:val="8"/>
              </w:numPr>
              <w:spacing w:line="360" w:lineRule="auto"/>
              <w:ind w:leftChars="0"/>
              <w:rPr>
                <w:rFonts w:hint="eastAsia" w:ascii="宋体" w:hAnsi="宋体" w:cs="宋体"/>
                <w:kern w:val="0"/>
                <w:szCs w:val="21"/>
              </w:rPr>
            </w:pPr>
            <w:r>
              <w:rPr>
                <w:rFonts w:hint="eastAsia" w:ascii="宋体" w:hAnsi="宋体" w:cs="宋体"/>
                <w:kern w:val="0"/>
                <w:szCs w:val="21"/>
              </w:rPr>
              <w:t>支持将演示文件及相关媒体文件打包成文件夹/压缩文件，方便用户携带及使用，避免文档流转时媒体文件无法播放。</w:t>
            </w:r>
            <w:r>
              <w:rPr>
                <w:rFonts w:hint="eastAsia" w:ascii="宋体" w:hAnsi="宋体" w:cs="宋体"/>
                <w:kern w:val="0"/>
                <w:szCs w:val="21"/>
              </w:rPr>
              <w:br w:type="textWrapping"/>
            </w:r>
            <w:r>
              <w:rPr>
                <w:rFonts w:hint="eastAsia" w:ascii="宋体" w:hAnsi="宋体" w:cs="宋体"/>
                <w:kern w:val="0"/>
                <w:szCs w:val="21"/>
              </w:rPr>
              <w:t>3) ★支持嵌入音频/视频媒体对象嵌入后能跟随文档一起，支持将幻灯片背景另存为图片。</w:t>
            </w:r>
          </w:p>
          <w:p>
            <w:pPr>
              <w:widowControl/>
              <w:numPr>
                <w:ilvl w:val="0"/>
                <w:numId w:val="0"/>
              </w:numPr>
              <w:spacing w:line="360" w:lineRule="auto"/>
              <w:rPr>
                <w:rFonts w:ascii="宋体" w:hAnsi="宋体" w:cs="宋体"/>
                <w:kern w:val="0"/>
                <w:szCs w:val="21"/>
              </w:rPr>
            </w:pPr>
            <w:r>
              <w:rPr>
                <w:rFonts w:hint="eastAsia" w:ascii="宋体" w:hAnsi="宋体" w:cs="宋体"/>
                <w:kern w:val="0"/>
                <w:szCs w:val="21"/>
              </w:rPr>
              <w:t>4) 支持动画刷的功能，方便用户快速将指定的对话应用到其他对象上，节省添加动画时间。</w:t>
            </w:r>
            <w:r>
              <w:rPr>
                <w:rFonts w:hint="eastAsia" w:ascii="宋体" w:hAnsi="宋体" w:cs="宋体"/>
                <w:kern w:val="0"/>
                <w:szCs w:val="21"/>
              </w:rPr>
              <w:br w:type="textWrapping"/>
            </w:r>
            <w:r>
              <w:rPr>
                <w:rFonts w:hint="eastAsia" w:ascii="宋体" w:hAnsi="宋体" w:cs="宋体"/>
                <w:kern w:val="0"/>
                <w:szCs w:val="21"/>
              </w:rPr>
              <w:t>5) 普通视图支持使用画笔工具绘制墨迹，方便用户随手绘制墨迹内容，更加灵活。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vAlign w:val="center"/>
          </w:tcPr>
          <w:p>
            <w:pPr>
              <w:widowControl/>
              <w:spacing w:line="360" w:lineRule="auto"/>
              <w:jc w:val="right"/>
              <w:rPr>
                <w:rFonts w:ascii="宋体" w:hAnsi="宋体" w:cs="宋体"/>
                <w:kern w:val="0"/>
                <w:szCs w:val="21"/>
              </w:rPr>
            </w:pPr>
            <w:r>
              <w:rPr>
                <w:rFonts w:hint="eastAsia" w:ascii="宋体" w:hAnsi="宋体" w:cs="宋体"/>
                <w:kern w:val="0"/>
                <w:szCs w:val="21"/>
              </w:rPr>
              <w:t>16</w:t>
            </w:r>
          </w:p>
        </w:tc>
        <w:tc>
          <w:tcPr>
            <w:tcW w:w="1300"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版式软件</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6</w:t>
            </w:r>
          </w:p>
        </w:tc>
        <w:tc>
          <w:tcPr>
            <w:tcW w:w="440" w:type="dxa"/>
            <w:noWrap/>
            <w:vAlign w:val="center"/>
          </w:tcPr>
          <w:p>
            <w:pPr>
              <w:widowControl/>
              <w:spacing w:line="360" w:lineRule="auto"/>
              <w:rPr>
                <w:rFonts w:ascii="宋体" w:hAnsi="宋体" w:cs="宋体"/>
                <w:kern w:val="0"/>
                <w:szCs w:val="21"/>
              </w:rPr>
            </w:pPr>
            <w:r>
              <w:rPr>
                <w:rFonts w:hint="eastAsia" w:ascii="宋体" w:hAnsi="宋体" w:cs="宋体"/>
                <w:kern w:val="0"/>
                <w:szCs w:val="21"/>
              </w:rPr>
              <w:t>套</w:t>
            </w:r>
          </w:p>
        </w:tc>
        <w:tc>
          <w:tcPr>
            <w:tcW w:w="6071" w:type="dxa"/>
            <w:vAlign w:val="center"/>
          </w:tcPr>
          <w:p>
            <w:pPr>
              <w:widowControl/>
              <w:numPr>
                <w:ilvl w:val="0"/>
                <w:numId w:val="9"/>
              </w:numPr>
              <w:spacing w:line="360" w:lineRule="auto"/>
              <w:rPr>
                <w:rFonts w:hint="eastAsia" w:ascii="宋体" w:hAnsi="宋体" w:cs="宋体"/>
                <w:kern w:val="0"/>
                <w:szCs w:val="21"/>
              </w:rPr>
            </w:pPr>
            <w:r>
              <w:rPr>
                <w:rFonts w:hint="eastAsia" w:ascii="宋体" w:hAnsi="宋体" w:cs="宋体"/>
                <w:kern w:val="0"/>
                <w:szCs w:val="21"/>
              </w:rPr>
              <w:t>符合OFD版式文档格式标准及电子公文应用领域的相关标准规范，具备OFD文件的编辑、检索、打印、水印、加解密、电子印章、手写签批、页面管理、注释管理、视图管理、语义管理等功能，以及功能说明书内的全部功能。</w:t>
            </w:r>
            <w:r>
              <w:rPr>
                <w:rFonts w:hint="eastAsia" w:ascii="宋体" w:hAnsi="宋体" w:cs="宋体"/>
                <w:kern w:val="0"/>
                <w:szCs w:val="21"/>
              </w:rPr>
              <w:br w:type="textWrapping"/>
            </w:r>
            <w:r>
              <w:rPr>
                <w:rFonts w:hint="eastAsia" w:ascii="宋体" w:hAnsi="宋体" w:cs="宋体"/>
                <w:kern w:val="0"/>
                <w:szCs w:val="21"/>
              </w:rPr>
              <w:t>(2) 文件操作，提供OFD/PDF版式文档打开、保存、另存、打印等基础功能，支持直接阅读ceb、cebx、sep、gw、gd、s2.s10.s92.s72.docx、xlsx、pptx、tiff、tif、jpg、jpeg、png、bmp、sfd等格式文档，可将打开文档导出为图片、PDF或TXT格式文档。</w:t>
            </w:r>
            <w:r>
              <w:rPr>
                <w:rFonts w:hint="eastAsia" w:ascii="宋体" w:hAnsi="宋体" w:cs="宋体"/>
                <w:kern w:val="0"/>
                <w:szCs w:val="21"/>
              </w:rPr>
              <w:br w:type="textWrapping"/>
            </w:r>
            <w:r>
              <w:rPr>
                <w:rFonts w:hint="eastAsia" w:ascii="宋体" w:hAnsi="宋体" w:cs="宋体"/>
                <w:kern w:val="0"/>
                <w:szCs w:val="21"/>
              </w:rPr>
              <w:t>(3) 阅读操作，支持翻页、跳转、缩放、全屏阅览，支持缩略图、大纲、语义、书签、数字签名、附件等导览功能。</w:t>
            </w:r>
            <w:r>
              <w:rPr>
                <w:rFonts w:hint="eastAsia" w:ascii="宋体" w:hAnsi="宋体" w:cs="宋体"/>
                <w:kern w:val="0"/>
                <w:szCs w:val="21"/>
              </w:rPr>
              <w:br w:type="textWrapping"/>
            </w:r>
            <w:r>
              <w:rPr>
                <w:rFonts w:hint="eastAsia" w:ascii="宋体" w:hAnsi="宋体" w:cs="宋体"/>
                <w:kern w:val="0"/>
                <w:szCs w:val="21"/>
              </w:rPr>
              <w:t>(4) ★文档编辑，支持OFD/PDF文档中的文字编辑、图片编辑功能，可在文档页面任意位置添加文本，可设置文本字体、字号、颜色等属性。</w:t>
            </w:r>
            <w:r>
              <w:rPr>
                <w:rFonts w:hint="eastAsia" w:ascii="宋体" w:hAnsi="宋体" w:cs="宋体"/>
                <w:kern w:val="0"/>
                <w:szCs w:val="21"/>
              </w:rPr>
              <w:br w:type="textWrapping"/>
            </w:r>
            <w:r>
              <w:rPr>
                <w:rFonts w:hint="eastAsia" w:ascii="宋体" w:hAnsi="宋体" w:cs="宋体"/>
                <w:kern w:val="0"/>
                <w:szCs w:val="21"/>
              </w:rPr>
              <w:t>(5) 电子签章，支持加盖电子签章和验章功能，普通盖章、骑缝章、署名章、预盖章、批量盖章等功能。</w:t>
            </w:r>
            <w:r>
              <w:rPr>
                <w:rFonts w:hint="eastAsia" w:ascii="宋体" w:hAnsi="宋体" w:cs="宋体"/>
                <w:kern w:val="0"/>
                <w:szCs w:val="21"/>
              </w:rPr>
              <w:br w:type="textWrapping"/>
            </w:r>
            <w:r>
              <w:rPr>
                <w:rFonts w:hint="eastAsia" w:ascii="宋体" w:hAnsi="宋体" w:cs="宋体"/>
                <w:kern w:val="0"/>
                <w:szCs w:val="21"/>
              </w:rPr>
              <w:t>(6) 修订注释，支持批注、删除、插入、替换、移动、修改、增加间距、缩小间距、前移、后移、切换字体等修订标记；支持图形注释、文本注释、文本框注释功能。</w:t>
            </w:r>
            <w:r>
              <w:rPr>
                <w:rFonts w:hint="eastAsia" w:ascii="宋体" w:hAnsi="宋体" w:cs="宋体"/>
                <w:kern w:val="0"/>
                <w:szCs w:val="21"/>
              </w:rPr>
              <w:br w:type="textWrapping"/>
            </w:r>
            <w:r>
              <w:rPr>
                <w:rFonts w:hint="eastAsia" w:ascii="宋体" w:hAnsi="宋体" w:cs="宋体"/>
                <w:kern w:val="0"/>
                <w:szCs w:val="21"/>
              </w:rPr>
              <w:t>(7) 手写签批，支持签字笔（粗、细）、软笔签批用笔选择，支持压感笔锋功能，根据写入时的用力大小来显示字体笔画的粗细程度，提供橡皮擦功能。</w:t>
            </w:r>
            <w:r>
              <w:rPr>
                <w:rFonts w:hint="eastAsia" w:ascii="宋体" w:hAnsi="宋体" w:cs="宋体"/>
                <w:kern w:val="0"/>
                <w:szCs w:val="21"/>
              </w:rPr>
              <w:br w:type="textWrapping"/>
            </w:r>
            <w:r>
              <w:rPr>
                <w:rFonts w:hint="eastAsia" w:ascii="宋体" w:hAnsi="宋体" w:cs="宋体"/>
                <w:kern w:val="0"/>
                <w:szCs w:val="21"/>
              </w:rPr>
              <w:t>(8) ★页面处理，支持拆分OFD；提供插入、删除、替换、提取、交换、移动等页面处理功能。</w:t>
            </w:r>
          </w:p>
          <w:p>
            <w:pPr>
              <w:widowControl/>
              <w:numPr>
                <w:ilvl w:val="0"/>
                <w:numId w:val="10"/>
              </w:numPr>
              <w:spacing w:line="360" w:lineRule="auto"/>
              <w:rPr>
                <w:rFonts w:hint="eastAsia" w:ascii="宋体" w:hAnsi="宋体" w:cs="宋体"/>
                <w:kern w:val="0"/>
                <w:szCs w:val="21"/>
              </w:rPr>
            </w:pPr>
            <w:r>
              <w:rPr>
                <w:rFonts w:hint="eastAsia" w:ascii="宋体" w:hAnsi="宋体" w:cs="宋体"/>
                <w:kern w:val="0"/>
                <w:szCs w:val="21"/>
              </w:rPr>
              <w:t>★安全性，提供保存、另存、打印、复制、截屏等禁用控制功能，支持国密https打开远程文件，可为文档添加阅读有效期和操作权限，提供加密保护功能。</w:t>
            </w:r>
          </w:p>
          <w:p>
            <w:pPr>
              <w:widowControl/>
              <w:numPr>
                <w:ilvl w:val="0"/>
                <w:numId w:val="0"/>
              </w:numPr>
              <w:spacing w:line="360" w:lineRule="auto"/>
              <w:rPr>
                <w:rFonts w:ascii="宋体" w:hAnsi="宋体" w:cs="宋体"/>
                <w:kern w:val="0"/>
                <w:szCs w:val="21"/>
              </w:rPr>
            </w:pPr>
            <w:r>
              <w:rPr>
                <w:rFonts w:hint="eastAsia" w:ascii="宋体" w:hAnsi="宋体" w:cs="宋体"/>
                <w:kern w:val="0"/>
                <w:szCs w:val="21"/>
              </w:rPr>
              <w:t>(10) 支持通过统一管理系统进行版本升级、补丁分发、监控管理等功能，实现版式软件的统一运维监管；支持B/S和C/S集成模式，具有完善的二次开发接口。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vAlign w:val="center"/>
          </w:tcPr>
          <w:p>
            <w:pPr>
              <w:widowControl/>
              <w:spacing w:line="360" w:lineRule="auto"/>
              <w:jc w:val="right"/>
              <w:rPr>
                <w:rFonts w:ascii="宋体" w:hAnsi="宋体" w:cs="宋体"/>
                <w:kern w:val="0"/>
                <w:szCs w:val="21"/>
              </w:rPr>
            </w:pPr>
            <w:r>
              <w:rPr>
                <w:rFonts w:hint="eastAsia" w:ascii="宋体" w:hAnsi="宋体" w:cs="宋体"/>
                <w:kern w:val="0"/>
                <w:szCs w:val="21"/>
              </w:rPr>
              <w:t>17</w:t>
            </w:r>
          </w:p>
        </w:tc>
        <w:tc>
          <w:tcPr>
            <w:tcW w:w="1300"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激光打印(国产)</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w:t>
            </w:r>
          </w:p>
        </w:tc>
        <w:tc>
          <w:tcPr>
            <w:tcW w:w="440" w:type="dxa"/>
            <w:noWrap/>
            <w:vAlign w:val="center"/>
          </w:tcPr>
          <w:p>
            <w:pPr>
              <w:widowControl/>
              <w:spacing w:line="360" w:lineRule="auto"/>
              <w:jc w:val="center"/>
              <w:rPr>
                <w:rFonts w:ascii="宋体" w:hAnsi="宋体" w:cs="宋体"/>
                <w:kern w:val="0"/>
                <w:szCs w:val="21"/>
              </w:rPr>
            </w:pPr>
            <w:r>
              <w:rPr>
                <w:rFonts w:hint="eastAsia" w:ascii="宋体" w:hAnsi="宋体" w:cs="宋体"/>
                <w:kern w:val="0"/>
                <w:szCs w:val="21"/>
              </w:rPr>
              <w:t>台</w:t>
            </w:r>
          </w:p>
        </w:tc>
        <w:tc>
          <w:tcPr>
            <w:tcW w:w="6071" w:type="dxa"/>
            <w:vAlign w:val="center"/>
          </w:tcPr>
          <w:p>
            <w:pPr>
              <w:widowControl/>
              <w:spacing w:line="360" w:lineRule="auto"/>
              <w:rPr>
                <w:rFonts w:ascii="宋体" w:hAnsi="宋体" w:cs="宋体"/>
                <w:kern w:val="0"/>
                <w:szCs w:val="21"/>
              </w:rPr>
            </w:pPr>
            <w:r>
              <w:rPr>
                <w:rFonts w:hint="eastAsia" w:ascii="宋体" w:hAnsi="宋体" w:cs="宋体"/>
                <w:kern w:val="0"/>
                <w:szCs w:val="21"/>
              </w:rPr>
              <w:t>1.类型：A4黑白激光多功能一体机</w:t>
            </w:r>
            <w:r>
              <w:rPr>
                <w:rFonts w:hint="eastAsia" w:ascii="宋体" w:hAnsi="宋体" w:cs="宋体"/>
                <w:kern w:val="0"/>
                <w:szCs w:val="21"/>
              </w:rPr>
              <w:br w:type="textWrapping"/>
            </w:r>
            <w:r>
              <w:rPr>
                <w:rFonts w:hint="eastAsia" w:ascii="宋体" w:hAnsi="宋体" w:cs="宋体"/>
                <w:kern w:val="0"/>
                <w:szCs w:val="21"/>
              </w:rPr>
              <w:t>2.打印速度：30页/分钟</w:t>
            </w:r>
            <w:r>
              <w:rPr>
                <w:rFonts w:hint="eastAsia" w:ascii="宋体" w:hAnsi="宋体" w:cs="宋体"/>
                <w:kern w:val="0"/>
                <w:szCs w:val="21"/>
              </w:rPr>
              <w:br w:type="textWrapping"/>
            </w:r>
            <w:r>
              <w:rPr>
                <w:rFonts w:hint="eastAsia" w:ascii="宋体" w:hAnsi="宋体" w:cs="宋体"/>
                <w:kern w:val="0"/>
                <w:szCs w:val="21"/>
              </w:rPr>
              <w:t>3.接口：USB2.0，10/100 Base-T Ethernet</w:t>
            </w:r>
            <w:r>
              <w:rPr>
                <w:rFonts w:hint="eastAsia" w:ascii="宋体" w:hAnsi="宋体" w:cs="宋体"/>
                <w:kern w:val="0"/>
                <w:szCs w:val="21"/>
              </w:rPr>
              <w:br w:type="textWrapping"/>
            </w:r>
            <w:r>
              <w:rPr>
                <w:rFonts w:hint="eastAsia" w:ascii="宋体" w:hAnsi="宋体" w:cs="宋体"/>
                <w:kern w:val="0"/>
                <w:szCs w:val="21"/>
              </w:rPr>
              <w:t>4.打印功能：最大幅面支持A4， 支持自动双面，网络打印</w:t>
            </w:r>
            <w:r>
              <w:rPr>
                <w:rFonts w:hint="eastAsia" w:ascii="宋体" w:hAnsi="宋体" w:cs="宋体"/>
                <w:kern w:val="0"/>
                <w:szCs w:val="21"/>
              </w:rPr>
              <w:br w:type="textWrapping"/>
            </w:r>
            <w:r>
              <w:rPr>
                <w:rFonts w:hint="eastAsia" w:ascii="宋体" w:hAnsi="宋体" w:cs="宋体"/>
                <w:kern w:val="0"/>
                <w:szCs w:val="21"/>
              </w:rPr>
              <w:t>5.复印功能：黑白模式，支持平台复印，连续复印份数1-99页</w:t>
            </w:r>
            <w:r>
              <w:rPr>
                <w:rFonts w:hint="eastAsia" w:ascii="宋体" w:hAnsi="宋体" w:cs="宋体"/>
                <w:kern w:val="0"/>
                <w:szCs w:val="21"/>
              </w:rPr>
              <w:br w:type="textWrapping"/>
            </w:r>
            <w:r>
              <w:rPr>
                <w:rFonts w:hint="eastAsia" w:ascii="宋体" w:hAnsi="宋体" w:cs="宋体"/>
                <w:kern w:val="0"/>
                <w:szCs w:val="21"/>
              </w:rPr>
              <w:t>6.扫描功能：支持彩色/灰度/黑白扫描，ADF+平台扫描模式</w:t>
            </w:r>
            <w:r>
              <w:rPr>
                <w:rFonts w:hint="eastAsia" w:ascii="宋体" w:hAnsi="宋体" w:cs="宋体"/>
                <w:kern w:val="0"/>
                <w:szCs w:val="21"/>
              </w:rPr>
              <w:br w:type="textWrapping"/>
            </w:r>
            <w:r>
              <w:rPr>
                <w:rFonts w:hint="eastAsia" w:ascii="宋体" w:hAnsi="宋体" w:cs="宋体"/>
                <w:kern w:val="0"/>
                <w:szCs w:val="21"/>
              </w:rPr>
              <w:t>7.标配35页输稿器</w:t>
            </w:r>
            <w:r>
              <w:rPr>
                <w:rFonts w:hint="eastAsia" w:ascii="宋体" w:hAnsi="宋体" w:cs="宋体"/>
                <w:kern w:val="0"/>
                <w:szCs w:val="21"/>
              </w:rPr>
              <w:br w:type="textWrapping"/>
            </w:r>
            <w:r>
              <w:rPr>
                <w:rFonts w:hint="eastAsia" w:ascii="宋体" w:hAnsi="宋体" w:cs="宋体"/>
                <w:kern w:val="0"/>
                <w:szCs w:val="21"/>
              </w:rPr>
              <w:t>8.纸盒容量：250+10</w:t>
            </w:r>
            <w:r>
              <w:rPr>
                <w:rFonts w:hint="eastAsia" w:ascii="宋体" w:hAnsi="宋体" w:cs="宋体"/>
                <w:kern w:val="0"/>
                <w:szCs w:val="21"/>
              </w:rPr>
              <w:br w:type="textWrapping"/>
            </w:r>
            <w:r>
              <w:rPr>
                <w:rFonts w:hint="eastAsia" w:ascii="宋体" w:hAnsi="宋体" w:cs="宋体"/>
                <w:kern w:val="0"/>
                <w:szCs w:val="21"/>
              </w:rPr>
              <w:t>9.支持的操作系统：windows xp/7/8/10；中标麒麟、统信（UOS）、中科方德、华普等等</w:t>
            </w:r>
            <w:r>
              <w:rPr>
                <w:rFonts w:hint="eastAsia" w:ascii="宋体" w:hAnsi="宋体" w:cs="宋体"/>
                <w:kern w:val="0"/>
                <w:szCs w:val="21"/>
              </w:rPr>
              <w:br w:type="textWrapping"/>
            </w:r>
            <w:r>
              <w:rPr>
                <w:rFonts w:hint="eastAsia" w:ascii="宋体" w:hAnsi="宋体" w:cs="宋体"/>
                <w:kern w:val="0"/>
                <w:szCs w:val="21"/>
              </w:rPr>
              <w:t>10.鼓粉分离：感光鼓：12000页 粉盒：3000页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vAlign w:val="center"/>
          </w:tcPr>
          <w:p>
            <w:pPr>
              <w:widowControl/>
              <w:spacing w:line="360" w:lineRule="auto"/>
              <w:jc w:val="right"/>
              <w:rPr>
                <w:rFonts w:ascii="宋体" w:hAnsi="宋体" w:cs="宋体"/>
                <w:kern w:val="0"/>
                <w:szCs w:val="21"/>
              </w:rPr>
            </w:pPr>
            <w:r>
              <w:rPr>
                <w:rFonts w:hint="eastAsia" w:ascii="宋体" w:hAnsi="宋体" w:cs="宋体"/>
                <w:kern w:val="0"/>
                <w:szCs w:val="21"/>
              </w:rPr>
              <w:t>18</w:t>
            </w:r>
          </w:p>
        </w:tc>
        <w:tc>
          <w:tcPr>
            <w:tcW w:w="1300" w:type="dxa"/>
            <w:vMerge w:val="continue"/>
            <w:vAlign w:val="center"/>
          </w:tcPr>
          <w:p>
            <w:pPr>
              <w:widowControl/>
              <w:spacing w:line="360" w:lineRule="auto"/>
              <w:rPr>
                <w:rFonts w:ascii="宋体" w:hAnsi="宋体" w:cs="宋体"/>
                <w:kern w:val="0"/>
                <w:szCs w:val="21"/>
              </w:rPr>
            </w:pP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庭审专用高拍仪</w:t>
            </w:r>
          </w:p>
        </w:tc>
        <w:tc>
          <w:tcPr>
            <w:tcW w:w="440" w:type="dxa"/>
            <w:vAlign w:val="center"/>
          </w:tcPr>
          <w:p>
            <w:pPr>
              <w:widowControl/>
              <w:spacing w:line="360" w:lineRule="auto"/>
              <w:jc w:val="center"/>
              <w:rPr>
                <w:rFonts w:ascii="宋体" w:hAnsi="宋体" w:cs="宋体"/>
                <w:kern w:val="0"/>
                <w:szCs w:val="21"/>
              </w:rPr>
            </w:pPr>
            <w:r>
              <w:rPr>
                <w:rFonts w:hint="eastAsia" w:ascii="宋体" w:hAnsi="宋体" w:cs="宋体"/>
                <w:kern w:val="0"/>
                <w:szCs w:val="21"/>
              </w:rPr>
              <w:t>1</w:t>
            </w:r>
          </w:p>
        </w:tc>
        <w:tc>
          <w:tcPr>
            <w:tcW w:w="440" w:type="dxa"/>
            <w:noWrap/>
            <w:vAlign w:val="center"/>
          </w:tcPr>
          <w:p>
            <w:pPr>
              <w:widowControl/>
              <w:spacing w:line="360" w:lineRule="auto"/>
              <w:jc w:val="center"/>
              <w:rPr>
                <w:rFonts w:ascii="宋体" w:hAnsi="宋体" w:cs="宋体"/>
                <w:kern w:val="0"/>
                <w:szCs w:val="21"/>
              </w:rPr>
            </w:pPr>
            <w:r>
              <w:rPr>
                <w:rFonts w:hint="eastAsia" w:ascii="宋体" w:hAnsi="宋体" w:cs="宋体"/>
                <w:kern w:val="0"/>
                <w:szCs w:val="21"/>
              </w:rPr>
              <w:t>台</w:t>
            </w:r>
          </w:p>
        </w:tc>
        <w:tc>
          <w:tcPr>
            <w:tcW w:w="6071" w:type="dxa"/>
            <w:vAlign w:val="center"/>
          </w:tcPr>
          <w:p>
            <w:pPr>
              <w:widowControl/>
              <w:spacing w:line="360" w:lineRule="auto"/>
              <w:rPr>
                <w:rFonts w:ascii="宋体" w:hAnsi="宋体" w:cs="宋体"/>
                <w:kern w:val="0"/>
                <w:szCs w:val="21"/>
              </w:rPr>
            </w:pPr>
            <w:r>
              <w:rPr>
                <w:rFonts w:hint="eastAsia" w:ascii="宋体" w:hAnsi="宋体" w:cs="宋体"/>
                <w:kern w:val="0"/>
                <w:szCs w:val="21"/>
              </w:rPr>
              <w:t>1.CMOS传感器、≥1000万像素；</w:t>
            </w:r>
            <w:r>
              <w:rPr>
                <w:rFonts w:hint="eastAsia" w:ascii="宋体" w:hAnsi="宋体" w:cs="宋体"/>
                <w:kern w:val="0"/>
                <w:szCs w:val="21"/>
              </w:rPr>
              <w:br w:type="textWrapping"/>
            </w:r>
            <w:r>
              <w:rPr>
                <w:rFonts w:hint="eastAsia" w:ascii="宋体" w:hAnsi="宋体" w:cs="宋体"/>
                <w:kern w:val="0"/>
                <w:szCs w:val="21"/>
              </w:rPr>
              <w:t>2.分辨率：3672*2754；</w:t>
            </w:r>
            <w:r>
              <w:rPr>
                <w:rFonts w:hint="eastAsia" w:ascii="宋体" w:hAnsi="宋体" w:cs="宋体"/>
                <w:kern w:val="0"/>
                <w:szCs w:val="21"/>
              </w:rPr>
              <w:br w:type="textWrapping"/>
            </w:r>
            <w:r>
              <w:rPr>
                <w:rFonts w:hint="eastAsia" w:ascii="宋体" w:hAnsi="宋体" w:cs="宋体"/>
                <w:kern w:val="0"/>
                <w:szCs w:val="21"/>
              </w:rPr>
              <w:t>3.扫描方式：支持PC软件触发、检测翻页自动扫描、定时扫描、外接脚踏键四种方式；</w:t>
            </w:r>
            <w:r>
              <w:rPr>
                <w:rFonts w:hint="eastAsia" w:ascii="宋体" w:hAnsi="宋体" w:cs="宋体"/>
                <w:kern w:val="0"/>
                <w:szCs w:val="21"/>
              </w:rPr>
              <w:br w:type="textWrapping"/>
            </w:r>
            <w:r>
              <w:rPr>
                <w:rFonts w:hint="eastAsia" w:ascii="宋体" w:hAnsi="宋体" w:cs="宋体"/>
                <w:kern w:val="0"/>
                <w:szCs w:val="21"/>
              </w:rPr>
              <w:t>4.支持与庭审系统软件对接，用于庭前、庭中过程中的证据材料上传及展示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98" w:type="dxa"/>
            <w:gridSpan w:val="6"/>
            <w:vAlign w:val="center"/>
          </w:tcPr>
          <w:p>
            <w:pPr>
              <w:widowControl/>
              <w:spacing w:line="360" w:lineRule="auto"/>
              <w:rPr>
                <w:rFonts w:ascii="宋体" w:hAnsi="宋体" w:cs="宋体"/>
                <w:b/>
                <w:bCs/>
                <w:color w:val="000000"/>
                <w:kern w:val="0"/>
                <w:szCs w:val="21"/>
              </w:rPr>
            </w:pPr>
            <w:r>
              <w:rPr>
                <w:rFonts w:hint="eastAsia" w:ascii="宋体" w:hAnsi="宋体" w:cs="宋体"/>
                <w:b/>
                <w:bCs/>
                <w:color w:val="000000"/>
                <w:kern w:val="0"/>
                <w:szCs w:val="21"/>
              </w:rPr>
              <w:t>二、系统集成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0" w:type="dxa"/>
            <w:vAlign w:val="center"/>
          </w:tcPr>
          <w:p>
            <w:pPr>
              <w:widowControl/>
              <w:spacing w:line="360" w:lineRule="auto"/>
              <w:rPr>
                <w:rFonts w:ascii="宋体" w:hAnsi="宋体" w:cs="宋体"/>
                <w:kern w:val="0"/>
                <w:szCs w:val="21"/>
              </w:rPr>
            </w:pPr>
            <w:r>
              <w:rPr>
                <w:rFonts w:hint="eastAsia" w:ascii="宋体" w:hAnsi="宋体" w:cs="宋体"/>
                <w:kern w:val="0"/>
                <w:szCs w:val="21"/>
              </w:rPr>
              <w:t>19</w:t>
            </w:r>
          </w:p>
        </w:tc>
        <w:tc>
          <w:tcPr>
            <w:tcW w:w="1300" w:type="dxa"/>
            <w:vAlign w:val="center"/>
          </w:tcPr>
          <w:p>
            <w:pPr>
              <w:widowControl/>
              <w:spacing w:line="360" w:lineRule="auto"/>
              <w:rPr>
                <w:rFonts w:ascii="宋体" w:hAnsi="宋体" w:cs="宋体"/>
                <w:kern w:val="0"/>
                <w:szCs w:val="21"/>
              </w:rPr>
            </w:pPr>
            <w:r>
              <w:rPr>
                <w:rFonts w:hint="eastAsia" w:ascii="宋体" w:hAnsi="宋体" w:cs="宋体"/>
                <w:kern w:val="0"/>
                <w:szCs w:val="21"/>
              </w:rPr>
              <w:t>系统集成</w:t>
            </w:r>
          </w:p>
        </w:tc>
        <w:tc>
          <w:tcPr>
            <w:tcW w:w="807" w:type="dxa"/>
            <w:vAlign w:val="center"/>
          </w:tcPr>
          <w:p>
            <w:pPr>
              <w:widowControl/>
              <w:spacing w:line="360" w:lineRule="auto"/>
              <w:rPr>
                <w:rFonts w:ascii="宋体" w:hAnsi="宋体" w:cs="宋体"/>
                <w:kern w:val="0"/>
                <w:szCs w:val="21"/>
              </w:rPr>
            </w:pPr>
            <w:r>
              <w:rPr>
                <w:rFonts w:hint="eastAsia" w:ascii="宋体" w:hAnsi="宋体" w:cs="宋体"/>
                <w:kern w:val="0"/>
                <w:szCs w:val="21"/>
              </w:rPr>
              <w:t>系统集成</w:t>
            </w:r>
          </w:p>
        </w:tc>
        <w:tc>
          <w:tcPr>
            <w:tcW w:w="440" w:type="dxa"/>
            <w:vAlign w:val="center"/>
          </w:tcPr>
          <w:p>
            <w:pPr>
              <w:widowControl/>
              <w:spacing w:line="360" w:lineRule="auto"/>
              <w:rPr>
                <w:rFonts w:ascii="宋体" w:hAnsi="宋体" w:cs="宋体"/>
                <w:kern w:val="0"/>
                <w:szCs w:val="21"/>
              </w:rPr>
            </w:pPr>
            <w:r>
              <w:rPr>
                <w:rFonts w:hint="eastAsia" w:ascii="宋体" w:hAnsi="宋体" w:cs="宋体"/>
                <w:kern w:val="0"/>
                <w:szCs w:val="21"/>
              </w:rPr>
              <w:t>1</w:t>
            </w:r>
          </w:p>
        </w:tc>
        <w:tc>
          <w:tcPr>
            <w:tcW w:w="440" w:type="dxa"/>
            <w:vAlign w:val="center"/>
          </w:tcPr>
          <w:p>
            <w:pPr>
              <w:widowControl/>
              <w:spacing w:line="360" w:lineRule="auto"/>
              <w:rPr>
                <w:rFonts w:ascii="宋体" w:hAnsi="宋体" w:cs="宋体"/>
                <w:kern w:val="0"/>
                <w:szCs w:val="21"/>
              </w:rPr>
            </w:pPr>
            <w:r>
              <w:rPr>
                <w:rFonts w:hint="eastAsia" w:ascii="宋体" w:hAnsi="宋体" w:cs="宋体"/>
                <w:kern w:val="0"/>
                <w:szCs w:val="21"/>
              </w:rPr>
              <w:t>套</w:t>
            </w:r>
          </w:p>
        </w:tc>
        <w:tc>
          <w:tcPr>
            <w:tcW w:w="6071" w:type="dxa"/>
            <w:vAlign w:val="center"/>
          </w:tcPr>
          <w:p>
            <w:pPr>
              <w:widowControl/>
              <w:spacing w:line="360" w:lineRule="auto"/>
              <w:rPr>
                <w:rFonts w:ascii="宋体" w:hAnsi="宋体" w:cs="宋体"/>
                <w:kern w:val="0"/>
                <w:szCs w:val="21"/>
              </w:rPr>
            </w:pPr>
            <w:r>
              <w:rPr>
                <w:rFonts w:hint="eastAsia" w:ascii="宋体" w:hAnsi="宋体" w:cs="宋体"/>
                <w:kern w:val="0"/>
                <w:szCs w:val="21"/>
              </w:rPr>
              <w:t>采用高质量线材，包括超六类千兆网线、RJ45屏蔽网络水晶接头、音视频线缆、HDMI线工程级4K数字高清线、高清视频HD-SDI线、电源线、控制线、摄像机支架、音响支架、HDMI转SDI线、网口转串口等法庭所需全部线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498" w:type="dxa"/>
            <w:gridSpan w:val="6"/>
            <w:tcBorders>
              <w:top w:val="single" w:color="000000" w:sz="4" w:space="0"/>
              <w:left w:val="single" w:color="000000" w:sz="4" w:space="0"/>
              <w:bottom w:val="single" w:color="000000" w:sz="4" w:space="0"/>
              <w:right w:val="single" w:color="000000" w:sz="4" w:space="0"/>
            </w:tcBorders>
          </w:tcPr>
          <w:p>
            <w:pPr>
              <w:tabs>
                <w:tab w:val="left" w:pos="180"/>
                <w:tab w:val="left" w:pos="1620"/>
              </w:tabs>
              <w:spacing w:line="440" w:lineRule="exact"/>
              <w:rPr>
                <w:rFonts w:ascii="宋体" w:hAnsi="宋体" w:cs="宋体"/>
                <w:szCs w:val="21"/>
              </w:rPr>
            </w:pPr>
            <w:r>
              <w:rPr>
                <w:rFonts w:hint="eastAsia" w:ascii="宋体" w:hAnsi="宋体"/>
                <w:b/>
                <w:bCs/>
                <w:szCs w:val="21"/>
              </w:rPr>
              <w:t>商务条款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498" w:type="dxa"/>
            <w:gridSpan w:val="6"/>
            <w:tcBorders>
              <w:top w:val="single" w:color="000000" w:sz="4" w:space="0"/>
              <w:left w:val="single" w:color="000000" w:sz="4" w:space="0"/>
              <w:bottom w:val="single" w:color="000000" w:sz="4" w:space="0"/>
              <w:right w:val="single" w:color="000000" w:sz="4" w:space="0"/>
            </w:tcBorders>
          </w:tcPr>
          <w:p>
            <w:pPr>
              <w:spacing w:line="400" w:lineRule="exact"/>
              <w:jc w:val="left"/>
            </w:pPr>
            <w:r>
              <w:rPr>
                <w:rFonts w:hint="eastAsia"/>
              </w:rPr>
              <w:t>一、谈判要求：</w:t>
            </w:r>
          </w:p>
          <w:p>
            <w:pPr>
              <w:tabs>
                <w:tab w:val="left" w:pos="180"/>
                <w:tab w:val="left" w:pos="1620"/>
              </w:tabs>
              <w:spacing w:line="440" w:lineRule="exact"/>
              <w:ind w:firstLine="210" w:firstLineChars="100"/>
            </w:pPr>
            <w:r>
              <w:t xml:space="preserve"> </w:t>
            </w:r>
            <w:r>
              <w:rPr>
                <w:rFonts w:hint="eastAsia"/>
              </w:rPr>
              <w:t xml:space="preserve"> 1.供应商提供的产品必须是全新、完整、未使用过的、符合国家有关质量安全标准的合格产品，有质量问题应提供更换或退货。且在正常安装、使用和保养条件下，其使用寿命期内各项指标均达到质量要求。所有货物都提供使用说明书和详细装箱清单及质量合格证。</w:t>
            </w:r>
          </w:p>
          <w:p>
            <w:pPr>
              <w:tabs>
                <w:tab w:val="left" w:pos="180"/>
                <w:tab w:val="left" w:pos="1620"/>
              </w:tabs>
              <w:spacing w:line="440" w:lineRule="exact"/>
              <w:ind w:firstLine="210" w:firstLineChars="100"/>
            </w:pPr>
            <w:r>
              <w:rPr>
                <w:rFonts w:hint="eastAsia"/>
              </w:rPr>
              <w:t xml:space="preserve">  2.供应商报价应包含:货物（服务）、随配附件、备品备件、工具的设计、制造、包装、运输、装卸、保险、调试、验收、人员培训等各种费用和售后服务、税金、合理利润及其他所有成本费用的总和。供应商综合考虑在报价中，对于本文件中未列明，而供应商认为必须的费用也需列入总报价。</w:t>
            </w:r>
          </w:p>
          <w:p>
            <w:pPr>
              <w:tabs>
                <w:tab w:val="left" w:pos="180"/>
                <w:tab w:val="left" w:pos="1620"/>
              </w:tabs>
              <w:spacing w:line="440" w:lineRule="exact"/>
              <w:ind w:firstLine="420" w:firstLineChars="200"/>
            </w:pPr>
            <w:r>
              <w:rPr>
                <w:rFonts w:hint="eastAsia"/>
              </w:rPr>
              <w:t>3.在合同实施时，采购人无须支付成交价格以外的任何费用。</w:t>
            </w:r>
            <w:r>
              <w:rPr>
                <w:rFonts w:hint="eastAsia"/>
              </w:rPr>
              <w:tab/>
            </w:r>
          </w:p>
          <w:p>
            <w:pPr>
              <w:tabs>
                <w:tab w:val="left" w:pos="180"/>
                <w:tab w:val="left" w:pos="1620"/>
              </w:tabs>
              <w:spacing w:line="440" w:lineRule="exact"/>
              <w:ind w:firstLine="420" w:firstLineChars="200"/>
              <w:rPr>
                <w:b/>
                <w:bCs/>
                <w:color w:val="000000" w:themeColor="text1"/>
                <w14:textFill>
                  <w14:solidFill>
                    <w14:schemeClr w14:val="tx1"/>
                  </w14:solidFill>
                </w14:textFill>
              </w:rPr>
            </w:pPr>
            <w:r>
              <w:rPr>
                <w:rFonts w:hint="eastAsia" w:ascii="宋体" w:hAnsi="宋体" w:cs="宋体"/>
                <w:kern w:val="0"/>
                <w:szCs w:val="21"/>
              </w:rPr>
              <w:t>★</w:t>
            </w:r>
            <w:r>
              <w:rPr>
                <w:b/>
                <w:bCs/>
                <w:color w:val="000000" w:themeColor="text1"/>
                <w14:textFill>
                  <w14:solidFill>
                    <w14:schemeClr w14:val="tx1"/>
                  </w14:solidFill>
                </w14:textFill>
              </w:rPr>
              <w:t>4</w:t>
            </w:r>
            <w:r>
              <w:rPr>
                <w:rFonts w:hint="eastAsia"/>
                <w:b/>
                <w:bCs/>
                <w:color w:val="000000" w:themeColor="text1"/>
                <w14:textFill>
                  <w14:solidFill>
                    <w14:schemeClr w14:val="tx1"/>
                  </w14:solidFill>
                </w14:textFill>
              </w:rPr>
              <w:t>. 根据用户对系统的实际使用需求，供应商应在竞标前做好关于本项目的调研工作。为保证系统兼容性，本项目采购的“庭审主机” 可数字接入</w:t>
            </w:r>
            <w:bookmarkStart w:id="44" w:name="OLE_LINK6"/>
            <w:bookmarkStart w:id="45" w:name="OLE_LINK5"/>
            <w:r>
              <w:rPr>
                <w:rFonts w:hint="eastAsia"/>
                <w:b/>
                <w:bCs/>
                <w:color w:val="000000" w:themeColor="text1"/>
                <w14:textFill>
                  <w14:solidFill>
                    <w14:schemeClr w14:val="tx1"/>
                  </w14:solidFill>
                </w14:textFill>
              </w:rPr>
              <w:t>灵山县人民法院远程视频会议系统</w:t>
            </w:r>
            <w:bookmarkEnd w:id="44"/>
            <w:bookmarkEnd w:id="45"/>
            <w:r>
              <w:rPr>
                <w:rFonts w:hint="eastAsia"/>
                <w:b/>
                <w:bCs/>
                <w:color w:val="000000" w:themeColor="text1"/>
                <w14:textFill>
                  <w14:solidFill>
                    <w14:schemeClr w14:val="tx1"/>
                  </w14:solidFill>
                </w14:textFill>
              </w:rPr>
              <w:t>（科达KDV8000A）实现互联互通互控、互发双流。并在响应文件中提供可以实现该对接功能的互联互通承诺函（格式自拟），并加盖供应商公章。</w:t>
            </w:r>
          </w:p>
          <w:p>
            <w:pPr>
              <w:pStyle w:val="32"/>
            </w:pPr>
          </w:p>
          <w:p>
            <w:pPr>
              <w:spacing w:line="400" w:lineRule="exact"/>
              <w:jc w:val="left"/>
            </w:pPr>
            <w:r>
              <w:rPr>
                <w:rFonts w:hint="eastAsia"/>
              </w:rPr>
              <w:t>二、验收标准：</w:t>
            </w:r>
          </w:p>
          <w:p>
            <w:pPr>
              <w:widowControl/>
              <w:spacing w:line="400" w:lineRule="exact"/>
              <w:ind w:firstLine="210" w:firstLineChars="100"/>
              <w:jc w:val="left"/>
            </w:pPr>
            <w:r>
              <w:rPr>
                <w:rFonts w:hint="eastAsia"/>
              </w:rPr>
              <w:t>1.采购人现场根据国家标准、招标文件要求及响应文件承诺进行核验，如验收不合格，成交供应商应在5个工作日内进行更换、未按要求进行更换或再次验收不合格的，采购人有权依法解除合同，由此造成的损失由中标方自行承担。</w:t>
            </w:r>
          </w:p>
          <w:p>
            <w:pPr>
              <w:widowControl/>
              <w:spacing w:line="400" w:lineRule="exact"/>
              <w:ind w:firstLine="210" w:firstLineChars="100"/>
              <w:jc w:val="left"/>
            </w:pPr>
            <w:r>
              <w:rPr>
                <w:rFonts w:hint="eastAsia"/>
              </w:rPr>
              <w:t>2.成交供应商承诺所提供的产品为符合国家知识产权法律法规要求的正规正版产品，不属于假冒伪劣商品；成交供应商还应保证采购人不受到第三方关于侵犯知识产权以及专利权、商标权或工业设计权等知识产权方面的指控，任何第三方如果提出此方面指控均与采购人无关，成交供应商应与第三方交涉，并承担可能发生的一切法律责任、费用和后果；若采购人因此而遭致损失的，成交供应商须赔偿该损失。</w:t>
            </w:r>
          </w:p>
          <w:p>
            <w:pPr>
              <w:widowControl/>
              <w:spacing w:line="400" w:lineRule="exact"/>
              <w:ind w:firstLine="210" w:firstLineChars="100"/>
              <w:jc w:val="left"/>
            </w:pPr>
            <w:r>
              <w:rPr>
                <w:rFonts w:hint="eastAsia"/>
              </w:rPr>
              <w:t>3.安装后达到验收标准且应符合中国有关的国家、地方、行业标准；项目验收合格后，签署验收合格书。</w:t>
            </w:r>
          </w:p>
          <w:p>
            <w:pPr>
              <w:widowControl/>
              <w:spacing w:line="400" w:lineRule="exact"/>
              <w:ind w:firstLine="210" w:firstLineChars="100"/>
              <w:jc w:val="left"/>
            </w:pPr>
            <w:r>
              <w:rPr>
                <w:rFonts w:hint="eastAsia"/>
              </w:rPr>
              <w:t>4.在项目完成且收到供应商验收申请后5个工作日内组织开展履约验收。</w:t>
            </w:r>
          </w:p>
          <w:p>
            <w:pPr>
              <w:spacing w:line="400" w:lineRule="exact"/>
              <w:jc w:val="left"/>
            </w:pPr>
            <w:r>
              <w:rPr>
                <w:rFonts w:hint="eastAsia"/>
              </w:rPr>
              <w:t xml:space="preserve">三、售后服务： </w:t>
            </w:r>
          </w:p>
          <w:p>
            <w:pPr>
              <w:widowControl/>
              <w:autoSpaceDE w:val="0"/>
              <w:spacing w:before="40" w:after="40" w:line="400" w:lineRule="exact"/>
              <w:ind w:firstLine="210" w:firstLineChars="100"/>
              <w:jc w:val="left"/>
              <w:textAlignment w:val="center"/>
            </w:pPr>
            <w:r>
              <w:t>1</w:t>
            </w:r>
            <w:r>
              <w:rPr>
                <w:rFonts w:hint="eastAsia"/>
              </w:rPr>
              <w:t>.按国家有关产品“三包”规定执行“三包”，修期最短不得少于1年（保修期自货物安装调试并在验收合格之日起计算，厂家提供保修期更长的按厂家提供执行），保修期内：</w:t>
            </w:r>
            <w:r>
              <w:rPr>
                <w:rFonts w:hint="eastAsia"/>
                <w:lang w:val="en-US" w:eastAsia="zh-CN"/>
              </w:rPr>
              <w:t>提供</w:t>
            </w:r>
            <w:r>
              <w:rPr>
                <w:rFonts w:hint="eastAsia"/>
              </w:rPr>
              <w:t>上门维修、更换配件；</w:t>
            </w:r>
            <w:r>
              <w:rPr>
                <w:rFonts w:hint="eastAsia"/>
                <w:lang w:val="en-US" w:eastAsia="zh-CN"/>
              </w:rPr>
              <w:t>提供</w:t>
            </w:r>
            <w:r>
              <w:rPr>
                <w:rFonts w:hint="eastAsia"/>
              </w:rPr>
              <w:t>送货上门、安装、调试，培训维护人员。</w:t>
            </w:r>
          </w:p>
          <w:p>
            <w:pPr>
              <w:widowControl/>
              <w:autoSpaceDE w:val="0"/>
              <w:spacing w:before="40" w:after="40" w:line="400" w:lineRule="exact"/>
              <w:ind w:firstLine="210" w:firstLineChars="100"/>
              <w:jc w:val="left"/>
              <w:textAlignment w:val="center"/>
            </w:pPr>
            <w:r>
              <w:t>2</w:t>
            </w:r>
            <w:r>
              <w:rPr>
                <w:rFonts w:hint="eastAsia"/>
              </w:rPr>
              <w:t>.成交供应商和制造商应当为采购人提供 7×24 小时技术援助电话，解答采购人在使用中遇到的问题，及时为采购人提出解决问题的建议。</w:t>
            </w:r>
          </w:p>
          <w:p>
            <w:pPr>
              <w:widowControl/>
              <w:autoSpaceDE w:val="0"/>
              <w:spacing w:before="40" w:after="40" w:line="400" w:lineRule="exact"/>
              <w:ind w:firstLine="210" w:firstLineChars="100"/>
              <w:jc w:val="left"/>
              <w:textAlignment w:val="center"/>
            </w:pPr>
            <w:r>
              <w:rPr>
                <w:rFonts w:hint="eastAsia"/>
              </w:rPr>
              <w:t>3.现场响应采购人遇到使用或技术问题，电话咨询不能解决的，成交供应商或制造商应派技术人员在4小时内到达现场进行处理，到达现场后 4小时内排除故障，恢复正常使用。</w:t>
            </w:r>
          </w:p>
          <w:p>
            <w:pPr>
              <w:widowControl/>
              <w:autoSpaceDE w:val="0"/>
              <w:spacing w:before="40" w:after="40" w:line="400" w:lineRule="exact"/>
              <w:ind w:firstLine="210" w:firstLineChars="100"/>
              <w:jc w:val="left"/>
              <w:textAlignment w:val="center"/>
            </w:pPr>
            <w:r>
              <w:rPr>
                <w:rFonts w:hint="eastAsia"/>
              </w:rPr>
              <w:t>4.质量保证期过后，成交供应商和制造商应同样提供 7×24 小时电话咨询服务，并应承诺提供产品上门维护。</w:t>
            </w:r>
          </w:p>
          <w:p>
            <w:pPr>
              <w:spacing w:line="400" w:lineRule="exact"/>
              <w:ind w:firstLine="210" w:firstLineChars="100"/>
              <w:jc w:val="left"/>
            </w:pPr>
            <w:r>
              <w:rPr>
                <w:rFonts w:hint="eastAsia"/>
              </w:rPr>
              <w:t>5.质量保证期过后，采购人需要继续由原成交供应商和制造商提供售后服务的，该成交供应商和制造商应以优惠价格提供售后服务</w:t>
            </w:r>
          </w:p>
          <w:p>
            <w:pPr>
              <w:spacing w:line="400" w:lineRule="exact"/>
              <w:jc w:val="left"/>
            </w:pPr>
            <w:r>
              <w:rPr>
                <w:rFonts w:hint="eastAsia"/>
              </w:rPr>
              <w:t>四、时间及地点要求：</w:t>
            </w:r>
          </w:p>
          <w:p>
            <w:pPr>
              <w:spacing w:line="400" w:lineRule="exact"/>
              <w:jc w:val="left"/>
            </w:pPr>
            <w:r>
              <w:rPr>
                <w:rFonts w:hint="eastAsia"/>
              </w:rPr>
              <w:t xml:space="preserve">  1.合同签订期：自成交通知书发出之日起15日内。</w:t>
            </w:r>
          </w:p>
          <w:p>
            <w:pPr>
              <w:spacing w:line="400" w:lineRule="exact"/>
              <w:jc w:val="left"/>
            </w:pPr>
            <w:r>
              <w:rPr>
                <w:rFonts w:hint="eastAsia"/>
              </w:rPr>
              <w:t xml:space="preserve">  2.交货期：合同签订完成后45天内交货且安装调试完毕，并达到验收条件。</w:t>
            </w:r>
          </w:p>
          <w:p>
            <w:pPr>
              <w:spacing w:line="400" w:lineRule="exact"/>
              <w:jc w:val="left"/>
              <w:rPr>
                <w:color w:val="auto"/>
              </w:rPr>
            </w:pPr>
            <w:r>
              <w:rPr>
                <w:rFonts w:hint="eastAsia"/>
              </w:rPr>
              <w:t xml:space="preserve">  3.交货地点：广西钦州市灵山县人民法院采购人</w:t>
            </w:r>
            <w:r>
              <w:rPr>
                <w:rFonts w:hint="eastAsia"/>
                <w:color w:val="auto"/>
              </w:rPr>
              <w:t>指定地点</w:t>
            </w:r>
            <w:r>
              <w:rPr>
                <w:rFonts w:hint="eastAsia"/>
                <w:color w:val="auto"/>
                <w:lang w:eastAsia="zh-CN"/>
              </w:rPr>
              <w:t>（</w:t>
            </w:r>
            <w:r>
              <w:rPr>
                <w:rFonts w:hint="eastAsia"/>
                <w:color w:val="auto"/>
              </w:rPr>
              <w:t>钦州市灵山县江南路4号</w:t>
            </w:r>
            <w:r>
              <w:rPr>
                <w:rFonts w:hint="eastAsia"/>
                <w:color w:val="auto"/>
                <w:lang w:eastAsia="zh-CN"/>
              </w:rPr>
              <w:t>）</w:t>
            </w:r>
            <w:r>
              <w:rPr>
                <w:rFonts w:hint="eastAsia"/>
                <w:color w:val="auto"/>
              </w:rPr>
              <w:t>。</w:t>
            </w:r>
          </w:p>
          <w:p>
            <w:pPr>
              <w:widowControl/>
              <w:spacing w:line="400" w:lineRule="exact"/>
              <w:ind w:firstLine="210" w:firstLineChars="100"/>
              <w:jc w:val="left"/>
              <w:rPr>
                <w:rFonts w:hint="eastAsia" w:eastAsia="宋体"/>
                <w:lang w:val="en-US" w:eastAsia="zh-CN"/>
              </w:rPr>
            </w:pPr>
            <w:r>
              <w:rPr>
                <w:rFonts w:hint="eastAsia"/>
              </w:rPr>
              <w:t>4.付款方式：</w:t>
            </w:r>
            <w:r>
              <w:rPr>
                <w:rFonts w:hint="eastAsia" w:ascii="宋体" w:hAnsi="宋体" w:cs="宋体"/>
                <w:szCs w:val="21"/>
              </w:rPr>
              <w:t>合同生效后15个工作日内采购人支付成交供应商合同总金额的30%作为预付款；货到安装调试验收合格且收到成交供应商发票后15个工作日内累计支付至合同总金额的100%。每次付款前成交供应商应向采购人提供与付款金额等额的发票。</w:t>
            </w:r>
          </w:p>
        </w:tc>
      </w:tr>
    </w:tbl>
    <w:p>
      <w:pPr>
        <w:pStyle w:val="32"/>
        <w:rPr>
          <w:b/>
          <w:bCs/>
          <w:sz w:val="21"/>
        </w:rPr>
      </w:pPr>
    </w:p>
    <w:p>
      <w:pPr>
        <w:pStyle w:val="32"/>
        <w:rPr>
          <w:b/>
          <w:bCs/>
          <w:sz w:val="21"/>
        </w:rPr>
      </w:pPr>
    </w:p>
    <w:p>
      <w:pPr>
        <w:pStyle w:val="32"/>
        <w:rPr>
          <w:b/>
          <w:bCs/>
          <w:sz w:val="21"/>
        </w:rPr>
      </w:pPr>
    </w:p>
    <w:p>
      <w:pPr>
        <w:spacing w:line="430" w:lineRule="exact"/>
        <w:jc w:val="left"/>
        <w:rPr>
          <w:rFonts w:ascii="宋体" w:hAnsi="宋体"/>
          <w:szCs w:val="21"/>
        </w:rPr>
      </w:pPr>
    </w:p>
    <w:p>
      <w:pPr>
        <w:rPr>
          <w:rFonts w:ascii="宋体" w:hAnsi="宋体"/>
          <w:szCs w:val="21"/>
        </w:rPr>
      </w:pPr>
      <w:r>
        <w:rPr>
          <w:rFonts w:ascii="宋体" w:hAnsi="宋体"/>
          <w:szCs w:val="21"/>
        </w:rPr>
        <w:br w:type="page"/>
      </w:r>
    </w:p>
    <w:p>
      <w:pPr>
        <w:widowControl/>
        <w:jc w:val="left"/>
        <w:textAlignment w:val="center"/>
        <w:rPr>
          <w:rFonts w:hint="eastAsia" w:ascii="宋体" w:hAnsi="宋体" w:cs="宋体"/>
          <w:b/>
          <w:bCs/>
          <w:kern w:val="0"/>
          <w:szCs w:val="21"/>
          <w:lang w:bidi="ar"/>
        </w:rPr>
      </w:pPr>
      <w:r>
        <w:rPr>
          <w:rFonts w:hint="eastAsia" w:ascii="宋体" w:hAnsi="宋体" w:cs="宋体"/>
          <w:b/>
          <w:bCs/>
          <w:kern w:val="0"/>
          <w:szCs w:val="21"/>
          <w:lang w:bidi="ar"/>
        </w:rPr>
        <w:t>附件一《席位主机（台式计算机）政府采购需求》</w:t>
      </w:r>
    </w:p>
    <w:tbl>
      <w:tblPr>
        <w:tblStyle w:val="42"/>
        <w:tblW w:w="9332" w:type="dxa"/>
        <w:tblInd w:w="1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0" w:type="dxa"/>
          <w:bottom w:w="0" w:type="dxa"/>
          <w:right w:w="0" w:type="dxa"/>
        </w:tblCellMar>
      </w:tblPr>
      <w:tblGrid>
        <w:gridCol w:w="11"/>
        <w:gridCol w:w="449"/>
        <w:gridCol w:w="12"/>
        <w:gridCol w:w="778"/>
        <w:gridCol w:w="12"/>
        <w:gridCol w:w="735"/>
        <w:gridCol w:w="1100"/>
        <w:gridCol w:w="6043"/>
        <w:gridCol w:w="24"/>
        <w:gridCol w:w="30"/>
        <w:gridCol w:w="15"/>
        <w:gridCol w:w="33"/>
        <w:gridCol w:w="18"/>
        <w:gridCol w:w="7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After w:val="6"/>
          <w:wAfter w:w="192" w:type="dxa"/>
          <w:trHeight w:val="1084" w:hRule="exact"/>
        </w:trPr>
        <w:tc>
          <w:tcPr>
            <w:tcW w:w="460" w:type="dxa"/>
            <w:gridSpan w:val="2"/>
            <w:tcBorders>
              <w:tl2br w:val="nil"/>
              <w:tr2bl w:val="nil"/>
            </w:tcBorders>
          </w:tcPr>
          <w:p>
            <w:pPr>
              <w:widowControl/>
              <w:spacing w:before="131" w:after="109" w:line="320" w:lineRule="exact"/>
              <w:jc w:val="center"/>
              <w:textAlignment w:val="baseline"/>
              <w:rPr>
                <w:rFonts w:ascii="黑体" w:hAnsi="黑体" w:eastAsia="黑体" w:cs="黑体"/>
                <w:b/>
                <w:spacing w:val="-3"/>
                <w:sz w:val="18"/>
                <w:szCs w:val="18"/>
                <w:lang w:val="zh-CN"/>
              </w:rPr>
            </w:pPr>
            <w:r>
              <w:rPr>
                <w:rFonts w:hint="eastAsia" w:ascii="黑体" w:hAnsi="黑体" w:eastAsia="黑体" w:cs="黑体"/>
                <w:b/>
                <w:spacing w:val="-3"/>
                <w:sz w:val="18"/>
                <w:szCs w:val="18"/>
                <w:lang w:val="zh-CN"/>
              </w:rPr>
              <w:t>序</w:t>
            </w:r>
            <w:r>
              <w:rPr>
                <w:rFonts w:hint="eastAsia" w:ascii="黑体" w:hAnsi="黑体" w:eastAsia="黑体" w:cs="黑体"/>
                <w:b/>
                <w:spacing w:val="-3"/>
                <w:sz w:val="18"/>
                <w:szCs w:val="18"/>
                <w:lang w:val="zh-CN"/>
              </w:rPr>
              <w:br w:type="textWrapping"/>
            </w:r>
            <w:r>
              <w:rPr>
                <w:rFonts w:hint="eastAsia" w:ascii="黑体" w:hAnsi="黑体" w:eastAsia="黑体" w:cs="黑体"/>
                <w:b/>
                <w:spacing w:val="-3"/>
                <w:sz w:val="18"/>
                <w:szCs w:val="18"/>
                <w:lang w:val="zh-CN"/>
              </w:rPr>
              <w:t>号</w:t>
            </w:r>
          </w:p>
        </w:tc>
        <w:tc>
          <w:tcPr>
            <w:tcW w:w="790" w:type="dxa"/>
            <w:gridSpan w:val="2"/>
            <w:tcBorders>
              <w:tl2br w:val="nil"/>
              <w:tr2bl w:val="nil"/>
            </w:tcBorders>
          </w:tcPr>
          <w:p>
            <w:pPr>
              <w:widowControl/>
              <w:spacing w:before="131" w:after="109" w:line="320" w:lineRule="exact"/>
              <w:jc w:val="center"/>
              <w:textAlignment w:val="baseline"/>
              <w:rPr>
                <w:rFonts w:ascii="黑体" w:hAnsi="黑体" w:eastAsia="黑体" w:cs="黑体"/>
                <w:b/>
                <w:spacing w:val="-3"/>
                <w:sz w:val="18"/>
                <w:szCs w:val="18"/>
                <w:lang w:val="zh-CN"/>
              </w:rPr>
            </w:pPr>
            <w:r>
              <w:rPr>
                <w:rFonts w:hint="eastAsia" w:ascii="黑体" w:hAnsi="黑体" w:eastAsia="黑体" w:cs="黑体"/>
                <w:b/>
                <w:spacing w:val="-3"/>
                <w:sz w:val="18"/>
                <w:szCs w:val="18"/>
                <w:lang w:val="zh-CN"/>
              </w:rPr>
              <w:t>指标</w:t>
            </w:r>
            <w:r>
              <w:rPr>
                <w:rFonts w:hint="eastAsia" w:ascii="黑体" w:hAnsi="黑体" w:eastAsia="黑体" w:cs="黑体"/>
                <w:sz w:val="18"/>
                <w:szCs w:val="18"/>
              </w:rPr>
              <w:br w:type="textWrapping"/>
            </w:r>
            <w:r>
              <w:rPr>
                <w:rFonts w:hint="eastAsia" w:ascii="黑体" w:hAnsi="黑体" w:eastAsia="黑体" w:cs="黑体"/>
                <w:b/>
                <w:spacing w:val="-3"/>
                <w:sz w:val="18"/>
                <w:szCs w:val="18"/>
                <w:lang w:val="zh-CN"/>
              </w:rPr>
              <w:t>分类</w:t>
            </w:r>
          </w:p>
        </w:tc>
        <w:tc>
          <w:tcPr>
            <w:tcW w:w="747" w:type="dxa"/>
            <w:gridSpan w:val="2"/>
            <w:tcBorders>
              <w:tl2br w:val="nil"/>
              <w:tr2bl w:val="nil"/>
            </w:tcBorders>
          </w:tcPr>
          <w:p>
            <w:pPr>
              <w:widowControl/>
              <w:spacing w:before="163" w:after="139" w:line="320" w:lineRule="exact"/>
              <w:jc w:val="center"/>
              <w:textAlignment w:val="baseline"/>
              <w:rPr>
                <w:rFonts w:ascii="黑体" w:hAnsi="黑体" w:eastAsia="黑体" w:cs="黑体"/>
                <w:b/>
                <w:spacing w:val="-3"/>
                <w:sz w:val="18"/>
                <w:szCs w:val="18"/>
              </w:rPr>
            </w:pPr>
            <w:r>
              <w:rPr>
                <w:rFonts w:hint="eastAsia" w:ascii="黑体" w:hAnsi="黑体" w:eastAsia="黑体" w:cs="黑体"/>
                <w:b/>
                <w:spacing w:val="-3"/>
                <w:sz w:val="18"/>
                <w:szCs w:val="18"/>
                <w:lang w:val="zh-CN"/>
              </w:rPr>
              <w:t>一级</w:t>
            </w:r>
            <w:r>
              <w:rPr>
                <w:rFonts w:hint="eastAsia" w:ascii="黑体" w:hAnsi="黑体" w:eastAsia="黑体" w:cs="黑体"/>
                <w:sz w:val="18"/>
                <w:szCs w:val="18"/>
              </w:rPr>
              <w:br w:type="textWrapping"/>
            </w:r>
            <w:r>
              <w:rPr>
                <w:rFonts w:hint="eastAsia" w:ascii="黑体" w:hAnsi="黑体" w:eastAsia="黑体" w:cs="黑体"/>
                <w:b/>
                <w:spacing w:val="-3"/>
                <w:sz w:val="18"/>
                <w:szCs w:val="18"/>
                <w:lang w:val="zh-CN"/>
              </w:rPr>
              <w:t>指标</w:t>
            </w:r>
            <w:r>
              <w:rPr>
                <w:rFonts w:hint="eastAsia" w:ascii="黑体" w:hAnsi="黑体" w:eastAsia="黑体" w:cs="黑体"/>
                <w:b/>
                <w:spacing w:val="-3"/>
                <w:sz w:val="18"/>
                <w:szCs w:val="18"/>
                <w:vertAlign w:val="superscript"/>
              </w:rPr>
              <w:t>1</w:t>
            </w:r>
          </w:p>
        </w:tc>
        <w:tc>
          <w:tcPr>
            <w:tcW w:w="1100" w:type="dxa"/>
            <w:tcBorders>
              <w:tl2br w:val="nil"/>
              <w:tr2bl w:val="nil"/>
            </w:tcBorders>
          </w:tcPr>
          <w:p>
            <w:pPr>
              <w:widowControl/>
              <w:spacing w:before="163" w:after="139" w:line="320" w:lineRule="exact"/>
              <w:jc w:val="center"/>
              <w:textAlignment w:val="baseline"/>
              <w:rPr>
                <w:rFonts w:ascii="黑体" w:hAnsi="黑体" w:eastAsia="黑体" w:cs="黑体"/>
                <w:b/>
                <w:spacing w:val="-3"/>
                <w:sz w:val="18"/>
                <w:szCs w:val="18"/>
              </w:rPr>
            </w:pPr>
            <w:r>
              <w:rPr>
                <w:rFonts w:hint="eastAsia" w:ascii="黑体" w:hAnsi="黑体" w:eastAsia="黑体" w:cs="黑体"/>
                <w:b/>
                <w:spacing w:val="-3"/>
                <w:sz w:val="18"/>
                <w:szCs w:val="18"/>
                <w:lang w:val="zh-CN"/>
              </w:rPr>
              <w:t>二级</w:t>
            </w:r>
            <w:r>
              <w:rPr>
                <w:rFonts w:hint="eastAsia" w:ascii="黑体" w:hAnsi="黑体" w:eastAsia="黑体" w:cs="黑体"/>
                <w:sz w:val="18"/>
                <w:szCs w:val="18"/>
              </w:rPr>
              <w:br w:type="textWrapping"/>
            </w:r>
            <w:r>
              <w:rPr>
                <w:rFonts w:hint="eastAsia" w:ascii="黑体" w:hAnsi="黑体" w:eastAsia="黑体" w:cs="黑体"/>
                <w:b/>
                <w:spacing w:val="-3"/>
                <w:sz w:val="18"/>
                <w:szCs w:val="18"/>
                <w:lang w:val="zh-CN"/>
              </w:rPr>
              <w:t>指标</w:t>
            </w:r>
            <w:r>
              <w:rPr>
                <w:rFonts w:hint="eastAsia" w:ascii="黑体" w:hAnsi="黑体" w:eastAsia="黑体" w:cs="黑体"/>
                <w:b/>
                <w:spacing w:val="-3"/>
                <w:sz w:val="18"/>
                <w:szCs w:val="18"/>
                <w:vertAlign w:val="superscript"/>
              </w:rPr>
              <w:t>1</w:t>
            </w:r>
          </w:p>
        </w:tc>
        <w:tc>
          <w:tcPr>
            <w:tcW w:w="6043" w:type="dxa"/>
            <w:tcBorders>
              <w:tl2br w:val="nil"/>
              <w:tr2bl w:val="nil"/>
            </w:tcBorders>
            <w:vAlign w:val="center"/>
          </w:tcPr>
          <w:p>
            <w:pPr>
              <w:widowControl/>
              <w:spacing w:before="293" w:after="229" w:line="320" w:lineRule="exact"/>
              <w:jc w:val="center"/>
              <w:textAlignment w:val="baseline"/>
              <w:rPr>
                <w:rFonts w:ascii="黑体" w:hAnsi="黑体" w:eastAsia="黑体" w:cs="黑体"/>
                <w:b/>
                <w:sz w:val="18"/>
                <w:szCs w:val="18"/>
                <w:lang w:val="zh-CN"/>
              </w:rPr>
            </w:pPr>
            <w:r>
              <w:rPr>
                <w:rFonts w:hint="eastAsia" w:ascii="黑体" w:hAnsi="黑体" w:eastAsia="黑体" w:cs="黑体"/>
                <w:b/>
                <w:sz w:val="18"/>
                <w:szCs w:val="18"/>
                <w:lang w:val="zh-CN"/>
              </w:rPr>
              <w:t>指标要求</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After w:val="6"/>
          <w:wAfter w:w="192" w:type="dxa"/>
          <w:trHeight w:val="1010" w:hRule="exact"/>
        </w:trPr>
        <w:tc>
          <w:tcPr>
            <w:tcW w:w="460" w:type="dxa"/>
            <w:gridSpan w:val="2"/>
            <w:tcBorders>
              <w:tl2br w:val="nil"/>
              <w:tr2bl w:val="nil"/>
            </w:tcBorders>
            <w:vAlign w:val="center"/>
          </w:tcPr>
          <w:p>
            <w:pPr>
              <w:widowControl/>
              <w:spacing w:before="408" w:after="359" w:line="320" w:lineRule="exact"/>
              <w:jc w:val="center"/>
              <w:textAlignment w:val="baseline"/>
              <w:rPr>
                <w:rFonts w:ascii="黑体" w:hAnsi="黑体" w:eastAsia="黑体" w:cs="黑体"/>
                <w:sz w:val="18"/>
                <w:szCs w:val="18"/>
                <w:lang w:val="zh-CN"/>
              </w:rPr>
            </w:pPr>
            <w:r>
              <w:rPr>
                <w:rFonts w:hint="eastAsia" w:ascii="黑体" w:hAnsi="黑体" w:eastAsia="黑体" w:cs="黑体"/>
                <w:sz w:val="18"/>
                <w:szCs w:val="18"/>
                <w:lang w:val="zh-CN"/>
              </w:rPr>
              <w:t>1</w:t>
            </w:r>
          </w:p>
        </w:tc>
        <w:tc>
          <w:tcPr>
            <w:tcW w:w="790" w:type="dxa"/>
            <w:gridSpan w:val="2"/>
            <w:tcBorders>
              <w:tl2br w:val="nil"/>
              <w:tr2bl w:val="nil"/>
            </w:tcBorders>
            <w:vAlign w:val="center"/>
          </w:tcPr>
          <w:p>
            <w:pPr>
              <w:widowControl/>
              <w:spacing w:before="246" w:after="239" w:line="320" w:lineRule="exact"/>
              <w:ind w:left="108" w:right="180"/>
              <w:jc w:val="left"/>
              <w:textAlignment w:val="baseline"/>
              <w:rPr>
                <w:rFonts w:ascii="黑体" w:hAnsi="黑体" w:eastAsia="黑体" w:cs="黑体"/>
                <w:spacing w:val="-3"/>
                <w:sz w:val="18"/>
                <w:szCs w:val="18"/>
                <w:lang w:val="zh-CN"/>
              </w:rPr>
            </w:pPr>
            <w:r>
              <w:rPr>
                <w:rFonts w:hint="eastAsia" w:ascii="黑体" w:hAnsi="黑体" w:eastAsia="黑体" w:cs="黑体"/>
                <w:spacing w:val="-3"/>
                <w:sz w:val="18"/>
                <w:szCs w:val="18"/>
                <w:lang w:val="zh-CN"/>
              </w:rPr>
              <w:t>产品规格</w:t>
            </w:r>
          </w:p>
        </w:tc>
        <w:tc>
          <w:tcPr>
            <w:tcW w:w="747" w:type="dxa"/>
            <w:gridSpan w:val="2"/>
            <w:tcBorders>
              <w:tl2br w:val="nil"/>
              <w:tr2bl w:val="nil"/>
            </w:tcBorders>
            <w:vAlign w:val="center"/>
          </w:tcPr>
          <w:p>
            <w:pPr>
              <w:widowControl/>
              <w:spacing w:before="246" w:after="239" w:line="320" w:lineRule="exact"/>
              <w:jc w:val="center"/>
              <w:textAlignment w:val="baseline"/>
              <w:rPr>
                <w:rFonts w:ascii="黑体" w:hAnsi="黑体" w:eastAsia="黑体" w:cs="黑体"/>
                <w:sz w:val="18"/>
                <w:szCs w:val="18"/>
                <w:lang w:val="zh-CN"/>
              </w:rPr>
            </w:pPr>
            <w:r>
              <w:rPr>
                <w:rFonts w:hint="eastAsia"/>
              </w:rPr>
              <w:t>★</w:t>
            </w:r>
            <w:r>
              <w:rPr>
                <w:rFonts w:hint="eastAsia" w:ascii="黑体" w:hAnsi="黑体" w:eastAsia="黑体" w:cs="黑体"/>
                <w:sz w:val="18"/>
                <w:szCs w:val="18"/>
              </w:rPr>
              <w:t>CPU</w:t>
            </w:r>
            <w:r>
              <w:rPr>
                <w:rFonts w:hint="eastAsia" w:ascii="黑体" w:hAnsi="黑体" w:eastAsia="黑体" w:cs="黑体"/>
                <w:sz w:val="18"/>
                <w:szCs w:val="18"/>
              </w:rPr>
              <w:cr/>
            </w:r>
            <w:r>
              <w:rPr>
                <w:rFonts w:hint="eastAsia" w:ascii="黑体" w:hAnsi="黑体" w:eastAsia="黑体" w:cs="黑体"/>
                <w:sz w:val="18"/>
                <w:szCs w:val="18"/>
              </w:rPr>
              <w:br w:type="textWrapping"/>
            </w:r>
            <w:r>
              <w:rPr>
                <w:rFonts w:hint="eastAsia" w:ascii="黑体" w:hAnsi="黑体" w:eastAsia="黑体" w:cs="黑体"/>
                <w:sz w:val="18"/>
                <w:szCs w:val="18"/>
                <w:lang w:val="zh-CN"/>
              </w:rPr>
              <w:t>规格</w:t>
            </w:r>
          </w:p>
        </w:tc>
        <w:tc>
          <w:tcPr>
            <w:tcW w:w="1100" w:type="dxa"/>
            <w:tcBorders>
              <w:tl2br w:val="nil"/>
              <w:tr2bl w:val="nil"/>
            </w:tcBorders>
            <w:vAlign w:val="center"/>
          </w:tcPr>
          <w:p>
            <w:pPr>
              <w:widowControl/>
              <w:spacing w:before="406" w:after="353" w:line="320" w:lineRule="exact"/>
              <w:ind w:left="105"/>
              <w:jc w:val="left"/>
              <w:textAlignment w:val="baseline"/>
              <w:rPr>
                <w:rFonts w:ascii="黑体" w:hAnsi="黑体" w:eastAsia="黑体" w:cs="黑体"/>
                <w:sz w:val="18"/>
                <w:szCs w:val="18"/>
                <w:lang w:val="zh-CN"/>
              </w:rPr>
            </w:pPr>
            <w:r>
              <w:rPr>
                <w:rFonts w:hint="eastAsia"/>
              </w:rPr>
              <w:t>★</w:t>
            </w:r>
            <w:r>
              <w:rPr>
                <w:rFonts w:hint="eastAsia" w:ascii="黑体" w:hAnsi="黑体" w:eastAsia="黑体" w:cs="黑体"/>
                <w:sz w:val="18"/>
                <w:szCs w:val="18"/>
              </w:rPr>
              <w:t xml:space="preserve">CPU </w:t>
            </w:r>
            <w:r>
              <w:rPr>
                <w:rFonts w:hint="eastAsia" w:ascii="黑体" w:hAnsi="黑体" w:eastAsia="黑体" w:cs="黑体"/>
                <w:sz w:val="18"/>
                <w:szCs w:val="18"/>
                <w:lang w:val="zh-CN"/>
              </w:rPr>
              <w:t>信息</w:t>
            </w:r>
          </w:p>
        </w:tc>
        <w:tc>
          <w:tcPr>
            <w:tcW w:w="6043" w:type="dxa"/>
            <w:tcBorders>
              <w:tl2br w:val="nil"/>
              <w:tr2bl w:val="nil"/>
            </w:tcBorders>
          </w:tcPr>
          <w:p>
            <w:pPr>
              <w:widowControl/>
              <w:spacing w:line="320" w:lineRule="exact"/>
              <w:ind w:left="108" w:right="144"/>
              <w:jc w:val="left"/>
              <w:textAlignment w:val="baseline"/>
              <w:rPr>
                <w:rFonts w:ascii="黑体" w:hAnsi="黑体" w:eastAsia="黑体" w:cs="黑体"/>
                <w:spacing w:val="-11"/>
                <w:sz w:val="18"/>
                <w:szCs w:val="18"/>
                <w:lang w:val="zh-CN"/>
              </w:rPr>
            </w:pPr>
            <w:r>
              <w:rPr>
                <w:rFonts w:hint="eastAsia" w:ascii="黑体" w:hAnsi="黑体" w:eastAsia="黑体" w:cs="黑体"/>
                <w:spacing w:val="-11"/>
                <w:sz w:val="18"/>
                <w:szCs w:val="18"/>
                <w:lang w:val="zh-CN"/>
              </w:rPr>
              <w:t>供应商给出CPU信息，包含CPU型号、物理核心数≥8核、主频≥2.</w:t>
            </w:r>
            <w:r>
              <w:rPr>
                <w:rFonts w:hint="eastAsia" w:ascii="黑体" w:hAnsi="黑体" w:eastAsia="黑体" w:cs="黑体"/>
                <w:spacing w:val="-11"/>
                <w:sz w:val="18"/>
                <w:szCs w:val="18"/>
                <w:lang w:val="en-US" w:eastAsia="zh-CN"/>
              </w:rPr>
              <w:t>3</w:t>
            </w:r>
            <w:r>
              <w:rPr>
                <w:rFonts w:hint="eastAsia" w:ascii="黑体" w:hAnsi="黑体" w:eastAsia="黑体" w:cs="黑体"/>
                <w:spacing w:val="-11"/>
                <w:sz w:val="18"/>
                <w:szCs w:val="18"/>
                <w:lang w:val="zh-CN"/>
              </w:rPr>
              <w:t>GHz、</w:t>
            </w:r>
            <w:r>
              <w:rPr>
                <w:rFonts w:ascii="黑体" w:hAnsi="黑体" w:eastAsia="黑体"/>
                <w:spacing w:val="-4"/>
                <w:sz w:val="18"/>
                <w:szCs w:val="18"/>
                <w:lang w:val="zh-CN"/>
              </w:rPr>
              <w:t>末级</w:t>
            </w:r>
            <w:r>
              <w:rPr>
                <w:rFonts w:hint="eastAsia" w:ascii="黑体" w:hAnsi="黑体" w:eastAsia="黑体" w:cs="黑体"/>
                <w:spacing w:val="-11"/>
                <w:sz w:val="18"/>
                <w:szCs w:val="18"/>
                <w:lang w:val="zh-CN"/>
              </w:rPr>
              <w:t>缓存容量≥</w:t>
            </w:r>
            <w:r>
              <w:rPr>
                <w:rFonts w:hint="eastAsia" w:ascii="黑体" w:hAnsi="黑体" w:eastAsia="黑体" w:cs="黑体"/>
                <w:spacing w:val="-11"/>
                <w:sz w:val="18"/>
                <w:szCs w:val="18"/>
                <w:lang w:val="en-US" w:eastAsia="zh-CN"/>
              </w:rPr>
              <w:t>4</w:t>
            </w:r>
            <w:r>
              <w:rPr>
                <w:rFonts w:hint="eastAsia" w:ascii="黑体" w:hAnsi="黑体" w:eastAsia="黑体" w:cs="黑体"/>
                <w:spacing w:val="-11"/>
                <w:sz w:val="18"/>
                <w:szCs w:val="18"/>
                <w:lang w:val="zh-CN"/>
              </w:rPr>
              <w:t>MB、线程数≥8线程、热设计功耗≥</w:t>
            </w:r>
            <w:r>
              <w:rPr>
                <w:rFonts w:hint="eastAsia" w:ascii="黑体" w:hAnsi="黑体" w:eastAsia="黑体" w:cs="黑体"/>
                <w:spacing w:val="-11"/>
                <w:sz w:val="18"/>
                <w:szCs w:val="18"/>
                <w:lang w:val="en-US" w:eastAsia="zh-CN"/>
              </w:rPr>
              <w:t>2</w:t>
            </w:r>
            <w:r>
              <w:rPr>
                <w:rFonts w:ascii="黑体" w:hAnsi="黑体" w:eastAsia="黑体" w:cs="黑体"/>
                <w:spacing w:val="-11"/>
                <w:sz w:val="18"/>
                <w:szCs w:val="18"/>
              </w:rPr>
              <w:t>5</w:t>
            </w:r>
            <w:r>
              <w:rPr>
                <w:rFonts w:hint="eastAsia" w:ascii="黑体" w:hAnsi="黑体" w:eastAsia="黑体" w:cs="黑体"/>
                <w:spacing w:val="-11"/>
                <w:sz w:val="18"/>
                <w:szCs w:val="18"/>
                <w:lang w:val="zh-CN"/>
              </w:rPr>
              <w:t>W、内存的最高速率≥</w:t>
            </w:r>
            <w:r>
              <w:rPr>
                <w:rFonts w:hint="eastAsia" w:ascii="黑体" w:hAnsi="黑体" w:eastAsia="黑体" w:cs="黑体"/>
                <w:spacing w:val="-11"/>
                <w:sz w:val="18"/>
                <w:szCs w:val="18"/>
              </w:rPr>
              <w:t>2666MT/s</w:t>
            </w:r>
            <w:r>
              <w:rPr>
                <w:rFonts w:hint="eastAsia" w:ascii="黑体" w:hAnsi="黑体" w:eastAsia="黑体" w:cs="黑体"/>
                <w:spacing w:val="-11"/>
                <w:sz w:val="18"/>
                <w:szCs w:val="18"/>
                <w:lang w:val="zh-CN"/>
              </w:rPr>
              <w:t>、通道数≥</w:t>
            </w:r>
            <w:r>
              <w:rPr>
                <w:rFonts w:hint="eastAsia" w:ascii="黑体" w:hAnsi="黑体" w:eastAsia="黑体" w:cs="黑体"/>
                <w:spacing w:val="-11"/>
                <w:sz w:val="18"/>
                <w:szCs w:val="18"/>
              </w:rPr>
              <w:t>2.</w:t>
            </w:r>
            <w:r>
              <w:rPr>
                <w:rFonts w:hint="eastAsia" w:ascii="黑体" w:hAnsi="黑体" w:eastAsia="黑体" w:cs="黑体"/>
                <w:spacing w:val="-11"/>
                <w:sz w:val="18"/>
                <w:szCs w:val="18"/>
                <w:lang w:val="zh-CN"/>
              </w:rPr>
              <w:t>位宽≥64；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After w:val="6"/>
          <w:wAfter w:w="192" w:type="dxa"/>
          <w:trHeight w:val="769" w:hRule="exact"/>
        </w:trPr>
        <w:tc>
          <w:tcPr>
            <w:tcW w:w="460" w:type="dxa"/>
            <w:gridSpan w:val="2"/>
            <w:tcBorders>
              <w:tl2br w:val="nil"/>
              <w:tr2bl w:val="nil"/>
            </w:tcBorders>
            <w:vAlign w:val="center"/>
          </w:tcPr>
          <w:p>
            <w:pPr>
              <w:widowControl/>
              <w:spacing w:before="288" w:after="243" w:line="320" w:lineRule="exact"/>
              <w:jc w:val="center"/>
              <w:textAlignment w:val="baseline"/>
              <w:rPr>
                <w:rFonts w:ascii="黑体" w:hAnsi="黑体" w:eastAsia="黑体" w:cs="黑体"/>
                <w:sz w:val="18"/>
                <w:szCs w:val="18"/>
                <w:lang w:val="zh-CN"/>
              </w:rPr>
            </w:pPr>
            <w:r>
              <w:rPr>
                <w:rFonts w:hint="eastAsia" w:ascii="黑体" w:hAnsi="黑体" w:eastAsia="黑体" w:cs="黑体"/>
                <w:sz w:val="18"/>
                <w:szCs w:val="18"/>
                <w:lang w:val="zh-CN"/>
              </w:rPr>
              <w:t>2</w:t>
            </w:r>
          </w:p>
        </w:tc>
        <w:tc>
          <w:tcPr>
            <w:tcW w:w="790" w:type="dxa"/>
            <w:gridSpan w:val="2"/>
            <w:tcBorders>
              <w:tl2br w:val="nil"/>
              <w:tr2bl w:val="nil"/>
            </w:tcBorders>
          </w:tcPr>
          <w:p>
            <w:pPr>
              <w:widowControl/>
              <w:spacing w:before="126" w:after="123" w:line="320" w:lineRule="exact"/>
              <w:ind w:left="108" w:right="180"/>
              <w:jc w:val="left"/>
              <w:textAlignment w:val="baseline"/>
              <w:rPr>
                <w:rFonts w:ascii="黑体" w:hAnsi="黑体" w:eastAsia="黑体" w:cs="黑体"/>
                <w:spacing w:val="-3"/>
                <w:sz w:val="18"/>
                <w:szCs w:val="18"/>
                <w:lang w:val="zh-CN"/>
              </w:rPr>
            </w:pPr>
            <w:r>
              <w:rPr>
                <w:rFonts w:hint="eastAsia" w:ascii="黑体" w:hAnsi="黑体" w:eastAsia="黑体" w:cs="黑体"/>
                <w:spacing w:val="-3"/>
                <w:sz w:val="18"/>
                <w:szCs w:val="18"/>
                <w:lang w:val="zh-CN"/>
              </w:rPr>
              <w:t>产品规格</w:t>
            </w:r>
          </w:p>
        </w:tc>
        <w:tc>
          <w:tcPr>
            <w:tcW w:w="747" w:type="dxa"/>
            <w:gridSpan w:val="2"/>
            <w:vMerge w:val="restart"/>
            <w:tcBorders>
              <w:tl2br w:val="nil"/>
              <w:tr2bl w:val="nil"/>
            </w:tcBorders>
            <w:vAlign w:val="center"/>
          </w:tcPr>
          <w:p>
            <w:pPr>
              <w:widowControl/>
              <w:spacing w:before="1023" w:after="1012" w:line="320" w:lineRule="exact"/>
              <w:ind w:left="144"/>
              <w:jc w:val="left"/>
              <w:textAlignment w:val="baseline"/>
              <w:rPr>
                <w:rFonts w:ascii="黑体" w:hAnsi="黑体" w:eastAsia="黑体" w:cs="黑体"/>
                <w:sz w:val="18"/>
                <w:szCs w:val="18"/>
                <w:lang w:val="zh-CN"/>
              </w:rPr>
            </w:pPr>
            <w:r>
              <w:rPr>
                <w:rFonts w:hint="eastAsia"/>
              </w:rPr>
              <w:t>★</w:t>
            </w:r>
            <w:r>
              <w:rPr>
                <w:rFonts w:hint="eastAsia" w:ascii="黑体" w:hAnsi="黑体" w:eastAsia="黑体" w:cs="黑体"/>
                <w:sz w:val="18"/>
                <w:szCs w:val="18"/>
                <w:lang w:val="zh-CN"/>
              </w:rPr>
              <w:t>内存规格</w:t>
            </w:r>
          </w:p>
        </w:tc>
        <w:tc>
          <w:tcPr>
            <w:tcW w:w="1100" w:type="dxa"/>
            <w:tcBorders>
              <w:tl2br w:val="nil"/>
              <w:tr2bl w:val="nil"/>
            </w:tcBorders>
          </w:tcPr>
          <w:p>
            <w:pPr>
              <w:widowControl/>
              <w:spacing w:before="126" w:after="123" w:line="320" w:lineRule="exact"/>
              <w:ind w:left="108" w:right="252"/>
              <w:jc w:val="left"/>
              <w:textAlignment w:val="baseline"/>
              <w:rPr>
                <w:rFonts w:ascii="黑体" w:hAnsi="黑体" w:eastAsia="黑体" w:cs="黑体"/>
                <w:spacing w:val="-4"/>
                <w:sz w:val="18"/>
                <w:szCs w:val="18"/>
                <w:lang w:val="zh-CN"/>
              </w:rPr>
            </w:pPr>
            <w:r>
              <w:rPr>
                <w:rFonts w:hint="eastAsia"/>
              </w:rPr>
              <w:t>★</w:t>
            </w:r>
            <w:r>
              <w:rPr>
                <w:rFonts w:hint="eastAsia" w:ascii="黑体" w:hAnsi="黑体" w:eastAsia="黑体" w:cs="黑体"/>
                <w:spacing w:val="-4"/>
                <w:sz w:val="18"/>
                <w:szCs w:val="18"/>
                <w:lang w:val="zh-CN"/>
              </w:rPr>
              <w:t>内存配置容量</w:t>
            </w:r>
          </w:p>
        </w:tc>
        <w:tc>
          <w:tcPr>
            <w:tcW w:w="6043" w:type="dxa"/>
            <w:tcBorders>
              <w:tl2br w:val="nil"/>
              <w:tr2bl w:val="nil"/>
            </w:tcBorders>
            <w:vAlign w:val="center"/>
          </w:tcPr>
          <w:p>
            <w:pPr>
              <w:widowControl/>
              <w:spacing w:line="320" w:lineRule="exact"/>
              <w:ind w:left="108" w:right="144"/>
              <w:jc w:val="left"/>
              <w:textAlignment w:val="baseline"/>
              <w:rPr>
                <w:rFonts w:ascii="黑体" w:hAnsi="黑体" w:eastAsia="黑体" w:cs="黑体"/>
                <w:spacing w:val="-11"/>
                <w:sz w:val="18"/>
                <w:szCs w:val="18"/>
                <w:lang w:val="zh-CN"/>
              </w:rPr>
            </w:pPr>
            <w:r>
              <w:rPr>
                <w:rFonts w:hint="eastAsia" w:ascii="黑体" w:hAnsi="黑体" w:eastAsia="黑体" w:cs="黑体"/>
                <w:spacing w:val="-11"/>
                <w:sz w:val="18"/>
                <w:szCs w:val="18"/>
                <w:lang w:val="zh-CN"/>
              </w:rPr>
              <w:t>≥</w:t>
            </w:r>
            <w:r>
              <w:rPr>
                <w:rFonts w:hint="eastAsia" w:ascii="黑体" w:hAnsi="黑体" w:eastAsia="黑体" w:cs="黑体"/>
                <w:spacing w:val="-11"/>
                <w:sz w:val="18"/>
                <w:szCs w:val="18"/>
              </w:rPr>
              <w:t>16GB</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After w:val="6"/>
          <w:wAfter w:w="192" w:type="dxa"/>
          <w:trHeight w:val="745" w:hRule="exact"/>
        </w:trPr>
        <w:tc>
          <w:tcPr>
            <w:tcW w:w="460" w:type="dxa"/>
            <w:gridSpan w:val="2"/>
            <w:tcBorders>
              <w:tl2br w:val="nil"/>
              <w:tr2bl w:val="nil"/>
            </w:tcBorders>
            <w:vAlign w:val="center"/>
          </w:tcPr>
          <w:p>
            <w:pPr>
              <w:widowControl/>
              <w:spacing w:before="215" w:after="162" w:line="320" w:lineRule="exact"/>
              <w:jc w:val="center"/>
              <w:textAlignment w:val="baseline"/>
              <w:rPr>
                <w:rFonts w:ascii="黑体" w:hAnsi="黑体" w:eastAsia="黑体" w:cs="黑体"/>
                <w:sz w:val="18"/>
                <w:szCs w:val="18"/>
                <w:lang w:val="zh-CN"/>
              </w:rPr>
            </w:pPr>
            <w:r>
              <w:rPr>
                <w:rFonts w:hint="eastAsia" w:ascii="黑体" w:hAnsi="黑体" w:eastAsia="黑体" w:cs="黑体"/>
                <w:sz w:val="18"/>
                <w:szCs w:val="18"/>
                <w:lang w:val="zh-CN"/>
              </w:rPr>
              <w:t>3</w:t>
            </w:r>
          </w:p>
        </w:tc>
        <w:tc>
          <w:tcPr>
            <w:tcW w:w="790" w:type="dxa"/>
            <w:gridSpan w:val="2"/>
            <w:tcBorders>
              <w:tl2br w:val="nil"/>
              <w:tr2bl w:val="nil"/>
            </w:tcBorders>
          </w:tcPr>
          <w:p>
            <w:pPr>
              <w:widowControl/>
              <w:spacing w:before="53" w:after="42" w:line="320" w:lineRule="exact"/>
              <w:ind w:left="108" w:right="180"/>
              <w:jc w:val="left"/>
              <w:textAlignment w:val="baseline"/>
              <w:rPr>
                <w:rFonts w:ascii="黑体" w:hAnsi="黑体" w:eastAsia="黑体" w:cs="黑体"/>
                <w:spacing w:val="-3"/>
                <w:sz w:val="18"/>
                <w:szCs w:val="18"/>
                <w:lang w:val="zh-CN"/>
              </w:rPr>
            </w:pPr>
            <w:r>
              <w:rPr>
                <w:rFonts w:hint="eastAsia" w:ascii="黑体" w:hAnsi="黑体" w:eastAsia="黑体" w:cs="黑体"/>
                <w:spacing w:val="-3"/>
                <w:sz w:val="18"/>
                <w:szCs w:val="18"/>
                <w:lang w:val="zh-CN"/>
              </w:rPr>
              <w:t>产品规格</w:t>
            </w:r>
          </w:p>
        </w:tc>
        <w:tc>
          <w:tcPr>
            <w:tcW w:w="747" w:type="dxa"/>
            <w:gridSpan w:val="2"/>
            <w:vMerge w:val="continue"/>
            <w:tcBorders>
              <w:tl2br w:val="nil"/>
              <w:tr2bl w:val="nil"/>
            </w:tcBorders>
            <w:vAlign w:val="center"/>
          </w:tcPr>
          <w:p>
            <w:pPr>
              <w:widowControl/>
              <w:spacing w:line="320" w:lineRule="exact"/>
              <w:rPr>
                <w:rFonts w:ascii="黑体" w:hAnsi="黑体" w:eastAsia="黑体" w:cs="黑体"/>
                <w:sz w:val="18"/>
                <w:szCs w:val="18"/>
              </w:rPr>
            </w:pPr>
          </w:p>
        </w:tc>
        <w:tc>
          <w:tcPr>
            <w:tcW w:w="1100" w:type="dxa"/>
            <w:tcBorders>
              <w:tl2br w:val="nil"/>
              <w:tr2bl w:val="nil"/>
            </w:tcBorders>
          </w:tcPr>
          <w:p>
            <w:pPr>
              <w:widowControl/>
              <w:spacing w:before="53" w:after="42" w:line="320" w:lineRule="exact"/>
              <w:ind w:left="108" w:right="252"/>
              <w:jc w:val="left"/>
              <w:textAlignment w:val="baseline"/>
              <w:rPr>
                <w:rFonts w:ascii="黑体" w:hAnsi="黑体" w:eastAsia="黑体" w:cs="黑体"/>
                <w:spacing w:val="-3"/>
                <w:sz w:val="18"/>
                <w:szCs w:val="18"/>
                <w:lang w:val="zh-CN"/>
              </w:rPr>
            </w:pPr>
            <w:r>
              <w:rPr>
                <w:rFonts w:hint="eastAsia"/>
              </w:rPr>
              <w:t>★</w:t>
            </w:r>
            <w:r>
              <w:rPr>
                <w:rFonts w:hint="eastAsia" w:ascii="黑体" w:hAnsi="黑体" w:eastAsia="黑体" w:cs="黑体"/>
                <w:spacing w:val="-3"/>
                <w:sz w:val="18"/>
                <w:szCs w:val="18"/>
                <w:lang w:val="zh-CN"/>
              </w:rPr>
              <w:t>内存类型</w:t>
            </w:r>
          </w:p>
        </w:tc>
        <w:tc>
          <w:tcPr>
            <w:tcW w:w="6043" w:type="dxa"/>
            <w:tcBorders>
              <w:tl2br w:val="nil"/>
              <w:tr2bl w:val="nil"/>
            </w:tcBorders>
          </w:tcPr>
          <w:p>
            <w:pPr>
              <w:widowControl/>
              <w:spacing w:line="320" w:lineRule="exact"/>
              <w:ind w:left="108" w:right="144"/>
              <w:jc w:val="left"/>
              <w:textAlignment w:val="baseline"/>
              <w:rPr>
                <w:rFonts w:ascii="黑体" w:hAnsi="黑体" w:eastAsia="黑体" w:cs="黑体"/>
                <w:spacing w:val="-11"/>
                <w:sz w:val="18"/>
                <w:szCs w:val="18"/>
                <w:lang w:val="zh-CN"/>
              </w:rPr>
            </w:pPr>
            <w:r>
              <w:rPr>
                <w:rFonts w:hint="eastAsia" w:ascii="黑体" w:hAnsi="黑体" w:eastAsia="黑体" w:cs="黑体"/>
                <w:spacing w:val="-11"/>
                <w:sz w:val="18"/>
                <w:szCs w:val="18"/>
                <w:lang w:val="zh-CN"/>
              </w:rPr>
              <w:t xml:space="preserve">支持 </w:t>
            </w:r>
            <w:r>
              <w:rPr>
                <w:rFonts w:hint="eastAsia" w:ascii="黑体" w:hAnsi="黑体" w:eastAsia="黑体" w:cs="黑体"/>
                <w:spacing w:val="-11"/>
                <w:sz w:val="18"/>
                <w:szCs w:val="18"/>
              </w:rPr>
              <w:t>DDR4</w:t>
            </w:r>
            <w:r>
              <w:rPr>
                <w:rFonts w:hint="eastAsia" w:ascii="黑体" w:hAnsi="黑体" w:eastAsia="黑体" w:cs="黑体"/>
                <w:spacing w:val="-11"/>
                <w:sz w:val="18"/>
                <w:szCs w:val="18"/>
                <w:lang w:val="zh-CN"/>
              </w:rPr>
              <w:t>或以上内存类型</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After w:val="6"/>
          <w:wAfter w:w="192" w:type="dxa"/>
          <w:trHeight w:val="1289" w:hRule="exact"/>
        </w:trPr>
        <w:tc>
          <w:tcPr>
            <w:tcW w:w="460" w:type="dxa"/>
            <w:gridSpan w:val="2"/>
            <w:tcBorders>
              <w:tl2br w:val="nil"/>
              <w:tr2bl w:val="nil"/>
            </w:tcBorders>
            <w:vAlign w:val="center"/>
          </w:tcPr>
          <w:p>
            <w:pPr>
              <w:widowControl/>
              <w:spacing w:before="528" w:after="479" w:line="320" w:lineRule="exact"/>
              <w:jc w:val="center"/>
              <w:textAlignment w:val="baseline"/>
              <w:rPr>
                <w:rFonts w:ascii="黑体" w:hAnsi="黑体" w:eastAsia="黑体" w:cs="黑体"/>
                <w:sz w:val="18"/>
                <w:szCs w:val="18"/>
                <w:lang w:val="zh-CN"/>
              </w:rPr>
            </w:pPr>
            <w:r>
              <w:rPr>
                <w:rFonts w:hint="eastAsia" w:ascii="黑体" w:hAnsi="黑体" w:eastAsia="黑体" w:cs="黑体"/>
                <w:sz w:val="18"/>
                <w:szCs w:val="18"/>
                <w:lang w:val="zh-CN"/>
              </w:rPr>
              <w:t>4</w:t>
            </w:r>
          </w:p>
        </w:tc>
        <w:tc>
          <w:tcPr>
            <w:tcW w:w="790" w:type="dxa"/>
            <w:gridSpan w:val="2"/>
            <w:tcBorders>
              <w:tl2br w:val="nil"/>
              <w:tr2bl w:val="nil"/>
            </w:tcBorders>
            <w:vAlign w:val="center"/>
          </w:tcPr>
          <w:p>
            <w:pPr>
              <w:widowControl/>
              <w:spacing w:before="366" w:after="359" w:line="320" w:lineRule="exact"/>
              <w:ind w:left="108" w:right="180"/>
              <w:jc w:val="left"/>
              <w:textAlignment w:val="baseline"/>
              <w:rPr>
                <w:rFonts w:ascii="黑体" w:hAnsi="黑体" w:eastAsia="黑体" w:cs="黑体"/>
                <w:spacing w:val="-3"/>
                <w:sz w:val="18"/>
                <w:szCs w:val="18"/>
                <w:lang w:val="zh-CN"/>
              </w:rPr>
            </w:pPr>
            <w:r>
              <w:rPr>
                <w:rFonts w:hint="eastAsia" w:ascii="黑体" w:hAnsi="黑体" w:eastAsia="黑体" w:cs="黑体"/>
                <w:spacing w:val="-3"/>
                <w:sz w:val="18"/>
                <w:szCs w:val="18"/>
                <w:lang w:val="zh-CN"/>
              </w:rPr>
              <w:t>产品规格</w:t>
            </w:r>
          </w:p>
        </w:tc>
        <w:tc>
          <w:tcPr>
            <w:tcW w:w="747" w:type="dxa"/>
            <w:gridSpan w:val="2"/>
            <w:vMerge w:val="continue"/>
            <w:tcBorders>
              <w:tl2br w:val="nil"/>
              <w:tr2bl w:val="nil"/>
            </w:tcBorders>
            <w:vAlign w:val="center"/>
          </w:tcPr>
          <w:p>
            <w:pPr>
              <w:widowControl/>
              <w:spacing w:line="320" w:lineRule="exact"/>
              <w:rPr>
                <w:rFonts w:ascii="黑体" w:hAnsi="黑体" w:eastAsia="黑体" w:cs="黑体"/>
                <w:sz w:val="18"/>
                <w:szCs w:val="18"/>
              </w:rPr>
            </w:pPr>
          </w:p>
        </w:tc>
        <w:tc>
          <w:tcPr>
            <w:tcW w:w="1100" w:type="dxa"/>
            <w:tcBorders>
              <w:tl2br w:val="nil"/>
              <w:tr2bl w:val="nil"/>
            </w:tcBorders>
          </w:tcPr>
          <w:p>
            <w:pPr>
              <w:widowControl/>
              <w:spacing w:line="320" w:lineRule="exact"/>
              <w:ind w:left="108" w:right="180"/>
              <w:jc w:val="left"/>
              <w:textAlignment w:val="baseline"/>
              <w:rPr>
                <w:rFonts w:ascii="黑体" w:hAnsi="黑体" w:eastAsia="黑体" w:cs="黑体"/>
                <w:spacing w:val="-4"/>
                <w:sz w:val="18"/>
                <w:szCs w:val="18"/>
                <w:lang w:val="zh-CN"/>
              </w:rPr>
            </w:pPr>
            <w:r>
              <w:rPr>
                <w:rFonts w:hint="eastAsia"/>
              </w:rPr>
              <w:t>★</w:t>
            </w:r>
            <w:r>
              <w:rPr>
                <w:rFonts w:hint="eastAsia" w:ascii="黑体" w:hAnsi="黑体" w:eastAsia="黑体" w:cs="黑体"/>
                <w:spacing w:val="-4"/>
                <w:sz w:val="18"/>
                <w:szCs w:val="18"/>
                <w:lang w:val="zh-CN"/>
              </w:rPr>
              <w:t>内存条配置数量 (板载内存不涉及)</w:t>
            </w:r>
          </w:p>
        </w:tc>
        <w:tc>
          <w:tcPr>
            <w:tcW w:w="6043" w:type="dxa"/>
            <w:tcBorders>
              <w:tl2br w:val="nil"/>
              <w:tr2bl w:val="nil"/>
            </w:tcBorders>
            <w:vAlign w:val="center"/>
          </w:tcPr>
          <w:p>
            <w:pPr>
              <w:widowControl/>
              <w:spacing w:line="320" w:lineRule="exact"/>
              <w:ind w:left="108" w:right="144"/>
              <w:jc w:val="left"/>
              <w:textAlignment w:val="baseline"/>
              <w:rPr>
                <w:rFonts w:hint="eastAsia" w:ascii="黑体" w:hAnsi="黑体" w:eastAsia="黑体" w:cs="黑体"/>
                <w:spacing w:val="-11"/>
                <w:sz w:val="18"/>
                <w:szCs w:val="18"/>
                <w:lang w:val="en-US" w:eastAsia="zh-CN"/>
              </w:rPr>
            </w:pPr>
            <w:r>
              <w:rPr>
                <w:rFonts w:hint="eastAsia" w:ascii="黑体" w:hAnsi="黑体" w:eastAsia="黑体" w:cs="黑体"/>
                <w:spacing w:val="-11"/>
                <w:sz w:val="18"/>
                <w:szCs w:val="18"/>
                <w:lang w:val="zh-CN"/>
              </w:rPr>
              <w:t>≥</w:t>
            </w:r>
            <w:r>
              <w:rPr>
                <w:rFonts w:hint="eastAsia" w:ascii="黑体" w:hAnsi="黑体" w:eastAsia="黑体" w:cs="黑体"/>
                <w:spacing w:val="-11"/>
                <w:sz w:val="18"/>
                <w:szCs w:val="18"/>
                <w:lang w:val="en-US" w:eastAsia="zh-CN"/>
              </w:rPr>
              <w:t>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After w:val="6"/>
          <w:wAfter w:w="192" w:type="dxa"/>
          <w:trHeight w:val="990" w:hRule="exact"/>
        </w:trPr>
        <w:tc>
          <w:tcPr>
            <w:tcW w:w="460" w:type="dxa"/>
            <w:gridSpan w:val="2"/>
            <w:tcBorders>
              <w:tl2br w:val="nil"/>
              <w:tr2bl w:val="nil"/>
            </w:tcBorders>
            <w:vAlign w:val="center"/>
          </w:tcPr>
          <w:p>
            <w:pPr>
              <w:widowControl/>
              <w:spacing w:before="288" w:after="243" w:line="320" w:lineRule="exact"/>
              <w:jc w:val="center"/>
              <w:textAlignment w:val="baseline"/>
              <w:rPr>
                <w:rFonts w:ascii="黑体" w:hAnsi="黑体" w:eastAsia="黑体" w:cs="黑体"/>
                <w:sz w:val="18"/>
                <w:szCs w:val="18"/>
                <w:lang w:val="zh-CN"/>
              </w:rPr>
            </w:pPr>
            <w:r>
              <w:rPr>
                <w:rFonts w:hint="eastAsia" w:ascii="黑体" w:hAnsi="黑体" w:eastAsia="黑体" w:cs="黑体"/>
                <w:sz w:val="18"/>
                <w:szCs w:val="18"/>
                <w:lang w:val="zh-CN"/>
              </w:rPr>
              <w:t>5</w:t>
            </w:r>
          </w:p>
        </w:tc>
        <w:tc>
          <w:tcPr>
            <w:tcW w:w="790" w:type="dxa"/>
            <w:gridSpan w:val="2"/>
            <w:tcBorders>
              <w:tl2br w:val="nil"/>
              <w:tr2bl w:val="nil"/>
            </w:tcBorders>
          </w:tcPr>
          <w:p>
            <w:pPr>
              <w:widowControl/>
              <w:spacing w:before="126" w:after="123" w:line="320" w:lineRule="exact"/>
              <w:ind w:left="108" w:right="180"/>
              <w:jc w:val="left"/>
              <w:textAlignment w:val="baseline"/>
              <w:rPr>
                <w:rFonts w:ascii="黑体" w:hAnsi="黑体" w:eastAsia="黑体" w:cs="黑体"/>
                <w:spacing w:val="-3"/>
                <w:sz w:val="18"/>
                <w:szCs w:val="18"/>
                <w:lang w:val="zh-CN"/>
              </w:rPr>
            </w:pPr>
            <w:r>
              <w:rPr>
                <w:rFonts w:hint="eastAsia" w:ascii="黑体" w:hAnsi="黑体" w:eastAsia="黑体" w:cs="黑体"/>
                <w:spacing w:val="-3"/>
                <w:sz w:val="18"/>
                <w:szCs w:val="18"/>
                <w:lang w:val="zh-CN"/>
              </w:rPr>
              <w:t>产品规格</w:t>
            </w:r>
          </w:p>
        </w:tc>
        <w:tc>
          <w:tcPr>
            <w:tcW w:w="747" w:type="dxa"/>
            <w:gridSpan w:val="2"/>
            <w:vMerge w:val="restart"/>
            <w:tcBorders>
              <w:tl2br w:val="nil"/>
              <w:tr2bl w:val="nil"/>
            </w:tcBorders>
            <w:vAlign w:val="center"/>
          </w:tcPr>
          <w:p>
            <w:pPr>
              <w:widowControl/>
              <w:spacing w:before="4115" w:after="4112" w:line="320" w:lineRule="exact"/>
              <w:ind w:left="144"/>
              <w:jc w:val="left"/>
              <w:textAlignment w:val="baseline"/>
              <w:rPr>
                <w:rFonts w:ascii="黑体" w:hAnsi="黑体" w:eastAsia="黑体" w:cs="黑体"/>
                <w:sz w:val="18"/>
                <w:szCs w:val="18"/>
                <w:lang w:val="zh-CN"/>
              </w:rPr>
            </w:pPr>
            <w:r>
              <w:rPr>
                <w:rFonts w:hint="eastAsia"/>
              </w:rPr>
              <w:t>★</w:t>
            </w:r>
            <w:r>
              <w:rPr>
                <w:rFonts w:hint="eastAsia" w:ascii="黑体" w:hAnsi="黑体" w:eastAsia="黑体" w:cs="黑体"/>
                <w:sz w:val="18"/>
                <w:szCs w:val="18"/>
                <w:lang w:val="zh-CN"/>
              </w:rPr>
              <w:t>主板规格</w:t>
            </w:r>
          </w:p>
        </w:tc>
        <w:tc>
          <w:tcPr>
            <w:tcW w:w="1100" w:type="dxa"/>
            <w:tcBorders>
              <w:tl2br w:val="nil"/>
              <w:tr2bl w:val="nil"/>
            </w:tcBorders>
          </w:tcPr>
          <w:p>
            <w:pPr>
              <w:widowControl/>
              <w:spacing w:before="126" w:after="123" w:line="320" w:lineRule="exact"/>
              <w:ind w:left="108" w:right="252"/>
              <w:jc w:val="left"/>
              <w:textAlignment w:val="baseline"/>
              <w:rPr>
                <w:rFonts w:ascii="黑体" w:hAnsi="黑体" w:eastAsia="黑体" w:cs="黑体"/>
                <w:spacing w:val="-4"/>
                <w:sz w:val="18"/>
                <w:szCs w:val="18"/>
                <w:lang w:val="zh-CN"/>
              </w:rPr>
            </w:pPr>
            <w:r>
              <w:rPr>
                <w:rFonts w:hint="eastAsia"/>
              </w:rPr>
              <w:t>★</w:t>
            </w:r>
            <w:r>
              <w:rPr>
                <w:rFonts w:hint="eastAsia" w:ascii="黑体" w:hAnsi="黑体" w:eastAsia="黑体" w:cs="黑体"/>
                <w:spacing w:val="-4"/>
                <w:sz w:val="18"/>
                <w:szCs w:val="18"/>
                <w:lang w:val="zh-CN"/>
              </w:rPr>
              <w:t>主板集成模块</w:t>
            </w:r>
          </w:p>
        </w:tc>
        <w:tc>
          <w:tcPr>
            <w:tcW w:w="6043" w:type="dxa"/>
            <w:tcBorders>
              <w:tl2br w:val="nil"/>
              <w:tr2bl w:val="nil"/>
            </w:tcBorders>
          </w:tcPr>
          <w:p>
            <w:pPr>
              <w:widowControl/>
              <w:spacing w:after="3" w:line="320" w:lineRule="exact"/>
              <w:ind w:left="108" w:right="216"/>
              <w:jc w:val="left"/>
              <w:textAlignment w:val="baseline"/>
              <w:rPr>
                <w:rFonts w:ascii="黑体" w:hAnsi="黑体" w:eastAsia="黑体" w:cs="黑体"/>
                <w:spacing w:val="-3"/>
                <w:sz w:val="18"/>
                <w:szCs w:val="18"/>
                <w:lang w:val="zh-CN"/>
              </w:rPr>
            </w:pPr>
            <w:r>
              <w:rPr>
                <w:rFonts w:hint="eastAsia" w:ascii="黑体" w:hAnsi="黑体" w:eastAsia="黑体" w:cs="黑体"/>
                <w:spacing w:val="-3"/>
                <w:sz w:val="18"/>
                <w:szCs w:val="18"/>
                <w:lang w:val="zh-CN"/>
              </w:rPr>
              <w:t>集成资源扩展模块、计算处理模块、 音频扩展模块等，主板的互联拓扑可通过处理器或交换电路实现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After w:val="6"/>
          <w:wAfter w:w="192" w:type="dxa"/>
          <w:trHeight w:val="969" w:hRule="exact"/>
        </w:trPr>
        <w:tc>
          <w:tcPr>
            <w:tcW w:w="460" w:type="dxa"/>
            <w:gridSpan w:val="2"/>
            <w:tcBorders>
              <w:tl2br w:val="nil"/>
              <w:tr2bl w:val="nil"/>
            </w:tcBorders>
            <w:vAlign w:val="center"/>
          </w:tcPr>
          <w:p>
            <w:pPr>
              <w:widowControl/>
              <w:spacing w:before="407" w:after="359" w:line="320" w:lineRule="exact"/>
              <w:jc w:val="center"/>
              <w:textAlignment w:val="baseline"/>
              <w:rPr>
                <w:rFonts w:ascii="黑体" w:hAnsi="黑体" w:eastAsia="黑体" w:cs="黑体"/>
                <w:sz w:val="18"/>
                <w:szCs w:val="18"/>
                <w:lang w:val="zh-CN"/>
              </w:rPr>
            </w:pPr>
            <w:r>
              <w:rPr>
                <w:rFonts w:hint="eastAsia" w:ascii="黑体" w:hAnsi="黑体" w:eastAsia="黑体" w:cs="黑体"/>
                <w:sz w:val="18"/>
                <w:szCs w:val="18"/>
                <w:lang w:val="zh-CN"/>
              </w:rPr>
              <w:t>6</w:t>
            </w:r>
          </w:p>
        </w:tc>
        <w:tc>
          <w:tcPr>
            <w:tcW w:w="790" w:type="dxa"/>
            <w:gridSpan w:val="2"/>
            <w:tcBorders>
              <w:tl2br w:val="nil"/>
              <w:tr2bl w:val="nil"/>
            </w:tcBorders>
            <w:vAlign w:val="center"/>
          </w:tcPr>
          <w:p>
            <w:pPr>
              <w:widowControl/>
              <w:spacing w:before="245" w:after="239" w:line="320" w:lineRule="exact"/>
              <w:ind w:left="108" w:right="180"/>
              <w:jc w:val="left"/>
              <w:textAlignment w:val="baseline"/>
              <w:rPr>
                <w:rFonts w:ascii="黑体" w:hAnsi="黑体" w:eastAsia="黑体" w:cs="黑体"/>
                <w:spacing w:val="-3"/>
                <w:sz w:val="18"/>
                <w:szCs w:val="18"/>
                <w:lang w:val="zh-CN"/>
              </w:rPr>
            </w:pPr>
            <w:r>
              <w:rPr>
                <w:rFonts w:hint="eastAsia" w:ascii="黑体" w:hAnsi="黑体" w:eastAsia="黑体" w:cs="黑体"/>
                <w:spacing w:val="-3"/>
                <w:sz w:val="18"/>
                <w:szCs w:val="18"/>
                <w:lang w:val="zh-CN"/>
              </w:rPr>
              <w:t>产品规格</w:t>
            </w:r>
          </w:p>
        </w:tc>
        <w:tc>
          <w:tcPr>
            <w:tcW w:w="747" w:type="dxa"/>
            <w:gridSpan w:val="2"/>
            <w:vMerge w:val="continue"/>
            <w:tcBorders>
              <w:tl2br w:val="nil"/>
              <w:tr2bl w:val="nil"/>
            </w:tcBorders>
            <w:vAlign w:val="center"/>
          </w:tcPr>
          <w:p>
            <w:pPr>
              <w:widowControl/>
              <w:spacing w:line="320" w:lineRule="exact"/>
              <w:rPr>
                <w:rFonts w:ascii="黑体" w:hAnsi="黑体" w:eastAsia="黑体" w:cs="黑体"/>
                <w:sz w:val="18"/>
                <w:szCs w:val="18"/>
              </w:rPr>
            </w:pPr>
          </w:p>
        </w:tc>
        <w:tc>
          <w:tcPr>
            <w:tcW w:w="1100" w:type="dxa"/>
            <w:tcBorders>
              <w:tl2br w:val="nil"/>
              <w:tr2bl w:val="nil"/>
            </w:tcBorders>
          </w:tcPr>
          <w:p>
            <w:pPr>
              <w:widowControl/>
              <w:spacing w:line="320" w:lineRule="exact"/>
              <w:ind w:left="108" w:right="180"/>
              <w:jc w:val="left"/>
              <w:textAlignment w:val="baseline"/>
              <w:rPr>
                <w:rFonts w:ascii="黑体" w:hAnsi="黑体" w:eastAsia="黑体" w:cs="黑体"/>
                <w:spacing w:val="-9"/>
                <w:sz w:val="18"/>
                <w:szCs w:val="18"/>
                <w:lang w:val="zh-CN"/>
              </w:rPr>
            </w:pPr>
            <w:r>
              <w:rPr>
                <w:rFonts w:hint="eastAsia"/>
              </w:rPr>
              <w:t>★</w:t>
            </w:r>
            <w:r>
              <w:rPr>
                <w:rFonts w:hint="eastAsia" w:ascii="黑体" w:hAnsi="黑体" w:eastAsia="黑体" w:cs="黑体"/>
                <w:spacing w:val="-9"/>
                <w:sz w:val="18"/>
                <w:szCs w:val="18"/>
                <w:lang w:val="zh-CN"/>
              </w:rPr>
              <w:t xml:space="preserve">主板支持的 </w:t>
            </w:r>
            <w:r>
              <w:rPr>
                <w:rFonts w:hint="eastAsia" w:ascii="黑体" w:hAnsi="黑体" w:eastAsia="黑体" w:cs="黑体"/>
                <w:spacing w:val="-9"/>
                <w:sz w:val="18"/>
                <w:szCs w:val="18"/>
              </w:rPr>
              <w:t xml:space="preserve">CPU </w:t>
            </w:r>
            <w:r>
              <w:rPr>
                <w:rFonts w:hint="eastAsia" w:ascii="黑体" w:hAnsi="黑体" w:eastAsia="黑体" w:cs="黑体"/>
                <w:spacing w:val="-9"/>
                <w:sz w:val="18"/>
                <w:szCs w:val="18"/>
                <w:lang w:val="zh-CN"/>
              </w:rPr>
              <w:t>和内存情况</w:t>
            </w:r>
          </w:p>
        </w:tc>
        <w:tc>
          <w:tcPr>
            <w:tcW w:w="6043" w:type="dxa"/>
            <w:tcBorders>
              <w:tl2br w:val="nil"/>
              <w:tr2bl w:val="nil"/>
            </w:tcBorders>
          </w:tcPr>
          <w:p>
            <w:pPr>
              <w:widowControl/>
              <w:spacing w:before="245" w:after="239" w:line="320" w:lineRule="exact"/>
              <w:ind w:left="108" w:right="216"/>
              <w:jc w:val="left"/>
              <w:textAlignment w:val="baseline"/>
              <w:rPr>
                <w:rFonts w:ascii="黑体" w:hAnsi="黑体" w:eastAsia="黑体" w:cs="黑体"/>
                <w:spacing w:val="-3"/>
                <w:sz w:val="18"/>
                <w:szCs w:val="18"/>
                <w:lang w:val="zh-CN"/>
              </w:rPr>
            </w:pPr>
            <w:r>
              <w:rPr>
                <w:rFonts w:hint="eastAsia" w:ascii="黑体" w:hAnsi="黑体" w:eastAsia="黑体" w:cs="黑体"/>
                <w:spacing w:val="-3"/>
                <w:sz w:val="18"/>
                <w:szCs w:val="18"/>
                <w:lang w:val="zh-CN"/>
              </w:rPr>
              <w:t>主板支持</w:t>
            </w:r>
            <w:r>
              <w:rPr>
                <w:rFonts w:hint="eastAsia" w:ascii="黑体" w:hAnsi="黑体" w:eastAsia="黑体" w:cs="黑体"/>
                <w:spacing w:val="-3"/>
                <w:sz w:val="18"/>
                <w:szCs w:val="18"/>
                <w:lang w:val="en-US" w:eastAsia="zh-CN"/>
              </w:rPr>
              <w:t>ARM</w:t>
            </w:r>
            <w:r>
              <w:rPr>
                <w:rFonts w:hint="eastAsia" w:ascii="黑体" w:hAnsi="黑体" w:eastAsia="黑体" w:cs="黑体"/>
                <w:spacing w:val="-3"/>
                <w:sz w:val="18"/>
                <w:szCs w:val="18"/>
                <w:lang w:val="zh-CN"/>
              </w:rPr>
              <w:t>架构处理器，最高支持的内存类型为DDR</w:t>
            </w:r>
            <w:r>
              <w:rPr>
                <w:rFonts w:ascii="黑体" w:hAnsi="黑体" w:eastAsia="黑体" w:cs="黑体"/>
                <w:spacing w:val="-3"/>
                <w:sz w:val="18"/>
                <w:szCs w:val="18"/>
                <w:lang w:val="zh-CN"/>
              </w:rPr>
              <w:t>4</w:t>
            </w:r>
            <w:r>
              <w:rPr>
                <w:rFonts w:hint="eastAsia" w:ascii="黑体" w:hAnsi="黑体" w:eastAsia="黑体" w:cs="黑体"/>
                <w:spacing w:val="-3"/>
                <w:sz w:val="18"/>
                <w:szCs w:val="18"/>
                <w:lang w:val="zh-CN"/>
              </w:rPr>
              <w:t>；</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After w:val="6"/>
          <w:wAfter w:w="192" w:type="dxa"/>
          <w:trHeight w:val="1120" w:hRule="exact"/>
        </w:trPr>
        <w:tc>
          <w:tcPr>
            <w:tcW w:w="460" w:type="dxa"/>
            <w:gridSpan w:val="2"/>
            <w:tcBorders>
              <w:tl2br w:val="nil"/>
              <w:tr2bl w:val="nil"/>
            </w:tcBorders>
            <w:vAlign w:val="center"/>
          </w:tcPr>
          <w:p>
            <w:pPr>
              <w:widowControl/>
              <w:spacing w:before="408" w:after="354" w:line="320" w:lineRule="exact"/>
              <w:jc w:val="center"/>
              <w:textAlignment w:val="baseline"/>
              <w:rPr>
                <w:rFonts w:ascii="黑体" w:hAnsi="黑体" w:eastAsia="黑体" w:cs="黑体"/>
                <w:sz w:val="18"/>
                <w:szCs w:val="18"/>
                <w:lang w:val="zh-CN"/>
              </w:rPr>
            </w:pPr>
            <w:r>
              <w:rPr>
                <w:rFonts w:hint="eastAsia" w:ascii="黑体" w:hAnsi="黑体" w:eastAsia="黑体" w:cs="黑体"/>
                <w:sz w:val="18"/>
                <w:szCs w:val="18"/>
              </w:rPr>
              <w:t>7</w:t>
            </w:r>
          </w:p>
        </w:tc>
        <w:tc>
          <w:tcPr>
            <w:tcW w:w="790" w:type="dxa"/>
            <w:gridSpan w:val="2"/>
            <w:tcBorders>
              <w:tl2br w:val="nil"/>
              <w:tr2bl w:val="nil"/>
            </w:tcBorders>
            <w:vAlign w:val="center"/>
          </w:tcPr>
          <w:p>
            <w:pPr>
              <w:widowControl/>
              <w:spacing w:before="246" w:after="234" w:line="320" w:lineRule="exact"/>
              <w:ind w:left="108" w:right="180"/>
              <w:jc w:val="left"/>
              <w:textAlignment w:val="baseline"/>
              <w:rPr>
                <w:rFonts w:ascii="黑体" w:hAnsi="黑体" w:eastAsia="黑体" w:cs="黑体"/>
                <w:spacing w:val="-3"/>
                <w:sz w:val="18"/>
                <w:szCs w:val="18"/>
                <w:lang w:val="zh-CN"/>
              </w:rPr>
            </w:pPr>
            <w:r>
              <w:rPr>
                <w:rFonts w:hint="eastAsia" w:ascii="黑体" w:hAnsi="黑体" w:eastAsia="黑体" w:cs="黑体"/>
                <w:spacing w:val="-3"/>
                <w:sz w:val="18"/>
                <w:szCs w:val="18"/>
                <w:lang w:val="zh-CN"/>
              </w:rPr>
              <w:t>产品规格</w:t>
            </w:r>
          </w:p>
        </w:tc>
        <w:tc>
          <w:tcPr>
            <w:tcW w:w="747" w:type="dxa"/>
            <w:gridSpan w:val="2"/>
            <w:vMerge w:val="continue"/>
            <w:tcBorders>
              <w:tl2br w:val="nil"/>
              <w:tr2bl w:val="nil"/>
            </w:tcBorders>
            <w:vAlign w:val="center"/>
          </w:tcPr>
          <w:p>
            <w:pPr>
              <w:widowControl/>
              <w:spacing w:line="320" w:lineRule="exact"/>
              <w:rPr>
                <w:rFonts w:ascii="黑体" w:hAnsi="黑体" w:eastAsia="黑体" w:cs="黑体"/>
                <w:sz w:val="18"/>
                <w:szCs w:val="18"/>
              </w:rPr>
            </w:pPr>
          </w:p>
        </w:tc>
        <w:tc>
          <w:tcPr>
            <w:tcW w:w="1100" w:type="dxa"/>
            <w:tcBorders>
              <w:tl2br w:val="nil"/>
              <w:tr2bl w:val="nil"/>
            </w:tcBorders>
          </w:tcPr>
          <w:p>
            <w:pPr>
              <w:widowControl/>
              <w:spacing w:before="126" w:after="114" w:line="320" w:lineRule="exact"/>
              <w:ind w:left="108" w:right="180"/>
              <w:jc w:val="left"/>
              <w:textAlignment w:val="baseline"/>
              <w:rPr>
                <w:rFonts w:ascii="黑体" w:hAnsi="黑体" w:eastAsia="黑体" w:cs="黑体"/>
                <w:spacing w:val="-15"/>
                <w:sz w:val="18"/>
                <w:szCs w:val="18"/>
                <w:lang w:val="zh-CN"/>
              </w:rPr>
            </w:pPr>
            <w:r>
              <w:rPr>
                <w:rFonts w:hint="eastAsia"/>
              </w:rPr>
              <w:t>★</w:t>
            </w:r>
            <w:r>
              <w:rPr>
                <w:rFonts w:hint="eastAsia" w:ascii="黑体" w:hAnsi="黑体" w:eastAsia="黑体" w:cs="黑体"/>
                <w:spacing w:val="-15"/>
                <w:sz w:val="18"/>
                <w:szCs w:val="18"/>
                <w:lang w:val="zh-CN"/>
              </w:rPr>
              <w:t>主板其他内置接口</w:t>
            </w:r>
          </w:p>
        </w:tc>
        <w:tc>
          <w:tcPr>
            <w:tcW w:w="6043" w:type="dxa"/>
            <w:tcBorders>
              <w:tl2br w:val="nil"/>
              <w:tr2bl w:val="nil"/>
            </w:tcBorders>
            <w:vAlign w:val="center"/>
          </w:tcPr>
          <w:p>
            <w:pPr>
              <w:widowControl/>
              <w:spacing w:before="246" w:after="234" w:line="320" w:lineRule="exact"/>
              <w:ind w:left="108"/>
              <w:jc w:val="left"/>
              <w:textAlignment w:val="baseline"/>
              <w:rPr>
                <w:rFonts w:hint="eastAsia" w:ascii="黑体" w:hAnsi="黑体" w:eastAsia="黑体" w:cs="黑体"/>
                <w:spacing w:val="-3"/>
                <w:sz w:val="18"/>
                <w:szCs w:val="18"/>
                <w:lang w:val="en-US" w:eastAsia="zh-CN"/>
              </w:rPr>
            </w:pPr>
            <w:r>
              <w:rPr>
                <w:rFonts w:hint="eastAsia" w:ascii="黑体" w:hAnsi="黑体" w:eastAsia="黑体" w:cs="黑体"/>
                <w:spacing w:val="-3"/>
                <w:sz w:val="18"/>
                <w:szCs w:val="18"/>
                <w:lang w:val="zh-CN"/>
              </w:rPr>
              <w:t>SATA接口≥</w:t>
            </w:r>
            <w:r>
              <w:rPr>
                <w:rFonts w:hint="eastAsia" w:ascii="黑体" w:hAnsi="黑体" w:eastAsia="黑体" w:cs="黑体"/>
                <w:spacing w:val="-3"/>
                <w:sz w:val="18"/>
                <w:szCs w:val="18"/>
                <w:lang w:val="en-US" w:eastAsia="zh-CN"/>
              </w:rPr>
              <w:t>3</w:t>
            </w:r>
            <w:r>
              <w:rPr>
                <w:rFonts w:hint="eastAsia" w:ascii="黑体" w:hAnsi="黑体" w:eastAsia="黑体" w:cs="黑体"/>
                <w:spacing w:val="-3"/>
                <w:sz w:val="18"/>
                <w:szCs w:val="18"/>
                <w:lang w:val="zh-CN"/>
              </w:rPr>
              <w:t>.USB接口≥</w:t>
            </w:r>
            <w:r>
              <w:rPr>
                <w:rFonts w:hint="eastAsia" w:ascii="黑体" w:hAnsi="黑体" w:eastAsia="黑体" w:cs="黑体"/>
                <w:spacing w:val="-3"/>
                <w:sz w:val="18"/>
                <w:szCs w:val="18"/>
                <w:lang w:val="en-US" w:eastAsia="zh-CN"/>
              </w:rPr>
              <w:t>8</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After w:val="6"/>
          <w:wAfter w:w="192" w:type="dxa"/>
          <w:trHeight w:val="1656" w:hRule="exact"/>
        </w:trPr>
        <w:tc>
          <w:tcPr>
            <w:tcW w:w="460" w:type="dxa"/>
            <w:gridSpan w:val="2"/>
            <w:tcBorders>
              <w:tl2br w:val="nil"/>
              <w:tr2bl w:val="nil"/>
            </w:tcBorders>
            <w:vAlign w:val="center"/>
          </w:tcPr>
          <w:p>
            <w:pPr>
              <w:widowControl/>
              <w:spacing w:before="648" w:after="598" w:line="320" w:lineRule="exact"/>
              <w:jc w:val="center"/>
              <w:textAlignment w:val="baseline"/>
              <w:rPr>
                <w:rFonts w:ascii="黑体" w:hAnsi="黑体" w:eastAsia="黑体" w:cs="黑体"/>
                <w:sz w:val="18"/>
                <w:szCs w:val="18"/>
                <w:lang w:val="zh-CN"/>
              </w:rPr>
            </w:pPr>
            <w:r>
              <w:rPr>
                <w:rFonts w:hint="eastAsia" w:ascii="黑体" w:hAnsi="黑体" w:eastAsia="黑体" w:cs="黑体"/>
                <w:sz w:val="18"/>
                <w:szCs w:val="18"/>
              </w:rPr>
              <w:t>8</w:t>
            </w:r>
          </w:p>
        </w:tc>
        <w:tc>
          <w:tcPr>
            <w:tcW w:w="790" w:type="dxa"/>
            <w:gridSpan w:val="2"/>
            <w:tcBorders>
              <w:tl2br w:val="nil"/>
              <w:tr2bl w:val="nil"/>
            </w:tcBorders>
            <w:vAlign w:val="center"/>
          </w:tcPr>
          <w:p>
            <w:pPr>
              <w:widowControl/>
              <w:spacing w:before="486" w:after="478" w:line="320" w:lineRule="exact"/>
              <w:ind w:left="108" w:right="180"/>
              <w:jc w:val="left"/>
              <w:textAlignment w:val="baseline"/>
              <w:rPr>
                <w:rFonts w:ascii="黑体" w:hAnsi="黑体" w:eastAsia="黑体" w:cs="黑体"/>
                <w:spacing w:val="-3"/>
                <w:sz w:val="18"/>
                <w:szCs w:val="18"/>
                <w:lang w:val="zh-CN"/>
              </w:rPr>
            </w:pPr>
            <w:r>
              <w:rPr>
                <w:rFonts w:hint="eastAsia" w:ascii="黑体" w:hAnsi="黑体" w:eastAsia="黑体" w:cs="黑体"/>
                <w:spacing w:val="-3"/>
                <w:sz w:val="18"/>
                <w:szCs w:val="18"/>
                <w:lang w:val="zh-CN"/>
              </w:rPr>
              <w:t>产品规格</w:t>
            </w:r>
          </w:p>
        </w:tc>
        <w:tc>
          <w:tcPr>
            <w:tcW w:w="747" w:type="dxa"/>
            <w:gridSpan w:val="2"/>
            <w:vMerge w:val="continue"/>
            <w:tcBorders>
              <w:tl2br w:val="nil"/>
              <w:tr2bl w:val="nil"/>
            </w:tcBorders>
            <w:vAlign w:val="center"/>
          </w:tcPr>
          <w:p>
            <w:pPr>
              <w:widowControl/>
              <w:spacing w:line="320" w:lineRule="exact"/>
              <w:rPr>
                <w:rFonts w:ascii="黑体" w:hAnsi="黑体" w:eastAsia="黑体" w:cs="黑体"/>
                <w:sz w:val="18"/>
                <w:szCs w:val="18"/>
              </w:rPr>
            </w:pPr>
          </w:p>
        </w:tc>
        <w:tc>
          <w:tcPr>
            <w:tcW w:w="1100" w:type="dxa"/>
            <w:tcBorders>
              <w:tl2br w:val="nil"/>
              <w:tr2bl w:val="nil"/>
            </w:tcBorders>
          </w:tcPr>
          <w:p>
            <w:pPr>
              <w:widowControl/>
              <w:spacing w:line="320" w:lineRule="exact"/>
              <w:ind w:left="108" w:right="144"/>
              <w:jc w:val="left"/>
              <w:textAlignment w:val="baseline"/>
              <w:rPr>
                <w:rFonts w:ascii="黑体" w:hAnsi="黑体" w:eastAsia="黑体" w:cs="黑体"/>
                <w:spacing w:val="-3"/>
                <w:sz w:val="18"/>
                <w:szCs w:val="18"/>
                <w:lang w:val="zh-CN"/>
              </w:rPr>
            </w:pPr>
            <w:r>
              <w:rPr>
                <w:rFonts w:hint="eastAsia"/>
              </w:rPr>
              <w:t>★</w:t>
            </w:r>
            <w:r>
              <w:rPr>
                <w:rFonts w:hint="eastAsia" w:ascii="黑体" w:hAnsi="黑体" w:eastAsia="黑体" w:cs="黑体"/>
                <w:spacing w:val="-3"/>
                <w:sz w:val="18"/>
                <w:szCs w:val="18"/>
                <w:lang w:val="zh-CN"/>
              </w:rPr>
              <w:t>单内存插槽最大可支持容量(板载内存不涉及)</w:t>
            </w:r>
          </w:p>
        </w:tc>
        <w:tc>
          <w:tcPr>
            <w:tcW w:w="6043" w:type="dxa"/>
            <w:tcBorders>
              <w:tl2br w:val="nil"/>
              <w:tr2bl w:val="nil"/>
            </w:tcBorders>
            <w:vAlign w:val="center"/>
          </w:tcPr>
          <w:p>
            <w:pPr>
              <w:widowControl/>
              <w:spacing w:before="646" w:after="592" w:line="320" w:lineRule="exact"/>
              <w:ind w:left="110"/>
              <w:jc w:val="left"/>
              <w:textAlignment w:val="baseline"/>
              <w:rPr>
                <w:rFonts w:ascii="黑体" w:hAnsi="黑体" w:eastAsia="黑体" w:cs="黑体"/>
                <w:sz w:val="18"/>
                <w:szCs w:val="18"/>
                <w:lang w:val="zh-CN"/>
              </w:rPr>
            </w:pPr>
            <w:r>
              <w:rPr>
                <w:rFonts w:hint="eastAsia" w:ascii="黑体" w:hAnsi="黑体" w:eastAsia="黑体" w:cs="黑体"/>
                <w:sz w:val="18"/>
                <w:szCs w:val="18"/>
                <w:lang w:val="zh-CN"/>
              </w:rPr>
              <w:t>≥</w:t>
            </w:r>
            <w:r>
              <w:rPr>
                <w:rFonts w:ascii="黑体" w:hAnsi="黑体" w:eastAsia="黑体" w:cs="黑体"/>
                <w:sz w:val="18"/>
                <w:szCs w:val="18"/>
                <w:lang w:val="zh-CN"/>
              </w:rPr>
              <w:t>32</w:t>
            </w:r>
            <w:r>
              <w:rPr>
                <w:rFonts w:hint="eastAsia" w:ascii="黑体" w:hAnsi="黑体" w:eastAsia="黑体" w:cs="黑体"/>
                <w:sz w:val="18"/>
                <w:szCs w:val="18"/>
              </w:rPr>
              <w:t>GB</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After w:val="6"/>
          <w:wAfter w:w="192" w:type="dxa"/>
          <w:trHeight w:val="2819" w:hRule="exact"/>
        </w:trPr>
        <w:tc>
          <w:tcPr>
            <w:tcW w:w="460" w:type="dxa"/>
            <w:gridSpan w:val="2"/>
            <w:tcBorders>
              <w:tl2br w:val="nil"/>
              <w:tr2bl w:val="nil"/>
            </w:tcBorders>
            <w:vAlign w:val="center"/>
          </w:tcPr>
          <w:p>
            <w:pPr>
              <w:widowControl/>
              <w:spacing w:before="647" w:after="604" w:line="320" w:lineRule="exact"/>
              <w:jc w:val="center"/>
              <w:textAlignment w:val="baseline"/>
              <w:rPr>
                <w:rFonts w:ascii="黑体" w:hAnsi="黑体" w:eastAsia="黑体" w:cs="黑体"/>
                <w:sz w:val="18"/>
                <w:szCs w:val="18"/>
                <w:lang w:val="zh-CN"/>
              </w:rPr>
            </w:pPr>
            <w:r>
              <w:rPr>
                <w:rFonts w:hint="eastAsia" w:ascii="黑体" w:hAnsi="黑体" w:eastAsia="黑体" w:cs="黑体"/>
                <w:sz w:val="18"/>
                <w:szCs w:val="18"/>
              </w:rPr>
              <w:t>9</w:t>
            </w:r>
          </w:p>
        </w:tc>
        <w:tc>
          <w:tcPr>
            <w:tcW w:w="790" w:type="dxa"/>
            <w:gridSpan w:val="2"/>
            <w:tcBorders>
              <w:tl2br w:val="nil"/>
              <w:tr2bl w:val="nil"/>
            </w:tcBorders>
            <w:vAlign w:val="center"/>
          </w:tcPr>
          <w:p>
            <w:pPr>
              <w:widowControl/>
              <w:spacing w:before="485" w:after="484" w:line="320" w:lineRule="exact"/>
              <w:ind w:left="108" w:right="180"/>
              <w:jc w:val="left"/>
              <w:textAlignment w:val="baseline"/>
              <w:rPr>
                <w:rFonts w:ascii="黑体" w:hAnsi="黑体" w:eastAsia="黑体" w:cs="黑体"/>
                <w:spacing w:val="-3"/>
                <w:sz w:val="18"/>
                <w:szCs w:val="18"/>
                <w:lang w:val="zh-CN"/>
              </w:rPr>
            </w:pPr>
            <w:r>
              <w:rPr>
                <w:rFonts w:hint="eastAsia" w:ascii="黑体" w:hAnsi="黑体" w:eastAsia="黑体" w:cs="黑体"/>
                <w:spacing w:val="-3"/>
                <w:sz w:val="18"/>
                <w:szCs w:val="18"/>
                <w:lang w:val="zh-CN"/>
              </w:rPr>
              <w:t>产品规格</w:t>
            </w:r>
          </w:p>
        </w:tc>
        <w:tc>
          <w:tcPr>
            <w:tcW w:w="747" w:type="dxa"/>
            <w:gridSpan w:val="2"/>
            <w:vMerge w:val="continue"/>
            <w:tcBorders>
              <w:tl2br w:val="nil"/>
              <w:tr2bl w:val="nil"/>
            </w:tcBorders>
            <w:vAlign w:val="center"/>
          </w:tcPr>
          <w:p>
            <w:pPr>
              <w:widowControl/>
              <w:spacing w:line="320" w:lineRule="exact"/>
              <w:rPr>
                <w:rFonts w:ascii="黑体" w:hAnsi="黑体" w:eastAsia="黑体" w:cs="黑体"/>
                <w:sz w:val="18"/>
                <w:szCs w:val="18"/>
              </w:rPr>
            </w:pPr>
          </w:p>
        </w:tc>
        <w:tc>
          <w:tcPr>
            <w:tcW w:w="1100" w:type="dxa"/>
            <w:tcBorders>
              <w:tl2br w:val="nil"/>
              <w:tr2bl w:val="nil"/>
            </w:tcBorders>
          </w:tcPr>
          <w:p>
            <w:pPr>
              <w:widowControl/>
              <w:spacing w:before="125" w:after="124" w:line="320" w:lineRule="exact"/>
              <w:ind w:left="108" w:right="144"/>
              <w:jc w:val="left"/>
              <w:textAlignment w:val="baseline"/>
              <w:rPr>
                <w:rFonts w:ascii="黑体" w:hAnsi="黑体" w:eastAsia="黑体" w:cs="黑体"/>
                <w:spacing w:val="-3"/>
                <w:sz w:val="18"/>
                <w:szCs w:val="18"/>
                <w:lang w:val="zh-CN"/>
              </w:rPr>
            </w:pPr>
            <w:r>
              <w:rPr>
                <w:rFonts w:hint="eastAsia"/>
              </w:rPr>
              <w:t>★</w:t>
            </w:r>
            <w:r>
              <w:rPr>
                <w:rFonts w:hint="eastAsia" w:ascii="黑体" w:hAnsi="黑体" w:eastAsia="黑体" w:cs="黑体"/>
                <w:spacing w:val="-3"/>
                <w:sz w:val="18"/>
                <w:szCs w:val="18"/>
                <w:lang w:val="zh-CN"/>
              </w:rPr>
              <w:t>内存插槽满配时提供的最高内存总容量</w:t>
            </w:r>
          </w:p>
        </w:tc>
        <w:tc>
          <w:tcPr>
            <w:tcW w:w="6043" w:type="dxa"/>
            <w:tcBorders>
              <w:tl2br w:val="nil"/>
              <w:tr2bl w:val="nil"/>
            </w:tcBorders>
            <w:vAlign w:val="center"/>
          </w:tcPr>
          <w:p>
            <w:pPr>
              <w:widowControl/>
              <w:spacing w:before="645" w:after="598" w:line="320" w:lineRule="exact"/>
              <w:ind w:left="110"/>
              <w:jc w:val="left"/>
              <w:textAlignment w:val="baseline"/>
              <w:rPr>
                <w:rFonts w:hint="eastAsia"/>
              </w:rPr>
            </w:pPr>
            <w:r>
              <w:rPr>
                <w:rFonts w:hint="eastAsia"/>
                <w:lang w:val="zh-CN"/>
              </w:rPr>
              <w:t>≥</w:t>
            </w:r>
            <w:r>
              <w:rPr>
                <w:rFonts w:hint="eastAsia"/>
                <w:lang w:val="en-US" w:eastAsia="zh-CN"/>
              </w:rPr>
              <w:t>64</w:t>
            </w:r>
            <w:r>
              <w:rPr>
                <w:rFonts w:hint="eastAsia"/>
              </w:rPr>
              <w:t>GB</w:t>
            </w:r>
          </w:p>
          <w:p>
            <w:pPr>
              <w:pStyle w:val="2"/>
              <w:rPr>
                <w:rFonts w:hint="eastAsia"/>
              </w:rPr>
            </w:pPr>
          </w:p>
          <w:p>
            <w:pPr>
              <w:rPr>
                <w:rFonts w:hint="eastAsia"/>
              </w:rPr>
            </w:pPr>
          </w:p>
          <w:p>
            <w:pPr>
              <w:pStyle w:val="2"/>
              <w:rPr>
                <w:rFonts w:hint="eastAsia"/>
              </w:rPr>
            </w:pPr>
          </w:p>
          <w:p>
            <w:pPr>
              <w:rPr>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Before w:val="1"/>
          <w:gridAfter w:val="2"/>
          <w:wBefore w:w="11" w:type="dxa"/>
          <w:wAfter w:w="90" w:type="dxa"/>
          <w:trHeight w:val="519" w:hRule="exact"/>
        </w:trPr>
        <w:tc>
          <w:tcPr>
            <w:tcW w:w="461" w:type="dxa"/>
            <w:gridSpan w:val="2"/>
            <w:tcBorders>
              <w:tl2br w:val="nil"/>
              <w:tr2bl w:val="nil"/>
            </w:tcBorders>
            <w:vAlign w:val="center"/>
          </w:tcPr>
          <w:p>
            <w:pPr>
              <w:spacing w:before="173" w:after="122" w:line="199" w:lineRule="exact"/>
              <w:jc w:val="center"/>
              <w:textAlignment w:val="baseline"/>
              <w:rPr>
                <w:rFonts w:hint="default" w:ascii="黑体" w:hAnsi="黑体" w:eastAsia="黑体" w:cs="黑体"/>
                <w:sz w:val="18"/>
                <w:szCs w:val="18"/>
                <w:lang w:val="en-US" w:eastAsia="zh-CN"/>
              </w:rPr>
            </w:pPr>
            <w:r>
              <w:rPr>
                <w:rFonts w:hint="eastAsia" w:ascii="黑体" w:hAnsi="黑体" w:eastAsia="黑体" w:cs="黑体"/>
                <w:sz w:val="18"/>
                <w:szCs w:val="18"/>
                <w:lang w:val="en-US" w:eastAsia="zh-CN"/>
              </w:rPr>
              <w:t>10</w:t>
            </w:r>
          </w:p>
        </w:tc>
        <w:tc>
          <w:tcPr>
            <w:tcW w:w="778" w:type="dxa"/>
            <w:tcBorders>
              <w:tl2br w:val="nil"/>
              <w:tr2bl w:val="nil"/>
            </w:tcBorders>
          </w:tcPr>
          <w:p>
            <w:pPr>
              <w:spacing w:after="2" w:line="240" w:lineRule="exact"/>
              <w:ind w:left="108" w:right="180"/>
              <w:jc w:val="left"/>
              <w:textAlignment w:val="baseline"/>
              <w:rPr>
                <w:rFonts w:hint="eastAsia" w:ascii="黑体" w:hAnsi="黑体" w:eastAsia="黑体" w:cs="黑体"/>
                <w:spacing w:val="-3"/>
                <w:sz w:val="18"/>
                <w:szCs w:val="18"/>
                <w:lang w:val="zh-CN"/>
              </w:rPr>
            </w:pPr>
            <w:r>
              <w:rPr>
                <w:rFonts w:hint="eastAsia" w:ascii="黑体" w:hAnsi="黑体" w:eastAsia="黑体" w:cs="黑体"/>
                <w:spacing w:val="-3"/>
                <w:sz w:val="18"/>
                <w:szCs w:val="18"/>
                <w:lang w:val="zh-CN"/>
              </w:rPr>
              <w:t>产品规格</w:t>
            </w:r>
          </w:p>
        </w:tc>
        <w:tc>
          <w:tcPr>
            <w:tcW w:w="747" w:type="dxa"/>
            <w:gridSpan w:val="2"/>
            <w:tcBorders>
              <w:tl2br w:val="nil"/>
              <w:tr2bl w:val="nil"/>
            </w:tcBorders>
            <w:vAlign w:val="center"/>
          </w:tcPr>
          <w:p>
            <w:pPr>
              <w:spacing w:before="3900" w:after="3881" w:line="240" w:lineRule="exact"/>
              <w:jc w:val="center"/>
              <w:textAlignment w:val="baseline"/>
              <w:rPr>
                <w:rFonts w:hint="eastAsia" w:ascii="黑体" w:hAnsi="黑体" w:eastAsia="黑体" w:cs="黑体"/>
                <w:sz w:val="18"/>
                <w:szCs w:val="18"/>
                <w:lang w:val="zh-CN"/>
              </w:rPr>
            </w:pPr>
          </w:p>
        </w:tc>
        <w:tc>
          <w:tcPr>
            <w:tcW w:w="1100" w:type="dxa"/>
            <w:tcBorders>
              <w:tl2br w:val="nil"/>
              <w:tr2bl w:val="nil"/>
            </w:tcBorders>
            <w:vAlign w:val="center"/>
          </w:tcPr>
          <w:p>
            <w:pPr>
              <w:spacing w:after="2" w:line="240" w:lineRule="exact"/>
              <w:ind w:left="108" w:right="252"/>
              <w:jc w:val="center"/>
              <w:textAlignment w:val="baseline"/>
              <w:rPr>
                <w:rFonts w:hint="eastAsia"/>
              </w:rPr>
            </w:pPr>
            <w:r>
              <w:rPr>
                <w:rFonts w:hint="eastAsia"/>
              </w:rPr>
              <w:t>★</w:t>
            </w:r>
            <w:r>
              <w:rPr>
                <w:rFonts w:hint="eastAsia" w:ascii="黑体" w:hAnsi="黑体" w:eastAsia="黑体" w:cs="黑体"/>
                <w:spacing w:val="-3"/>
                <w:sz w:val="18"/>
                <w:szCs w:val="18"/>
                <w:lang w:val="zh-CN"/>
              </w:rPr>
              <w:t>固态盘数量</w:t>
            </w:r>
          </w:p>
        </w:tc>
        <w:tc>
          <w:tcPr>
            <w:tcW w:w="6145" w:type="dxa"/>
            <w:gridSpan w:val="5"/>
            <w:tcBorders>
              <w:tl2br w:val="nil"/>
              <w:tr2bl w:val="nil"/>
            </w:tcBorders>
            <w:vAlign w:val="center"/>
          </w:tcPr>
          <w:p>
            <w:pPr>
              <w:spacing w:before="173" w:after="122" w:line="199" w:lineRule="exact"/>
              <w:ind w:left="110"/>
              <w:jc w:val="left"/>
              <w:textAlignment w:val="baseline"/>
              <w:rPr>
                <w:rFonts w:hint="eastAsia" w:ascii="黑体" w:hAnsi="黑体" w:eastAsia="黑体" w:cs="黑体"/>
                <w:sz w:val="18"/>
                <w:szCs w:val="18"/>
                <w:lang w:val="zh-CN"/>
              </w:rPr>
            </w:pPr>
            <w:r>
              <w:rPr>
                <w:rFonts w:hint="eastAsia" w:ascii="黑体" w:hAnsi="黑体" w:eastAsia="黑体" w:cs="黑体"/>
                <w:sz w:val="18"/>
                <w:szCs w:val="18"/>
                <w:lang w:val="zh-CN"/>
              </w:rPr>
              <w:t>≥1 个</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Before w:val="1"/>
          <w:gridAfter w:val="2"/>
          <w:wBefore w:w="11" w:type="dxa"/>
          <w:wAfter w:w="90" w:type="dxa"/>
          <w:trHeight w:val="734" w:hRule="exact"/>
        </w:trPr>
        <w:tc>
          <w:tcPr>
            <w:tcW w:w="461" w:type="dxa"/>
            <w:gridSpan w:val="2"/>
            <w:tcBorders>
              <w:tl2br w:val="nil"/>
              <w:tr2bl w:val="nil"/>
            </w:tcBorders>
            <w:vAlign w:val="center"/>
          </w:tcPr>
          <w:p>
            <w:pPr>
              <w:spacing w:before="288" w:after="232" w:line="199" w:lineRule="exact"/>
              <w:jc w:val="center"/>
              <w:textAlignment w:val="baseline"/>
              <w:rPr>
                <w:rFonts w:ascii="黑体" w:hAnsi="黑体" w:eastAsia="黑体" w:cs="黑体"/>
                <w:sz w:val="18"/>
                <w:szCs w:val="18"/>
              </w:rPr>
            </w:pPr>
            <w:r>
              <w:rPr>
                <w:rFonts w:hint="eastAsia" w:ascii="黑体" w:hAnsi="黑体" w:eastAsia="黑体" w:cs="黑体"/>
                <w:sz w:val="18"/>
                <w:szCs w:val="18"/>
              </w:rPr>
              <w:t>11</w:t>
            </w:r>
          </w:p>
        </w:tc>
        <w:tc>
          <w:tcPr>
            <w:tcW w:w="778" w:type="dxa"/>
            <w:tcBorders>
              <w:tl2br w:val="nil"/>
              <w:tr2bl w:val="nil"/>
            </w:tcBorders>
          </w:tcPr>
          <w:p>
            <w:pPr>
              <w:spacing w:before="127" w:after="112" w:line="240" w:lineRule="exact"/>
              <w:ind w:left="108" w:right="180"/>
              <w:jc w:val="left"/>
              <w:textAlignment w:val="baseline"/>
              <w:rPr>
                <w:rFonts w:ascii="黑体" w:hAnsi="黑体" w:eastAsia="黑体" w:cs="黑体"/>
                <w:spacing w:val="-3"/>
                <w:sz w:val="18"/>
                <w:szCs w:val="18"/>
                <w:lang w:val="zh-CN"/>
              </w:rPr>
            </w:pPr>
            <w:r>
              <w:rPr>
                <w:rFonts w:hint="eastAsia" w:ascii="黑体" w:hAnsi="黑体" w:eastAsia="黑体" w:cs="黑体"/>
                <w:spacing w:val="-3"/>
                <w:sz w:val="18"/>
                <w:szCs w:val="18"/>
                <w:lang w:val="zh-CN"/>
              </w:rPr>
              <w:t>产品规格</w:t>
            </w:r>
          </w:p>
        </w:tc>
        <w:tc>
          <w:tcPr>
            <w:tcW w:w="747" w:type="dxa"/>
            <w:gridSpan w:val="2"/>
            <w:vMerge w:val="restart"/>
            <w:tcBorders>
              <w:tl2br w:val="nil"/>
              <w:tr2bl w:val="nil"/>
            </w:tcBorders>
            <w:vAlign w:val="center"/>
          </w:tcPr>
          <w:p>
            <w:pPr>
              <w:rPr>
                <w:rFonts w:hint="default" w:ascii="黑体" w:hAnsi="黑体" w:eastAsia="黑体" w:cs="黑体"/>
                <w:color w:val="auto"/>
                <w:sz w:val="18"/>
                <w:szCs w:val="18"/>
                <w:lang w:val="en-US" w:eastAsia="zh-CN"/>
              </w:rPr>
            </w:pPr>
            <w:r>
              <w:rPr>
                <w:rFonts w:hint="eastAsia"/>
                <w:color w:val="auto"/>
              </w:rPr>
              <w:t>★</w:t>
            </w:r>
            <w:r>
              <w:rPr>
                <w:rFonts w:hint="eastAsia" w:ascii="黑体" w:hAnsi="黑体" w:eastAsia="黑体" w:cs="黑体"/>
                <w:color w:val="auto"/>
                <w:sz w:val="18"/>
                <w:szCs w:val="18"/>
                <w:lang w:val="en-US" w:eastAsia="zh-CN"/>
              </w:rPr>
              <w:t>存储设备规格</w:t>
            </w:r>
          </w:p>
        </w:tc>
        <w:tc>
          <w:tcPr>
            <w:tcW w:w="1100" w:type="dxa"/>
            <w:tcBorders>
              <w:tl2br w:val="nil"/>
              <w:tr2bl w:val="nil"/>
            </w:tcBorders>
            <w:vAlign w:val="center"/>
          </w:tcPr>
          <w:p>
            <w:pPr>
              <w:spacing w:before="127" w:after="112" w:line="240" w:lineRule="exact"/>
              <w:ind w:left="108" w:right="252"/>
              <w:jc w:val="center"/>
              <w:textAlignment w:val="baseline"/>
              <w:rPr>
                <w:rFonts w:ascii="黑体" w:hAnsi="黑体" w:eastAsia="黑体" w:cs="黑体"/>
                <w:color w:val="auto"/>
                <w:spacing w:val="-4"/>
                <w:sz w:val="18"/>
                <w:szCs w:val="18"/>
                <w:lang w:val="zh-CN"/>
              </w:rPr>
            </w:pPr>
            <w:r>
              <w:rPr>
                <w:rFonts w:hint="eastAsia"/>
                <w:color w:val="auto"/>
              </w:rPr>
              <w:t>★</w:t>
            </w:r>
            <w:r>
              <w:rPr>
                <w:rFonts w:hint="eastAsia" w:ascii="黑体" w:hAnsi="黑体" w:eastAsia="黑体" w:cs="黑体"/>
                <w:color w:val="auto"/>
                <w:spacing w:val="-4"/>
                <w:sz w:val="18"/>
                <w:szCs w:val="18"/>
                <w:lang w:val="zh-CN"/>
              </w:rPr>
              <w:t>固态存储容量</w:t>
            </w:r>
          </w:p>
        </w:tc>
        <w:tc>
          <w:tcPr>
            <w:tcW w:w="6145" w:type="dxa"/>
            <w:gridSpan w:val="5"/>
            <w:tcBorders>
              <w:tl2br w:val="nil"/>
              <w:tr2bl w:val="nil"/>
            </w:tcBorders>
            <w:vAlign w:val="center"/>
          </w:tcPr>
          <w:p>
            <w:pPr>
              <w:spacing w:before="288" w:after="232" w:line="199" w:lineRule="exact"/>
              <w:ind w:left="110"/>
              <w:jc w:val="left"/>
              <w:textAlignment w:val="baseline"/>
              <w:rPr>
                <w:rFonts w:ascii="黑体" w:hAnsi="黑体" w:eastAsia="黑体" w:cs="黑体"/>
                <w:sz w:val="18"/>
                <w:szCs w:val="18"/>
                <w:lang w:val="zh-CN"/>
              </w:rPr>
            </w:pPr>
            <w:r>
              <w:rPr>
                <w:rFonts w:hint="eastAsia" w:ascii="黑体" w:hAnsi="黑体" w:eastAsia="黑体" w:cs="黑体"/>
                <w:sz w:val="18"/>
                <w:szCs w:val="18"/>
                <w:lang w:val="zh-CN"/>
              </w:rPr>
              <w:t>≥</w:t>
            </w:r>
            <w:r>
              <w:rPr>
                <w:rFonts w:hint="eastAsia" w:ascii="黑体" w:hAnsi="黑体" w:eastAsia="黑体" w:cs="黑体"/>
                <w:sz w:val="18"/>
                <w:szCs w:val="18"/>
              </w:rPr>
              <w:t>512GB</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Before w:val="1"/>
          <w:gridAfter w:val="2"/>
          <w:wBefore w:w="11" w:type="dxa"/>
          <w:wAfter w:w="90" w:type="dxa"/>
          <w:trHeight w:val="490" w:hRule="exact"/>
        </w:trPr>
        <w:tc>
          <w:tcPr>
            <w:tcW w:w="461" w:type="dxa"/>
            <w:gridSpan w:val="2"/>
            <w:tcBorders>
              <w:tl2br w:val="nil"/>
              <w:tr2bl w:val="nil"/>
            </w:tcBorders>
            <w:vAlign w:val="center"/>
          </w:tcPr>
          <w:p>
            <w:pPr>
              <w:spacing w:before="168" w:after="113" w:line="199" w:lineRule="exact"/>
              <w:jc w:val="center"/>
              <w:textAlignment w:val="baseline"/>
              <w:rPr>
                <w:rFonts w:ascii="黑体" w:hAnsi="黑体" w:eastAsia="黑体" w:cs="黑体"/>
                <w:sz w:val="18"/>
                <w:szCs w:val="18"/>
              </w:rPr>
            </w:pPr>
            <w:r>
              <w:rPr>
                <w:rFonts w:hint="eastAsia" w:ascii="黑体" w:hAnsi="黑体" w:eastAsia="黑体" w:cs="黑体"/>
                <w:sz w:val="18"/>
                <w:szCs w:val="18"/>
              </w:rPr>
              <w:t>12</w:t>
            </w:r>
          </w:p>
        </w:tc>
        <w:tc>
          <w:tcPr>
            <w:tcW w:w="778" w:type="dxa"/>
            <w:tcBorders>
              <w:tl2br w:val="nil"/>
              <w:tr2bl w:val="nil"/>
            </w:tcBorders>
          </w:tcPr>
          <w:p>
            <w:pPr>
              <w:spacing w:line="238" w:lineRule="exact"/>
              <w:ind w:left="108" w:right="180"/>
              <w:jc w:val="left"/>
              <w:textAlignment w:val="baseline"/>
              <w:rPr>
                <w:rFonts w:hint="eastAsia" w:ascii="黑体" w:hAnsi="黑体" w:eastAsia="黑体" w:cs="黑体"/>
                <w:spacing w:val="-3"/>
                <w:sz w:val="18"/>
                <w:szCs w:val="18"/>
                <w:lang w:val="zh-CN"/>
              </w:rPr>
            </w:pPr>
            <w:r>
              <w:rPr>
                <w:rFonts w:hint="eastAsia" w:ascii="黑体" w:hAnsi="黑体" w:eastAsia="黑体" w:cs="黑体"/>
                <w:spacing w:val="-3"/>
                <w:sz w:val="18"/>
                <w:szCs w:val="18"/>
                <w:lang w:val="zh-CN"/>
              </w:rPr>
              <w:t>产品规格</w:t>
            </w:r>
          </w:p>
        </w:tc>
        <w:tc>
          <w:tcPr>
            <w:tcW w:w="747" w:type="dxa"/>
            <w:gridSpan w:val="2"/>
            <w:vMerge w:val="continue"/>
            <w:tcBorders>
              <w:tl2br w:val="nil"/>
              <w:tr2bl w:val="nil"/>
            </w:tcBorders>
            <w:vAlign w:val="center"/>
          </w:tcPr>
          <w:p>
            <w:pPr>
              <w:rPr>
                <w:rFonts w:ascii="黑体" w:hAnsi="黑体" w:eastAsia="黑体" w:cs="黑体"/>
                <w:color w:val="auto"/>
                <w:sz w:val="18"/>
                <w:szCs w:val="18"/>
              </w:rPr>
            </w:pPr>
          </w:p>
        </w:tc>
        <w:tc>
          <w:tcPr>
            <w:tcW w:w="1100" w:type="dxa"/>
            <w:tcBorders>
              <w:tl2br w:val="nil"/>
              <w:tr2bl w:val="nil"/>
            </w:tcBorders>
            <w:vAlign w:val="center"/>
          </w:tcPr>
          <w:p>
            <w:pPr>
              <w:spacing w:line="236" w:lineRule="exact"/>
              <w:ind w:left="108" w:right="252"/>
              <w:jc w:val="center"/>
              <w:textAlignment w:val="baseline"/>
              <w:rPr>
                <w:rFonts w:ascii="黑体" w:hAnsi="黑体" w:eastAsia="黑体" w:cs="黑体"/>
                <w:color w:val="auto"/>
                <w:spacing w:val="-4"/>
                <w:sz w:val="18"/>
                <w:szCs w:val="18"/>
                <w:lang w:val="zh-CN"/>
              </w:rPr>
            </w:pPr>
            <w:r>
              <w:rPr>
                <w:rFonts w:hint="eastAsia"/>
                <w:color w:val="auto"/>
              </w:rPr>
              <w:t>★</w:t>
            </w:r>
            <w:r>
              <w:rPr>
                <w:rFonts w:hint="eastAsia" w:ascii="黑体" w:hAnsi="黑体" w:eastAsia="黑体" w:cs="黑体"/>
                <w:color w:val="auto"/>
                <w:spacing w:val="-4"/>
                <w:sz w:val="18"/>
                <w:szCs w:val="18"/>
                <w:lang w:val="zh-CN"/>
              </w:rPr>
              <w:t>机械硬盘数量</w:t>
            </w:r>
          </w:p>
        </w:tc>
        <w:tc>
          <w:tcPr>
            <w:tcW w:w="6145" w:type="dxa"/>
            <w:gridSpan w:val="5"/>
            <w:tcBorders>
              <w:tl2br w:val="nil"/>
              <w:tr2bl w:val="nil"/>
            </w:tcBorders>
          </w:tcPr>
          <w:p>
            <w:pPr>
              <w:spacing w:before="168" w:line="148" w:lineRule="exact"/>
              <w:ind w:left="144"/>
              <w:jc w:val="left"/>
              <w:textAlignment w:val="baseline"/>
              <w:rPr>
                <w:rFonts w:ascii="黑体" w:hAnsi="黑体" w:eastAsia="黑体" w:cs="黑体"/>
                <w:sz w:val="18"/>
                <w:szCs w:val="18"/>
                <w:lang w:val="zh-CN"/>
              </w:rPr>
            </w:pPr>
            <w:r>
              <w:rPr>
                <w:rFonts w:hint="eastAsia" w:ascii="黑体" w:hAnsi="黑体" w:eastAsia="黑体" w:cs="黑体"/>
                <w:sz w:val="18"/>
                <w:szCs w:val="18"/>
                <w:lang w:val="zh-CN"/>
              </w:rPr>
              <w:t>≥1个</w:t>
            </w:r>
          </w:p>
          <w:p>
            <w:pPr>
              <w:spacing w:line="164" w:lineRule="exact"/>
              <w:ind w:left="288"/>
              <w:jc w:val="left"/>
              <w:textAlignment w:val="baseline"/>
              <w:rPr>
                <w:rFonts w:ascii="黑体" w:hAnsi="黑体" w:eastAsia="黑体" w:cs="黑体"/>
                <w:sz w:val="18"/>
                <w:szCs w:val="18"/>
                <w:lang w:val="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Before w:val="1"/>
          <w:gridAfter w:val="2"/>
          <w:wBefore w:w="11" w:type="dxa"/>
          <w:wAfter w:w="90" w:type="dxa"/>
          <w:trHeight w:val="716" w:hRule="exact"/>
        </w:trPr>
        <w:tc>
          <w:tcPr>
            <w:tcW w:w="461" w:type="dxa"/>
            <w:gridSpan w:val="2"/>
            <w:tcBorders>
              <w:tl2br w:val="nil"/>
              <w:tr2bl w:val="nil"/>
            </w:tcBorders>
            <w:vAlign w:val="center"/>
          </w:tcPr>
          <w:p>
            <w:pPr>
              <w:spacing w:before="288" w:after="237" w:line="199" w:lineRule="exact"/>
              <w:jc w:val="center"/>
              <w:textAlignment w:val="baseline"/>
              <w:rPr>
                <w:rFonts w:ascii="黑体" w:hAnsi="黑体" w:eastAsia="黑体" w:cs="黑体"/>
                <w:sz w:val="18"/>
                <w:szCs w:val="18"/>
              </w:rPr>
            </w:pPr>
            <w:r>
              <w:rPr>
                <w:rFonts w:hint="eastAsia" w:ascii="黑体" w:hAnsi="黑体" w:eastAsia="黑体" w:cs="黑体"/>
                <w:sz w:val="18"/>
                <w:szCs w:val="18"/>
              </w:rPr>
              <w:t>13</w:t>
            </w:r>
          </w:p>
        </w:tc>
        <w:tc>
          <w:tcPr>
            <w:tcW w:w="778" w:type="dxa"/>
            <w:tcBorders>
              <w:tl2br w:val="nil"/>
              <w:tr2bl w:val="nil"/>
            </w:tcBorders>
          </w:tcPr>
          <w:p>
            <w:pPr>
              <w:spacing w:line="238" w:lineRule="exact"/>
              <w:ind w:left="108" w:right="180"/>
              <w:jc w:val="left"/>
              <w:textAlignment w:val="baseline"/>
              <w:rPr>
                <w:rFonts w:hint="eastAsia" w:ascii="黑体" w:hAnsi="黑体" w:eastAsia="黑体" w:cs="黑体"/>
                <w:color w:val="auto"/>
                <w:spacing w:val="-3"/>
                <w:sz w:val="18"/>
                <w:szCs w:val="18"/>
                <w:lang w:val="zh-CN"/>
              </w:rPr>
            </w:pPr>
            <w:r>
              <w:rPr>
                <w:rFonts w:hint="eastAsia" w:ascii="黑体" w:hAnsi="黑体" w:eastAsia="黑体" w:cs="黑体"/>
                <w:color w:val="auto"/>
                <w:spacing w:val="-3"/>
                <w:sz w:val="18"/>
                <w:szCs w:val="18"/>
                <w:lang w:val="zh-CN"/>
              </w:rPr>
              <w:t>产品规格</w:t>
            </w:r>
          </w:p>
        </w:tc>
        <w:tc>
          <w:tcPr>
            <w:tcW w:w="747" w:type="dxa"/>
            <w:gridSpan w:val="2"/>
            <w:vMerge w:val="continue"/>
            <w:tcBorders>
              <w:tl2br w:val="nil"/>
              <w:tr2bl w:val="nil"/>
            </w:tcBorders>
            <w:vAlign w:val="center"/>
          </w:tcPr>
          <w:p>
            <w:pPr>
              <w:rPr>
                <w:rFonts w:ascii="黑体" w:hAnsi="黑体" w:eastAsia="黑体" w:cs="黑体"/>
                <w:color w:val="auto"/>
                <w:sz w:val="18"/>
                <w:szCs w:val="18"/>
              </w:rPr>
            </w:pPr>
          </w:p>
        </w:tc>
        <w:tc>
          <w:tcPr>
            <w:tcW w:w="1100" w:type="dxa"/>
            <w:tcBorders>
              <w:tl2br w:val="nil"/>
              <w:tr2bl w:val="nil"/>
            </w:tcBorders>
            <w:vAlign w:val="center"/>
          </w:tcPr>
          <w:p>
            <w:pPr>
              <w:spacing w:before="127" w:after="117" w:line="240" w:lineRule="exact"/>
              <w:ind w:left="108" w:right="180"/>
              <w:jc w:val="center"/>
              <w:textAlignment w:val="baseline"/>
              <w:rPr>
                <w:rFonts w:ascii="黑体" w:hAnsi="黑体" w:eastAsia="黑体" w:cs="黑体"/>
                <w:color w:val="auto"/>
                <w:spacing w:val="-4"/>
                <w:sz w:val="18"/>
                <w:szCs w:val="18"/>
                <w:lang w:val="zh-CN"/>
              </w:rPr>
            </w:pPr>
            <w:r>
              <w:rPr>
                <w:rFonts w:hint="eastAsia"/>
                <w:color w:val="auto"/>
              </w:rPr>
              <w:t>★</w:t>
            </w:r>
            <w:r>
              <w:rPr>
                <w:rFonts w:hint="eastAsia" w:ascii="黑体" w:hAnsi="黑体" w:eastAsia="黑体" w:cs="黑体"/>
                <w:color w:val="auto"/>
                <w:spacing w:val="-4"/>
                <w:sz w:val="18"/>
                <w:szCs w:val="18"/>
                <w:lang w:val="zh-CN"/>
              </w:rPr>
              <w:t>机械硬盘总容量</w:t>
            </w:r>
          </w:p>
        </w:tc>
        <w:tc>
          <w:tcPr>
            <w:tcW w:w="6145" w:type="dxa"/>
            <w:gridSpan w:val="5"/>
            <w:tcBorders>
              <w:tl2br w:val="nil"/>
              <w:tr2bl w:val="nil"/>
            </w:tcBorders>
            <w:vAlign w:val="center"/>
          </w:tcPr>
          <w:p>
            <w:pPr>
              <w:spacing w:before="288" w:after="237" w:line="199" w:lineRule="exact"/>
              <w:ind w:left="110"/>
              <w:jc w:val="left"/>
              <w:textAlignment w:val="baseline"/>
              <w:rPr>
                <w:rFonts w:ascii="黑体" w:hAnsi="黑体" w:eastAsia="黑体" w:cs="黑体"/>
                <w:sz w:val="18"/>
                <w:szCs w:val="18"/>
                <w:lang w:val="zh-CN"/>
              </w:rPr>
            </w:pPr>
            <w:r>
              <w:rPr>
                <w:rFonts w:hint="eastAsia" w:ascii="黑体" w:hAnsi="黑体" w:eastAsia="黑体" w:cs="黑体"/>
                <w:sz w:val="18"/>
                <w:szCs w:val="18"/>
                <w:lang w:val="zh-CN"/>
              </w:rPr>
              <w:t>≥1TB</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Before w:val="1"/>
          <w:gridAfter w:val="2"/>
          <w:wBefore w:w="11" w:type="dxa"/>
          <w:wAfter w:w="90" w:type="dxa"/>
          <w:trHeight w:val="655" w:hRule="exact"/>
        </w:trPr>
        <w:tc>
          <w:tcPr>
            <w:tcW w:w="461" w:type="dxa"/>
            <w:gridSpan w:val="2"/>
            <w:tcBorders>
              <w:tl2br w:val="nil"/>
              <w:tr2bl w:val="nil"/>
            </w:tcBorders>
            <w:vAlign w:val="center"/>
          </w:tcPr>
          <w:p>
            <w:pPr>
              <w:spacing w:before="168" w:after="117" w:line="199" w:lineRule="exact"/>
              <w:jc w:val="center"/>
              <w:textAlignment w:val="baseline"/>
              <w:rPr>
                <w:rFonts w:hint="eastAsia" w:ascii="黑体" w:hAnsi="黑体" w:eastAsia="黑体" w:cs="黑体"/>
                <w:sz w:val="18"/>
                <w:szCs w:val="18"/>
              </w:rPr>
            </w:pPr>
            <w:r>
              <w:rPr>
                <w:rFonts w:hint="eastAsia" w:ascii="黑体" w:hAnsi="黑体" w:eastAsia="黑体" w:cs="黑体"/>
                <w:sz w:val="18"/>
                <w:szCs w:val="18"/>
              </w:rPr>
              <w:t>14</w:t>
            </w:r>
          </w:p>
        </w:tc>
        <w:tc>
          <w:tcPr>
            <w:tcW w:w="778" w:type="dxa"/>
            <w:tcBorders>
              <w:tl2br w:val="nil"/>
              <w:tr2bl w:val="nil"/>
            </w:tcBorders>
          </w:tcPr>
          <w:p>
            <w:pPr>
              <w:spacing w:line="238" w:lineRule="exact"/>
              <w:ind w:left="108" w:right="180"/>
              <w:jc w:val="left"/>
              <w:textAlignment w:val="baseline"/>
              <w:rPr>
                <w:rFonts w:hint="eastAsia" w:ascii="黑体" w:hAnsi="黑体" w:eastAsia="黑体" w:cs="黑体"/>
                <w:color w:val="auto"/>
                <w:spacing w:val="-3"/>
                <w:sz w:val="18"/>
                <w:szCs w:val="18"/>
                <w:lang w:val="zh-CN"/>
              </w:rPr>
            </w:pPr>
            <w:r>
              <w:rPr>
                <w:rFonts w:hint="eastAsia" w:ascii="黑体" w:hAnsi="黑体" w:eastAsia="黑体" w:cs="黑体"/>
                <w:color w:val="auto"/>
                <w:spacing w:val="-3"/>
                <w:sz w:val="18"/>
                <w:szCs w:val="18"/>
                <w:lang w:val="zh-CN"/>
              </w:rPr>
              <w:t>产品规格</w:t>
            </w:r>
          </w:p>
        </w:tc>
        <w:tc>
          <w:tcPr>
            <w:tcW w:w="747" w:type="dxa"/>
            <w:gridSpan w:val="2"/>
            <w:vMerge w:val="continue"/>
            <w:tcBorders>
              <w:tl2br w:val="nil"/>
              <w:tr2bl w:val="nil"/>
            </w:tcBorders>
            <w:vAlign w:val="center"/>
          </w:tcPr>
          <w:p>
            <w:pPr>
              <w:rPr>
                <w:rFonts w:ascii="黑体" w:hAnsi="黑体" w:eastAsia="黑体" w:cs="黑体"/>
                <w:color w:val="auto"/>
                <w:sz w:val="18"/>
                <w:szCs w:val="18"/>
              </w:rPr>
            </w:pPr>
          </w:p>
        </w:tc>
        <w:tc>
          <w:tcPr>
            <w:tcW w:w="1100" w:type="dxa"/>
            <w:tcBorders>
              <w:tl2br w:val="nil"/>
              <w:tr2bl w:val="nil"/>
            </w:tcBorders>
            <w:vAlign w:val="center"/>
          </w:tcPr>
          <w:p>
            <w:pPr>
              <w:spacing w:before="126" w:after="108" w:line="240" w:lineRule="exact"/>
              <w:ind w:left="108" w:right="252"/>
              <w:jc w:val="center"/>
              <w:textAlignment w:val="baseline"/>
              <w:rPr>
                <w:rFonts w:ascii="黑体" w:hAnsi="黑体" w:eastAsia="黑体" w:cs="黑体"/>
                <w:color w:val="auto"/>
                <w:spacing w:val="-4"/>
                <w:sz w:val="18"/>
                <w:szCs w:val="18"/>
                <w:lang w:val="zh-CN"/>
              </w:rPr>
            </w:pPr>
            <w:r>
              <w:rPr>
                <w:rFonts w:hint="eastAsia"/>
                <w:color w:val="auto"/>
              </w:rPr>
              <w:t>★</w:t>
            </w:r>
            <w:r>
              <w:rPr>
                <w:rFonts w:hint="eastAsia" w:ascii="黑体" w:hAnsi="黑体" w:eastAsia="黑体" w:cs="黑体"/>
                <w:color w:val="auto"/>
                <w:spacing w:val="-4"/>
                <w:sz w:val="18"/>
                <w:szCs w:val="18"/>
                <w:lang w:val="zh-CN"/>
              </w:rPr>
              <w:t>机械硬盘转速</w:t>
            </w:r>
          </w:p>
        </w:tc>
        <w:tc>
          <w:tcPr>
            <w:tcW w:w="6145" w:type="dxa"/>
            <w:gridSpan w:val="5"/>
            <w:tcBorders>
              <w:tl2br w:val="nil"/>
              <w:tr2bl w:val="nil"/>
            </w:tcBorders>
            <w:vAlign w:val="center"/>
          </w:tcPr>
          <w:p>
            <w:pPr>
              <w:spacing w:before="287" w:after="228" w:line="199" w:lineRule="exact"/>
              <w:ind w:left="110"/>
              <w:jc w:val="left"/>
              <w:textAlignment w:val="baseline"/>
              <w:rPr>
                <w:rFonts w:ascii="黑体" w:hAnsi="黑体" w:eastAsia="黑体" w:cs="黑体"/>
                <w:sz w:val="18"/>
                <w:szCs w:val="18"/>
                <w:lang w:val="zh-CN"/>
              </w:rPr>
            </w:pPr>
            <w:r>
              <w:rPr>
                <w:rFonts w:hint="eastAsia" w:ascii="黑体" w:hAnsi="黑体" w:eastAsia="黑体" w:cs="黑体"/>
                <w:sz w:val="18"/>
                <w:szCs w:val="18"/>
                <w:lang w:val="zh-CN"/>
              </w:rPr>
              <w:t>≥</w:t>
            </w:r>
            <w:r>
              <w:rPr>
                <w:rFonts w:ascii="黑体" w:hAnsi="黑体" w:eastAsia="黑体" w:cs="黑体"/>
                <w:sz w:val="18"/>
                <w:szCs w:val="18"/>
              </w:rPr>
              <w:t>54</w:t>
            </w:r>
            <w:r>
              <w:rPr>
                <w:rFonts w:hint="eastAsia" w:ascii="黑体" w:hAnsi="黑体" w:eastAsia="黑体" w:cs="黑体"/>
                <w:sz w:val="18"/>
                <w:szCs w:val="18"/>
                <w:lang w:val="zh-CN"/>
              </w:rPr>
              <w:t>00</w:t>
            </w:r>
            <w:r>
              <w:rPr>
                <w:rFonts w:hint="eastAsia" w:ascii="黑体" w:hAnsi="黑体" w:eastAsia="黑体" w:cs="黑体"/>
                <w:sz w:val="18"/>
                <w:szCs w:val="18"/>
              </w:rPr>
              <w:t>rpm</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Before w:val="1"/>
          <w:gridAfter w:val="2"/>
          <w:wBefore w:w="11" w:type="dxa"/>
          <w:wAfter w:w="90" w:type="dxa"/>
          <w:trHeight w:val="489" w:hRule="exact"/>
        </w:trPr>
        <w:tc>
          <w:tcPr>
            <w:tcW w:w="461" w:type="dxa"/>
            <w:gridSpan w:val="2"/>
            <w:tcBorders>
              <w:tl2br w:val="nil"/>
              <w:tr2bl w:val="nil"/>
            </w:tcBorders>
            <w:vAlign w:val="center"/>
          </w:tcPr>
          <w:p>
            <w:pPr>
              <w:spacing w:before="168" w:after="117" w:line="199" w:lineRule="exact"/>
              <w:jc w:val="center"/>
              <w:textAlignment w:val="baseline"/>
              <w:rPr>
                <w:rFonts w:hint="eastAsia" w:ascii="黑体" w:hAnsi="黑体" w:eastAsia="黑体" w:cs="黑体"/>
                <w:sz w:val="18"/>
                <w:szCs w:val="18"/>
              </w:rPr>
            </w:pPr>
            <w:r>
              <w:rPr>
                <w:rFonts w:hint="eastAsia" w:ascii="黑体" w:hAnsi="黑体" w:eastAsia="黑体" w:cs="黑体"/>
                <w:sz w:val="18"/>
                <w:szCs w:val="18"/>
              </w:rPr>
              <w:t>15</w:t>
            </w:r>
          </w:p>
        </w:tc>
        <w:tc>
          <w:tcPr>
            <w:tcW w:w="778" w:type="dxa"/>
            <w:tcBorders>
              <w:tl2br w:val="nil"/>
              <w:tr2bl w:val="nil"/>
            </w:tcBorders>
          </w:tcPr>
          <w:p>
            <w:pPr>
              <w:spacing w:line="238" w:lineRule="exact"/>
              <w:ind w:left="108" w:right="180"/>
              <w:jc w:val="left"/>
              <w:textAlignment w:val="baseline"/>
              <w:rPr>
                <w:rFonts w:hint="eastAsia" w:ascii="黑体" w:hAnsi="黑体" w:eastAsia="黑体" w:cs="黑体"/>
                <w:color w:val="auto"/>
                <w:spacing w:val="-3"/>
                <w:sz w:val="18"/>
                <w:szCs w:val="18"/>
                <w:lang w:val="zh-CN"/>
              </w:rPr>
            </w:pPr>
            <w:r>
              <w:rPr>
                <w:rFonts w:hint="eastAsia" w:ascii="黑体" w:hAnsi="黑体" w:eastAsia="黑体" w:cs="黑体"/>
                <w:color w:val="auto"/>
                <w:spacing w:val="-3"/>
                <w:sz w:val="18"/>
                <w:szCs w:val="18"/>
                <w:lang w:val="zh-CN"/>
              </w:rPr>
              <w:t>产品规格</w:t>
            </w:r>
          </w:p>
        </w:tc>
        <w:tc>
          <w:tcPr>
            <w:tcW w:w="747" w:type="dxa"/>
            <w:gridSpan w:val="2"/>
            <w:vMerge w:val="continue"/>
            <w:tcBorders>
              <w:tl2br w:val="nil"/>
              <w:tr2bl w:val="nil"/>
            </w:tcBorders>
            <w:vAlign w:val="center"/>
          </w:tcPr>
          <w:p>
            <w:pPr>
              <w:rPr>
                <w:rFonts w:ascii="黑体" w:hAnsi="黑体" w:eastAsia="黑体" w:cs="黑体"/>
                <w:color w:val="auto"/>
                <w:sz w:val="18"/>
                <w:szCs w:val="18"/>
              </w:rPr>
            </w:pPr>
          </w:p>
        </w:tc>
        <w:tc>
          <w:tcPr>
            <w:tcW w:w="1100" w:type="dxa"/>
            <w:tcBorders>
              <w:tl2br w:val="nil"/>
              <w:tr2bl w:val="nil"/>
            </w:tcBorders>
            <w:vAlign w:val="center"/>
          </w:tcPr>
          <w:p>
            <w:pPr>
              <w:spacing w:line="238" w:lineRule="exact"/>
              <w:ind w:left="108" w:right="252"/>
              <w:jc w:val="center"/>
              <w:textAlignment w:val="baseline"/>
              <w:rPr>
                <w:rFonts w:ascii="黑体" w:hAnsi="黑体" w:eastAsia="黑体" w:cs="黑体"/>
                <w:color w:val="auto"/>
                <w:spacing w:val="-4"/>
                <w:sz w:val="18"/>
                <w:szCs w:val="18"/>
                <w:lang w:val="zh-CN"/>
              </w:rPr>
            </w:pPr>
            <w:r>
              <w:rPr>
                <w:rFonts w:hint="eastAsia"/>
                <w:color w:val="auto"/>
              </w:rPr>
              <w:t>★</w:t>
            </w:r>
            <w:r>
              <w:rPr>
                <w:rFonts w:hint="eastAsia" w:ascii="黑体" w:hAnsi="黑体" w:eastAsia="黑体" w:cs="黑体"/>
                <w:color w:val="auto"/>
                <w:spacing w:val="-4"/>
                <w:sz w:val="18"/>
                <w:szCs w:val="18"/>
                <w:lang w:val="zh-CN"/>
              </w:rPr>
              <w:t>机械硬盘形态</w:t>
            </w:r>
          </w:p>
        </w:tc>
        <w:tc>
          <w:tcPr>
            <w:tcW w:w="6145" w:type="dxa"/>
            <w:gridSpan w:val="5"/>
            <w:tcBorders>
              <w:tl2br w:val="nil"/>
              <w:tr2bl w:val="nil"/>
            </w:tcBorders>
            <w:vAlign w:val="center"/>
          </w:tcPr>
          <w:p>
            <w:pPr>
              <w:spacing w:before="163" w:after="117" w:line="204" w:lineRule="exact"/>
              <w:ind w:left="110"/>
              <w:jc w:val="left"/>
              <w:textAlignment w:val="baseline"/>
              <w:rPr>
                <w:rFonts w:ascii="黑体" w:hAnsi="黑体" w:eastAsia="黑体" w:cs="黑体"/>
                <w:sz w:val="18"/>
                <w:szCs w:val="18"/>
                <w:lang w:val="zh-CN"/>
              </w:rPr>
            </w:pPr>
            <w:r>
              <w:rPr>
                <w:rFonts w:hint="eastAsia" w:ascii="黑体" w:hAnsi="黑体" w:eastAsia="黑体" w:cs="黑体"/>
                <w:sz w:val="18"/>
                <w:szCs w:val="18"/>
                <w:lang w:val="zh-CN"/>
              </w:rPr>
              <w:t xml:space="preserve"> 3.5 </w:t>
            </w:r>
            <w:r>
              <w:rPr>
                <w:rFonts w:hint="eastAsia" w:ascii="黑体" w:hAnsi="黑体" w:eastAsia="黑体" w:cs="黑体"/>
                <w:spacing w:val="-3"/>
                <w:sz w:val="18"/>
                <w:szCs w:val="18"/>
                <w:lang w:val="zh-CN"/>
              </w:rPr>
              <w:t>或 2.5 寸英寸</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Before w:val="1"/>
          <w:gridAfter w:val="2"/>
          <w:wBefore w:w="11" w:type="dxa"/>
          <w:wAfter w:w="90" w:type="dxa"/>
          <w:trHeight w:val="628" w:hRule="exact"/>
        </w:trPr>
        <w:tc>
          <w:tcPr>
            <w:tcW w:w="461" w:type="dxa"/>
            <w:gridSpan w:val="2"/>
            <w:tcBorders>
              <w:tl2br w:val="nil"/>
              <w:tr2bl w:val="nil"/>
            </w:tcBorders>
            <w:vAlign w:val="center"/>
          </w:tcPr>
          <w:p>
            <w:pPr>
              <w:spacing w:before="168" w:after="117" w:line="199" w:lineRule="exact"/>
              <w:jc w:val="center"/>
              <w:textAlignment w:val="baseline"/>
              <w:rPr>
                <w:rFonts w:hint="eastAsia" w:ascii="黑体" w:hAnsi="黑体" w:eastAsia="黑体" w:cs="黑体"/>
                <w:sz w:val="18"/>
                <w:szCs w:val="18"/>
              </w:rPr>
            </w:pPr>
            <w:r>
              <w:rPr>
                <w:rFonts w:hint="eastAsia" w:ascii="黑体" w:hAnsi="黑体" w:eastAsia="黑体" w:cs="黑体"/>
                <w:sz w:val="18"/>
                <w:szCs w:val="18"/>
              </w:rPr>
              <w:t>16</w:t>
            </w:r>
          </w:p>
        </w:tc>
        <w:tc>
          <w:tcPr>
            <w:tcW w:w="778" w:type="dxa"/>
            <w:tcBorders>
              <w:tl2br w:val="nil"/>
              <w:tr2bl w:val="nil"/>
            </w:tcBorders>
          </w:tcPr>
          <w:p>
            <w:pPr>
              <w:spacing w:line="238" w:lineRule="exact"/>
              <w:ind w:left="108" w:right="180"/>
              <w:jc w:val="left"/>
              <w:textAlignment w:val="baseline"/>
              <w:rPr>
                <w:rFonts w:hint="eastAsia" w:ascii="黑体" w:hAnsi="黑体" w:eastAsia="黑体" w:cs="黑体"/>
                <w:spacing w:val="-3"/>
                <w:sz w:val="18"/>
                <w:szCs w:val="18"/>
                <w:lang w:val="zh-CN"/>
              </w:rPr>
            </w:pPr>
            <w:r>
              <w:rPr>
                <w:rFonts w:hint="eastAsia" w:ascii="黑体" w:hAnsi="黑体" w:eastAsia="黑体" w:cs="黑体"/>
                <w:spacing w:val="-3"/>
                <w:sz w:val="18"/>
                <w:szCs w:val="18"/>
                <w:lang w:val="zh-CN"/>
              </w:rPr>
              <w:t>产品规格</w:t>
            </w:r>
          </w:p>
        </w:tc>
        <w:tc>
          <w:tcPr>
            <w:tcW w:w="747" w:type="dxa"/>
            <w:gridSpan w:val="2"/>
            <w:vMerge w:val="continue"/>
            <w:tcBorders>
              <w:tl2br w:val="nil"/>
              <w:tr2bl w:val="nil"/>
            </w:tcBorders>
            <w:vAlign w:val="center"/>
          </w:tcPr>
          <w:p>
            <w:pPr>
              <w:rPr>
                <w:rFonts w:ascii="黑体" w:hAnsi="黑体" w:eastAsia="黑体" w:cs="黑体"/>
                <w:sz w:val="18"/>
                <w:szCs w:val="18"/>
              </w:rPr>
            </w:pPr>
          </w:p>
        </w:tc>
        <w:tc>
          <w:tcPr>
            <w:tcW w:w="1100" w:type="dxa"/>
            <w:tcBorders>
              <w:tl2br w:val="nil"/>
              <w:tr2bl w:val="nil"/>
            </w:tcBorders>
            <w:vAlign w:val="center"/>
          </w:tcPr>
          <w:p>
            <w:pPr>
              <w:spacing w:before="127" w:after="117" w:line="240" w:lineRule="exact"/>
              <w:ind w:left="108" w:right="252"/>
              <w:jc w:val="center"/>
              <w:textAlignment w:val="baseline"/>
              <w:rPr>
                <w:rFonts w:hint="eastAsia" w:ascii="黑体" w:hAnsi="黑体" w:eastAsia="黑体" w:cs="黑体"/>
                <w:spacing w:val="-4"/>
                <w:sz w:val="18"/>
                <w:szCs w:val="18"/>
                <w:lang w:val="zh-CN"/>
              </w:rPr>
            </w:pPr>
            <w:r>
              <w:rPr>
                <w:rFonts w:hint="eastAsia" w:ascii="黑体" w:hAnsi="黑体" w:eastAsia="黑体" w:cs="黑体"/>
                <w:spacing w:val="-4"/>
                <w:sz w:val="18"/>
                <w:szCs w:val="18"/>
                <w:lang w:val="zh-CN"/>
              </w:rPr>
              <w:t>★固态存储形态</w:t>
            </w:r>
          </w:p>
        </w:tc>
        <w:tc>
          <w:tcPr>
            <w:tcW w:w="6145" w:type="dxa"/>
            <w:gridSpan w:val="5"/>
            <w:tcBorders>
              <w:tl2br w:val="nil"/>
              <w:tr2bl w:val="nil"/>
            </w:tcBorders>
            <w:vAlign w:val="center"/>
          </w:tcPr>
          <w:p>
            <w:pPr>
              <w:spacing w:line="239" w:lineRule="exact"/>
              <w:ind w:left="108" w:right="180"/>
              <w:textAlignment w:val="baseline"/>
              <w:rPr>
                <w:rFonts w:ascii="黑体" w:hAnsi="黑体" w:eastAsia="黑体" w:cs="黑体"/>
                <w:spacing w:val="-3"/>
                <w:sz w:val="18"/>
                <w:szCs w:val="18"/>
                <w:lang w:val="zh-CN"/>
              </w:rPr>
            </w:pPr>
            <w:r>
              <w:rPr>
                <w:rFonts w:hint="eastAsia" w:ascii="黑体" w:hAnsi="黑体" w:eastAsia="黑体" w:cs="黑体"/>
                <w:spacing w:val="-3"/>
                <w:sz w:val="18"/>
                <w:szCs w:val="18"/>
                <w:lang w:val="zh-CN"/>
              </w:rPr>
              <w:t xml:space="preserve">采用插卡或板载等形态，可选用符合 </w:t>
            </w:r>
            <w:r>
              <w:rPr>
                <w:rFonts w:hint="eastAsia" w:ascii="黑体" w:hAnsi="黑体" w:eastAsia="黑体" w:cs="黑体"/>
                <w:spacing w:val="-3"/>
                <w:sz w:val="18"/>
                <w:szCs w:val="18"/>
              </w:rPr>
              <w:t xml:space="preserve">M.2 </w:t>
            </w:r>
            <w:r>
              <w:rPr>
                <w:rFonts w:hint="eastAsia" w:ascii="黑体" w:hAnsi="黑体" w:eastAsia="黑体" w:cs="黑体"/>
                <w:spacing w:val="-3"/>
                <w:sz w:val="18"/>
                <w:szCs w:val="18"/>
                <w:lang w:val="zh-CN"/>
              </w:rPr>
              <w:t xml:space="preserve">或 2.5 寸 </w:t>
            </w:r>
            <w:r>
              <w:rPr>
                <w:rFonts w:hint="eastAsia" w:ascii="黑体" w:hAnsi="黑体" w:eastAsia="黑体" w:cs="黑体"/>
                <w:spacing w:val="-3"/>
                <w:sz w:val="18"/>
                <w:szCs w:val="18"/>
              </w:rPr>
              <w:t xml:space="preserve">SATA </w:t>
            </w:r>
            <w:r>
              <w:rPr>
                <w:rFonts w:hint="eastAsia" w:ascii="黑体" w:hAnsi="黑体" w:eastAsia="黑体" w:cs="黑体"/>
                <w:spacing w:val="-3"/>
                <w:sz w:val="18"/>
                <w:szCs w:val="18"/>
                <w:lang w:val="zh-CN"/>
              </w:rPr>
              <w:t xml:space="preserve">或 </w:t>
            </w:r>
            <w:r>
              <w:rPr>
                <w:rFonts w:hint="eastAsia" w:ascii="黑体" w:hAnsi="黑体" w:eastAsia="黑体" w:cs="黑体"/>
                <w:spacing w:val="-3"/>
                <w:sz w:val="18"/>
                <w:szCs w:val="18"/>
              </w:rPr>
              <w:t xml:space="preserve">mSATA </w:t>
            </w:r>
            <w:r>
              <w:rPr>
                <w:rFonts w:hint="eastAsia" w:ascii="黑体" w:hAnsi="黑体" w:eastAsia="黑体" w:cs="黑体"/>
                <w:spacing w:val="-3"/>
                <w:sz w:val="18"/>
                <w:szCs w:val="18"/>
                <w:lang w:val="zh-CN"/>
              </w:rPr>
              <w:t>等标准的插卡形态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Before w:val="1"/>
          <w:gridAfter w:val="2"/>
          <w:wBefore w:w="11" w:type="dxa"/>
          <w:wAfter w:w="90" w:type="dxa"/>
          <w:trHeight w:val="921" w:hRule="exact"/>
        </w:trPr>
        <w:tc>
          <w:tcPr>
            <w:tcW w:w="461" w:type="dxa"/>
            <w:gridSpan w:val="2"/>
            <w:tcBorders>
              <w:tl2br w:val="nil"/>
              <w:tr2bl w:val="nil"/>
            </w:tcBorders>
            <w:vAlign w:val="center"/>
          </w:tcPr>
          <w:p>
            <w:pPr>
              <w:spacing w:before="168" w:after="117" w:line="199" w:lineRule="exact"/>
              <w:jc w:val="center"/>
              <w:textAlignment w:val="baseline"/>
              <w:rPr>
                <w:rFonts w:hint="eastAsia" w:ascii="黑体" w:hAnsi="黑体" w:eastAsia="黑体" w:cs="黑体"/>
                <w:sz w:val="18"/>
                <w:szCs w:val="18"/>
              </w:rPr>
            </w:pPr>
            <w:r>
              <w:rPr>
                <w:rFonts w:hint="eastAsia" w:ascii="黑体" w:hAnsi="黑体" w:eastAsia="黑体" w:cs="黑体"/>
                <w:sz w:val="18"/>
                <w:szCs w:val="18"/>
              </w:rPr>
              <w:t>17</w:t>
            </w:r>
          </w:p>
        </w:tc>
        <w:tc>
          <w:tcPr>
            <w:tcW w:w="778" w:type="dxa"/>
            <w:tcBorders>
              <w:tl2br w:val="nil"/>
              <w:tr2bl w:val="nil"/>
            </w:tcBorders>
            <w:vAlign w:val="center"/>
          </w:tcPr>
          <w:p>
            <w:pPr>
              <w:spacing w:line="238" w:lineRule="exact"/>
              <w:ind w:left="108" w:right="180"/>
              <w:jc w:val="left"/>
              <w:textAlignment w:val="baseline"/>
              <w:rPr>
                <w:rFonts w:hint="eastAsia" w:ascii="黑体" w:hAnsi="黑体" w:eastAsia="黑体" w:cs="黑体"/>
                <w:spacing w:val="-3"/>
                <w:sz w:val="18"/>
                <w:szCs w:val="18"/>
                <w:lang w:val="zh-CN"/>
              </w:rPr>
            </w:pPr>
            <w:r>
              <w:rPr>
                <w:rFonts w:hint="eastAsia" w:ascii="黑体" w:hAnsi="黑体" w:eastAsia="黑体" w:cs="黑体"/>
                <w:spacing w:val="-3"/>
                <w:sz w:val="18"/>
                <w:szCs w:val="18"/>
                <w:lang w:val="zh-CN"/>
              </w:rPr>
              <w:t>产品规格</w:t>
            </w:r>
          </w:p>
        </w:tc>
        <w:tc>
          <w:tcPr>
            <w:tcW w:w="747" w:type="dxa"/>
            <w:gridSpan w:val="2"/>
            <w:vMerge w:val="continue"/>
            <w:tcBorders>
              <w:tl2br w:val="nil"/>
              <w:tr2bl w:val="nil"/>
            </w:tcBorders>
            <w:vAlign w:val="center"/>
          </w:tcPr>
          <w:p>
            <w:pPr>
              <w:rPr>
                <w:rFonts w:ascii="黑体" w:hAnsi="黑体" w:eastAsia="黑体" w:cs="黑体"/>
                <w:sz w:val="18"/>
                <w:szCs w:val="18"/>
              </w:rPr>
            </w:pPr>
          </w:p>
        </w:tc>
        <w:tc>
          <w:tcPr>
            <w:tcW w:w="1100" w:type="dxa"/>
            <w:tcBorders>
              <w:tl2br w:val="nil"/>
              <w:tr2bl w:val="nil"/>
            </w:tcBorders>
            <w:vAlign w:val="center"/>
          </w:tcPr>
          <w:p>
            <w:pPr>
              <w:spacing w:before="127" w:after="117" w:line="240" w:lineRule="exact"/>
              <w:ind w:left="108" w:right="252"/>
              <w:jc w:val="center"/>
              <w:textAlignment w:val="baseline"/>
              <w:rPr>
                <w:rFonts w:hint="eastAsia" w:ascii="黑体" w:hAnsi="黑体" w:eastAsia="黑体" w:cs="黑体"/>
                <w:spacing w:val="-4"/>
                <w:sz w:val="18"/>
                <w:szCs w:val="18"/>
                <w:lang w:val="zh-CN"/>
              </w:rPr>
            </w:pPr>
            <w:r>
              <w:rPr>
                <w:rFonts w:hint="eastAsia" w:ascii="黑体" w:hAnsi="黑体" w:eastAsia="黑体" w:cs="黑体"/>
                <w:spacing w:val="-4"/>
                <w:sz w:val="18"/>
                <w:szCs w:val="18"/>
                <w:lang w:val="zh-CN"/>
              </w:rPr>
              <w:t>★存储设备其他参数要求</w:t>
            </w:r>
          </w:p>
        </w:tc>
        <w:tc>
          <w:tcPr>
            <w:tcW w:w="6145" w:type="dxa"/>
            <w:gridSpan w:val="5"/>
            <w:tcBorders>
              <w:tl2br w:val="nil"/>
              <w:tr2bl w:val="nil"/>
            </w:tcBorders>
          </w:tcPr>
          <w:p>
            <w:pPr>
              <w:spacing w:line="240" w:lineRule="exact"/>
              <w:ind w:left="144" w:right="288"/>
              <w:jc w:val="left"/>
              <w:textAlignment w:val="baseline"/>
              <w:rPr>
                <w:rFonts w:ascii="黑体" w:hAnsi="黑体" w:eastAsia="黑体" w:cs="黑体"/>
                <w:spacing w:val="-3"/>
                <w:sz w:val="18"/>
                <w:szCs w:val="18"/>
              </w:rPr>
            </w:pPr>
            <w:r>
              <w:rPr>
                <w:rFonts w:hint="eastAsia" w:ascii="黑体" w:hAnsi="黑体" w:eastAsia="黑体" w:cs="黑体"/>
                <w:spacing w:val="-3"/>
                <w:sz w:val="18"/>
                <w:szCs w:val="18"/>
              </w:rPr>
              <w:t>a)</w:t>
            </w:r>
            <w:r>
              <w:rPr>
                <w:rFonts w:hint="eastAsia" w:ascii="黑体" w:hAnsi="黑体" w:eastAsia="黑体" w:cs="黑体"/>
                <w:spacing w:val="-3"/>
                <w:sz w:val="18"/>
                <w:szCs w:val="18"/>
                <w:lang w:val="zh-CN"/>
              </w:rPr>
              <w:t xml:space="preserve">固态盘应符合 </w:t>
            </w:r>
            <w:r>
              <w:rPr>
                <w:rFonts w:hint="eastAsia" w:ascii="黑体" w:hAnsi="黑体" w:eastAsia="黑体" w:cs="黑体"/>
                <w:spacing w:val="-3"/>
                <w:sz w:val="18"/>
                <w:szCs w:val="18"/>
              </w:rPr>
              <w:t xml:space="preserve">SJ/T 11654 </w:t>
            </w:r>
            <w:r>
              <w:rPr>
                <w:rFonts w:hint="eastAsia" w:ascii="黑体" w:hAnsi="黑体" w:eastAsia="黑体" w:cs="黑体"/>
                <w:spacing w:val="-3"/>
                <w:sz w:val="18"/>
                <w:szCs w:val="18"/>
                <w:lang w:val="zh-CN"/>
              </w:rPr>
              <w:t>相关规定；</w:t>
            </w:r>
          </w:p>
          <w:p>
            <w:pPr>
              <w:spacing w:line="237" w:lineRule="exact"/>
              <w:ind w:left="144" w:right="108"/>
              <w:jc w:val="left"/>
              <w:textAlignment w:val="baseline"/>
              <w:rPr>
                <w:rFonts w:ascii="黑体" w:hAnsi="黑体" w:eastAsia="黑体" w:cs="黑体"/>
                <w:spacing w:val="-9"/>
                <w:sz w:val="18"/>
                <w:szCs w:val="18"/>
              </w:rPr>
            </w:pPr>
            <w:r>
              <w:rPr>
                <w:rFonts w:hint="eastAsia" w:ascii="黑体" w:hAnsi="黑体" w:eastAsia="黑体" w:cs="黑体"/>
                <w:spacing w:val="-9"/>
                <w:sz w:val="18"/>
                <w:szCs w:val="18"/>
              </w:rPr>
              <w:t>b)</w:t>
            </w:r>
            <w:r>
              <w:rPr>
                <w:rFonts w:hint="eastAsia" w:ascii="黑体" w:hAnsi="黑体" w:eastAsia="黑体" w:cs="黑体"/>
                <w:spacing w:val="-9"/>
                <w:sz w:val="18"/>
                <w:szCs w:val="18"/>
                <w:lang w:val="zh-CN"/>
              </w:rPr>
              <w:t>机械硬盘准备时间应不大于 30</w:t>
            </w:r>
            <w:r>
              <w:rPr>
                <w:rFonts w:hint="eastAsia" w:ascii="黑体" w:hAnsi="黑体" w:eastAsia="黑体" w:cs="黑体"/>
                <w:spacing w:val="-9"/>
                <w:sz w:val="18"/>
                <w:szCs w:val="18"/>
              </w:rPr>
              <w:t>s；</w:t>
            </w:r>
            <w:r>
              <w:rPr>
                <w:rFonts w:hint="eastAsia" w:ascii="黑体" w:hAnsi="黑体" w:eastAsia="黑体" w:cs="黑体"/>
                <w:spacing w:val="-9"/>
                <w:sz w:val="18"/>
                <w:szCs w:val="18"/>
                <w:lang w:val="zh-CN"/>
              </w:rPr>
              <w:t xml:space="preserve">侧面固定螺丝孔数量可为 4 孔或 6 孔； 工作状态环境温度应满足 5℃~55℃； 其它参数应符合 </w:t>
            </w:r>
            <w:r>
              <w:rPr>
                <w:rFonts w:hint="eastAsia" w:ascii="黑体" w:hAnsi="黑体" w:eastAsia="黑体" w:cs="黑体"/>
                <w:spacing w:val="-9"/>
                <w:sz w:val="18"/>
                <w:szCs w:val="18"/>
              </w:rPr>
              <w:t xml:space="preserve">GB/T 12628 </w:t>
            </w:r>
            <w:r>
              <w:rPr>
                <w:rFonts w:hint="eastAsia" w:ascii="黑体" w:hAnsi="黑体" w:eastAsia="黑体" w:cs="黑体"/>
                <w:spacing w:val="-9"/>
                <w:sz w:val="18"/>
                <w:szCs w:val="18"/>
                <w:lang w:val="zh-CN"/>
              </w:rPr>
              <w:t>相关规定</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Before w:val="1"/>
          <w:gridAfter w:val="2"/>
          <w:wBefore w:w="11" w:type="dxa"/>
          <w:wAfter w:w="90" w:type="dxa"/>
          <w:trHeight w:val="494" w:hRule="exact"/>
        </w:trPr>
        <w:tc>
          <w:tcPr>
            <w:tcW w:w="461" w:type="dxa"/>
            <w:gridSpan w:val="2"/>
            <w:tcBorders>
              <w:tl2br w:val="nil"/>
              <w:tr2bl w:val="nil"/>
            </w:tcBorders>
            <w:vAlign w:val="center"/>
          </w:tcPr>
          <w:p>
            <w:pPr>
              <w:spacing w:before="168" w:after="117" w:line="199" w:lineRule="exact"/>
              <w:jc w:val="center"/>
              <w:textAlignment w:val="baseline"/>
              <w:rPr>
                <w:rFonts w:hint="eastAsia" w:ascii="黑体" w:hAnsi="黑体" w:eastAsia="黑体" w:cs="黑体"/>
                <w:sz w:val="18"/>
                <w:szCs w:val="18"/>
              </w:rPr>
            </w:pPr>
            <w:r>
              <w:rPr>
                <w:rFonts w:hint="eastAsia" w:ascii="黑体" w:hAnsi="黑体" w:eastAsia="黑体" w:cs="黑体"/>
                <w:sz w:val="18"/>
                <w:szCs w:val="18"/>
              </w:rPr>
              <w:t>18</w:t>
            </w:r>
          </w:p>
        </w:tc>
        <w:tc>
          <w:tcPr>
            <w:tcW w:w="778" w:type="dxa"/>
            <w:tcBorders>
              <w:tl2br w:val="nil"/>
              <w:tr2bl w:val="nil"/>
            </w:tcBorders>
          </w:tcPr>
          <w:p>
            <w:pPr>
              <w:spacing w:line="238" w:lineRule="exact"/>
              <w:ind w:left="108" w:right="180"/>
              <w:jc w:val="left"/>
              <w:textAlignment w:val="baseline"/>
              <w:rPr>
                <w:rFonts w:hint="eastAsia" w:ascii="黑体" w:hAnsi="黑体" w:eastAsia="黑体" w:cs="黑体"/>
                <w:spacing w:val="-3"/>
                <w:sz w:val="18"/>
                <w:szCs w:val="18"/>
                <w:lang w:val="zh-CN"/>
              </w:rPr>
            </w:pPr>
            <w:r>
              <w:rPr>
                <w:rFonts w:hint="eastAsia" w:ascii="黑体" w:hAnsi="黑体" w:eastAsia="黑体" w:cs="黑体"/>
                <w:spacing w:val="-3"/>
                <w:sz w:val="18"/>
                <w:szCs w:val="18"/>
                <w:lang w:val="zh-CN"/>
              </w:rPr>
              <w:t>产品规格</w:t>
            </w:r>
          </w:p>
        </w:tc>
        <w:tc>
          <w:tcPr>
            <w:tcW w:w="747" w:type="dxa"/>
            <w:gridSpan w:val="2"/>
            <w:vMerge w:val="restart"/>
            <w:tcBorders>
              <w:tl2br w:val="nil"/>
              <w:tr2bl w:val="nil"/>
            </w:tcBorders>
            <w:vAlign w:val="center"/>
          </w:tcPr>
          <w:p>
            <w:pPr>
              <w:spacing w:before="1711" w:after="1701" w:line="240" w:lineRule="exact"/>
              <w:ind w:left="144"/>
              <w:jc w:val="left"/>
              <w:textAlignment w:val="baseline"/>
              <w:rPr>
                <w:rFonts w:ascii="黑体" w:hAnsi="黑体" w:eastAsia="黑体" w:cs="黑体"/>
                <w:sz w:val="18"/>
                <w:szCs w:val="18"/>
                <w:lang w:val="zh-CN"/>
              </w:rPr>
            </w:pPr>
            <w:r>
              <w:rPr>
                <w:rFonts w:hint="eastAsia"/>
              </w:rPr>
              <w:t>★</w:t>
            </w:r>
            <w:r>
              <w:rPr>
                <w:rFonts w:hint="eastAsia" w:ascii="黑体" w:hAnsi="黑体" w:eastAsia="黑体" w:cs="黑体"/>
                <w:sz w:val="18"/>
                <w:szCs w:val="18"/>
                <w:lang w:val="zh-CN"/>
              </w:rPr>
              <w:t>显卡规格</w:t>
            </w:r>
          </w:p>
        </w:tc>
        <w:tc>
          <w:tcPr>
            <w:tcW w:w="1100" w:type="dxa"/>
            <w:tcBorders>
              <w:tl2br w:val="nil"/>
              <w:tr2bl w:val="nil"/>
            </w:tcBorders>
            <w:vAlign w:val="center"/>
          </w:tcPr>
          <w:p>
            <w:pPr>
              <w:spacing w:line="234" w:lineRule="exact"/>
              <w:ind w:left="108" w:right="252"/>
              <w:jc w:val="center"/>
              <w:textAlignment w:val="baseline"/>
              <w:rPr>
                <w:rFonts w:ascii="黑体" w:hAnsi="黑体" w:eastAsia="黑体" w:cs="黑体"/>
                <w:spacing w:val="-3"/>
                <w:sz w:val="18"/>
                <w:szCs w:val="18"/>
                <w:lang w:val="zh-CN"/>
              </w:rPr>
            </w:pPr>
            <w:r>
              <w:rPr>
                <w:rFonts w:hint="eastAsia"/>
              </w:rPr>
              <w:t>★</w:t>
            </w:r>
            <w:r>
              <w:rPr>
                <w:rFonts w:hint="eastAsia" w:ascii="黑体" w:hAnsi="黑体" w:eastAsia="黑体" w:cs="黑体"/>
                <w:spacing w:val="-3"/>
                <w:sz w:val="18"/>
                <w:szCs w:val="18"/>
                <w:lang w:val="zh-CN"/>
              </w:rPr>
              <w:t>显卡类型</w:t>
            </w:r>
          </w:p>
        </w:tc>
        <w:tc>
          <w:tcPr>
            <w:tcW w:w="6145" w:type="dxa"/>
            <w:gridSpan w:val="5"/>
            <w:tcBorders>
              <w:tl2br w:val="nil"/>
              <w:tr2bl w:val="nil"/>
            </w:tcBorders>
            <w:vAlign w:val="center"/>
          </w:tcPr>
          <w:p>
            <w:pPr>
              <w:spacing w:before="172" w:after="108" w:line="199" w:lineRule="exact"/>
              <w:ind w:left="110"/>
              <w:jc w:val="left"/>
              <w:textAlignment w:val="baseline"/>
              <w:rPr>
                <w:rFonts w:ascii="黑体" w:hAnsi="黑体" w:eastAsia="黑体" w:cs="黑体"/>
                <w:sz w:val="18"/>
                <w:szCs w:val="18"/>
                <w:lang w:val="zh-CN"/>
              </w:rPr>
            </w:pPr>
            <w:r>
              <w:rPr>
                <w:rFonts w:hint="eastAsia" w:ascii="黑体" w:hAnsi="黑体" w:eastAsia="黑体" w:cs="黑体"/>
                <w:sz w:val="18"/>
                <w:szCs w:val="18"/>
                <w:lang w:val="zh-CN"/>
              </w:rPr>
              <w:t>独立显卡或集成显卡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Before w:val="1"/>
          <w:gridAfter w:val="2"/>
          <w:wBefore w:w="11" w:type="dxa"/>
          <w:wAfter w:w="90" w:type="dxa"/>
          <w:trHeight w:val="855" w:hRule="exact"/>
        </w:trPr>
        <w:tc>
          <w:tcPr>
            <w:tcW w:w="461" w:type="dxa"/>
            <w:gridSpan w:val="2"/>
            <w:tcBorders>
              <w:tl2br w:val="nil"/>
              <w:tr2bl w:val="nil"/>
            </w:tcBorders>
            <w:vAlign w:val="center"/>
          </w:tcPr>
          <w:p>
            <w:pPr>
              <w:spacing w:before="168" w:after="117" w:line="199" w:lineRule="exact"/>
              <w:jc w:val="center"/>
              <w:textAlignment w:val="baseline"/>
              <w:rPr>
                <w:rFonts w:hint="eastAsia" w:ascii="黑体" w:hAnsi="黑体" w:eastAsia="黑体" w:cs="黑体"/>
                <w:sz w:val="18"/>
                <w:szCs w:val="18"/>
              </w:rPr>
            </w:pPr>
            <w:r>
              <w:rPr>
                <w:rFonts w:hint="eastAsia" w:ascii="黑体" w:hAnsi="黑体" w:eastAsia="黑体" w:cs="黑体"/>
                <w:sz w:val="18"/>
                <w:szCs w:val="18"/>
              </w:rPr>
              <w:t>19</w:t>
            </w:r>
          </w:p>
        </w:tc>
        <w:tc>
          <w:tcPr>
            <w:tcW w:w="778" w:type="dxa"/>
            <w:tcBorders>
              <w:tl2br w:val="nil"/>
              <w:tr2bl w:val="nil"/>
            </w:tcBorders>
            <w:vAlign w:val="center"/>
          </w:tcPr>
          <w:p>
            <w:pPr>
              <w:spacing w:line="238" w:lineRule="exact"/>
              <w:ind w:left="108" w:right="180"/>
              <w:jc w:val="left"/>
              <w:textAlignment w:val="baseline"/>
              <w:rPr>
                <w:rFonts w:hint="eastAsia" w:ascii="黑体" w:hAnsi="黑体" w:eastAsia="黑体" w:cs="黑体"/>
                <w:spacing w:val="-3"/>
                <w:sz w:val="18"/>
                <w:szCs w:val="18"/>
                <w:lang w:val="zh-CN"/>
              </w:rPr>
            </w:pPr>
            <w:r>
              <w:rPr>
                <w:rFonts w:hint="eastAsia" w:ascii="黑体" w:hAnsi="黑体" w:eastAsia="黑体" w:cs="黑体"/>
                <w:spacing w:val="-3"/>
                <w:sz w:val="18"/>
                <w:szCs w:val="18"/>
                <w:lang w:val="zh-CN"/>
              </w:rPr>
              <w:t>产品规格</w:t>
            </w:r>
          </w:p>
        </w:tc>
        <w:tc>
          <w:tcPr>
            <w:tcW w:w="747" w:type="dxa"/>
            <w:gridSpan w:val="2"/>
            <w:vMerge w:val="continue"/>
            <w:tcBorders>
              <w:tl2br w:val="nil"/>
              <w:tr2bl w:val="nil"/>
            </w:tcBorders>
            <w:vAlign w:val="center"/>
          </w:tcPr>
          <w:p>
            <w:pPr>
              <w:rPr>
                <w:rFonts w:ascii="黑体" w:hAnsi="黑体" w:eastAsia="黑体" w:cs="黑体"/>
                <w:sz w:val="18"/>
                <w:szCs w:val="18"/>
              </w:rPr>
            </w:pPr>
          </w:p>
        </w:tc>
        <w:tc>
          <w:tcPr>
            <w:tcW w:w="1100" w:type="dxa"/>
            <w:tcBorders>
              <w:tl2br w:val="nil"/>
              <w:tr2bl w:val="nil"/>
            </w:tcBorders>
            <w:vAlign w:val="center"/>
          </w:tcPr>
          <w:p>
            <w:pPr>
              <w:spacing w:before="127" w:after="118" w:line="240" w:lineRule="exact"/>
              <w:ind w:left="108" w:right="180"/>
              <w:jc w:val="center"/>
              <w:textAlignment w:val="baseline"/>
              <w:rPr>
                <w:rFonts w:ascii="黑体" w:hAnsi="黑体" w:eastAsia="黑体" w:cs="黑体"/>
                <w:spacing w:val="-7"/>
                <w:sz w:val="18"/>
                <w:szCs w:val="18"/>
                <w:lang w:val="zh-CN"/>
              </w:rPr>
            </w:pPr>
            <w:r>
              <w:rPr>
                <w:rFonts w:hint="eastAsia"/>
              </w:rPr>
              <w:t>★</w:t>
            </w:r>
            <w:r>
              <w:rPr>
                <w:rFonts w:hint="eastAsia" w:ascii="黑体" w:hAnsi="黑体" w:eastAsia="黑体" w:cs="黑体"/>
                <w:spacing w:val="-7"/>
                <w:sz w:val="18"/>
                <w:szCs w:val="18"/>
                <w:lang w:val="zh-CN"/>
              </w:rPr>
              <w:t>独立显卡显存类型</w:t>
            </w:r>
          </w:p>
        </w:tc>
        <w:tc>
          <w:tcPr>
            <w:tcW w:w="6145" w:type="dxa"/>
            <w:gridSpan w:val="5"/>
            <w:tcBorders>
              <w:tl2br w:val="nil"/>
              <w:tr2bl w:val="nil"/>
            </w:tcBorders>
            <w:vAlign w:val="center"/>
          </w:tcPr>
          <w:p>
            <w:pPr>
              <w:spacing w:before="247" w:after="238" w:line="240" w:lineRule="exact"/>
              <w:ind w:left="108"/>
              <w:jc w:val="left"/>
              <w:textAlignment w:val="baseline"/>
              <w:rPr>
                <w:rFonts w:ascii="黑体" w:hAnsi="黑体" w:eastAsia="黑体" w:cs="黑体"/>
                <w:sz w:val="18"/>
                <w:szCs w:val="18"/>
                <w:lang w:val="zh-CN"/>
              </w:rPr>
            </w:pPr>
            <w:r>
              <w:rPr>
                <w:rFonts w:hint="eastAsia" w:ascii="黑体" w:hAnsi="黑体" w:eastAsia="黑体" w:cs="黑体"/>
                <w:sz w:val="18"/>
                <w:szCs w:val="18"/>
                <w:lang w:val="zh-CN"/>
              </w:rPr>
              <w:t xml:space="preserve">若配置独立显卡，显存类型应为 </w:t>
            </w:r>
            <w:r>
              <w:rPr>
                <w:rFonts w:hint="eastAsia" w:ascii="黑体" w:hAnsi="黑体" w:eastAsia="黑体" w:cs="黑体"/>
                <w:sz w:val="18"/>
                <w:szCs w:val="18"/>
              </w:rPr>
              <w:t>DDR4/GDDR5/GDDR6/LPDDR4</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Before w:val="1"/>
          <w:gridAfter w:val="2"/>
          <w:wBefore w:w="11" w:type="dxa"/>
          <w:wAfter w:w="90" w:type="dxa"/>
          <w:trHeight w:val="870" w:hRule="exact"/>
        </w:trPr>
        <w:tc>
          <w:tcPr>
            <w:tcW w:w="461" w:type="dxa"/>
            <w:gridSpan w:val="2"/>
            <w:tcBorders>
              <w:tl2br w:val="nil"/>
              <w:tr2bl w:val="nil"/>
            </w:tcBorders>
            <w:vAlign w:val="center"/>
          </w:tcPr>
          <w:p>
            <w:pPr>
              <w:spacing w:before="288" w:after="228" w:line="199" w:lineRule="exact"/>
              <w:jc w:val="center"/>
              <w:textAlignment w:val="baseline"/>
              <w:rPr>
                <w:rFonts w:ascii="黑体" w:hAnsi="黑体" w:eastAsia="黑体" w:cs="黑体"/>
                <w:sz w:val="18"/>
                <w:szCs w:val="18"/>
              </w:rPr>
            </w:pPr>
            <w:r>
              <w:rPr>
                <w:rFonts w:hint="eastAsia" w:ascii="黑体" w:hAnsi="黑体" w:eastAsia="黑体" w:cs="黑体"/>
                <w:sz w:val="18"/>
                <w:szCs w:val="18"/>
              </w:rPr>
              <w:t>20</w:t>
            </w:r>
          </w:p>
        </w:tc>
        <w:tc>
          <w:tcPr>
            <w:tcW w:w="778" w:type="dxa"/>
            <w:tcBorders>
              <w:tl2br w:val="nil"/>
              <w:tr2bl w:val="nil"/>
            </w:tcBorders>
          </w:tcPr>
          <w:p>
            <w:pPr>
              <w:spacing w:line="238" w:lineRule="exact"/>
              <w:ind w:left="108" w:right="180"/>
              <w:jc w:val="left"/>
              <w:textAlignment w:val="baseline"/>
              <w:rPr>
                <w:rFonts w:hint="eastAsia" w:ascii="黑体" w:hAnsi="黑体" w:eastAsia="黑体" w:cs="黑体"/>
                <w:spacing w:val="-3"/>
                <w:sz w:val="18"/>
                <w:szCs w:val="18"/>
                <w:lang w:val="zh-CN"/>
              </w:rPr>
            </w:pPr>
            <w:r>
              <w:rPr>
                <w:rFonts w:hint="eastAsia" w:ascii="黑体" w:hAnsi="黑体" w:eastAsia="黑体" w:cs="黑体"/>
                <w:spacing w:val="-3"/>
                <w:sz w:val="18"/>
                <w:szCs w:val="18"/>
                <w:lang w:val="zh-CN"/>
              </w:rPr>
              <w:t>产品规格</w:t>
            </w:r>
          </w:p>
        </w:tc>
        <w:tc>
          <w:tcPr>
            <w:tcW w:w="747" w:type="dxa"/>
            <w:gridSpan w:val="2"/>
            <w:vMerge w:val="continue"/>
            <w:tcBorders>
              <w:tl2br w:val="nil"/>
              <w:tr2bl w:val="nil"/>
            </w:tcBorders>
            <w:vAlign w:val="center"/>
          </w:tcPr>
          <w:p>
            <w:pPr>
              <w:rPr>
                <w:rFonts w:ascii="黑体" w:hAnsi="黑体" w:eastAsia="黑体" w:cs="黑体"/>
                <w:sz w:val="18"/>
                <w:szCs w:val="18"/>
              </w:rPr>
            </w:pPr>
          </w:p>
        </w:tc>
        <w:tc>
          <w:tcPr>
            <w:tcW w:w="1100" w:type="dxa"/>
            <w:tcBorders>
              <w:tl2br w:val="nil"/>
              <w:tr2bl w:val="nil"/>
            </w:tcBorders>
            <w:vAlign w:val="center"/>
          </w:tcPr>
          <w:p>
            <w:pPr>
              <w:spacing w:line="236" w:lineRule="exact"/>
              <w:ind w:left="108" w:right="180"/>
              <w:jc w:val="center"/>
              <w:textAlignment w:val="baseline"/>
              <w:rPr>
                <w:rFonts w:ascii="黑体" w:hAnsi="黑体" w:eastAsia="黑体" w:cs="黑体"/>
                <w:spacing w:val="-7"/>
                <w:sz w:val="18"/>
                <w:szCs w:val="18"/>
                <w:lang w:val="zh-CN"/>
              </w:rPr>
            </w:pPr>
            <w:r>
              <w:rPr>
                <w:rFonts w:hint="eastAsia"/>
              </w:rPr>
              <w:t>★</w:t>
            </w:r>
            <w:r>
              <w:rPr>
                <w:rFonts w:hint="eastAsia" w:ascii="黑体" w:hAnsi="黑体" w:eastAsia="黑体" w:cs="黑体"/>
                <w:spacing w:val="-7"/>
                <w:sz w:val="18"/>
                <w:szCs w:val="18"/>
                <w:lang w:val="zh-CN"/>
              </w:rPr>
              <w:t>独立显卡显存位宽</w:t>
            </w:r>
          </w:p>
        </w:tc>
        <w:tc>
          <w:tcPr>
            <w:tcW w:w="6145" w:type="dxa"/>
            <w:gridSpan w:val="5"/>
            <w:tcBorders>
              <w:tl2br w:val="nil"/>
              <w:tr2bl w:val="nil"/>
            </w:tcBorders>
            <w:vAlign w:val="center"/>
          </w:tcPr>
          <w:p>
            <w:pPr>
              <w:spacing w:before="283" w:after="228" w:line="204" w:lineRule="exact"/>
              <w:ind w:left="110"/>
              <w:jc w:val="left"/>
              <w:textAlignment w:val="baseline"/>
              <w:rPr>
                <w:rFonts w:ascii="黑体" w:hAnsi="黑体" w:eastAsia="黑体" w:cs="黑体"/>
                <w:sz w:val="18"/>
                <w:szCs w:val="18"/>
                <w:lang w:val="zh-CN"/>
              </w:rPr>
            </w:pPr>
            <w:r>
              <w:rPr>
                <w:rFonts w:hint="eastAsia" w:ascii="黑体" w:hAnsi="黑体" w:eastAsia="黑体" w:cs="黑体"/>
                <w:sz w:val="18"/>
                <w:szCs w:val="18"/>
                <w:lang w:val="zh-CN"/>
              </w:rPr>
              <w:t>若配置独立显卡，显存位宽≥16 位</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Before w:val="1"/>
          <w:gridAfter w:val="2"/>
          <w:wBefore w:w="11" w:type="dxa"/>
          <w:wAfter w:w="90" w:type="dxa"/>
          <w:trHeight w:val="752" w:hRule="exact"/>
        </w:trPr>
        <w:tc>
          <w:tcPr>
            <w:tcW w:w="461" w:type="dxa"/>
            <w:gridSpan w:val="2"/>
            <w:tcBorders>
              <w:tl2br w:val="nil"/>
              <w:tr2bl w:val="nil"/>
            </w:tcBorders>
            <w:vAlign w:val="center"/>
          </w:tcPr>
          <w:p>
            <w:pPr>
              <w:spacing w:before="288" w:after="233" w:line="199" w:lineRule="exact"/>
              <w:jc w:val="center"/>
              <w:textAlignment w:val="baseline"/>
              <w:rPr>
                <w:rFonts w:ascii="黑体" w:hAnsi="黑体" w:eastAsia="黑体" w:cs="黑体"/>
                <w:sz w:val="18"/>
                <w:szCs w:val="18"/>
              </w:rPr>
            </w:pPr>
            <w:r>
              <w:rPr>
                <w:rFonts w:hint="eastAsia" w:ascii="黑体" w:hAnsi="黑体" w:eastAsia="黑体" w:cs="黑体"/>
                <w:sz w:val="18"/>
                <w:szCs w:val="18"/>
              </w:rPr>
              <w:t>21</w:t>
            </w:r>
          </w:p>
        </w:tc>
        <w:tc>
          <w:tcPr>
            <w:tcW w:w="778" w:type="dxa"/>
            <w:tcBorders>
              <w:tl2br w:val="nil"/>
              <w:tr2bl w:val="nil"/>
            </w:tcBorders>
          </w:tcPr>
          <w:p>
            <w:pPr>
              <w:spacing w:line="238" w:lineRule="exact"/>
              <w:ind w:left="108" w:right="180"/>
              <w:jc w:val="left"/>
              <w:textAlignment w:val="baseline"/>
              <w:rPr>
                <w:rFonts w:hint="eastAsia" w:ascii="黑体" w:hAnsi="黑体" w:eastAsia="黑体" w:cs="黑体"/>
                <w:spacing w:val="-3"/>
                <w:sz w:val="18"/>
                <w:szCs w:val="18"/>
                <w:lang w:val="zh-CN"/>
              </w:rPr>
            </w:pPr>
            <w:r>
              <w:rPr>
                <w:rFonts w:hint="eastAsia" w:ascii="黑体" w:hAnsi="黑体" w:eastAsia="黑体" w:cs="黑体"/>
                <w:spacing w:val="-3"/>
                <w:sz w:val="18"/>
                <w:szCs w:val="18"/>
                <w:lang w:val="zh-CN"/>
              </w:rPr>
              <w:t>产品规格</w:t>
            </w:r>
          </w:p>
        </w:tc>
        <w:tc>
          <w:tcPr>
            <w:tcW w:w="747" w:type="dxa"/>
            <w:gridSpan w:val="2"/>
            <w:vMerge w:val="continue"/>
            <w:tcBorders>
              <w:tl2br w:val="nil"/>
              <w:tr2bl w:val="nil"/>
            </w:tcBorders>
            <w:vAlign w:val="center"/>
          </w:tcPr>
          <w:p>
            <w:pPr>
              <w:rPr>
                <w:rFonts w:ascii="黑体" w:hAnsi="黑体" w:eastAsia="黑体" w:cs="黑体"/>
                <w:sz w:val="18"/>
                <w:szCs w:val="18"/>
              </w:rPr>
            </w:pPr>
          </w:p>
        </w:tc>
        <w:tc>
          <w:tcPr>
            <w:tcW w:w="1100" w:type="dxa"/>
            <w:tcBorders>
              <w:tl2br w:val="nil"/>
              <w:tr2bl w:val="nil"/>
            </w:tcBorders>
            <w:vAlign w:val="center"/>
          </w:tcPr>
          <w:p>
            <w:pPr>
              <w:spacing w:line="237" w:lineRule="exact"/>
              <w:ind w:left="108" w:right="180"/>
              <w:jc w:val="center"/>
              <w:textAlignment w:val="baseline"/>
              <w:rPr>
                <w:rFonts w:ascii="黑体" w:hAnsi="黑体" w:eastAsia="黑体" w:cs="黑体"/>
                <w:spacing w:val="-4"/>
                <w:sz w:val="18"/>
                <w:szCs w:val="18"/>
                <w:lang w:val="zh-CN"/>
              </w:rPr>
            </w:pPr>
            <w:r>
              <w:rPr>
                <w:rFonts w:hint="eastAsia"/>
              </w:rPr>
              <w:t>★</w:t>
            </w:r>
            <w:r>
              <w:rPr>
                <w:rFonts w:hint="eastAsia" w:ascii="黑体" w:hAnsi="黑体" w:eastAsia="黑体" w:cs="黑体"/>
                <w:spacing w:val="-4"/>
                <w:sz w:val="18"/>
                <w:szCs w:val="18"/>
                <w:lang w:val="zh-CN"/>
              </w:rPr>
              <w:t>独立显卡显存容量</w:t>
            </w:r>
          </w:p>
        </w:tc>
        <w:tc>
          <w:tcPr>
            <w:tcW w:w="6145" w:type="dxa"/>
            <w:gridSpan w:val="5"/>
            <w:tcBorders>
              <w:tl2br w:val="nil"/>
              <w:tr2bl w:val="nil"/>
            </w:tcBorders>
            <w:vAlign w:val="center"/>
          </w:tcPr>
          <w:p>
            <w:pPr>
              <w:spacing w:before="284" w:after="233" w:line="203" w:lineRule="exact"/>
              <w:ind w:left="110"/>
              <w:jc w:val="left"/>
              <w:textAlignment w:val="baseline"/>
              <w:rPr>
                <w:rFonts w:ascii="黑体" w:hAnsi="黑体" w:eastAsia="黑体" w:cs="黑体"/>
                <w:sz w:val="18"/>
                <w:szCs w:val="18"/>
                <w:lang w:val="zh-CN"/>
              </w:rPr>
            </w:pPr>
            <w:r>
              <w:rPr>
                <w:rFonts w:hint="eastAsia" w:ascii="黑体" w:hAnsi="黑体" w:eastAsia="黑体" w:cs="黑体"/>
                <w:sz w:val="18"/>
                <w:szCs w:val="18"/>
                <w:lang w:val="zh-CN"/>
              </w:rPr>
              <w:t>若配置独立显卡，显存容量≥1</w:t>
            </w:r>
            <w:r>
              <w:rPr>
                <w:rFonts w:hint="eastAsia" w:ascii="黑体" w:hAnsi="黑体" w:eastAsia="黑体" w:cs="黑体"/>
                <w:sz w:val="18"/>
                <w:szCs w:val="18"/>
              </w:rPr>
              <w:t>GB</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Before w:val="1"/>
          <w:gridAfter w:val="2"/>
          <w:wBefore w:w="11" w:type="dxa"/>
          <w:wAfter w:w="90" w:type="dxa"/>
          <w:trHeight w:val="585" w:hRule="exact"/>
        </w:trPr>
        <w:tc>
          <w:tcPr>
            <w:tcW w:w="461" w:type="dxa"/>
            <w:gridSpan w:val="2"/>
            <w:tcBorders>
              <w:tl2br w:val="nil"/>
              <w:tr2bl w:val="nil"/>
            </w:tcBorders>
            <w:vAlign w:val="center"/>
          </w:tcPr>
          <w:p>
            <w:pPr>
              <w:spacing w:before="211" w:after="157" w:line="198" w:lineRule="exact"/>
              <w:jc w:val="center"/>
              <w:textAlignment w:val="baseline"/>
              <w:rPr>
                <w:rFonts w:ascii="黑体" w:hAnsi="黑体" w:eastAsia="黑体" w:cs="黑体"/>
                <w:sz w:val="18"/>
                <w:szCs w:val="18"/>
              </w:rPr>
            </w:pPr>
            <w:r>
              <w:rPr>
                <w:rFonts w:hint="eastAsia" w:ascii="黑体" w:hAnsi="黑体" w:eastAsia="黑体"/>
                <w:sz w:val="18"/>
                <w:szCs w:val="18"/>
              </w:rPr>
              <w:t>22</w:t>
            </w:r>
          </w:p>
        </w:tc>
        <w:tc>
          <w:tcPr>
            <w:tcW w:w="778" w:type="dxa"/>
            <w:tcBorders>
              <w:tl2br w:val="nil"/>
              <w:tr2bl w:val="nil"/>
            </w:tcBorders>
          </w:tcPr>
          <w:p>
            <w:pPr>
              <w:spacing w:line="238" w:lineRule="exact"/>
              <w:ind w:left="108" w:right="180"/>
              <w:jc w:val="left"/>
              <w:textAlignment w:val="baseline"/>
              <w:rPr>
                <w:rFonts w:hint="eastAsia" w:ascii="黑体" w:hAnsi="黑体" w:eastAsia="黑体" w:cs="黑体"/>
                <w:spacing w:val="-3"/>
                <w:sz w:val="18"/>
                <w:szCs w:val="18"/>
                <w:lang w:val="zh-CN"/>
              </w:rPr>
            </w:pPr>
            <w:r>
              <w:rPr>
                <w:rFonts w:hint="eastAsia" w:ascii="黑体" w:hAnsi="黑体" w:eastAsia="黑体" w:cs="黑体"/>
                <w:spacing w:val="-3"/>
                <w:sz w:val="18"/>
                <w:szCs w:val="18"/>
                <w:lang w:val="zh-CN"/>
              </w:rPr>
              <w:t>产品规格</w:t>
            </w:r>
          </w:p>
        </w:tc>
        <w:tc>
          <w:tcPr>
            <w:tcW w:w="747" w:type="dxa"/>
            <w:gridSpan w:val="2"/>
            <w:vMerge w:val="restart"/>
            <w:tcBorders>
              <w:tl2br w:val="nil"/>
              <w:tr2bl w:val="nil"/>
            </w:tcBorders>
            <w:vAlign w:val="center"/>
          </w:tcPr>
          <w:p>
            <w:pPr>
              <w:jc w:val="center"/>
              <w:rPr>
                <w:rFonts w:ascii="黑体" w:hAnsi="黑体" w:eastAsia="黑体" w:cs="黑体"/>
                <w:sz w:val="18"/>
                <w:szCs w:val="18"/>
              </w:rPr>
            </w:pPr>
            <w:r>
              <w:rPr>
                <w:rFonts w:hint="eastAsia"/>
              </w:rPr>
              <w:t>★</w:t>
            </w:r>
            <w:r>
              <w:rPr>
                <w:rFonts w:hint="eastAsia" w:ascii="黑体" w:hAnsi="黑体" w:eastAsia="黑体" w:cs="黑体"/>
                <w:sz w:val="18"/>
                <w:szCs w:val="18"/>
                <w:lang w:val="zh-CN"/>
              </w:rPr>
              <w:t>外设规格</w:t>
            </w:r>
          </w:p>
        </w:tc>
        <w:tc>
          <w:tcPr>
            <w:tcW w:w="1100" w:type="dxa"/>
            <w:tcBorders>
              <w:tl2br w:val="nil"/>
              <w:tr2bl w:val="nil"/>
            </w:tcBorders>
          </w:tcPr>
          <w:p>
            <w:pPr>
              <w:spacing w:line="237" w:lineRule="exact"/>
              <w:ind w:left="108" w:right="180"/>
              <w:jc w:val="center"/>
              <w:textAlignment w:val="baseline"/>
              <w:rPr>
                <w:rFonts w:ascii="黑体" w:hAnsi="黑体" w:eastAsia="黑体" w:cs="黑体"/>
                <w:spacing w:val="-4"/>
                <w:sz w:val="18"/>
                <w:szCs w:val="18"/>
                <w:lang w:val="zh-CN"/>
              </w:rPr>
            </w:pPr>
            <w:r>
              <w:rPr>
                <w:rFonts w:hint="eastAsia"/>
              </w:rPr>
              <w:t>★</w:t>
            </w:r>
            <w:r>
              <w:rPr>
                <w:rFonts w:ascii="黑体" w:hAnsi="黑体" w:eastAsia="黑体" w:cs="黑体"/>
                <w:spacing w:val="-4"/>
                <w:sz w:val="18"/>
                <w:szCs w:val="18"/>
                <w:lang w:val="zh-CN"/>
              </w:rPr>
              <w:t>鼠标数量</w:t>
            </w:r>
          </w:p>
        </w:tc>
        <w:tc>
          <w:tcPr>
            <w:tcW w:w="6145" w:type="dxa"/>
            <w:gridSpan w:val="5"/>
            <w:tcBorders>
              <w:tl2br w:val="nil"/>
              <w:tr2bl w:val="nil"/>
            </w:tcBorders>
            <w:vAlign w:val="center"/>
          </w:tcPr>
          <w:p>
            <w:pPr>
              <w:spacing w:before="202" w:line="237" w:lineRule="exact"/>
              <w:ind w:left="110" w:right="180"/>
              <w:jc w:val="left"/>
              <w:textAlignment w:val="baseline"/>
              <w:rPr>
                <w:rFonts w:ascii="黑体" w:hAnsi="黑体" w:eastAsia="黑体" w:cs="黑体"/>
                <w:spacing w:val="-4"/>
                <w:sz w:val="18"/>
                <w:szCs w:val="18"/>
                <w:lang w:val="zh-CN"/>
              </w:rPr>
            </w:pPr>
            <w:r>
              <w:rPr>
                <w:rFonts w:ascii="黑体" w:hAnsi="黑体" w:eastAsia="黑体" w:cs="黑体"/>
                <w:spacing w:val="-4"/>
                <w:sz w:val="18"/>
                <w:szCs w:val="18"/>
                <w:lang w:val="zh-CN"/>
              </w:rPr>
              <w:t>≥1 个</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Before w:val="1"/>
          <w:gridAfter w:val="2"/>
          <w:wBefore w:w="11" w:type="dxa"/>
          <w:wAfter w:w="90" w:type="dxa"/>
          <w:trHeight w:val="585" w:hRule="exact"/>
        </w:trPr>
        <w:tc>
          <w:tcPr>
            <w:tcW w:w="461" w:type="dxa"/>
            <w:gridSpan w:val="2"/>
            <w:tcBorders>
              <w:tl2br w:val="nil"/>
              <w:tr2bl w:val="nil"/>
            </w:tcBorders>
            <w:vAlign w:val="center"/>
          </w:tcPr>
          <w:p>
            <w:pPr>
              <w:spacing w:before="211" w:after="161" w:line="198" w:lineRule="exact"/>
              <w:jc w:val="center"/>
              <w:textAlignment w:val="baseline"/>
              <w:rPr>
                <w:rFonts w:ascii="黑体" w:hAnsi="黑体" w:eastAsia="黑体" w:cs="黑体"/>
                <w:sz w:val="18"/>
                <w:szCs w:val="18"/>
              </w:rPr>
            </w:pPr>
            <w:r>
              <w:rPr>
                <w:rFonts w:hint="eastAsia" w:ascii="黑体" w:hAnsi="黑体" w:eastAsia="黑体"/>
                <w:sz w:val="18"/>
                <w:szCs w:val="18"/>
              </w:rPr>
              <w:t>23</w:t>
            </w:r>
          </w:p>
        </w:tc>
        <w:tc>
          <w:tcPr>
            <w:tcW w:w="778" w:type="dxa"/>
            <w:tcBorders>
              <w:tl2br w:val="nil"/>
              <w:tr2bl w:val="nil"/>
            </w:tcBorders>
          </w:tcPr>
          <w:p>
            <w:pPr>
              <w:spacing w:line="238" w:lineRule="exact"/>
              <w:ind w:left="108" w:right="180"/>
              <w:jc w:val="left"/>
              <w:textAlignment w:val="baseline"/>
              <w:rPr>
                <w:rFonts w:hint="eastAsia" w:ascii="黑体" w:hAnsi="黑体" w:eastAsia="黑体" w:cs="黑体"/>
                <w:spacing w:val="-3"/>
                <w:sz w:val="18"/>
                <w:szCs w:val="18"/>
                <w:lang w:val="zh-CN"/>
              </w:rPr>
            </w:pPr>
            <w:r>
              <w:rPr>
                <w:rFonts w:hint="eastAsia" w:ascii="黑体" w:hAnsi="黑体" w:eastAsia="黑体" w:cs="黑体"/>
                <w:spacing w:val="-3"/>
                <w:sz w:val="18"/>
                <w:szCs w:val="18"/>
                <w:lang w:val="zh-CN"/>
              </w:rPr>
              <w:t>产品规格</w:t>
            </w:r>
          </w:p>
        </w:tc>
        <w:tc>
          <w:tcPr>
            <w:tcW w:w="747" w:type="dxa"/>
            <w:gridSpan w:val="2"/>
            <w:vMerge w:val="continue"/>
            <w:tcBorders>
              <w:tl2br w:val="nil"/>
              <w:tr2bl w:val="nil"/>
            </w:tcBorders>
            <w:vAlign w:val="center"/>
          </w:tcPr>
          <w:p>
            <w:pPr>
              <w:rPr>
                <w:rFonts w:ascii="黑体" w:hAnsi="黑体" w:eastAsia="黑体" w:cs="黑体"/>
                <w:sz w:val="18"/>
                <w:szCs w:val="18"/>
              </w:rPr>
            </w:pPr>
          </w:p>
        </w:tc>
        <w:tc>
          <w:tcPr>
            <w:tcW w:w="1100" w:type="dxa"/>
            <w:tcBorders>
              <w:tl2br w:val="nil"/>
              <w:tr2bl w:val="nil"/>
            </w:tcBorders>
          </w:tcPr>
          <w:p>
            <w:pPr>
              <w:spacing w:line="237" w:lineRule="exact"/>
              <w:ind w:left="108" w:right="180"/>
              <w:jc w:val="center"/>
              <w:textAlignment w:val="baseline"/>
              <w:rPr>
                <w:rFonts w:ascii="黑体" w:hAnsi="黑体" w:eastAsia="黑体" w:cs="黑体"/>
                <w:spacing w:val="-4"/>
                <w:sz w:val="18"/>
                <w:szCs w:val="18"/>
                <w:lang w:val="zh-CN"/>
              </w:rPr>
            </w:pPr>
            <w:r>
              <w:rPr>
                <w:rFonts w:hint="eastAsia"/>
              </w:rPr>
              <w:t>★</w:t>
            </w:r>
            <w:r>
              <w:rPr>
                <w:rFonts w:ascii="黑体" w:hAnsi="黑体" w:eastAsia="黑体" w:cs="黑体"/>
                <w:spacing w:val="-4"/>
                <w:sz w:val="18"/>
                <w:szCs w:val="18"/>
                <w:lang w:val="zh-CN"/>
              </w:rPr>
              <w:t>键盘数量</w:t>
            </w:r>
          </w:p>
        </w:tc>
        <w:tc>
          <w:tcPr>
            <w:tcW w:w="6145" w:type="dxa"/>
            <w:gridSpan w:val="5"/>
            <w:tcBorders>
              <w:tl2br w:val="nil"/>
              <w:tr2bl w:val="nil"/>
            </w:tcBorders>
            <w:vAlign w:val="center"/>
          </w:tcPr>
          <w:p>
            <w:pPr>
              <w:spacing w:before="206" w:line="237" w:lineRule="exact"/>
              <w:ind w:left="110" w:right="180"/>
              <w:jc w:val="left"/>
              <w:textAlignment w:val="baseline"/>
              <w:rPr>
                <w:rFonts w:ascii="黑体" w:hAnsi="黑体" w:eastAsia="黑体" w:cs="黑体"/>
                <w:spacing w:val="-4"/>
                <w:sz w:val="18"/>
                <w:szCs w:val="18"/>
                <w:lang w:val="zh-CN"/>
              </w:rPr>
            </w:pPr>
            <w:r>
              <w:rPr>
                <w:rFonts w:ascii="黑体" w:hAnsi="黑体" w:eastAsia="黑体" w:cs="黑体"/>
                <w:spacing w:val="-4"/>
                <w:sz w:val="18"/>
                <w:szCs w:val="18"/>
                <w:lang w:val="zh-CN"/>
              </w:rPr>
              <w:t>≥1 个</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gridBefore w:val="1"/>
          <w:gridAfter w:val="2"/>
          <w:wBefore w:w="11" w:type="dxa"/>
          <w:wAfter w:w="90" w:type="dxa"/>
          <w:trHeight w:val="585" w:hRule="exact"/>
        </w:trPr>
        <w:tc>
          <w:tcPr>
            <w:tcW w:w="461" w:type="dxa"/>
            <w:gridSpan w:val="2"/>
            <w:tcBorders>
              <w:tl2br w:val="nil"/>
              <w:tr2bl w:val="nil"/>
            </w:tcBorders>
            <w:vAlign w:val="center"/>
          </w:tcPr>
          <w:p>
            <w:pPr>
              <w:spacing w:before="211" w:after="153" w:line="198" w:lineRule="exact"/>
              <w:jc w:val="center"/>
              <w:textAlignment w:val="baseline"/>
              <w:rPr>
                <w:rFonts w:ascii="黑体" w:hAnsi="黑体" w:eastAsia="黑体" w:cs="黑体"/>
                <w:sz w:val="18"/>
                <w:szCs w:val="18"/>
              </w:rPr>
            </w:pPr>
            <w:r>
              <w:rPr>
                <w:rFonts w:hint="eastAsia" w:ascii="黑体" w:hAnsi="黑体" w:eastAsia="黑体"/>
                <w:sz w:val="18"/>
                <w:szCs w:val="18"/>
              </w:rPr>
              <w:t>24</w:t>
            </w:r>
          </w:p>
        </w:tc>
        <w:tc>
          <w:tcPr>
            <w:tcW w:w="778" w:type="dxa"/>
            <w:tcBorders>
              <w:tl2br w:val="nil"/>
              <w:tr2bl w:val="nil"/>
            </w:tcBorders>
          </w:tcPr>
          <w:p>
            <w:pPr>
              <w:spacing w:line="238" w:lineRule="exact"/>
              <w:ind w:left="108" w:right="180"/>
              <w:jc w:val="left"/>
              <w:textAlignment w:val="baseline"/>
              <w:rPr>
                <w:rFonts w:hint="eastAsia" w:ascii="黑体" w:hAnsi="黑体" w:eastAsia="黑体" w:cs="黑体"/>
                <w:spacing w:val="-3"/>
                <w:sz w:val="18"/>
                <w:szCs w:val="18"/>
                <w:lang w:val="zh-CN"/>
              </w:rPr>
            </w:pPr>
            <w:r>
              <w:rPr>
                <w:rFonts w:hint="eastAsia" w:ascii="黑体" w:hAnsi="黑体" w:eastAsia="黑体" w:cs="黑体"/>
                <w:spacing w:val="-3"/>
                <w:sz w:val="18"/>
                <w:szCs w:val="18"/>
                <w:lang w:val="zh-CN"/>
              </w:rPr>
              <w:t>产品规格</w:t>
            </w:r>
          </w:p>
        </w:tc>
        <w:tc>
          <w:tcPr>
            <w:tcW w:w="747" w:type="dxa"/>
            <w:gridSpan w:val="2"/>
            <w:vMerge w:val="continue"/>
            <w:tcBorders>
              <w:tl2br w:val="nil"/>
              <w:tr2bl w:val="nil"/>
            </w:tcBorders>
            <w:vAlign w:val="center"/>
          </w:tcPr>
          <w:p>
            <w:pPr>
              <w:rPr>
                <w:rFonts w:ascii="黑体" w:hAnsi="黑体" w:eastAsia="黑体" w:cs="黑体"/>
                <w:sz w:val="18"/>
                <w:szCs w:val="18"/>
              </w:rPr>
            </w:pPr>
          </w:p>
        </w:tc>
        <w:tc>
          <w:tcPr>
            <w:tcW w:w="1100" w:type="dxa"/>
            <w:tcBorders>
              <w:tl2br w:val="nil"/>
              <w:tr2bl w:val="nil"/>
            </w:tcBorders>
          </w:tcPr>
          <w:p>
            <w:pPr>
              <w:spacing w:line="237" w:lineRule="exact"/>
              <w:ind w:left="108" w:right="180"/>
              <w:jc w:val="center"/>
              <w:textAlignment w:val="baseline"/>
              <w:rPr>
                <w:rFonts w:ascii="黑体" w:hAnsi="黑体" w:eastAsia="黑体" w:cs="黑体"/>
                <w:spacing w:val="-4"/>
                <w:sz w:val="18"/>
                <w:szCs w:val="18"/>
                <w:lang w:val="zh-CN"/>
              </w:rPr>
            </w:pPr>
            <w:r>
              <w:rPr>
                <w:rFonts w:hint="eastAsia"/>
              </w:rPr>
              <w:t>★</w:t>
            </w:r>
            <w:r>
              <w:rPr>
                <w:rFonts w:ascii="黑体" w:hAnsi="黑体" w:eastAsia="黑体" w:cs="黑体"/>
                <w:spacing w:val="-4"/>
                <w:sz w:val="18"/>
                <w:szCs w:val="18"/>
                <w:lang w:val="zh-CN"/>
              </w:rPr>
              <w:t>键盘按键数目</w:t>
            </w:r>
          </w:p>
        </w:tc>
        <w:tc>
          <w:tcPr>
            <w:tcW w:w="6145" w:type="dxa"/>
            <w:gridSpan w:val="5"/>
            <w:tcBorders>
              <w:tl2br w:val="nil"/>
              <w:tr2bl w:val="nil"/>
            </w:tcBorders>
            <w:vAlign w:val="center"/>
          </w:tcPr>
          <w:p>
            <w:pPr>
              <w:spacing w:line="237" w:lineRule="exact"/>
              <w:ind w:left="110" w:right="180"/>
              <w:jc w:val="left"/>
              <w:textAlignment w:val="baseline"/>
              <w:rPr>
                <w:rFonts w:ascii="黑体" w:hAnsi="黑体" w:eastAsia="黑体" w:cs="黑体"/>
                <w:spacing w:val="-4"/>
                <w:sz w:val="18"/>
                <w:szCs w:val="18"/>
                <w:lang w:val="zh-CN"/>
              </w:rPr>
            </w:pPr>
            <w:r>
              <w:rPr>
                <w:rFonts w:ascii="黑体" w:hAnsi="黑体" w:eastAsia="黑体" w:cs="黑体"/>
                <w:spacing w:val="-4"/>
                <w:sz w:val="18"/>
                <w:szCs w:val="18"/>
                <w:lang w:val="zh-CN"/>
              </w:rPr>
              <w:t>101 键/104 键等</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551"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25</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restart"/>
            <w:tcBorders>
              <w:tl2br w:val="nil"/>
              <w:tr2bl w:val="nil"/>
            </w:tcBorders>
            <w:vAlign w:val="center"/>
          </w:tcPr>
          <w:p>
            <w:pPr>
              <w:widowControl/>
              <w:spacing w:line="240" w:lineRule="exact"/>
              <w:jc w:val="center"/>
              <w:rPr>
                <w:sz w:val="18"/>
                <w:szCs w:val="18"/>
              </w:rPr>
            </w:pPr>
            <w:r>
              <w:rPr>
                <w:rFonts w:hint="eastAsia"/>
              </w:rPr>
              <w:t>★</w:t>
            </w:r>
            <w:r>
              <w:rPr>
                <w:rFonts w:hint="eastAsia" w:ascii="黑体" w:hAnsi="黑体" w:eastAsia="黑体" w:cs="黑体"/>
                <w:sz w:val="18"/>
                <w:szCs w:val="18"/>
                <w:lang w:val="zh-CN"/>
              </w:rPr>
              <w:t>外设规格</w:t>
            </w:r>
          </w:p>
        </w:tc>
        <w:tc>
          <w:tcPr>
            <w:tcW w:w="1100" w:type="dxa"/>
            <w:tcBorders>
              <w:tl2br w:val="nil"/>
              <w:tr2bl w:val="nil"/>
            </w:tcBorders>
          </w:tcPr>
          <w:p>
            <w:pPr>
              <w:widowControl/>
              <w:spacing w:line="240" w:lineRule="exact"/>
              <w:ind w:left="108" w:right="252"/>
              <w:jc w:val="left"/>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键盘连接方式</w:t>
            </w:r>
          </w:p>
        </w:tc>
        <w:tc>
          <w:tcPr>
            <w:tcW w:w="6112" w:type="dxa"/>
            <w:gridSpan w:val="4"/>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有线</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726"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26</w:t>
            </w:r>
          </w:p>
        </w:tc>
        <w:tc>
          <w:tcPr>
            <w:tcW w:w="790" w:type="dxa"/>
            <w:gridSpan w:val="2"/>
            <w:tcBorders>
              <w:tl2br w:val="nil"/>
              <w:tr2bl w:val="nil"/>
            </w:tcBorders>
            <w:vAlign w:val="center"/>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continue"/>
            <w:tcBorders>
              <w:tl2br w:val="nil"/>
              <w:tr2bl w:val="nil"/>
            </w:tcBorders>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252"/>
              <w:jc w:val="left"/>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键盘键程</w:t>
            </w:r>
          </w:p>
        </w:tc>
        <w:tc>
          <w:tcPr>
            <w:tcW w:w="6112" w:type="dxa"/>
            <w:gridSpan w:val="4"/>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2.3</w:t>
            </w:r>
            <w:r>
              <w:rPr>
                <w:rFonts w:ascii="黑体" w:hAnsi="黑体" w:eastAsia="黑体"/>
                <w:sz w:val="18"/>
                <w:szCs w:val="18"/>
              </w:rPr>
              <w:t xml:space="preserve">mm </w:t>
            </w:r>
            <w:r>
              <w:rPr>
                <w:rFonts w:hint="eastAsia" w:ascii="黑体" w:hAnsi="黑体" w:eastAsia="黑体"/>
                <w:sz w:val="18"/>
                <w:szCs w:val="18"/>
              </w:rPr>
              <w:t>~</w:t>
            </w:r>
            <w:r>
              <w:rPr>
                <w:rFonts w:ascii="黑体" w:hAnsi="黑体" w:eastAsia="黑体"/>
                <w:sz w:val="18"/>
                <w:szCs w:val="18"/>
              </w:rPr>
              <w:t xml:space="preserve"> 4.0mm</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568"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27</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continue"/>
            <w:tcBorders>
              <w:tl2br w:val="nil"/>
              <w:tr2bl w:val="nil"/>
            </w:tcBorders>
          </w:tcPr>
          <w:p>
            <w:pPr>
              <w:widowControl/>
              <w:spacing w:line="240" w:lineRule="exact"/>
              <w:rPr>
                <w:sz w:val="18"/>
                <w:szCs w:val="18"/>
              </w:rPr>
            </w:pPr>
          </w:p>
        </w:tc>
        <w:tc>
          <w:tcPr>
            <w:tcW w:w="1100" w:type="dxa"/>
            <w:tcBorders>
              <w:tl2br w:val="nil"/>
              <w:tr2bl w:val="nil"/>
            </w:tcBorders>
          </w:tcPr>
          <w:p>
            <w:pPr>
              <w:widowControl/>
              <w:spacing w:line="240" w:lineRule="exact"/>
              <w:ind w:left="108" w:right="252"/>
              <w:jc w:val="left"/>
              <w:textAlignment w:val="baseline"/>
              <w:rPr>
                <w:rFonts w:ascii="黑体" w:hAnsi="黑体" w:eastAsia="黑体"/>
                <w:spacing w:val="-5"/>
                <w:sz w:val="18"/>
                <w:szCs w:val="18"/>
                <w:lang w:val="zh-CN"/>
              </w:rPr>
            </w:pPr>
            <w:r>
              <w:rPr>
                <w:rFonts w:hint="eastAsia"/>
              </w:rPr>
              <w:t>★</w:t>
            </w:r>
            <w:r>
              <w:rPr>
                <w:rFonts w:ascii="黑体" w:hAnsi="黑体" w:eastAsia="黑体"/>
                <w:spacing w:val="-5"/>
                <w:sz w:val="18"/>
                <w:szCs w:val="18"/>
                <w:lang w:val="zh-CN"/>
              </w:rPr>
              <w:t>键盘按键压力</w:t>
            </w:r>
          </w:p>
        </w:tc>
        <w:tc>
          <w:tcPr>
            <w:tcW w:w="6112" w:type="dxa"/>
            <w:gridSpan w:val="4"/>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 xml:space="preserve">按键压力应在 0.54 </w:t>
            </w:r>
            <w:r>
              <w:rPr>
                <w:rFonts w:ascii="黑体" w:hAnsi="黑体" w:eastAsia="黑体"/>
                <w:sz w:val="18"/>
                <w:szCs w:val="18"/>
              </w:rPr>
              <w:t>N±0.14N</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571"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28</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continue"/>
            <w:tcBorders>
              <w:tl2br w:val="nil"/>
              <w:tr2bl w:val="nil"/>
            </w:tcBorders>
          </w:tcPr>
          <w:p>
            <w:pPr>
              <w:widowControl/>
              <w:spacing w:line="240" w:lineRule="exact"/>
              <w:rPr>
                <w:sz w:val="18"/>
                <w:szCs w:val="18"/>
              </w:rPr>
            </w:pPr>
          </w:p>
        </w:tc>
        <w:tc>
          <w:tcPr>
            <w:tcW w:w="1100" w:type="dxa"/>
            <w:tcBorders>
              <w:tl2br w:val="nil"/>
              <w:tr2bl w:val="nil"/>
            </w:tcBorders>
          </w:tcPr>
          <w:p>
            <w:pPr>
              <w:widowControl/>
              <w:spacing w:line="240" w:lineRule="exact"/>
              <w:ind w:left="108" w:right="180"/>
              <w:jc w:val="left"/>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有线键盘连接线</w:t>
            </w:r>
          </w:p>
        </w:tc>
        <w:tc>
          <w:tcPr>
            <w:tcW w:w="6112" w:type="dxa"/>
            <w:gridSpan w:val="4"/>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≥1.5 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581"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29</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continue"/>
            <w:tcBorders>
              <w:tl2br w:val="nil"/>
              <w:tr2bl w:val="nil"/>
            </w:tcBorders>
          </w:tcPr>
          <w:p>
            <w:pPr>
              <w:widowControl/>
              <w:spacing w:line="240" w:lineRule="exact"/>
              <w:rPr>
                <w:sz w:val="18"/>
                <w:szCs w:val="18"/>
              </w:rPr>
            </w:pPr>
          </w:p>
        </w:tc>
        <w:tc>
          <w:tcPr>
            <w:tcW w:w="1100" w:type="dxa"/>
            <w:tcBorders>
              <w:tl2br w:val="nil"/>
              <w:tr2bl w:val="nil"/>
            </w:tcBorders>
          </w:tcPr>
          <w:p>
            <w:pPr>
              <w:widowControl/>
              <w:spacing w:line="240" w:lineRule="exact"/>
              <w:ind w:left="108" w:right="252"/>
              <w:jc w:val="left"/>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键盘颜色</w:t>
            </w:r>
          </w:p>
        </w:tc>
        <w:tc>
          <w:tcPr>
            <w:tcW w:w="6112" w:type="dxa"/>
            <w:gridSpan w:val="4"/>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黑色/银色等商务色系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533"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30</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continue"/>
            <w:tcBorders>
              <w:tl2br w:val="nil"/>
              <w:tr2bl w:val="nil"/>
            </w:tcBorders>
          </w:tcPr>
          <w:p>
            <w:pPr>
              <w:widowControl/>
              <w:spacing w:line="240" w:lineRule="exact"/>
              <w:rPr>
                <w:sz w:val="18"/>
                <w:szCs w:val="18"/>
              </w:rPr>
            </w:pPr>
          </w:p>
        </w:tc>
        <w:tc>
          <w:tcPr>
            <w:tcW w:w="1100" w:type="dxa"/>
            <w:tcBorders>
              <w:tl2br w:val="nil"/>
              <w:tr2bl w:val="nil"/>
            </w:tcBorders>
          </w:tcPr>
          <w:p>
            <w:pPr>
              <w:widowControl/>
              <w:spacing w:line="240" w:lineRule="exact"/>
              <w:ind w:left="108" w:right="252"/>
              <w:jc w:val="left"/>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鼠标连接方式</w:t>
            </w:r>
          </w:p>
        </w:tc>
        <w:tc>
          <w:tcPr>
            <w:tcW w:w="6112" w:type="dxa"/>
            <w:gridSpan w:val="4"/>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有线</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568"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31</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continue"/>
            <w:tcBorders>
              <w:tl2br w:val="nil"/>
              <w:tr2bl w:val="nil"/>
            </w:tcBorders>
          </w:tcPr>
          <w:p>
            <w:pPr>
              <w:widowControl/>
              <w:spacing w:line="240" w:lineRule="exact"/>
              <w:rPr>
                <w:sz w:val="18"/>
                <w:szCs w:val="18"/>
              </w:rPr>
            </w:pPr>
          </w:p>
        </w:tc>
        <w:tc>
          <w:tcPr>
            <w:tcW w:w="1100" w:type="dxa"/>
            <w:tcBorders>
              <w:tl2br w:val="nil"/>
              <w:tr2bl w:val="nil"/>
            </w:tcBorders>
          </w:tcPr>
          <w:p>
            <w:pPr>
              <w:widowControl/>
              <w:spacing w:line="240" w:lineRule="exact"/>
              <w:ind w:left="72" w:right="180"/>
              <w:jc w:val="left"/>
              <w:textAlignment w:val="baseline"/>
              <w:rPr>
                <w:rFonts w:ascii="黑体" w:hAnsi="黑体" w:eastAsia="黑体"/>
                <w:sz w:val="18"/>
                <w:szCs w:val="18"/>
                <w:lang w:val="zh-CN"/>
              </w:rPr>
            </w:pPr>
            <w:r>
              <w:rPr>
                <w:rFonts w:hint="eastAsia"/>
              </w:rPr>
              <w:t>★</w:t>
            </w:r>
            <w:r>
              <w:rPr>
                <w:rFonts w:ascii="黑体" w:hAnsi="黑体" w:eastAsia="黑体"/>
                <w:sz w:val="18"/>
                <w:szCs w:val="18"/>
                <w:lang w:val="zh-CN"/>
              </w:rPr>
              <w:t>有线鼠标连接线</w:t>
            </w:r>
          </w:p>
        </w:tc>
        <w:tc>
          <w:tcPr>
            <w:tcW w:w="6112" w:type="dxa"/>
            <w:gridSpan w:val="4"/>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≥1.5 米</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500"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32</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continue"/>
            <w:tcBorders>
              <w:tl2br w:val="nil"/>
              <w:tr2bl w:val="nil"/>
            </w:tcBorders>
          </w:tcPr>
          <w:p>
            <w:pPr>
              <w:widowControl/>
              <w:spacing w:line="240" w:lineRule="exact"/>
              <w:rPr>
                <w:sz w:val="18"/>
                <w:szCs w:val="18"/>
              </w:rPr>
            </w:pPr>
          </w:p>
        </w:tc>
        <w:tc>
          <w:tcPr>
            <w:tcW w:w="1100" w:type="dxa"/>
            <w:tcBorders>
              <w:tl2br w:val="nil"/>
              <w:tr2bl w:val="nil"/>
            </w:tcBorders>
          </w:tcPr>
          <w:p>
            <w:pPr>
              <w:widowControl/>
              <w:spacing w:line="240" w:lineRule="exact"/>
              <w:ind w:left="108" w:right="180"/>
              <w:jc w:val="left"/>
              <w:textAlignment w:val="baseline"/>
              <w:rPr>
                <w:rFonts w:ascii="黑体" w:hAnsi="黑体" w:eastAsia="黑体"/>
                <w:spacing w:val="-19"/>
                <w:sz w:val="18"/>
                <w:szCs w:val="18"/>
                <w:lang w:val="zh-CN"/>
              </w:rPr>
            </w:pPr>
            <w:r>
              <w:rPr>
                <w:rFonts w:hint="eastAsia"/>
              </w:rPr>
              <w:t>★</w:t>
            </w:r>
            <w:r>
              <w:rPr>
                <w:rFonts w:ascii="黑体" w:hAnsi="黑体" w:eastAsia="黑体"/>
                <w:spacing w:val="-19"/>
                <w:sz w:val="18"/>
                <w:szCs w:val="18"/>
                <w:lang w:val="zh-CN"/>
              </w:rPr>
              <w:t xml:space="preserve">鼠标 </w:t>
            </w:r>
            <w:r>
              <w:rPr>
                <w:rFonts w:ascii="黑体" w:hAnsi="黑体" w:eastAsia="黑体"/>
                <w:spacing w:val="-19"/>
                <w:sz w:val="18"/>
                <w:szCs w:val="18"/>
              </w:rPr>
              <w:t xml:space="preserve">DPI </w:t>
            </w:r>
            <w:r>
              <w:rPr>
                <w:rFonts w:ascii="黑体" w:hAnsi="黑体" w:eastAsia="黑体"/>
                <w:spacing w:val="-19"/>
                <w:sz w:val="18"/>
                <w:szCs w:val="18"/>
                <w:lang w:val="zh-CN"/>
              </w:rPr>
              <w:t>分辨率</w:t>
            </w:r>
          </w:p>
        </w:tc>
        <w:tc>
          <w:tcPr>
            <w:tcW w:w="6112" w:type="dxa"/>
            <w:gridSpan w:val="4"/>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800~1600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576"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33</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continue"/>
            <w:tcBorders>
              <w:tl2br w:val="nil"/>
              <w:tr2bl w:val="nil"/>
            </w:tcBorders>
          </w:tcPr>
          <w:p>
            <w:pPr>
              <w:widowControl/>
              <w:spacing w:line="240" w:lineRule="exact"/>
              <w:rPr>
                <w:sz w:val="18"/>
                <w:szCs w:val="18"/>
              </w:rPr>
            </w:pPr>
          </w:p>
        </w:tc>
        <w:tc>
          <w:tcPr>
            <w:tcW w:w="1100" w:type="dxa"/>
            <w:tcBorders>
              <w:tl2br w:val="nil"/>
              <w:tr2bl w:val="nil"/>
            </w:tcBorders>
          </w:tcPr>
          <w:p>
            <w:pPr>
              <w:widowControl/>
              <w:spacing w:line="240" w:lineRule="exact"/>
              <w:ind w:left="108" w:right="252"/>
              <w:jc w:val="left"/>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鼠标颜色</w:t>
            </w:r>
          </w:p>
        </w:tc>
        <w:tc>
          <w:tcPr>
            <w:tcW w:w="6112" w:type="dxa"/>
            <w:gridSpan w:val="4"/>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黑色/银色等商务色系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526"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34</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continue"/>
            <w:tcBorders>
              <w:tl2br w:val="nil"/>
              <w:tr2bl w:val="nil"/>
            </w:tcBorders>
          </w:tcPr>
          <w:p>
            <w:pPr>
              <w:widowControl/>
              <w:spacing w:line="240" w:lineRule="exact"/>
              <w:rPr>
                <w:sz w:val="18"/>
                <w:szCs w:val="18"/>
              </w:rPr>
            </w:pPr>
          </w:p>
        </w:tc>
        <w:tc>
          <w:tcPr>
            <w:tcW w:w="1100" w:type="dxa"/>
            <w:tcBorders>
              <w:tl2br w:val="nil"/>
              <w:tr2bl w:val="nil"/>
            </w:tcBorders>
          </w:tcPr>
          <w:p>
            <w:pPr>
              <w:widowControl/>
              <w:spacing w:line="240" w:lineRule="exact"/>
              <w:ind w:left="108" w:right="252"/>
              <w:jc w:val="left"/>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鼠标其他要求</w:t>
            </w:r>
          </w:p>
        </w:tc>
        <w:tc>
          <w:tcPr>
            <w:tcW w:w="6112" w:type="dxa"/>
            <w:gridSpan w:val="4"/>
            <w:tcBorders>
              <w:tl2br w:val="nil"/>
              <w:tr2bl w:val="nil"/>
            </w:tcBorders>
          </w:tcPr>
          <w:p>
            <w:pPr>
              <w:widowControl/>
              <w:spacing w:line="240" w:lineRule="exact"/>
              <w:ind w:left="108"/>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 xml:space="preserve">其它参数应符合 </w:t>
            </w:r>
            <w:r>
              <w:rPr>
                <w:rFonts w:ascii="黑体" w:hAnsi="黑体" w:eastAsia="黑体"/>
                <w:spacing w:val="-3"/>
                <w:sz w:val="18"/>
                <w:szCs w:val="18"/>
              </w:rPr>
              <w:t xml:space="preserve">GB/T 26245 </w:t>
            </w:r>
            <w:r>
              <w:rPr>
                <w:rFonts w:ascii="黑体" w:hAnsi="黑体" w:eastAsia="黑体"/>
                <w:spacing w:val="-3"/>
                <w:sz w:val="18"/>
                <w:szCs w:val="18"/>
                <w:lang w:val="zh-CN"/>
              </w:rPr>
              <w:t>的相关规定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509"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35</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continue"/>
            <w:tcBorders>
              <w:tl2br w:val="nil"/>
              <w:tr2bl w:val="nil"/>
            </w:tcBorders>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5"/>
              <w:jc w:val="left"/>
              <w:textAlignment w:val="baseline"/>
              <w:rPr>
                <w:rFonts w:ascii="黑体" w:hAnsi="黑体" w:eastAsia="黑体"/>
                <w:sz w:val="18"/>
                <w:szCs w:val="18"/>
                <w:lang w:val="zh-CN"/>
              </w:rPr>
            </w:pPr>
            <w:r>
              <w:rPr>
                <w:rFonts w:ascii="黑体" w:hAnsi="黑体" w:eastAsia="黑体"/>
                <w:sz w:val="18"/>
                <w:szCs w:val="18"/>
                <w:lang w:val="zh-CN"/>
              </w:rPr>
              <w:t>内置光驱</w:t>
            </w:r>
          </w:p>
        </w:tc>
        <w:tc>
          <w:tcPr>
            <w:tcW w:w="6112" w:type="dxa"/>
            <w:gridSpan w:val="4"/>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hint="eastAsia" w:ascii="黑体" w:hAnsi="黑体" w:eastAsia="黑体"/>
                <w:sz w:val="18"/>
                <w:szCs w:val="18"/>
                <w:lang w:val="zh-CN"/>
              </w:rPr>
              <w:t>无</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791"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36</w:t>
            </w:r>
          </w:p>
        </w:tc>
        <w:tc>
          <w:tcPr>
            <w:tcW w:w="790" w:type="dxa"/>
            <w:gridSpan w:val="2"/>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tcBorders>
              <w:tl2br w:val="nil"/>
              <w:tr2bl w:val="nil"/>
            </w:tcBorders>
            <w:vAlign w:val="center"/>
          </w:tcPr>
          <w:p>
            <w:pPr>
              <w:widowControl/>
              <w:spacing w:line="240" w:lineRule="exact"/>
              <w:textAlignment w:val="baseline"/>
              <w:rPr>
                <w:rFonts w:ascii="黑体" w:hAnsi="黑体" w:eastAsia="黑体"/>
                <w:sz w:val="18"/>
                <w:szCs w:val="18"/>
                <w:lang w:val="zh-CN"/>
              </w:rPr>
            </w:pPr>
            <w:r>
              <w:rPr>
                <w:rFonts w:hint="eastAsia"/>
              </w:rPr>
              <w:t>★</w:t>
            </w:r>
            <w:r>
              <w:rPr>
                <w:rFonts w:hint="eastAsia" w:ascii="黑体" w:hAnsi="黑体" w:eastAsia="黑体"/>
                <w:sz w:val="18"/>
                <w:szCs w:val="18"/>
                <w:lang w:val="zh-CN"/>
              </w:rPr>
              <w:t>网络设备规格</w:t>
            </w: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有线网卡数量</w:t>
            </w:r>
          </w:p>
        </w:tc>
        <w:tc>
          <w:tcPr>
            <w:tcW w:w="6112" w:type="dxa"/>
            <w:gridSpan w:val="4"/>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551"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37</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restart"/>
            <w:tcBorders>
              <w:tl2br w:val="nil"/>
              <w:tr2bl w:val="nil"/>
            </w:tcBorders>
            <w:vAlign w:val="center"/>
          </w:tcPr>
          <w:p>
            <w:pPr>
              <w:widowControl/>
              <w:spacing w:line="240" w:lineRule="exact"/>
              <w:jc w:val="center"/>
              <w:textAlignment w:val="baseline"/>
              <w:rPr>
                <w:rFonts w:ascii="黑体" w:hAnsi="黑体" w:eastAsia="黑体"/>
                <w:sz w:val="18"/>
                <w:szCs w:val="18"/>
                <w:lang w:val="zh-CN"/>
              </w:rPr>
            </w:pPr>
            <w:r>
              <w:rPr>
                <w:rFonts w:hint="eastAsia"/>
              </w:rPr>
              <w:t>★</w:t>
            </w:r>
            <w:r>
              <w:rPr>
                <w:rFonts w:ascii="黑体" w:hAnsi="黑体" w:eastAsia="黑体"/>
                <w:sz w:val="18"/>
                <w:szCs w:val="18"/>
                <w:lang w:val="zh-CN"/>
              </w:rPr>
              <w:t>外部</w:t>
            </w:r>
            <w:r>
              <w:rPr>
                <w:rFonts w:ascii="黑体" w:hAnsi="黑体" w:eastAsia="黑体"/>
                <w:sz w:val="18"/>
                <w:szCs w:val="18"/>
              </w:rPr>
              <w:br w:type="textWrapping"/>
            </w:r>
            <w:r>
              <w:rPr>
                <w:rFonts w:ascii="黑体" w:hAnsi="黑体" w:eastAsia="黑体"/>
                <w:sz w:val="18"/>
                <w:szCs w:val="18"/>
                <w:lang w:val="zh-CN"/>
              </w:rPr>
              <w:t>接口</w:t>
            </w:r>
            <w:r>
              <w:rPr>
                <w:rFonts w:ascii="黑体" w:hAnsi="黑体" w:eastAsia="黑体"/>
                <w:sz w:val="18"/>
                <w:szCs w:val="18"/>
              </w:rPr>
              <w:br w:type="textWrapping"/>
            </w:r>
            <w:r>
              <w:rPr>
                <w:rFonts w:ascii="黑体" w:hAnsi="黑体" w:eastAsia="黑体"/>
                <w:sz w:val="18"/>
                <w:szCs w:val="18"/>
                <w:lang w:val="zh-CN"/>
              </w:rPr>
              <w:t>规格</w:t>
            </w:r>
          </w:p>
        </w:tc>
        <w:tc>
          <w:tcPr>
            <w:tcW w:w="1100" w:type="dxa"/>
            <w:tcBorders>
              <w:tl2br w:val="nil"/>
              <w:tr2bl w:val="nil"/>
            </w:tcBorders>
          </w:tcPr>
          <w:p>
            <w:pPr>
              <w:widowControl/>
              <w:spacing w:line="240" w:lineRule="exact"/>
              <w:ind w:left="108"/>
              <w:jc w:val="left"/>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rPr>
              <w:t xml:space="preserve">USB </w:t>
            </w:r>
            <w:r>
              <w:rPr>
                <w:rFonts w:ascii="黑体" w:hAnsi="黑体" w:eastAsia="黑体"/>
                <w:spacing w:val="-3"/>
                <w:sz w:val="18"/>
                <w:szCs w:val="18"/>
                <w:lang w:val="zh-CN"/>
              </w:rPr>
              <w:t>接口数量</w:t>
            </w:r>
          </w:p>
        </w:tc>
        <w:tc>
          <w:tcPr>
            <w:tcW w:w="6112" w:type="dxa"/>
            <w:gridSpan w:val="4"/>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机箱前面板应提供不少于</w:t>
            </w:r>
            <w:r>
              <w:rPr>
                <w:rFonts w:hint="eastAsia" w:ascii="黑体" w:hAnsi="黑体" w:eastAsia="黑体"/>
                <w:spacing w:val="-3"/>
                <w:sz w:val="18"/>
                <w:szCs w:val="18"/>
              </w:rPr>
              <w:t>4</w:t>
            </w:r>
            <w:r>
              <w:rPr>
                <w:rFonts w:ascii="黑体" w:hAnsi="黑体" w:eastAsia="黑体"/>
                <w:spacing w:val="-3"/>
                <w:sz w:val="18"/>
                <w:szCs w:val="18"/>
                <w:lang w:val="zh-CN"/>
              </w:rPr>
              <w:t xml:space="preserve"> 个 </w:t>
            </w:r>
            <w:r>
              <w:rPr>
                <w:rFonts w:ascii="黑体" w:hAnsi="黑体" w:eastAsia="黑体"/>
                <w:spacing w:val="-3"/>
                <w:sz w:val="18"/>
                <w:szCs w:val="18"/>
              </w:rPr>
              <w:t xml:space="preserve">USB </w:t>
            </w:r>
            <w:r>
              <w:rPr>
                <w:rFonts w:ascii="黑体" w:hAnsi="黑体" w:eastAsia="黑体"/>
                <w:spacing w:val="-3"/>
                <w:sz w:val="18"/>
                <w:szCs w:val="18"/>
                <w:lang w:val="zh-CN"/>
              </w:rPr>
              <w:t>接口(含</w:t>
            </w:r>
            <w:r>
              <w:rPr>
                <w:rFonts w:ascii="黑体" w:hAnsi="黑体" w:eastAsia="黑体"/>
                <w:spacing w:val="-3"/>
                <w:sz w:val="18"/>
                <w:szCs w:val="18"/>
              </w:rPr>
              <w:t>2</w:t>
            </w:r>
            <w:r>
              <w:rPr>
                <w:rFonts w:ascii="黑体" w:hAnsi="黑体" w:eastAsia="黑体"/>
                <w:spacing w:val="-3"/>
                <w:sz w:val="18"/>
                <w:szCs w:val="18"/>
                <w:lang w:val="zh-CN"/>
              </w:rPr>
              <w:t xml:space="preserve"> 个 </w:t>
            </w:r>
            <w:r>
              <w:rPr>
                <w:rFonts w:ascii="黑体" w:hAnsi="黑体" w:eastAsia="黑体"/>
                <w:spacing w:val="-3"/>
                <w:sz w:val="18"/>
                <w:szCs w:val="18"/>
              </w:rPr>
              <w:t xml:space="preserve">USB3.2 </w:t>
            </w:r>
            <w:r>
              <w:rPr>
                <w:rFonts w:hint="eastAsia" w:ascii="黑体" w:hAnsi="黑体" w:eastAsia="黑体"/>
                <w:spacing w:val="-3"/>
                <w:sz w:val="18"/>
                <w:szCs w:val="18"/>
                <w:lang w:val="zh-CN"/>
              </w:rPr>
              <w:t>或</w:t>
            </w:r>
            <w:r>
              <w:rPr>
                <w:rFonts w:ascii="黑体" w:hAnsi="黑体" w:eastAsia="黑体"/>
                <w:spacing w:val="-3"/>
                <w:sz w:val="18"/>
                <w:szCs w:val="18"/>
                <w:lang w:val="zh-CN"/>
              </w:rPr>
              <w:t>以上接口)</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580"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38</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continue"/>
            <w:tcBorders>
              <w:tl2br w:val="nil"/>
              <w:tr2bl w:val="nil"/>
            </w:tcBorders>
          </w:tcPr>
          <w:p>
            <w:pPr>
              <w:widowControl/>
              <w:spacing w:line="240" w:lineRule="exact"/>
              <w:rPr>
                <w:rFonts w:ascii="黑体" w:hAnsi="黑体" w:eastAsia="黑体"/>
                <w:sz w:val="18"/>
                <w:szCs w:val="18"/>
                <w:lang w:val="zh-CN"/>
              </w:rPr>
            </w:pPr>
          </w:p>
        </w:tc>
        <w:tc>
          <w:tcPr>
            <w:tcW w:w="1100" w:type="dxa"/>
            <w:tcBorders>
              <w:tl2br w:val="nil"/>
              <w:tr2bl w:val="nil"/>
            </w:tcBorders>
          </w:tcPr>
          <w:p>
            <w:pPr>
              <w:widowControl/>
              <w:spacing w:line="240" w:lineRule="exact"/>
              <w:ind w:left="108" w:right="252"/>
              <w:jc w:val="left"/>
              <w:textAlignment w:val="baseline"/>
              <w:rPr>
                <w:rFonts w:ascii="黑体" w:hAnsi="黑体" w:eastAsia="黑体"/>
                <w:spacing w:val="-3"/>
                <w:sz w:val="18"/>
                <w:szCs w:val="18"/>
                <w:lang w:val="zh-CN"/>
              </w:rPr>
            </w:pPr>
            <w:r>
              <w:rPr>
                <w:rFonts w:hint="eastAsia"/>
              </w:rPr>
              <w:t>★</w:t>
            </w:r>
            <w:r>
              <w:rPr>
                <w:rFonts w:ascii="黑体" w:hAnsi="黑体" w:eastAsia="黑体"/>
                <w:spacing w:val="-4"/>
                <w:sz w:val="18"/>
                <w:szCs w:val="18"/>
                <w:lang w:val="zh-CN"/>
              </w:rPr>
              <w:t>视频接口数量</w:t>
            </w:r>
          </w:p>
        </w:tc>
        <w:tc>
          <w:tcPr>
            <w:tcW w:w="6112" w:type="dxa"/>
            <w:gridSpan w:val="4"/>
            <w:tcBorders>
              <w:tl2br w:val="nil"/>
              <w:tr2bl w:val="nil"/>
            </w:tcBorders>
            <w:vAlign w:val="center"/>
          </w:tcPr>
          <w:p>
            <w:pPr>
              <w:widowControl/>
              <w:spacing w:line="240" w:lineRule="exact"/>
              <w:ind w:left="105"/>
              <w:jc w:val="left"/>
              <w:textAlignment w:val="baseline"/>
              <w:rPr>
                <w:rFonts w:hint="eastAsia" w:ascii="黑体" w:hAnsi="黑体" w:eastAsia="黑体"/>
                <w:spacing w:val="-3"/>
                <w:sz w:val="18"/>
                <w:szCs w:val="18"/>
                <w:lang w:val="en-US" w:eastAsia="zh-CN"/>
              </w:rPr>
            </w:pPr>
            <w:r>
              <w:rPr>
                <w:rFonts w:ascii="黑体" w:hAnsi="黑体" w:eastAsia="黑体"/>
                <w:sz w:val="18"/>
                <w:szCs w:val="18"/>
                <w:lang w:val="zh-CN"/>
              </w:rPr>
              <w:t>≥</w:t>
            </w:r>
            <w:r>
              <w:rPr>
                <w:rFonts w:hint="eastAsia" w:ascii="黑体" w:hAnsi="黑体" w:eastAsia="黑体"/>
                <w:sz w:val="18"/>
                <w:szCs w:val="18"/>
                <w:lang w:val="en-US" w:eastAsia="zh-CN"/>
              </w:rPr>
              <w:t>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559"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39</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continue"/>
            <w:tcBorders>
              <w:tl2br w:val="nil"/>
              <w:tr2bl w:val="nil"/>
            </w:tcBorders>
          </w:tcPr>
          <w:p>
            <w:pPr>
              <w:widowControl/>
              <w:spacing w:line="240" w:lineRule="exact"/>
              <w:rPr>
                <w:rFonts w:ascii="黑体" w:hAnsi="黑体" w:eastAsia="黑体"/>
                <w:sz w:val="18"/>
                <w:szCs w:val="18"/>
                <w:lang w:val="zh-CN"/>
              </w:rPr>
            </w:pPr>
          </w:p>
        </w:tc>
        <w:tc>
          <w:tcPr>
            <w:tcW w:w="1100" w:type="dxa"/>
            <w:tcBorders>
              <w:tl2br w:val="nil"/>
              <w:tr2bl w:val="nil"/>
            </w:tcBorders>
          </w:tcPr>
          <w:p>
            <w:pPr>
              <w:widowControl/>
              <w:spacing w:line="240" w:lineRule="exact"/>
              <w:ind w:left="108" w:right="252"/>
              <w:jc w:val="left"/>
              <w:textAlignment w:val="baseline"/>
              <w:rPr>
                <w:rFonts w:ascii="黑体" w:hAnsi="黑体" w:eastAsia="黑体"/>
                <w:spacing w:val="-3"/>
                <w:sz w:val="18"/>
                <w:szCs w:val="18"/>
                <w:lang w:val="zh-CN"/>
              </w:rPr>
            </w:pPr>
            <w:r>
              <w:rPr>
                <w:rFonts w:hint="eastAsia"/>
              </w:rPr>
              <w:t>★</w:t>
            </w:r>
            <w:r>
              <w:rPr>
                <w:rFonts w:ascii="黑体" w:hAnsi="黑体" w:eastAsia="黑体"/>
                <w:spacing w:val="-4"/>
                <w:sz w:val="18"/>
                <w:szCs w:val="18"/>
                <w:lang w:val="zh-CN"/>
              </w:rPr>
              <w:t>音频接口数量</w:t>
            </w:r>
          </w:p>
        </w:tc>
        <w:tc>
          <w:tcPr>
            <w:tcW w:w="6112" w:type="dxa"/>
            <w:gridSpan w:val="4"/>
            <w:tcBorders>
              <w:tl2br w:val="nil"/>
              <w:tr2bl w:val="nil"/>
            </w:tcBorders>
            <w:vAlign w:val="center"/>
          </w:tcPr>
          <w:p>
            <w:pPr>
              <w:widowControl/>
              <w:spacing w:line="240" w:lineRule="exact"/>
              <w:ind w:left="105"/>
              <w:jc w:val="left"/>
              <w:textAlignment w:val="baseline"/>
              <w:rPr>
                <w:rFonts w:ascii="黑体" w:hAnsi="黑体" w:eastAsia="黑体"/>
                <w:spacing w:val="-3"/>
                <w:sz w:val="18"/>
                <w:szCs w:val="18"/>
                <w:lang w:val="zh-CN"/>
              </w:rPr>
            </w:pPr>
            <w:r>
              <w:rPr>
                <w:rFonts w:ascii="黑体" w:hAnsi="黑体" w:eastAsia="黑体"/>
                <w:sz w:val="18"/>
                <w:szCs w:val="18"/>
                <w:lang w:val="zh-CN"/>
              </w:rP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4"/>
          <w:wBefore w:w="11" w:type="dxa"/>
          <w:wAfter w:w="138" w:type="dxa"/>
          <w:trHeight w:val="911"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40</w:t>
            </w:r>
          </w:p>
        </w:tc>
        <w:tc>
          <w:tcPr>
            <w:tcW w:w="790" w:type="dxa"/>
            <w:gridSpan w:val="2"/>
            <w:tcBorders>
              <w:tl2br w:val="nil"/>
              <w:tr2bl w:val="nil"/>
            </w:tcBorders>
            <w:vAlign w:val="center"/>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restart"/>
            <w:tcBorders>
              <w:tl2br w:val="nil"/>
              <w:tr2bl w:val="nil"/>
            </w:tcBorders>
            <w:vAlign w:val="center"/>
          </w:tcPr>
          <w:p>
            <w:pPr>
              <w:widowControl/>
              <w:spacing w:line="240" w:lineRule="exact"/>
              <w:jc w:val="center"/>
              <w:textAlignment w:val="baseline"/>
              <w:rPr>
                <w:rFonts w:ascii="黑体" w:hAnsi="黑体" w:eastAsia="黑体"/>
                <w:sz w:val="18"/>
                <w:szCs w:val="18"/>
                <w:lang w:val="zh-CN"/>
              </w:rPr>
            </w:pPr>
            <w:r>
              <w:rPr>
                <w:rFonts w:hint="eastAsia"/>
              </w:rPr>
              <w:t>★</w:t>
            </w:r>
            <w:r>
              <w:rPr>
                <w:rFonts w:ascii="黑体" w:hAnsi="黑体" w:eastAsia="黑体"/>
                <w:sz w:val="18"/>
                <w:szCs w:val="18"/>
                <w:lang w:val="zh-CN"/>
              </w:rPr>
              <w:t>整机</w:t>
            </w:r>
            <w:r>
              <w:rPr>
                <w:rFonts w:ascii="黑体" w:hAnsi="黑体" w:eastAsia="黑体"/>
                <w:sz w:val="18"/>
                <w:szCs w:val="18"/>
              </w:rPr>
              <w:br w:type="textWrapping"/>
            </w:r>
            <w:r>
              <w:rPr>
                <w:rFonts w:ascii="黑体" w:hAnsi="黑体" w:eastAsia="黑体"/>
                <w:sz w:val="18"/>
                <w:szCs w:val="18"/>
                <w:lang w:val="zh-CN"/>
              </w:rPr>
              <w:t>基础</w:t>
            </w:r>
            <w:r>
              <w:rPr>
                <w:rFonts w:ascii="黑体" w:hAnsi="黑体" w:eastAsia="黑体"/>
                <w:sz w:val="18"/>
                <w:szCs w:val="18"/>
              </w:rPr>
              <w:br w:type="textWrapping"/>
            </w:r>
            <w:r>
              <w:rPr>
                <w:rFonts w:ascii="黑体" w:hAnsi="黑体" w:eastAsia="黑体"/>
                <w:sz w:val="18"/>
                <w:szCs w:val="18"/>
                <w:lang w:val="zh-CN"/>
              </w:rPr>
              <w:t>规格</w:t>
            </w:r>
          </w:p>
        </w:tc>
        <w:tc>
          <w:tcPr>
            <w:tcW w:w="1100" w:type="dxa"/>
            <w:tcBorders>
              <w:tl2br w:val="nil"/>
              <w:tr2bl w:val="nil"/>
            </w:tcBorders>
            <w:vAlign w:val="center"/>
          </w:tcPr>
          <w:p>
            <w:pPr>
              <w:widowControl/>
              <w:spacing w:line="240" w:lineRule="exact"/>
              <w:ind w:left="108" w:right="252"/>
              <w:jc w:val="left"/>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整机外观</w:t>
            </w:r>
          </w:p>
        </w:tc>
        <w:tc>
          <w:tcPr>
            <w:tcW w:w="6097" w:type="dxa"/>
            <w:gridSpan w:val="3"/>
            <w:tcBorders>
              <w:tl2br w:val="nil"/>
              <w:tr2bl w:val="nil"/>
            </w:tcBorders>
            <w:vAlign w:val="center"/>
          </w:tcPr>
          <w:p>
            <w:pPr>
              <w:widowControl/>
              <w:numPr>
                <w:ilvl w:val="0"/>
                <w:numId w:val="11"/>
              </w:numPr>
              <w:tabs>
                <w:tab w:val="left" w:pos="360"/>
                <w:tab w:val="clear" w:pos="216"/>
              </w:tabs>
              <w:spacing w:line="240" w:lineRule="exact"/>
              <w:ind w:left="144" w:right="144"/>
              <w:textAlignment w:val="baseline"/>
              <w:rPr>
                <w:rFonts w:ascii="黑体" w:hAnsi="黑体" w:eastAsia="黑体"/>
                <w:spacing w:val="-3"/>
                <w:sz w:val="18"/>
                <w:szCs w:val="18"/>
                <w:lang w:val="zh-CN"/>
              </w:rPr>
            </w:pPr>
            <w:r>
              <w:rPr>
                <w:rFonts w:ascii="黑体" w:hAnsi="黑体" w:eastAsia="黑体"/>
                <w:spacing w:val="-3"/>
                <w:sz w:val="18"/>
                <w:szCs w:val="18"/>
                <w:lang w:val="zh-CN"/>
              </w:rPr>
              <w:t>产品表面不应有凹痕、划伤、裂缝、 变形和污染等。表面涂层均匀</w:t>
            </w:r>
            <w:r>
              <w:rPr>
                <w:rFonts w:hint="eastAsia" w:ascii="黑体" w:hAnsi="黑体" w:eastAsia="黑体"/>
                <w:spacing w:val="-3"/>
                <w:sz w:val="18"/>
                <w:szCs w:val="18"/>
                <w:lang w:val="zh-CN"/>
              </w:rPr>
              <w:t>，</w:t>
            </w:r>
            <w:r>
              <w:rPr>
                <w:rFonts w:ascii="黑体" w:hAnsi="黑体" w:eastAsia="黑体"/>
                <w:spacing w:val="-3"/>
                <w:sz w:val="18"/>
                <w:szCs w:val="18"/>
                <w:lang w:val="zh-CN"/>
              </w:rPr>
              <w:t>不应起泡、龟裂、脱落和磨损</w:t>
            </w:r>
            <w:r>
              <w:rPr>
                <w:rFonts w:hint="eastAsia" w:ascii="黑体" w:hAnsi="黑体" w:eastAsia="黑体"/>
                <w:spacing w:val="-3"/>
                <w:sz w:val="18"/>
                <w:szCs w:val="18"/>
                <w:lang w:val="zh-CN"/>
              </w:rPr>
              <w:t>，</w:t>
            </w:r>
            <w:r>
              <w:rPr>
                <w:rFonts w:ascii="黑体" w:hAnsi="黑体" w:eastAsia="黑体"/>
                <w:spacing w:val="-3"/>
                <w:sz w:val="18"/>
                <w:szCs w:val="18"/>
                <w:lang w:val="zh-CN"/>
              </w:rPr>
              <w:t>金属零部件无锈蚀及其它机械损伤</w:t>
            </w:r>
            <w:r>
              <w:rPr>
                <w:rFonts w:hint="eastAsia" w:ascii="黑体" w:hAnsi="黑体" w:eastAsia="黑体"/>
                <w:spacing w:val="-3"/>
                <w:sz w:val="18"/>
                <w:szCs w:val="18"/>
                <w:lang w:val="zh-CN"/>
              </w:rPr>
              <w:t>；</w:t>
            </w:r>
          </w:p>
          <w:p>
            <w:pPr>
              <w:widowControl/>
              <w:numPr>
                <w:ilvl w:val="0"/>
                <w:numId w:val="11"/>
              </w:numPr>
              <w:tabs>
                <w:tab w:val="left" w:pos="360"/>
                <w:tab w:val="clear" w:pos="216"/>
              </w:tabs>
              <w:spacing w:line="240" w:lineRule="exact"/>
              <w:ind w:left="144" w:right="216"/>
              <w:textAlignment w:val="baseline"/>
              <w:rPr>
                <w:rFonts w:ascii="黑体" w:hAnsi="黑体" w:eastAsia="黑体"/>
                <w:spacing w:val="-3"/>
                <w:sz w:val="18"/>
                <w:szCs w:val="18"/>
                <w:lang w:val="zh-CN"/>
              </w:rPr>
            </w:pPr>
            <w:r>
              <w:rPr>
                <w:rFonts w:ascii="黑体" w:hAnsi="黑体" w:eastAsia="黑体"/>
                <w:spacing w:val="-3"/>
                <w:sz w:val="18"/>
                <w:szCs w:val="18"/>
                <w:lang w:val="zh-CN"/>
              </w:rPr>
              <w:t>产品表面说明功能的文字、符号、 标志</w:t>
            </w:r>
            <w:r>
              <w:rPr>
                <w:rFonts w:hint="eastAsia" w:ascii="黑体" w:hAnsi="黑体" w:eastAsia="黑体"/>
                <w:spacing w:val="-3"/>
                <w:sz w:val="18"/>
                <w:szCs w:val="18"/>
                <w:lang w:val="zh-CN"/>
              </w:rPr>
              <w:t>，</w:t>
            </w:r>
            <w:r>
              <w:rPr>
                <w:rFonts w:ascii="黑体" w:hAnsi="黑体" w:eastAsia="黑体"/>
                <w:spacing w:val="-3"/>
                <w:sz w:val="18"/>
                <w:szCs w:val="18"/>
                <w:lang w:val="zh-CN"/>
              </w:rPr>
              <w:t>应清晰、端正、牢固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4"/>
          <w:wBefore w:w="11" w:type="dxa"/>
          <w:wAfter w:w="138" w:type="dxa"/>
          <w:trHeight w:val="607"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41</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pacing w:val="1"/>
                <w:sz w:val="18"/>
                <w:szCs w:val="18"/>
                <w:highlight w:val="yellow"/>
                <w:lang w:val="zh-CN"/>
              </w:rPr>
            </w:pPr>
            <w:r>
              <w:rPr>
                <w:rFonts w:hint="eastAsia"/>
              </w:rPr>
              <w:t>★</w:t>
            </w:r>
            <w:r>
              <w:rPr>
                <w:rFonts w:ascii="黑体" w:hAnsi="黑体" w:eastAsia="黑体"/>
                <w:spacing w:val="1"/>
                <w:sz w:val="18"/>
                <w:szCs w:val="18"/>
                <w:lang w:val="zh-CN"/>
              </w:rPr>
              <w:t>状态指示灯</w:t>
            </w:r>
          </w:p>
        </w:tc>
        <w:tc>
          <w:tcPr>
            <w:tcW w:w="6097" w:type="dxa"/>
            <w:gridSpan w:val="3"/>
            <w:tcBorders>
              <w:tl2br w:val="nil"/>
              <w:tr2bl w:val="nil"/>
            </w:tcBorders>
            <w:vAlign w:val="center"/>
          </w:tcPr>
          <w:p>
            <w:pPr>
              <w:widowControl/>
              <w:spacing w:line="240" w:lineRule="exact"/>
              <w:ind w:left="108" w:right="180"/>
              <w:textAlignment w:val="baseline"/>
              <w:rPr>
                <w:rFonts w:ascii="黑体" w:hAnsi="黑体" w:eastAsia="黑体"/>
                <w:sz w:val="18"/>
                <w:szCs w:val="18"/>
                <w:lang w:val="zh-CN"/>
              </w:rPr>
            </w:pPr>
            <w:r>
              <w:rPr>
                <w:rFonts w:ascii="黑体" w:hAnsi="黑体" w:eastAsia="黑体"/>
                <w:sz w:val="18"/>
                <w:szCs w:val="18"/>
                <w:lang w:val="zh-CN"/>
              </w:rPr>
              <w:t>提供状态指示功能</w:t>
            </w:r>
            <w:r>
              <w:rPr>
                <w:rFonts w:hint="eastAsia" w:ascii="黑体" w:hAnsi="黑体" w:eastAsia="黑体"/>
                <w:sz w:val="18"/>
                <w:szCs w:val="18"/>
                <w:lang w:val="zh-CN"/>
              </w:rPr>
              <w:t>，</w:t>
            </w:r>
            <w:r>
              <w:rPr>
                <w:rFonts w:ascii="黑体" w:hAnsi="黑体" w:eastAsia="黑体"/>
                <w:sz w:val="18"/>
                <w:szCs w:val="18"/>
                <w:lang w:val="zh-CN"/>
              </w:rPr>
              <w:t xml:space="preserve"> 如运行状态</w:t>
            </w:r>
            <w:r>
              <w:rPr>
                <w:rFonts w:hint="eastAsia" w:ascii="黑体" w:hAnsi="黑体" w:eastAsia="黑体"/>
                <w:sz w:val="18"/>
                <w:szCs w:val="18"/>
                <w:lang w:val="zh-CN"/>
              </w:rPr>
              <w:t>，</w:t>
            </w:r>
            <w:r>
              <w:rPr>
                <w:rFonts w:ascii="黑体" w:hAnsi="黑体" w:eastAsia="黑体"/>
                <w:sz w:val="18"/>
                <w:szCs w:val="18"/>
                <w:lang w:val="zh-CN"/>
              </w:rPr>
              <w:t>并由供应商提供详细参数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4"/>
          <w:wBefore w:w="11" w:type="dxa"/>
          <w:wAfter w:w="138" w:type="dxa"/>
          <w:trHeight w:val="4819"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42</w:t>
            </w:r>
          </w:p>
        </w:tc>
        <w:tc>
          <w:tcPr>
            <w:tcW w:w="790" w:type="dxa"/>
            <w:gridSpan w:val="2"/>
            <w:tcBorders>
              <w:tl2br w:val="nil"/>
              <w:tr2bl w:val="nil"/>
            </w:tcBorders>
            <w:vAlign w:val="center"/>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252"/>
              <w:jc w:val="left"/>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整机结构</w:t>
            </w:r>
          </w:p>
        </w:tc>
        <w:tc>
          <w:tcPr>
            <w:tcW w:w="6097" w:type="dxa"/>
            <w:gridSpan w:val="3"/>
            <w:tcBorders>
              <w:tl2br w:val="nil"/>
              <w:tr2bl w:val="nil"/>
            </w:tcBorders>
            <w:vAlign w:val="center"/>
          </w:tcPr>
          <w:p>
            <w:pPr>
              <w:widowControl/>
              <w:numPr>
                <w:ilvl w:val="0"/>
                <w:numId w:val="12"/>
              </w:numPr>
              <w:tabs>
                <w:tab w:val="left" w:pos="360"/>
                <w:tab w:val="clear" w:pos="216"/>
              </w:tabs>
              <w:spacing w:line="240" w:lineRule="exact"/>
              <w:ind w:left="144"/>
              <w:textAlignment w:val="baseline"/>
              <w:rPr>
                <w:rFonts w:ascii="黑体" w:hAnsi="黑体" w:eastAsia="黑体"/>
                <w:spacing w:val="-3"/>
                <w:sz w:val="18"/>
                <w:szCs w:val="18"/>
                <w:lang w:val="zh-CN"/>
              </w:rPr>
            </w:pPr>
            <w:r>
              <w:rPr>
                <w:rFonts w:ascii="黑体" w:hAnsi="黑体" w:eastAsia="黑体"/>
                <w:spacing w:val="-3"/>
                <w:sz w:val="18"/>
                <w:szCs w:val="18"/>
                <w:lang w:val="zh-CN"/>
              </w:rPr>
              <w:t xml:space="preserve">机箱应符合 </w:t>
            </w:r>
            <w:r>
              <w:rPr>
                <w:rFonts w:ascii="黑体" w:hAnsi="黑体" w:eastAsia="黑体"/>
                <w:spacing w:val="-3"/>
                <w:sz w:val="18"/>
                <w:szCs w:val="18"/>
              </w:rPr>
              <w:t>GB/T 420</w:t>
            </w:r>
            <w:r>
              <w:rPr>
                <w:rFonts w:hint="eastAsia" w:ascii="黑体" w:hAnsi="黑体" w:eastAsia="黑体"/>
                <w:spacing w:val="-3"/>
                <w:sz w:val="18"/>
                <w:szCs w:val="18"/>
              </w:rPr>
              <w:t>8.</w:t>
            </w:r>
            <w:r>
              <w:rPr>
                <w:rFonts w:ascii="黑体" w:hAnsi="黑体" w:eastAsia="黑体"/>
                <w:spacing w:val="-3"/>
                <w:sz w:val="18"/>
                <w:szCs w:val="18"/>
              </w:rPr>
              <w:t xml:space="preserve">GB/T 26246 </w:t>
            </w:r>
            <w:r>
              <w:rPr>
                <w:rFonts w:ascii="黑体" w:hAnsi="黑体" w:eastAsia="黑体"/>
                <w:spacing w:val="-3"/>
                <w:sz w:val="18"/>
                <w:szCs w:val="18"/>
                <w:lang w:val="zh-CN"/>
              </w:rPr>
              <w:t>的相关规定</w:t>
            </w:r>
            <w:r>
              <w:rPr>
                <w:rFonts w:hint="eastAsia" w:ascii="黑体" w:hAnsi="黑体" w:eastAsia="黑体"/>
                <w:spacing w:val="-3"/>
                <w:sz w:val="18"/>
                <w:szCs w:val="18"/>
                <w:lang w:val="zh-CN"/>
              </w:rPr>
              <w:t>；</w:t>
            </w:r>
          </w:p>
          <w:p>
            <w:pPr>
              <w:widowControl/>
              <w:numPr>
                <w:ilvl w:val="0"/>
                <w:numId w:val="12"/>
              </w:numPr>
              <w:tabs>
                <w:tab w:val="left" w:pos="360"/>
                <w:tab w:val="clear" w:pos="216"/>
              </w:tabs>
              <w:spacing w:line="240" w:lineRule="exact"/>
              <w:ind w:left="144" w:right="288"/>
              <w:textAlignment w:val="baseline"/>
              <w:rPr>
                <w:rFonts w:ascii="黑体" w:hAnsi="黑体" w:eastAsia="黑体"/>
                <w:spacing w:val="-3"/>
                <w:sz w:val="18"/>
                <w:szCs w:val="18"/>
                <w:lang w:val="zh-CN"/>
              </w:rPr>
            </w:pPr>
            <w:r>
              <w:rPr>
                <w:rFonts w:ascii="黑体" w:hAnsi="黑体" w:eastAsia="黑体"/>
                <w:spacing w:val="-3"/>
                <w:sz w:val="18"/>
                <w:szCs w:val="18"/>
                <w:lang w:val="zh-CN"/>
              </w:rPr>
              <w:t>产品内部结构应符合通用部件的安装需求</w:t>
            </w:r>
            <w:r>
              <w:rPr>
                <w:rFonts w:hint="eastAsia" w:ascii="黑体" w:hAnsi="黑体" w:eastAsia="黑体"/>
                <w:spacing w:val="-3"/>
                <w:sz w:val="18"/>
                <w:szCs w:val="18"/>
                <w:lang w:val="zh-CN"/>
              </w:rPr>
              <w:t>；</w:t>
            </w:r>
          </w:p>
          <w:p>
            <w:pPr>
              <w:widowControl/>
              <w:numPr>
                <w:ilvl w:val="0"/>
                <w:numId w:val="12"/>
              </w:numPr>
              <w:tabs>
                <w:tab w:val="left" w:pos="360"/>
                <w:tab w:val="clear" w:pos="216"/>
              </w:tabs>
              <w:spacing w:line="240" w:lineRule="exact"/>
              <w:ind w:left="144" w:right="288"/>
              <w:textAlignment w:val="baseline"/>
              <w:rPr>
                <w:rFonts w:ascii="黑体" w:hAnsi="黑体" w:eastAsia="黑体"/>
                <w:spacing w:val="-3"/>
                <w:sz w:val="18"/>
                <w:szCs w:val="18"/>
                <w:lang w:val="zh-CN"/>
              </w:rPr>
            </w:pPr>
            <w:r>
              <w:rPr>
                <w:rFonts w:ascii="黑体" w:hAnsi="黑体" w:eastAsia="黑体"/>
                <w:spacing w:val="-3"/>
                <w:sz w:val="18"/>
                <w:szCs w:val="18"/>
                <w:lang w:val="zh-CN"/>
              </w:rPr>
              <w:t>所有输入输出接口应符合相关国家或行业标准</w:t>
            </w:r>
            <w:r>
              <w:rPr>
                <w:rFonts w:hint="eastAsia" w:ascii="黑体" w:hAnsi="黑体" w:eastAsia="黑体"/>
                <w:spacing w:val="-3"/>
                <w:sz w:val="18"/>
                <w:szCs w:val="18"/>
                <w:lang w:val="zh-CN"/>
              </w:rPr>
              <w:t>；</w:t>
            </w:r>
          </w:p>
          <w:p>
            <w:pPr>
              <w:widowControl/>
              <w:numPr>
                <w:ilvl w:val="0"/>
                <w:numId w:val="12"/>
              </w:numPr>
              <w:tabs>
                <w:tab w:val="left" w:pos="360"/>
                <w:tab w:val="clear" w:pos="216"/>
              </w:tabs>
              <w:spacing w:line="240" w:lineRule="exact"/>
              <w:ind w:left="144" w:right="144"/>
              <w:textAlignment w:val="baseline"/>
              <w:rPr>
                <w:rFonts w:ascii="黑体" w:hAnsi="黑体" w:eastAsia="黑体"/>
                <w:sz w:val="18"/>
                <w:szCs w:val="18"/>
                <w:lang w:val="zh-CN"/>
              </w:rPr>
            </w:pPr>
            <w:r>
              <w:rPr>
                <w:rFonts w:ascii="黑体" w:hAnsi="黑体" w:eastAsia="黑体"/>
                <w:sz w:val="18"/>
                <w:szCs w:val="18"/>
                <w:lang w:val="zh-CN"/>
              </w:rPr>
              <w:t>产品零部件应紧固无松动</w:t>
            </w:r>
            <w:r>
              <w:rPr>
                <w:rFonts w:hint="eastAsia" w:ascii="黑体" w:hAnsi="黑体" w:eastAsia="黑体"/>
                <w:sz w:val="18"/>
                <w:szCs w:val="18"/>
                <w:lang w:val="zh-CN"/>
              </w:rPr>
              <w:t>，</w:t>
            </w:r>
            <w:r>
              <w:rPr>
                <w:rFonts w:ascii="黑体" w:hAnsi="黑体" w:eastAsia="黑体"/>
                <w:sz w:val="18"/>
                <w:szCs w:val="18"/>
                <w:lang w:val="zh-CN"/>
              </w:rPr>
              <w:t>可插拔部件应可靠连接</w:t>
            </w:r>
            <w:r>
              <w:rPr>
                <w:rFonts w:hint="eastAsia" w:ascii="黑体" w:hAnsi="黑体" w:eastAsia="黑体"/>
                <w:sz w:val="18"/>
                <w:szCs w:val="18"/>
                <w:lang w:val="zh-CN"/>
              </w:rPr>
              <w:t>，</w:t>
            </w:r>
            <w:r>
              <w:rPr>
                <w:rFonts w:ascii="黑体" w:hAnsi="黑体" w:eastAsia="黑体"/>
                <w:sz w:val="18"/>
                <w:szCs w:val="18"/>
                <w:lang w:val="zh-CN"/>
              </w:rPr>
              <w:t>开关、按钮和其它控制部件应灵活可靠</w:t>
            </w:r>
            <w:r>
              <w:rPr>
                <w:rFonts w:hint="eastAsia" w:ascii="黑体" w:hAnsi="黑体" w:eastAsia="黑体"/>
                <w:sz w:val="18"/>
                <w:szCs w:val="18"/>
                <w:lang w:val="zh-CN"/>
              </w:rPr>
              <w:t>，</w:t>
            </w:r>
            <w:r>
              <w:rPr>
                <w:rFonts w:ascii="黑体" w:hAnsi="黑体" w:eastAsia="黑体"/>
                <w:sz w:val="18"/>
                <w:szCs w:val="18"/>
                <w:lang w:val="zh-CN"/>
              </w:rPr>
              <w:t>布局应方便使用</w:t>
            </w:r>
            <w:r>
              <w:rPr>
                <w:rFonts w:hint="eastAsia" w:ascii="黑体" w:hAnsi="黑体" w:eastAsia="黑体"/>
                <w:sz w:val="18"/>
                <w:szCs w:val="18"/>
                <w:lang w:val="zh-CN"/>
              </w:rPr>
              <w:t>；</w:t>
            </w:r>
          </w:p>
          <w:p>
            <w:pPr>
              <w:widowControl/>
              <w:numPr>
                <w:ilvl w:val="0"/>
                <w:numId w:val="12"/>
              </w:numPr>
              <w:tabs>
                <w:tab w:val="left" w:pos="360"/>
                <w:tab w:val="clear" w:pos="216"/>
              </w:tabs>
              <w:spacing w:line="240" w:lineRule="exact"/>
              <w:ind w:left="144" w:right="144"/>
              <w:textAlignment w:val="baseline"/>
              <w:rPr>
                <w:rFonts w:ascii="黑体" w:hAnsi="黑体" w:eastAsia="黑体"/>
                <w:spacing w:val="-3"/>
                <w:sz w:val="18"/>
                <w:szCs w:val="18"/>
                <w:lang w:val="zh-CN"/>
              </w:rPr>
            </w:pPr>
            <w:r>
              <w:rPr>
                <w:rFonts w:ascii="黑体" w:hAnsi="黑体" w:eastAsia="黑体"/>
                <w:spacing w:val="-3"/>
                <w:sz w:val="18"/>
                <w:szCs w:val="18"/>
                <w:lang w:val="zh-CN"/>
              </w:rPr>
              <w:t xml:space="preserve">所有 </w:t>
            </w:r>
            <w:r>
              <w:rPr>
                <w:rFonts w:ascii="黑体" w:hAnsi="黑体" w:eastAsia="黑体"/>
                <w:spacing w:val="-3"/>
                <w:sz w:val="18"/>
                <w:szCs w:val="18"/>
              </w:rPr>
              <w:t xml:space="preserve">I/O </w:t>
            </w:r>
            <w:r>
              <w:rPr>
                <w:rFonts w:ascii="黑体" w:hAnsi="黑体" w:eastAsia="黑体"/>
                <w:spacing w:val="-3"/>
                <w:sz w:val="18"/>
                <w:szCs w:val="18"/>
                <w:lang w:val="zh-CN"/>
              </w:rPr>
              <w:t>连接器及需插接线缆的部位应预留采购人操作空间</w:t>
            </w:r>
            <w:r>
              <w:rPr>
                <w:rFonts w:hint="eastAsia" w:ascii="黑体" w:hAnsi="黑体" w:eastAsia="黑体"/>
                <w:spacing w:val="-3"/>
                <w:sz w:val="18"/>
                <w:szCs w:val="18"/>
                <w:lang w:val="zh-CN"/>
              </w:rPr>
              <w:t>，</w:t>
            </w:r>
            <w:r>
              <w:rPr>
                <w:rFonts w:ascii="黑体" w:hAnsi="黑体" w:eastAsia="黑体"/>
                <w:spacing w:val="-3"/>
                <w:sz w:val="18"/>
                <w:szCs w:val="18"/>
                <w:lang w:val="zh-CN"/>
              </w:rPr>
              <w:t>方便插拔解锁与插拔线缆</w:t>
            </w:r>
            <w:r>
              <w:rPr>
                <w:rFonts w:hint="eastAsia" w:ascii="黑体" w:hAnsi="黑体" w:eastAsia="黑体"/>
                <w:spacing w:val="-3"/>
                <w:sz w:val="18"/>
                <w:szCs w:val="18"/>
                <w:lang w:val="zh-CN"/>
              </w:rPr>
              <w:t>；</w:t>
            </w:r>
          </w:p>
          <w:p>
            <w:pPr>
              <w:widowControl/>
              <w:numPr>
                <w:ilvl w:val="0"/>
                <w:numId w:val="12"/>
              </w:numPr>
              <w:tabs>
                <w:tab w:val="left" w:pos="360"/>
                <w:tab w:val="clear" w:pos="216"/>
              </w:tabs>
              <w:spacing w:line="240" w:lineRule="exact"/>
              <w:ind w:left="144" w:right="216"/>
              <w:textAlignment w:val="baseline"/>
              <w:rPr>
                <w:rFonts w:ascii="黑体" w:hAnsi="黑体" w:eastAsia="黑体"/>
                <w:spacing w:val="-3"/>
                <w:sz w:val="18"/>
                <w:szCs w:val="18"/>
                <w:lang w:val="zh-CN"/>
              </w:rPr>
            </w:pPr>
            <w:r>
              <w:rPr>
                <w:rFonts w:ascii="黑体" w:hAnsi="黑体" w:eastAsia="黑体"/>
                <w:spacing w:val="-3"/>
                <w:sz w:val="18"/>
                <w:szCs w:val="18"/>
                <w:lang w:val="zh-CN"/>
              </w:rPr>
              <w:t>可插拔板卡插槽部位应预留安装、 拆卸或更换板卡空间</w:t>
            </w:r>
            <w:r>
              <w:rPr>
                <w:rFonts w:hint="eastAsia" w:ascii="黑体" w:hAnsi="黑体" w:eastAsia="黑体"/>
                <w:spacing w:val="-3"/>
                <w:sz w:val="18"/>
                <w:szCs w:val="18"/>
                <w:lang w:val="zh-CN"/>
              </w:rPr>
              <w:t>；</w:t>
            </w:r>
          </w:p>
          <w:p>
            <w:pPr>
              <w:widowControl/>
              <w:numPr>
                <w:ilvl w:val="0"/>
                <w:numId w:val="12"/>
              </w:numPr>
              <w:tabs>
                <w:tab w:val="left" w:pos="360"/>
                <w:tab w:val="clear" w:pos="216"/>
              </w:tabs>
              <w:spacing w:line="240" w:lineRule="exact"/>
              <w:ind w:left="144" w:right="216"/>
              <w:textAlignment w:val="baseline"/>
              <w:rPr>
                <w:rFonts w:ascii="黑体" w:hAnsi="黑体" w:eastAsia="黑体"/>
                <w:spacing w:val="-3"/>
                <w:sz w:val="18"/>
                <w:szCs w:val="18"/>
                <w:lang w:val="zh-CN"/>
              </w:rPr>
            </w:pPr>
            <w:r>
              <w:rPr>
                <w:rFonts w:ascii="黑体" w:hAnsi="黑体" w:eastAsia="黑体"/>
                <w:spacing w:val="-3"/>
                <w:sz w:val="18"/>
                <w:szCs w:val="18"/>
                <w:lang w:val="zh-CN"/>
              </w:rPr>
              <w:t>拆装可能接触到的金属剪口或金属尖角部位应做防划伤处理</w:t>
            </w:r>
            <w:r>
              <w:rPr>
                <w:rFonts w:hint="eastAsia" w:ascii="黑体" w:hAnsi="黑体" w:eastAsia="黑体"/>
                <w:spacing w:val="-3"/>
                <w:sz w:val="18"/>
                <w:szCs w:val="18"/>
                <w:lang w:val="zh-CN"/>
              </w:rPr>
              <w:t>，</w:t>
            </w:r>
            <w:r>
              <w:rPr>
                <w:rFonts w:ascii="黑体" w:hAnsi="黑体" w:eastAsia="黑体"/>
                <w:spacing w:val="-3"/>
                <w:sz w:val="18"/>
                <w:szCs w:val="18"/>
                <w:lang w:val="zh-CN"/>
              </w:rPr>
              <w:t>以保证安全</w:t>
            </w:r>
            <w:r>
              <w:rPr>
                <w:rFonts w:hint="eastAsia" w:ascii="黑体" w:hAnsi="黑体" w:eastAsia="黑体"/>
                <w:spacing w:val="-3"/>
                <w:sz w:val="18"/>
                <w:szCs w:val="18"/>
                <w:lang w:val="zh-CN"/>
              </w:rPr>
              <w:t>；</w:t>
            </w:r>
          </w:p>
          <w:p>
            <w:pPr>
              <w:widowControl/>
              <w:numPr>
                <w:ilvl w:val="0"/>
                <w:numId w:val="12"/>
              </w:numPr>
              <w:tabs>
                <w:tab w:val="left" w:pos="360"/>
                <w:tab w:val="clear" w:pos="216"/>
              </w:tabs>
              <w:spacing w:line="240" w:lineRule="exact"/>
              <w:ind w:left="144" w:right="144"/>
              <w:textAlignment w:val="baseline"/>
              <w:rPr>
                <w:rFonts w:ascii="黑体" w:hAnsi="黑体" w:eastAsia="黑体"/>
                <w:spacing w:val="-3"/>
                <w:sz w:val="18"/>
                <w:szCs w:val="18"/>
                <w:lang w:val="zh-CN"/>
              </w:rPr>
            </w:pPr>
            <w:r>
              <w:rPr>
                <w:rFonts w:ascii="黑体" w:hAnsi="黑体" w:eastAsia="黑体"/>
                <w:spacing w:val="-3"/>
                <w:sz w:val="18"/>
                <w:szCs w:val="18"/>
                <w:lang w:val="zh-CN"/>
              </w:rPr>
              <w:t>整机内部走线应规整</w:t>
            </w:r>
            <w:r>
              <w:rPr>
                <w:rFonts w:hint="eastAsia" w:ascii="黑体" w:hAnsi="黑体" w:eastAsia="黑体"/>
                <w:spacing w:val="-3"/>
                <w:sz w:val="18"/>
                <w:szCs w:val="18"/>
                <w:lang w:val="zh-CN"/>
              </w:rPr>
              <w:t>，</w:t>
            </w:r>
            <w:r>
              <w:rPr>
                <w:rFonts w:ascii="黑体" w:hAnsi="黑体" w:eastAsia="黑体"/>
                <w:spacing w:val="-3"/>
                <w:sz w:val="18"/>
                <w:szCs w:val="18"/>
                <w:lang w:val="zh-CN"/>
              </w:rPr>
              <w:t>固线结构和位置要合理可靠并做防割线处理</w:t>
            </w:r>
            <w:r>
              <w:rPr>
                <w:rFonts w:hint="eastAsia" w:ascii="黑体" w:hAnsi="黑体" w:eastAsia="黑体"/>
                <w:spacing w:val="-3"/>
                <w:sz w:val="18"/>
                <w:szCs w:val="18"/>
                <w:lang w:val="zh-CN"/>
              </w:rPr>
              <w:t>，</w:t>
            </w:r>
            <w:r>
              <w:rPr>
                <w:rFonts w:ascii="黑体" w:hAnsi="黑体" w:eastAsia="黑体"/>
                <w:spacing w:val="-3"/>
                <w:sz w:val="18"/>
                <w:szCs w:val="18"/>
                <w:lang w:val="zh-CN"/>
              </w:rPr>
              <w:t>需便于理线和插拔操作</w:t>
            </w:r>
            <w:r>
              <w:rPr>
                <w:rFonts w:hint="eastAsia" w:ascii="黑体" w:hAnsi="黑体" w:eastAsia="黑体"/>
                <w:spacing w:val="-3"/>
                <w:sz w:val="18"/>
                <w:szCs w:val="18"/>
                <w:lang w:val="zh-CN"/>
              </w:rPr>
              <w:t>，</w:t>
            </w:r>
            <w:r>
              <w:rPr>
                <w:rFonts w:ascii="黑体" w:hAnsi="黑体" w:eastAsia="黑体"/>
                <w:spacing w:val="-3"/>
                <w:sz w:val="18"/>
                <w:szCs w:val="18"/>
                <w:lang w:val="zh-CN"/>
              </w:rPr>
              <w:t>走线应不影响系统各主要部件组装和拆卸</w:t>
            </w:r>
            <w:r>
              <w:rPr>
                <w:rFonts w:hint="eastAsia" w:ascii="黑体" w:hAnsi="黑体" w:eastAsia="黑体"/>
                <w:spacing w:val="-3"/>
                <w:sz w:val="18"/>
                <w:szCs w:val="18"/>
                <w:lang w:val="zh-CN"/>
              </w:rPr>
              <w:t>；</w:t>
            </w:r>
          </w:p>
          <w:p>
            <w:pPr>
              <w:widowControl/>
              <w:numPr>
                <w:ilvl w:val="0"/>
                <w:numId w:val="12"/>
              </w:numPr>
              <w:tabs>
                <w:tab w:val="left" w:pos="360"/>
                <w:tab w:val="clear" w:pos="216"/>
              </w:tabs>
              <w:spacing w:line="240" w:lineRule="exact"/>
              <w:ind w:left="144"/>
              <w:textAlignment w:val="baseline"/>
              <w:rPr>
                <w:rFonts w:ascii="黑体" w:hAnsi="黑体" w:eastAsia="黑体"/>
                <w:sz w:val="18"/>
                <w:szCs w:val="18"/>
                <w:lang w:val="zh-CN"/>
              </w:rPr>
            </w:pPr>
            <w:r>
              <w:rPr>
                <w:rFonts w:ascii="黑体" w:hAnsi="黑体" w:eastAsia="黑体"/>
                <w:sz w:val="18"/>
                <w:szCs w:val="18"/>
                <w:lang w:val="zh-CN"/>
              </w:rPr>
              <w:t>如需通过孔走线</w:t>
            </w:r>
            <w:r>
              <w:rPr>
                <w:rFonts w:hint="eastAsia" w:ascii="黑体" w:hAnsi="黑体" w:eastAsia="黑体"/>
                <w:sz w:val="18"/>
                <w:szCs w:val="18"/>
                <w:lang w:val="zh-CN"/>
              </w:rPr>
              <w:t>，</w:t>
            </w:r>
            <w:r>
              <w:rPr>
                <w:rFonts w:ascii="黑体" w:hAnsi="黑体" w:eastAsia="黑体"/>
                <w:sz w:val="18"/>
                <w:szCs w:val="18"/>
                <w:lang w:val="zh-CN"/>
              </w:rPr>
              <w:t>过线孔应做防割线处理</w:t>
            </w:r>
            <w:r>
              <w:rPr>
                <w:rFonts w:hint="eastAsia" w:ascii="黑体" w:hAnsi="黑体" w:eastAsia="黑体"/>
                <w:sz w:val="18"/>
                <w:szCs w:val="18"/>
                <w:lang w:val="zh-CN"/>
              </w:rPr>
              <w:t>；</w:t>
            </w:r>
          </w:p>
          <w:p>
            <w:pPr>
              <w:widowControl/>
              <w:numPr>
                <w:ilvl w:val="0"/>
                <w:numId w:val="12"/>
              </w:numPr>
              <w:tabs>
                <w:tab w:val="left" w:pos="360"/>
                <w:tab w:val="clear" w:pos="216"/>
              </w:tabs>
              <w:spacing w:line="240" w:lineRule="exact"/>
              <w:ind w:left="144"/>
              <w:textAlignment w:val="baseline"/>
              <w:rPr>
                <w:rFonts w:ascii="黑体" w:hAnsi="黑体" w:eastAsia="黑体"/>
                <w:sz w:val="18"/>
                <w:szCs w:val="18"/>
                <w:lang w:val="zh-CN"/>
              </w:rPr>
            </w:pPr>
            <w:r>
              <w:rPr>
                <w:rFonts w:ascii="黑体" w:hAnsi="黑体" w:eastAsia="黑体"/>
                <w:sz w:val="18"/>
                <w:szCs w:val="18"/>
                <w:lang w:val="zh-CN"/>
              </w:rPr>
              <w:t>各插头位置和插拔方向应合理</w:t>
            </w:r>
            <w:r>
              <w:rPr>
                <w:rFonts w:hint="eastAsia" w:ascii="黑体" w:hAnsi="黑体" w:eastAsia="黑体"/>
                <w:sz w:val="18"/>
                <w:szCs w:val="18"/>
                <w:lang w:val="zh-CN"/>
              </w:rPr>
              <w:t>，</w:t>
            </w:r>
            <w:r>
              <w:rPr>
                <w:rFonts w:ascii="黑体" w:hAnsi="黑体" w:eastAsia="黑体"/>
                <w:sz w:val="18"/>
                <w:szCs w:val="18"/>
                <w:lang w:val="zh-CN"/>
              </w:rPr>
              <w:t>应做到插拔无障碍设计</w:t>
            </w:r>
            <w:r>
              <w:rPr>
                <w:rFonts w:hint="eastAsia" w:ascii="黑体" w:hAnsi="黑体" w:eastAsia="黑体"/>
                <w:sz w:val="18"/>
                <w:szCs w:val="18"/>
                <w:lang w:val="zh-CN"/>
              </w:rPr>
              <w:t>，</w:t>
            </w:r>
            <w:r>
              <w:rPr>
                <w:rFonts w:ascii="黑体" w:hAnsi="黑体" w:eastAsia="黑体"/>
                <w:sz w:val="18"/>
                <w:szCs w:val="18"/>
                <w:lang w:val="zh-CN"/>
              </w:rPr>
              <w:t>具备防呆设计</w:t>
            </w:r>
            <w:r>
              <w:rPr>
                <w:rFonts w:hint="eastAsia" w:ascii="黑体" w:hAnsi="黑体" w:eastAsia="黑体"/>
                <w:sz w:val="18"/>
                <w:szCs w:val="18"/>
                <w:lang w:val="zh-CN"/>
              </w:rPr>
              <w:t>，</w:t>
            </w:r>
            <w:r>
              <w:rPr>
                <w:rFonts w:ascii="黑体" w:hAnsi="黑体" w:eastAsia="黑体"/>
                <w:sz w:val="18"/>
                <w:szCs w:val="18"/>
                <w:lang w:val="zh-CN"/>
              </w:rPr>
              <w:t xml:space="preserve"> 有效避免误操作</w:t>
            </w:r>
            <w:r>
              <w:rPr>
                <w:rFonts w:hint="eastAsia" w:ascii="黑体" w:hAnsi="黑体" w:eastAsia="黑体"/>
                <w:sz w:val="18"/>
                <w:szCs w:val="18"/>
                <w:lang w:val="zh-CN"/>
              </w:rPr>
              <w:t>；</w:t>
            </w:r>
          </w:p>
          <w:p>
            <w:pPr>
              <w:widowControl/>
              <w:numPr>
                <w:ilvl w:val="0"/>
                <w:numId w:val="12"/>
              </w:numPr>
              <w:tabs>
                <w:tab w:val="left" w:pos="360"/>
                <w:tab w:val="clear" w:pos="216"/>
              </w:tabs>
              <w:spacing w:line="240" w:lineRule="exact"/>
              <w:ind w:left="144"/>
              <w:textAlignment w:val="baseline"/>
              <w:rPr>
                <w:rFonts w:ascii="黑体" w:hAnsi="黑体" w:eastAsia="黑体"/>
                <w:sz w:val="18"/>
                <w:szCs w:val="18"/>
                <w:lang w:val="zh-CN"/>
              </w:rPr>
            </w:pPr>
            <w:r>
              <w:rPr>
                <w:rFonts w:ascii="黑体" w:hAnsi="黑体" w:eastAsia="黑体"/>
                <w:sz w:val="18"/>
                <w:szCs w:val="18"/>
                <w:lang w:val="zh-CN"/>
              </w:rPr>
              <w:t>各主要部件拆装无障碍</w:t>
            </w:r>
            <w:r>
              <w:rPr>
                <w:rFonts w:hint="eastAsia" w:ascii="黑体" w:hAnsi="黑体" w:eastAsia="黑体"/>
                <w:sz w:val="18"/>
                <w:szCs w:val="18"/>
                <w:lang w:val="zh-CN"/>
              </w:rPr>
              <w:t>，</w:t>
            </w:r>
            <w:r>
              <w:rPr>
                <w:rFonts w:ascii="黑体" w:hAnsi="黑体" w:eastAsia="黑体"/>
                <w:sz w:val="18"/>
                <w:szCs w:val="18"/>
                <w:lang w:val="zh-CN"/>
              </w:rPr>
              <w:t>使用常规工具拆装</w:t>
            </w:r>
            <w:r>
              <w:rPr>
                <w:rFonts w:hint="eastAsia" w:ascii="黑体" w:hAnsi="黑体" w:eastAsia="黑体"/>
                <w:sz w:val="18"/>
                <w:szCs w:val="18"/>
                <w:lang w:val="zh-CN"/>
              </w:rPr>
              <w:t>，</w:t>
            </w:r>
            <w:r>
              <w:rPr>
                <w:rFonts w:ascii="黑体" w:hAnsi="黑体" w:eastAsia="黑体"/>
                <w:sz w:val="18"/>
                <w:szCs w:val="18"/>
                <w:lang w:val="zh-CN"/>
              </w:rPr>
              <w:t>无特殊拆装工具需求</w:t>
            </w:r>
            <w:r>
              <w:rPr>
                <w:rFonts w:hint="eastAsia" w:ascii="黑体" w:hAnsi="黑体" w:eastAsia="黑体"/>
                <w:sz w:val="18"/>
                <w:szCs w:val="18"/>
                <w:lang w:val="zh-CN"/>
              </w:rPr>
              <w:t>；</w:t>
            </w:r>
          </w:p>
          <w:p>
            <w:pPr>
              <w:widowControl/>
              <w:numPr>
                <w:ilvl w:val="0"/>
                <w:numId w:val="12"/>
              </w:numPr>
              <w:tabs>
                <w:tab w:val="left" w:pos="360"/>
                <w:tab w:val="clear" w:pos="216"/>
              </w:tabs>
              <w:spacing w:line="240" w:lineRule="exact"/>
              <w:ind w:left="144"/>
              <w:textAlignment w:val="baseline"/>
              <w:rPr>
                <w:rFonts w:ascii="黑体" w:hAnsi="黑体" w:eastAsia="黑体"/>
                <w:sz w:val="18"/>
                <w:szCs w:val="18"/>
                <w:lang w:val="zh-CN"/>
              </w:rPr>
            </w:pPr>
            <w:r>
              <w:rPr>
                <w:rFonts w:ascii="黑体" w:hAnsi="黑体" w:eastAsia="黑体"/>
                <w:sz w:val="18"/>
                <w:szCs w:val="18"/>
                <w:lang w:val="zh-CN"/>
              </w:rPr>
              <w:t>各主要部件拆装步骤要少</w:t>
            </w:r>
            <w:r>
              <w:rPr>
                <w:rFonts w:hint="eastAsia" w:ascii="黑体" w:hAnsi="黑体" w:eastAsia="黑体"/>
                <w:sz w:val="18"/>
                <w:szCs w:val="18"/>
                <w:lang w:val="zh-CN"/>
              </w:rPr>
              <w:t>，</w:t>
            </w:r>
            <w:r>
              <w:rPr>
                <w:rFonts w:ascii="黑体" w:hAnsi="黑体" w:eastAsia="黑体"/>
                <w:sz w:val="18"/>
                <w:szCs w:val="18"/>
                <w:lang w:val="zh-CN"/>
              </w:rPr>
              <w:t>各自拆装需避免相互干扰</w:t>
            </w:r>
            <w:r>
              <w:rPr>
                <w:rFonts w:hint="eastAsia" w:ascii="黑体" w:hAnsi="黑体" w:eastAsia="黑体"/>
                <w:sz w:val="18"/>
                <w:szCs w:val="18"/>
                <w:lang w:val="zh-CN"/>
              </w:rPr>
              <w:t>；</w:t>
            </w:r>
          </w:p>
          <w:p>
            <w:pPr>
              <w:widowControl/>
              <w:numPr>
                <w:ilvl w:val="0"/>
                <w:numId w:val="12"/>
              </w:numPr>
              <w:tabs>
                <w:tab w:val="left" w:pos="360"/>
                <w:tab w:val="clear" w:pos="216"/>
              </w:tabs>
              <w:spacing w:line="240" w:lineRule="exact"/>
              <w:ind w:left="144" w:right="216"/>
              <w:textAlignment w:val="baseline"/>
              <w:rPr>
                <w:rFonts w:ascii="黑体" w:hAnsi="黑体" w:eastAsia="黑体"/>
                <w:spacing w:val="-3"/>
                <w:sz w:val="18"/>
                <w:szCs w:val="18"/>
                <w:lang w:val="zh-CN"/>
              </w:rPr>
            </w:pPr>
            <w:r>
              <w:rPr>
                <w:rFonts w:ascii="黑体" w:hAnsi="黑体" w:eastAsia="黑体"/>
                <w:spacing w:val="-3"/>
                <w:sz w:val="18"/>
                <w:szCs w:val="18"/>
                <w:lang w:val="zh-CN"/>
              </w:rPr>
              <w:t>对于整机或零部件外表面为高亮面的</w:t>
            </w:r>
            <w:r>
              <w:rPr>
                <w:rFonts w:hint="eastAsia" w:ascii="黑体" w:hAnsi="黑体" w:eastAsia="黑体"/>
                <w:spacing w:val="-3"/>
                <w:sz w:val="18"/>
                <w:szCs w:val="18"/>
                <w:lang w:val="zh-CN"/>
              </w:rPr>
              <w:t>，</w:t>
            </w:r>
            <w:r>
              <w:rPr>
                <w:rFonts w:ascii="黑体" w:hAnsi="黑体" w:eastAsia="黑体"/>
                <w:spacing w:val="-3"/>
                <w:sz w:val="18"/>
                <w:szCs w:val="18"/>
                <w:lang w:val="zh-CN"/>
              </w:rPr>
              <w:t>应粘贴保护膜</w:t>
            </w:r>
            <w:r>
              <w:rPr>
                <w:rFonts w:hint="eastAsia" w:ascii="黑体" w:hAnsi="黑体" w:eastAsia="黑体"/>
                <w:spacing w:val="-3"/>
                <w:sz w:val="18"/>
                <w:szCs w:val="18"/>
                <w:lang w:val="zh-CN"/>
              </w:rPr>
              <w:t>，</w:t>
            </w:r>
            <w:r>
              <w:rPr>
                <w:rFonts w:ascii="黑体" w:hAnsi="黑体" w:eastAsia="黑体"/>
                <w:spacing w:val="-3"/>
                <w:sz w:val="18"/>
                <w:szCs w:val="18"/>
                <w:lang w:val="zh-CN"/>
              </w:rPr>
              <w:t>保护膜需粘贴牢固</w:t>
            </w:r>
            <w:r>
              <w:rPr>
                <w:rFonts w:hint="eastAsia" w:ascii="黑体" w:hAnsi="黑体" w:eastAsia="黑体"/>
                <w:spacing w:val="-3"/>
                <w:sz w:val="18"/>
                <w:szCs w:val="18"/>
                <w:lang w:val="zh-CN"/>
              </w:rPr>
              <w:t>，</w:t>
            </w:r>
            <w:r>
              <w:rPr>
                <w:rFonts w:ascii="黑体" w:hAnsi="黑体" w:eastAsia="黑体"/>
                <w:spacing w:val="-3"/>
                <w:sz w:val="18"/>
                <w:szCs w:val="18"/>
                <w:lang w:val="zh-CN"/>
              </w:rPr>
              <w:t>运输、组装等过程不易脱落</w:t>
            </w:r>
            <w:r>
              <w:rPr>
                <w:rFonts w:hint="eastAsia" w:ascii="黑体" w:hAnsi="黑体" w:eastAsia="黑体"/>
                <w:spacing w:val="-3"/>
                <w:sz w:val="18"/>
                <w:szCs w:val="18"/>
                <w:lang w:val="zh-CN"/>
              </w:rPr>
              <w:t>，</w:t>
            </w:r>
            <w:r>
              <w:rPr>
                <w:rFonts w:ascii="黑体" w:hAnsi="黑体" w:eastAsia="黑体"/>
                <w:spacing w:val="-3"/>
                <w:sz w:val="18"/>
                <w:szCs w:val="18"/>
                <w:lang w:val="zh-CN"/>
              </w:rPr>
              <w:t xml:space="preserve"> 撕下无残留</w:t>
            </w:r>
            <w:r>
              <w:rPr>
                <w:rFonts w:hint="eastAsia" w:ascii="黑体" w:hAnsi="黑体" w:eastAsia="黑体"/>
                <w:spacing w:val="-3"/>
                <w:sz w:val="18"/>
                <w:szCs w:val="18"/>
                <w:lang w:val="zh-CN"/>
              </w:rPr>
              <w:t>；</w:t>
            </w:r>
          </w:p>
          <w:p>
            <w:pPr>
              <w:widowControl/>
              <w:numPr>
                <w:ilvl w:val="0"/>
                <w:numId w:val="12"/>
              </w:numPr>
              <w:tabs>
                <w:tab w:val="left" w:pos="360"/>
                <w:tab w:val="clear" w:pos="216"/>
              </w:tabs>
              <w:spacing w:line="240" w:lineRule="exact"/>
              <w:ind w:left="144" w:right="216"/>
              <w:textAlignment w:val="baseline"/>
              <w:rPr>
                <w:rFonts w:ascii="黑体" w:hAnsi="黑体" w:eastAsia="黑体"/>
                <w:spacing w:val="-3"/>
                <w:sz w:val="18"/>
                <w:szCs w:val="18"/>
                <w:lang w:val="zh-CN"/>
              </w:rPr>
            </w:pPr>
            <w:r>
              <w:rPr>
                <w:rFonts w:hint="eastAsia" w:ascii="黑体" w:hAnsi="黑体" w:eastAsia="黑体"/>
                <w:spacing w:val="-3"/>
                <w:sz w:val="18"/>
                <w:szCs w:val="18"/>
                <w:lang w:val="en-US" w:eastAsia="zh-CN"/>
              </w:rPr>
              <w:t>其它要求应符合GB/T 9813.1的相关规定</w:t>
            </w:r>
            <w:r>
              <w:rPr>
                <w:rFonts w:hint="eastAsia" w:ascii="黑体" w:hAnsi="黑体" w:eastAsia="黑体"/>
                <w:spacing w:val="-3"/>
                <w:sz w:val="18"/>
                <w:szCs w:val="18"/>
                <w:lang w:val="zh-CN"/>
              </w:rPr>
              <w:t>；</w:t>
            </w:r>
          </w:p>
          <w:p>
            <w:pPr>
              <w:widowControl/>
              <w:numPr>
                <w:ilvl w:val="0"/>
                <w:numId w:val="12"/>
              </w:numPr>
              <w:tabs>
                <w:tab w:val="left" w:pos="360"/>
                <w:tab w:val="clear" w:pos="216"/>
              </w:tabs>
              <w:spacing w:line="240" w:lineRule="exact"/>
              <w:ind w:left="144" w:right="216"/>
              <w:textAlignment w:val="baseline"/>
              <w:rPr>
                <w:rFonts w:ascii="黑体" w:hAnsi="黑体" w:eastAsia="黑体"/>
                <w:spacing w:val="-3"/>
                <w:sz w:val="18"/>
                <w:szCs w:val="18"/>
                <w:lang w:val="zh-CN"/>
              </w:rPr>
            </w:pPr>
            <w:r>
              <w:rPr>
                <w:rFonts w:ascii="黑体" w:hAnsi="黑体" w:eastAsia="黑体"/>
                <w:spacing w:val="-3"/>
                <w:sz w:val="18"/>
                <w:szCs w:val="18"/>
                <w:lang w:val="zh-CN"/>
              </w:rPr>
              <w:t>它要求应符合 GB/T 9813.1 的相关规定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502"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43</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continue"/>
            <w:tcBorders>
              <w:tl2br w:val="nil"/>
              <w:tr2bl w:val="nil"/>
            </w:tcBorders>
          </w:tcPr>
          <w:p>
            <w:pPr>
              <w:widowControl/>
              <w:spacing w:line="240" w:lineRule="exact"/>
              <w:rPr>
                <w:sz w:val="18"/>
                <w:szCs w:val="18"/>
              </w:rPr>
            </w:pPr>
          </w:p>
        </w:tc>
        <w:tc>
          <w:tcPr>
            <w:tcW w:w="1100" w:type="dxa"/>
            <w:tcBorders>
              <w:tl2br w:val="nil"/>
              <w:tr2bl w:val="nil"/>
            </w:tcBorders>
          </w:tcPr>
          <w:p>
            <w:pPr>
              <w:widowControl/>
              <w:spacing w:line="240" w:lineRule="exact"/>
              <w:ind w:left="108" w:right="252"/>
              <w:jc w:val="left"/>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机箱防护要求</w:t>
            </w:r>
          </w:p>
        </w:tc>
        <w:tc>
          <w:tcPr>
            <w:tcW w:w="6112" w:type="dxa"/>
            <w:gridSpan w:val="4"/>
            <w:tcBorders>
              <w:tl2br w:val="nil"/>
              <w:tr2bl w:val="nil"/>
            </w:tcBorders>
          </w:tcPr>
          <w:p>
            <w:pPr>
              <w:widowControl/>
              <w:spacing w:line="240" w:lineRule="exact"/>
              <w:ind w:left="108"/>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 xml:space="preserve">机箱应符合 </w:t>
            </w:r>
            <w:r>
              <w:rPr>
                <w:rFonts w:ascii="黑体" w:hAnsi="黑体" w:eastAsia="黑体"/>
                <w:spacing w:val="-3"/>
                <w:sz w:val="18"/>
                <w:szCs w:val="18"/>
              </w:rPr>
              <w:t xml:space="preserve">GB/T 4208 </w:t>
            </w:r>
            <w:r>
              <w:rPr>
                <w:rFonts w:ascii="黑体" w:hAnsi="黑体" w:eastAsia="黑体"/>
                <w:spacing w:val="-3"/>
                <w:sz w:val="18"/>
                <w:szCs w:val="18"/>
                <w:lang w:val="zh-CN"/>
              </w:rPr>
              <w:t xml:space="preserve">中 </w:t>
            </w:r>
            <w:r>
              <w:rPr>
                <w:rFonts w:ascii="黑体" w:hAnsi="黑体" w:eastAsia="黑体"/>
                <w:spacing w:val="-3"/>
                <w:sz w:val="18"/>
                <w:szCs w:val="18"/>
              </w:rPr>
              <w:t xml:space="preserve">IP20 </w:t>
            </w:r>
            <w:r>
              <w:rPr>
                <w:rFonts w:ascii="黑体" w:hAnsi="黑体" w:eastAsia="黑体"/>
                <w:spacing w:val="-3"/>
                <w:sz w:val="18"/>
                <w:szCs w:val="18"/>
                <w:lang w:val="zh-CN"/>
              </w:rPr>
              <w:t>防护要求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576"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44</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continue"/>
            <w:tcBorders>
              <w:tl2br w:val="nil"/>
              <w:tr2bl w:val="nil"/>
            </w:tcBorders>
          </w:tcPr>
          <w:p>
            <w:pPr>
              <w:widowControl/>
              <w:spacing w:line="240" w:lineRule="exact"/>
              <w:rPr>
                <w:sz w:val="18"/>
                <w:szCs w:val="18"/>
              </w:rPr>
            </w:pPr>
          </w:p>
        </w:tc>
        <w:tc>
          <w:tcPr>
            <w:tcW w:w="1100" w:type="dxa"/>
            <w:tcBorders>
              <w:tl2br w:val="nil"/>
              <w:tr2bl w:val="nil"/>
            </w:tcBorders>
          </w:tcPr>
          <w:p>
            <w:pPr>
              <w:widowControl/>
              <w:spacing w:line="240" w:lineRule="exact"/>
              <w:ind w:left="108" w:right="252"/>
              <w:jc w:val="left"/>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整机噪音</w:t>
            </w:r>
          </w:p>
        </w:tc>
        <w:tc>
          <w:tcPr>
            <w:tcW w:w="6112" w:type="dxa"/>
            <w:gridSpan w:val="4"/>
            <w:tcBorders>
              <w:tl2br w:val="nil"/>
              <w:tr2bl w:val="nil"/>
            </w:tcBorders>
          </w:tcPr>
          <w:p>
            <w:pPr>
              <w:widowControl/>
              <w:spacing w:line="240" w:lineRule="exact"/>
              <w:ind w:left="108" w:right="216"/>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产品工作在空闲状态下</w:t>
            </w:r>
            <w:r>
              <w:rPr>
                <w:rFonts w:hint="eastAsia" w:ascii="黑体" w:hAnsi="黑体" w:eastAsia="黑体"/>
                <w:spacing w:val="-3"/>
                <w:sz w:val="18"/>
                <w:szCs w:val="18"/>
                <w:lang w:val="zh-CN"/>
              </w:rPr>
              <w:t>，</w:t>
            </w:r>
            <w:r>
              <w:rPr>
                <w:rFonts w:ascii="黑体" w:hAnsi="黑体" w:eastAsia="黑体"/>
                <w:spacing w:val="-3"/>
                <w:sz w:val="18"/>
                <w:szCs w:val="18"/>
                <w:lang w:val="zh-CN"/>
              </w:rPr>
              <w:t>产品的声</w:t>
            </w:r>
            <w:r>
              <w:rPr>
                <w:rFonts w:hint="eastAsia" w:ascii="黑体" w:hAnsi="黑体" w:eastAsia="黑体"/>
                <w:spacing w:val="-3"/>
                <w:sz w:val="18"/>
                <w:szCs w:val="18"/>
                <w:lang w:val="en-US" w:eastAsia="zh-CN"/>
              </w:rPr>
              <w:t>压</w:t>
            </w:r>
            <w:r>
              <w:rPr>
                <w:rFonts w:ascii="黑体" w:hAnsi="黑体" w:eastAsia="黑体"/>
                <w:spacing w:val="-3"/>
                <w:sz w:val="18"/>
                <w:szCs w:val="18"/>
                <w:lang w:val="zh-CN"/>
              </w:rPr>
              <w:t xml:space="preserve">级应不超过 </w:t>
            </w:r>
            <w:r>
              <w:rPr>
                <w:rFonts w:hint="eastAsia" w:ascii="黑体" w:hAnsi="黑体" w:eastAsia="黑体"/>
                <w:spacing w:val="-3"/>
                <w:sz w:val="18"/>
                <w:szCs w:val="18"/>
                <w:lang w:val="en-US" w:eastAsia="zh-CN"/>
              </w:rPr>
              <w:t>20dBA</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983"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45</w:t>
            </w:r>
          </w:p>
        </w:tc>
        <w:tc>
          <w:tcPr>
            <w:tcW w:w="790" w:type="dxa"/>
            <w:gridSpan w:val="2"/>
            <w:tcBorders>
              <w:tl2br w:val="nil"/>
              <w:tr2bl w:val="nil"/>
            </w:tcBorders>
            <w:vAlign w:val="center"/>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continue"/>
            <w:tcBorders>
              <w:tl2br w:val="nil"/>
              <w:tr2bl w:val="nil"/>
            </w:tcBorders>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252"/>
              <w:jc w:val="left"/>
              <w:textAlignment w:val="baseline"/>
              <w:rPr>
                <w:rFonts w:ascii="黑体" w:hAnsi="黑体" w:eastAsia="黑体"/>
                <w:sz w:val="18"/>
                <w:szCs w:val="18"/>
                <w:lang w:val="zh-CN"/>
              </w:rPr>
            </w:pPr>
            <w:r>
              <w:rPr>
                <w:rFonts w:hint="eastAsia"/>
              </w:rPr>
              <w:t>★</w:t>
            </w:r>
            <w:r>
              <w:rPr>
                <w:rFonts w:ascii="黑体" w:hAnsi="黑体" w:eastAsia="黑体"/>
                <w:sz w:val="18"/>
                <w:szCs w:val="18"/>
                <w:lang w:val="zh-CN"/>
              </w:rPr>
              <w:t>整机散热</w:t>
            </w:r>
          </w:p>
        </w:tc>
        <w:tc>
          <w:tcPr>
            <w:tcW w:w="6112" w:type="dxa"/>
            <w:gridSpan w:val="4"/>
            <w:tcBorders>
              <w:tl2br w:val="nil"/>
              <w:tr2bl w:val="nil"/>
            </w:tcBorders>
          </w:tcPr>
          <w:p>
            <w:pPr>
              <w:widowControl/>
              <w:spacing w:line="240" w:lineRule="exact"/>
              <w:ind w:left="144" w:right="324"/>
              <w:jc w:val="left"/>
              <w:textAlignment w:val="baseline"/>
              <w:rPr>
                <w:rFonts w:ascii="黑体" w:hAnsi="黑体" w:eastAsia="黑体"/>
                <w:spacing w:val="-8"/>
                <w:sz w:val="18"/>
                <w:szCs w:val="18"/>
                <w:lang w:val="zh-CN"/>
              </w:rPr>
            </w:pPr>
            <w:r>
              <w:rPr>
                <w:rFonts w:ascii="黑体" w:hAnsi="黑体" w:eastAsia="黑体"/>
                <w:spacing w:val="-8"/>
                <w:sz w:val="18"/>
                <w:szCs w:val="18"/>
                <w:lang w:val="zh-CN"/>
              </w:rPr>
              <w:t>在环境温度 25℃及处理器满载情况下</w:t>
            </w:r>
            <w:r>
              <w:rPr>
                <w:rFonts w:hint="eastAsia" w:ascii="黑体" w:hAnsi="黑体" w:eastAsia="黑体"/>
                <w:spacing w:val="-8"/>
                <w:sz w:val="18"/>
                <w:szCs w:val="18"/>
                <w:lang w:val="zh-CN"/>
              </w:rPr>
              <w:t>，</w:t>
            </w:r>
            <w:r>
              <w:rPr>
                <w:rFonts w:ascii="黑体" w:hAnsi="黑体" w:eastAsia="黑体"/>
                <w:spacing w:val="-8"/>
                <w:sz w:val="18"/>
                <w:szCs w:val="18"/>
                <w:lang w:val="zh-CN"/>
              </w:rPr>
              <w:t>产品表面温度应符合如下要求:</w:t>
            </w:r>
          </w:p>
          <w:p>
            <w:pPr>
              <w:widowControl/>
              <w:numPr>
                <w:ilvl w:val="0"/>
                <w:numId w:val="13"/>
              </w:numPr>
              <w:tabs>
                <w:tab w:val="left" w:pos="360"/>
                <w:tab w:val="clear" w:pos="216"/>
              </w:tabs>
              <w:spacing w:line="240" w:lineRule="exact"/>
              <w:ind w:left="144" w:right="144"/>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出风口在机箱后面板情况下</w:t>
            </w:r>
            <w:r>
              <w:rPr>
                <w:rFonts w:hint="eastAsia" w:ascii="黑体" w:hAnsi="黑体" w:eastAsia="黑体"/>
                <w:spacing w:val="-3"/>
                <w:sz w:val="18"/>
                <w:szCs w:val="18"/>
                <w:lang w:val="zh-CN"/>
              </w:rPr>
              <w:t>，</w:t>
            </w:r>
            <w:r>
              <w:rPr>
                <w:rFonts w:ascii="黑体" w:hAnsi="黑体" w:eastAsia="黑体"/>
                <w:spacing w:val="-3"/>
                <w:sz w:val="18"/>
                <w:szCs w:val="18"/>
                <w:lang w:val="zh-CN"/>
              </w:rPr>
              <w:t>出风口温度不高于 55℃</w:t>
            </w:r>
            <w:r>
              <w:rPr>
                <w:rFonts w:hint="eastAsia" w:ascii="黑体" w:hAnsi="黑体" w:eastAsia="黑体"/>
                <w:spacing w:val="-3"/>
                <w:sz w:val="18"/>
                <w:szCs w:val="18"/>
                <w:lang w:val="zh-CN"/>
              </w:rPr>
              <w:t>；</w:t>
            </w:r>
          </w:p>
          <w:p>
            <w:pPr>
              <w:widowControl/>
              <w:numPr>
                <w:ilvl w:val="0"/>
                <w:numId w:val="13"/>
              </w:numPr>
              <w:tabs>
                <w:tab w:val="left" w:pos="360"/>
                <w:tab w:val="clear" w:pos="216"/>
              </w:tabs>
              <w:spacing w:line="240" w:lineRule="exact"/>
              <w:ind w:left="144"/>
              <w:jc w:val="left"/>
              <w:textAlignment w:val="baseline"/>
              <w:rPr>
                <w:rFonts w:ascii="黑体" w:hAnsi="黑体" w:eastAsia="黑体"/>
                <w:sz w:val="18"/>
                <w:szCs w:val="18"/>
                <w:lang w:val="zh-CN"/>
              </w:rPr>
            </w:pPr>
            <w:r>
              <w:rPr>
                <w:rFonts w:ascii="黑体" w:hAnsi="黑体" w:eastAsia="黑体"/>
                <w:sz w:val="18"/>
                <w:szCs w:val="18"/>
                <w:lang w:val="zh-CN"/>
              </w:rPr>
              <w:t>可触及面温度不高于 45℃</w:t>
            </w:r>
            <w:r>
              <w:rPr>
                <w:rFonts w:hint="eastAsia" w:ascii="黑体" w:hAnsi="黑体" w:eastAsia="黑体"/>
                <w:sz w:val="18"/>
                <w:szCs w:val="18"/>
                <w:lang w:val="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712"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46</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continue"/>
            <w:tcBorders>
              <w:tl2br w:val="nil"/>
              <w:tr2bl w:val="nil"/>
            </w:tcBorders>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180"/>
              <w:jc w:val="center"/>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整机能效限定值</w:t>
            </w:r>
          </w:p>
        </w:tc>
        <w:tc>
          <w:tcPr>
            <w:tcW w:w="6112" w:type="dxa"/>
            <w:gridSpan w:val="4"/>
            <w:tcBorders>
              <w:tl2br w:val="nil"/>
              <w:tr2bl w:val="nil"/>
            </w:tcBorders>
          </w:tcPr>
          <w:p>
            <w:pPr>
              <w:widowControl/>
              <w:spacing w:line="240" w:lineRule="exact"/>
              <w:ind w:left="108"/>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 xml:space="preserve">产品能效限定值应达到 </w:t>
            </w:r>
            <w:r>
              <w:rPr>
                <w:rFonts w:ascii="黑体" w:hAnsi="黑体" w:eastAsia="黑体"/>
                <w:spacing w:val="-3"/>
                <w:sz w:val="18"/>
                <w:szCs w:val="18"/>
              </w:rPr>
              <w:t>GB 28380-20</w:t>
            </w:r>
            <w:r>
              <w:rPr>
                <w:rFonts w:hint="eastAsia" w:ascii="黑体" w:hAnsi="黑体" w:eastAsia="黑体"/>
                <w:spacing w:val="-3"/>
                <w:sz w:val="18"/>
                <w:szCs w:val="18"/>
                <w:lang w:val="en-US" w:eastAsia="zh-CN"/>
              </w:rPr>
              <w:t>25</w:t>
            </w:r>
            <w:r>
              <w:rPr>
                <w:rFonts w:ascii="黑体" w:hAnsi="黑体" w:eastAsia="黑体"/>
                <w:spacing w:val="-3"/>
                <w:sz w:val="18"/>
                <w:szCs w:val="18"/>
              </w:rPr>
              <w:t xml:space="preserve"> </w:t>
            </w:r>
            <w:r>
              <w:rPr>
                <w:rFonts w:ascii="黑体" w:hAnsi="黑体" w:eastAsia="黑体"/>
                <w:spacing w:val="-3"/>
                <w:sz w:val="18"/>
                <w:szCs w:val="18"/>
                <w:lang w:val="zh-CN"/>
              </w:rPr>
              <w:t>标准中能效等级</w:t>
            </w:r>
            <w:r>
              <w:rPr>
                <w:rFonts w:hint="eastAsia" w:ascii="黑体" w:hAnsi="黑体" w:eastAsia="黑体"/>
                <w:spacing w:val="-3"/>
                <w:sz w:val="18"/>
                <w:szCs w:val="18"/>
                <w:lang w:val="en-US" w:eastAsia="zh-CN"/>
              </w:rPr>
              <w:t>2</w:t>
            </w:r>
            <w:r>
              <w:rPr>
                <w:rFonts w:ascii="黑体" w:hAnsi="黑体" w:eastAsia="黑体"/>
                <w:spacing w:val="-3"/>
                <w:sz w:val="18"/>
                <w:szCs w:val="18"/>
                <w:lang w:val="zh-CN"/>
              </w:rPr>
              <w:t>级及以上</w:t>
            </w:r>
            <w:r>
              <w:rPr>
                <w:rFonts w:hint="eastAsia" w:ascii="黑体" w:hAnsi="黑体" w:eastAsia="黑体"/>
                <w:spacing w:val="-3"/>
                <w:sz w:val="18"/>
                <w:szCs w:val="18"/>
                <w:lang w:val="zh-CN"/>
              </w:rPr>
              <w:t>（</w:t>
            </w:r>
            <w:r>
              <w:rPr>
                <w:rFonts w:hint="eastAsia" w:ascii="黑体" w:hAnsi="黑体" w:eastAsia="黑体"/>
                <w:b/>
                <w:bCs/>
                <w:spacing w:val="-3"/>
                <w:sz w:val="18"/>
                <w:szCs w:val="18"/>
                <w:lang w:val="zh-CN"/>
              </w:rPr>
              <w:t>供应商必须在响应文件中提供所提供产品的3C认证及节能产品认证证书并加盖供应商公章，否则响应无效</w:t>
            </w:r>
            <w:r>
              <w:rPr>
                <w:rFonts w:hint="eastAsia" w:ascii="黑体" w:hAnsi="黑体" w:eastAsia="黑体"/>
                <w:spacing w:val="-3"/>
                <w:sz w:val="18"/>
                <w:szCs w:val="18"/>
                <w:lang w:val="zh-CN"/>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581"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47</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continue"/>
            <w:tcBorders>
              <w:tl2br w:val="nil"/>
              <w:tr2bl w:val="nil"/>
            </w:tcBorders>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机身材质</w:t>
            </w:r>
          </w:p>
        </w:tc>
        <w:tc>
          <w:tcPr>
            <w:tcW w:w="6112" w:type="dxa"/>
            <w:gridSpan w:val="4"/>
            <w:tcBorders>
              <w:tl2br w:val="nil"/>
              <w:tr2bl w:val="nil"/>
            </w:tcBorders>
            <w:vAlign w:val="center"/>
          </w:tcPr>
          <w:p>
            <w:pPr>
              <w:widowControl/>
              <w:spacing w:line="240" w:lineRule="exact"/>
              <w:ind w:left="105"/>
              <w:jc w:val="left"/>
              <w:textAlignment w:val="baseline"/>
              <w:rPr>
                <w:rFonts w:ascii="黑体" w:hAnsi="黑体" w:eastAsia="黑体"/>
                <w:sz w:val="18"/>
                <w:szCs w:val="18"/>
                <w:lang w:val="zh-CN"/>
              </w:rPr>
            </w:pPr>
            <w:r>
              <w:rPr>
                <w:rFonts w:ascii="黑体" w:hAnsi="黑体" w:eastAsia="黑体"/>
                <w:sz w:val="18"/>
                <w:szCs w:val="18"/>
                <w:lang w:val="zh-CN"/>
              </w:rPr>
              <w:t>塑料/金属等</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576"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48</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continue"/>
            <w:tcBorders>
              <w:tl2br w:val="nil"/>
              <w:tr2bl w:val="nil"/>
            </w:tcBorders>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机身颜色</w:t>
            </w:r>
          </w:p>
        </w:tc>
        <w:tc>
          <w:tcPr>
            <w:tcW w:w="6112" w:type="dxa"/>
            <w:gridSpan w:val="4"/>
            <w:tcBorders>
              <w:tl2br w:val="nil"/>
              <w:tr2bl w:val="nil"/>
            </w:tcBorders>
            <w:vAlign w:val="center"/>
          </w:tcPr>
          <w:p>
            <w:pPr>
              <w:widowControl/>
              <w:spacing w:line="240" w:lineRule="exact"/>
              <w:ind w:left="105"/>
              <w:jc w:val="left"/>
              <w:textAlignment w:val="baseline"/>
              <w:rPr>
                <w:rFonts w:ascii="黑体" w:hAnsi="黑体" w:eastAsia="黑体"/>
                <w:sz w:val="18"/>
                <w:szCs w:val="18"/>
                <w:lang w:val="zh-CN"/>
              </w:rPr>
            </w:pPr>
            <w:r>
              <w:rPr>
                <w:rFonts w:ascii="黑体" w:hAnsi="黑体" w:eastAsia="黑体"/>
                <w:sz w:val="18"/>
                <w:szCs w:val="18"/>
                <w:lang w:val="zh-CN"/>
              </w:rPr>
              <w:t>灰色/黑色等商务色系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713"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49</w:t>
            </w:r>
          </w:p>
        </w:tc>
        <w:tc>
          <w:tcPr>
            <w:tcW w:w="790" w:type="dxa"/>
            <w:gridSpan w:val="2"/>
            <w:tcBorders>
              <w:tl2br w:val="nil"/>
              <w:tr2bl w:val="nil"/>
            </w:tcBorders>
            <w:vAlign w:val="center"/>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产品规格</w:t>
            </w:r>
          </w:p>
        </w:tc>
        <w:tc>
          <w:tcPr>
            <w:tcW w:w="735" w:type="dxa"/>
            <w:vMerge w:val="continue"/>
            <w:tcBorders>
              <w:tl2br w:val="nil"/>
              <w:tr2bl w:val="nil"/>
            </w:tcBorders>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机箱尺寸容量</w:t>
            </w:r>
          </w:p>
        </w:tc>
        <w:tc>
          <w:tcPr>
            <w:tcW w:w="6112" w:type="dxa"/>
            <w:gridSpan w:val="4"/>
            <w:tcBorders>
              <w:tl2br w:val="nil"/>
              <w:tr2bl w:val="nil"/>
            </w:tcBorders>
            <w:vAlign w:val="center"/>
          </w:tcPr>
          <w:p>
            <w:pPr>
              <w:widowControl/>
              <w:spacing w:line="240" w:lineRule="exact"/>
              <w:ind w:left="105"/>
              <w:jc w:val="left"/>
              <w:textAlignment w:val="baseline"/>
              <w:rPr>
                <w:rFonts w:ascii="黑体" w:hAnsi="黑体" w:eastAsia="黑体"/>
                <w:sz w:val="18"/>
                <w:szCs w:val="18"/>
                <w:lang w:val="zh-CN"/>
              </w:rPr>
            </w:pPr>
            <w:r>
              <w:rPr>
                <w:rFonts w:hint="eastAsia" w:ascii="黑体" w:hAnsi="黑体" w:eastAsia="黑体"/>
                <w:sz w:val="18"/>
                <w:szCs w:val="18"/>
                <w:lang w:val="zh-CN"/>
              </w:rPr>
              <w:t>≥</w:t>
            </w:r>
            <w:r>
              <w:rPr>
                <w:rFonts w:hint="eastAsia" w:ascii="黑体" w:hAnsi="黑体" w:eastAsia="黑体"/>
                <w:sz w:val="18"/>
                <w:szCs w:val="18"/>
                <w:lang w:val="en-US" w:eastAsia="zh-CN"/>
              </w:rPr>
              <w:t>13.5</w:t>
            </w:r>
            <w:r>
              <w:rPr>
                <w:rFonts w:ascii="黑体" w:hAnsi="黑体" w:eastAsia="黑体"/>
                <w:sz w:val="18"/>
                <w:szCs w:val="18"/>
                <w:lang w:val="zh-CN"/>
              </w:rPr>
              <w:t>L</w:t>
            </w:r>
            <w:r>
              <w:rPr>
                <w:rFonts w:hint="eastAsia" w:ascii="黑体" w:hAnsi="黑体" w:eastAsia="黑体"/>
                <w:sz w:val="18"/>
                <w:szCs w:val="18"/>
                <w:lang w:val="zh-CN"/>
              </w:rPr>
              <w:t>，不大于</w:t>
            </w:r>
            <w:r>
              <w:rPr>
                <w:rFonts w:ascii="黑体" w:hAnsi="黑体" w:eastAsia="黑体"/>
                <w:sz w:val="18"/>
                <w:szCs w:val="18"/>
                <w:lang w:val="zh-CN"/>
              </w:rPr>
              <w:t xml:space="preserve"> 30L</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576"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50</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性能要求</w:t>
            </w:r>
          </w:p>
        </w:tc>
        <w:tc>
          <w:tcPr>
            <w:tcW w:w="735" w:type="dxa"/>
            <w:vMerge w:val="restart"/>
            <w:tcBorders>
              <w:tl2br w:val="nil"/>
              <w:tr2bl w:val="nil"/>
            </w:tcBorders>
            <w:vAlign w:val="center"/>
          </w:tcPr>
          <w:p>
            <w:pPr>
              <w:widowControl/>
              <w:spacing w:line="240" w:lineRule="exact"/>
              <w:jc w:val="center"/>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rPr>
              <w:t>CPU</w:t>
            </w:r>
            <w:r>
              <w:rPr>
                <w:rFonts w:ascii="黑体" w:hAnsi="黑体" w:eastAsia="黑体"/>
                <w:spacing w:val="-3"/>
                <w:sz w:val="18"/>
                <w:szCs w:val="18"/>
              </w:rPr>
              <w:cr/>
            </w:r>
            <w:r>
              <w:rPr>
                <w:rFonts w:ascii="黑体" w:hAnsi="黑体" w:eastAsia="黑体"/>
                <w:spacing w:val="-3"/>
                <w:sz w:val="18"/>
                <w:szCs w:val="18"/>
              </w:rPr>
              <w:br w:type="textWrapping"/>
            </w:r>
            <w:r>
              <w:rPr>
                <w:rFonts w:ascii="黑体" w:hAnsi="黑体" w:eastAsia="黑体"/>
                <w:spacing w:val="-3"/>
                <w:sz w:val="18"/>
                <w:szCs w:val="18"/>
                <w:lang w:val="zh-CN"/>
              </w:rPr>
              <w:t>性能</w:t>
            </w:r>
          </w:p>
        </w:tc>
        <w:tc>
          <w:tcPr>
            <w:tcW w:w="1100" w:type="dxa"/>
            <w:tcBorders>
              <w:tl2br w:val="nil"/>
              <w:tr2bl w:val="nil"/>
            </w:tcBorders>
            <w:vAlign w:val="center"/>
          </w:tcPr>
          <w:p>
            <w:pPr>
              <w:widowControl/>
              <w:spacing w:line="240" w:lineRule="exact"/>
              <w:ind w:left="108"/>
              <w:jc w:val="center"/>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rPr>
              <w:t xml:space="preserve">CPU </w:t>
            </w:r>
            <w:r>
              <w:rPr>
                <w:rFonts w:ascii="黑体" w:hAnsi="黑体" w:eastAsia="黑体"/>
                <w:spacing w:val="-3"/>
                <w:sz w:val="18"/>
                <w:szCs w:val="18"/>
                <w:lang w:val="zh-CN"/>
              </w:rPr>
              <w:t>物理核数</w:t>
            </w:r>
          </w:p>
        </w:tc>
        <w:tc>
          <w:tcPr>
            <w:tcW w:w="6112" w:type="dxa"/>
            <w:gridSpan w:val="4"/>
            <w:tcBorders>
              <w:tl2br w:val="nil"/>
              <w:tr2bl w:val="nil"/>
            </w:tcBorders>
            <w:vAlign w:val="center"/>
          </w:tcPr>
          <w:p>
            <w:pPr>
              <w:widowControl/>
              <w:spacing w:line="240" w:lineRule="exact"/>
              <w:ind w:left="105"/>
              <w:jc w:val="left"/>
              <w:textAlignment w:val="baseline"/>
              <w:rPr>
                <w:rFonts w:ascii="黑体" w:hAnsi="黑体" w:eastAsia="黑体"/>
                <w:sz w:val="18"/>
                <w:szCs w:val="18"/>
                <w:lang w:val="zh-CN"/>
              </w:rPr>
            </w:pPr>
            <w:r>
              <w:rPr>
                <w:rFonts w:ascii="黑体" w:hAnsi="黑体" w:eastAsia="黑体"/>
                <w:sz w:val="18"/>
                <w:szCs w:val="18"/>
                <w:lang w:val="zh-CN"/>
              </w:rPr>
              <w:t>≥</w:t>
            </w:r>
            <w:r>
              <w:rPr>
                <w:rFonts w:hint="eastAsia" w:ascii="黑体" w:hAnsi="黑体" w:eastAsia="黑体"/>
                <w:sz w:val="18"/>
                <w:szCs w:val="18"/>
              </w:rP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576"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51</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性能要求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5"/>
              <w:jc w:val="center"/>
              <w:textAlignment w:val="baseline"/>
              <w:rPr>
                <w:rFonts w:ascii="黑体" w:hAnsi="黑体" w:eastAsia="黑体"/>
                <w:sz w:val="18"/>
                <w:szCs w:val="18"/>
                <w:lang w:val="zh-CN"/>
              </w:rPr>
            </w:pPr>
            <w:r>
              <w:rPr>
                <w:rFonts w:hint="eastAsia"/>
              </w:rPr>
              <w:t>★</w:t>
            </w:r>
            <w:r>
              <w:rPr>
                <w:rFonts w:ascii="黑体" w:hAnsi="黑体" w:eastAsia="黑体"/>
                <w:sz w:val="18"/>
                <w:szCs w:val="18"/>
              </w:rPr>
              <w:t xml:space="preserve">CPU </w:t>
            </w:r>
            <w:r>
              <w:rPr>
                <w:rFonts w:ascii="黑体" w:hAnsi="黑体" w:eastAsia="黑体"/>
                <w:sz w:val="18"/>
                <w:szCs w:val="18"/>
                <w:lang w:val="zh-CN"/>
              </w:rPr>
              <w:t>主频</w:t>
            </w:r>
          </w:p>
        </w:tc>
        <w:tc>
          <w:tcPr>
            <w:tcW w:w="6112" w:type="dxa"/>
            <w:gridSpan w:val="4"/>
            <w:tcBorders>
              <w:tl2br w:val="nil"/>
              <w:tr2bl w:val="nil"/>
            </w:tcBorders>
            <w:vAlign w:val="center"/>
          </w:tcPr>
          <w:p>
            <w:pPr>
              <w:widowControl/>
              <w:spacing w:line="240" w:lineRule="exact"/>
              <w:ind w:left="105"/>
              <w:jc w:val="left"/>
              <w:textAlignment w:val="baseline"/>
              <w:rPr>
                <w:rFonts w:ascii="黑体" w:hAnsi="黑体" w:eastAsia="黑体"/>
                <w:sz w:val="18"/>
                <w:szCs w:val="18"/>
                <w:lang w:val="zh-CN"/>
              </w:rPr>
            </w:pPr>
            <w:r>
              <w:rPr>
                <w:rFonts w:ascii="黑体" w:hAnsi="黑体" w:eastAsia="黑体"/>
                <w:sz w:val="18"/>
                <w:szCs w:val="18"/>
                <w:lang w:val="zh-CN"/>
              </w:rPr>
              <w:t>≥</w:t>
            </w:r>
            <w:r>
              <w:rPr>
                <w:rFonts w:hint="eastAsia" w:ascii="黑体" w:hAnsi="黑体" w:eastAsia="黑体"/>
                <w:sz w:val="18"/>
                <w:szCs w:val="18"/>
              </w:rPr>
              <w:t>2.</w:t>
            </w:r>
            <w:r>
              <w:rPr>
                <w:rFonts w:hint="eastAsia" w:ascii="黑体" w:hAnsi="黑体" w:eastAsia="黑体"/>
                <w:sz w:val="18"/>
                <w:szCs w:val="18"/>
                <w:lang w:val="en-US" w:eastAsia="zh-CN"/>
              </w:rPr>
              <w:t>3</w:t>
            </w:r>
            <w:r>
              <w:rPr>
                <w:rFonts w:ascii="黑体" w:hAnsi="黑体" w:eastAsia="黑体"/>
                <w:sz w:val="18"/>
                <w:szCs w:val="18"/>
              </w:rPr>
              <w:t>G</w:t>
            </w:r>
            <w:r>
              <w:rPr>
                <w:rFonts w:hint="eastAsia" w:ascii="黑体" w:hAnsi="黑体" w:eastAsia="黑体"/>
                <w:sz w:val="18"/>
                <w:szCs w:val="18"/>
              </w:rPr>
              <w:t>Hz</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987"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52</w:t>
            </w:r>
          </w:p>
        </w:tc>
        <w:tc>
          <w:tcPr>
            <w:tcW w:w="790" w:type="dxa"/>
            <w:gridSpan w:val="2"/>
            <w:tcBorders>
              <w:tl2br w:val="nil"/>
              <w:tr2bl w:val="nil"/>
            </w:tcBorders>
            <w:vAlign w:val="center"/>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性能要求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180"/>
              <w:jc w:val="center"/>
              <w:textAlignment w:val="baseline"/>
              <w:rPr>
                <w:rFonts w:ascii="黑体" w:hAnsi="黑体" w:eastAsia="黑体"/>
                <w:spacing w:val="-4"/>
                <w:sz w:val="18"/>
                <w:szCs w:val="18"/>
              </w:rPr>
            </w:pPr>
            <w:r>
              <w:rPr>
                <w:rFonts w:hint="eastAsia"/>
              </w:rPr>
              <w:t>★</w:t>
            </w:r>
            <w:r>
              <w:rPr>
                <w:rFonts w:ascii="黑体" w:hAnsi="黑体" w:eastAsia="黑体"/>
                <w:spacing w:val="-4"/>
                <w:sz w:val="18"/>
                <w:szCs w:val="18"/>
              </w:rPr>
              <w:t xml:space="preserve">CPU </w:t>
            </w:r>
            <w:r>
              <w:rPr>
                <w:rFonts w:ascii="黑体" w:hAnsi="黑体" w:eastAsia="黑体"/>
                <w:spacing w:val="-4"/>
                <w:sz w:val="18"/>
                <w:szCs w:val="18"/>
                <w:lang w:val="zh-CN"/>
              </w:rPr>
              <w:t>末级缓存容量</w:t>
            </w:r>
          </w:p>
        </w:tc>
        <w:tc>
          <w:tcPr>
            <w:tcW w:w="6112" w:type="dxa"/>
            <w:gridSpan w:val="4"/>
            <w:tcBorders>
              <w:tl2br w:val="nil"/>
              <w:tr2bl w:val="nil"/>
            </w:tcBorders>
            <w:vAlign w:val="center"/>
          </w:tcPr>
          <w:p>
            <w:pPr>
              <w:widowControl/>
              <w:spacing w:line="240" w:lineRule="exact"/>
              <w:ind w:left="105"/>
              <w:jc w:val="left"/>
              <w:textAlignment w:val="baseline"/>
              <w:rPr>
                <w:rFonts w:ascii="黑体" w:hAnsi="黑体" w:eastAsia="黑体"/>
                <w:sz w:val="18"/>
                <w:szCs w:val="18"/>
                <w:lang w:val="zh-CN"/>
              </w:rPr>
            </w:pPr>
            <w:r>
              <w:rPr>
                <w:rFonts w:ascii="黑体" w:hAnsi="黑体" w:eastAsia="黑体"/>
                <w:sz w:val="18"/>
                <w:szCs w:val="18"/>
                <w:lang w:val="zh-CN"/>
              </w:rPr>
              <w:t>≥</w:t>
            </w:r>
            <w:r>
              <w:rPr>
                <w:rFonts w:hint="eastAsia" w:ascii="黑体" w:hAnsi="黑体" w:eastAsia="黑体"/>
                <w:sz w:val="18"/>
                <w:szCs w:val="18"/>
                <w:lang w:val="en-US" w:eastAsia="zh-CN"/>
              </w:rPr>
              <w:t>4</w:t>
            </w:r>
            <w:r>
              <w:rPr>
                <w:rFonts w:ascii="黑体" w:hAnsi="黑体" w:eastAsia="黑体"/>
                <w:sz w:val="18"/>
                <w:szCs w:val="18"/>
              </w:rPr>
              <w:t>MB</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711"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53</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性能要求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tcPr>
          <w:p>
            <w:pPr>
              <w:widowControl/>
              <w:spacing w:line="240" w:lineRule="exact"/>
              <w:ind w:left="108"/>
              <w:jc w:val="left"/>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rPr>
              <w:t xml:space="preserve">CPU </w:t>
            </w:r>
            <w:r>
              <w:rPr>
                <w:rFonts w:ascii="黑体" w:hAnsi="黑体" w:eastAsia="黑体"/>
                <w:spacing w:val="-3"/>
                <w:sz w:val="18"/>
                <w:szCs w:val="18"/>
                <w:lang w:val="zh-CN"/>
              </w:rPr>
              <w:t>支持的内存最高速率</w:t>
            </w:r>
          </w:p>
        </w:tc>
        <w:tc>
          <w:tcPr>
            <w:tcW w:w="6112" w:type="dxa"/>
            <w:gridSpan w:val="4"/>
            <w:tcBorders>
              <w:tl2br w:val="nil"/>
              <w:tr2bl w:val="nil"/>
            </w:tcBorders>
            <w:vAlign w:val="center"/>
          </w:tcPr>
          <w:p>
            <w:pPr>
              <w:widowControl/>
              <w:spacing w:line="240" w:lineRule="exact"/>
              <w:ind w:left="105"/>
              <w:jc w:val="left"/>
              <w:textAlignment w:val="baseline"/>
              <w:rPr>
                <w:rFonts w:ascii="黑体" w:hAnsi="黑体" w:eastAsia="黑体"/>
                <w:sz w:val="18"/>
                <w:szCs w:val="18"/>
                <w:lang w:val="zh-CN"/>
              </w:rPr>
            </w:pPr>
            <w:r>
              <w:rPr>
                <w:rFonts w:ascii="黑体" w:hAnsi="黑体" w:eastAsia="黑体"/>
                <w:sz w:val="18"/>
                <w:szCs w:val="18"/>
                <w:lang w:val="zh-CN"/>
              </w:rPr>
              <w:t>≥</w:t>
            </w:r>
            <w:r>
              <w:rPr>
                <w:rFonts w:hint="eastAsia" w:ascii="黑体" w:hAnsi="黑体" w:eastAsia="黑体"/>
                <w:sz w:val="18"/>
                <w:szCs w:val="18"/>
              </w:rPr>
              <w:t>2666MT/s</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730"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54</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性能要求</w:t>
            </w:r>
          </w:p>
        </w:tc>
        <w:tc>
          <w:tcPr>
            <w:tcW w:w="735" w:type="dxa"/>
            <w:tcBorders>
              <w:tl2br w:val="nil"/>
              <w:tr2bl w:val="nil"/>
            </w:tcBorders>
          </w:tcPr>
          <w:p>
            <w:pPr>
              <w:widowControl/>
              <w:spacing w:line="240" w:lineRule="exact"/>
              <w:ind w:left="144"/>
              <w:jc w:val="left"/>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内存性能</w:t>
            </w:r>
          </w:p>
        </w:tc>
        <w:tc>
          <w:tcPr>
            <w:tcW w:w="1100" w:type="dxa"/>
            <w:tcBorders>
              <w:tl2br w:val="nil"/>
              <w:tr2bl w:val="nil"/>
            </w:tcBorders>
          </w:tcPr>
          <w:p>
            <w:pPr>
              <w:widowControl/>
              <w:spacing w:line="240" w:lineRule="exact"/>
              <w:ind w:left="108" w:right="252"/>
              <w:jc w:val="left"/>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内存读写速率</w:t>
            </w:r>
          </w:p>
        </w:tc>
        <w:tc>
          <w:tcPr>
            <w:tcW w:w="6112" w:type="dxa"/>
            <w:gridSpan w:val="4"/>
            <w:tcBorders>
              <w:tl2br w:val="nil"/>
              <w:tr2bl w:val="nil"/>
            </w:tcBorders>
            <w:vAlign w:val="center"/>
          </w:tcPr>
          <w:p>
            <w:pPr>
              <w:widowControl/>
              <w:spacing w:line="240" w:lineRule="exact"/>
              <w:ind w:left="105"/>
              <w:jc w:val="left"/>
              <w:textAlignment w:val="baseline"/>
              <w:rPr>
                <w:rFonts w:ascii="黑体" w:hAnsi="黑体" w:eastAsia="黑体"/>
                <w:sz w:val="18"/>
                <w:szCs w:val="18"/>
                <w:lang w:val="zh-CN"/>
              </w:rPr>
            </w:pPr>
            <w:r>
              <w:rPr>
                <w:rFonts w:ascii="黑体" w:hAnsi="黑体" w:eastAsia="黑体"/>
                <w:sz w:val="18"/>
                <w:szCs w:val="18"/>
                <w:lang w:val="zh-CN"/>
              </w:rPr>
              <w:t>≥</w:t>
            </w:r>
            <w:r>
              <w:rPr>
                <w:rFonts w:hint="eastAsia" w:ascii="黑体" w:hAnsi="黑体" w:eastAsia="黑体"/>
                <w:sz w:val="18"/>
                <w:szCs w:val="18"/>
              </w:rPr>
              <w:t>2666MT/s</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490"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55</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性能要求</w:t>
            </w:r>
          </w:p>
        </w:tc>
        <w:tc>
          <w:tcPr>
            <w:tcW w:w="735" w:type="dxa"/>
            <w:vMerge w:val="restart"/>
            <w:tcBorders>
              <w:tl2br w:val="nil"/>
              <w:tr2bl w:val="nil"/>
            </w:tcBorders>
            <w:vAlign w:val="center"/>
          </w:tcPr>
          <w:p>
            <w:pPr>
              <w:widowControl/>
              <w:spacing w:line="240" w:lineRule="exact"/>
              <w:ind w:left="144"/>
              <w:jc w:val="left"/>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显卡性能</w:t>
            </w:r>
          </w:p>
        </w:tc>
        <w:tc>
          <w:tcPr>
            <w:tcW w:w="1100" w:type="dxa"/>
            <w:tcBorders>
              <w:tl2br w:val="nil"/>
              <w:tr2bl w:val="nil"/>
            </w:tcBorders>
          </w:tcPr>
          <w:p>
            <w:pPr>
              <w:widowControl/>
              <w:spacing w:line="240" w:lineRule="exact"/>
              <w:ind w:left="108" w:right="252"/>
              <w:jc w:val="left"/>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显示分辨率</w:t>
            </w:r>
          </w:p>
        </w:tc>
        <w:tc>
          <w:tcPr>
            <w:tcW w:w="6112" w:type="dxa"/>
            <w:gridSpan w:val="4"/>
            <w:tcBorders>
              <w:tl2br w:val="nil"/>
              <w:tr2bl w:val="nil"/>
            </w:tcBorders>
            <w:vAlign w:val="center"/>
          </w:tcPr>
          <w:p>
            <w:pPr>
              <w:widowControl/>
              <w:spacing w:line="240" w:lineRule="exact"/>
              <w:ind w:left="105"/>
              <w:jc w:val="left"/>
              <w:textAlignment w:val="baseline"/>
              <w:rPr>
                <w:rFonts w:ascii="黑体" w:hAnsi="黑体" w:eastAsia="黑体"/>
                <w:sz w:val="18"/>
                <w:szCs w:val="18"/>
                <w:lang w:val="zh-CN"/>
              </w:rPr>
            </w:pPr>
            <w:r>
              <w:rPr>
                <w:rFonts w:ascii="黑体" w:hAnsi="黑体" w:eastAsia="黑体"/>
                <w:sz w:val="18"/>
                <w:szCs w:val="18"/>
                <w:lang w:val="zh-CN"/>
              </w:rPr>
              <w:t>≥1920</w:t>
            </w:r>
            <w:r>
              <w:rPr>
                <w:rFonts w:ascii="黑体" w:hAnsi="黑体" w:eastAsia="黑体"/>
                <w:sz w:val="18"/>
                <w:szCs w:val="18"/>
              </w:rPr>
              <w:t>x1080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710"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56</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性能要求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tcPr>
          <w:p>
            <w:pPr>
              <w:widowControl/>
              <w:spacing w:line="240" w:lineRule="exact"/>
              <w:ind w:left="108" w:right="180"/>
              <w:jc w:val="left"/>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显卡显示芯片核心频率</w:t>
            </w:r>
          </w:p>
        </w:tc>
        <w:tc>
          <w:tcPr>
            <w:tcW w:w="6112" w:type="dxa"/>
            <w:gridSpan w:val="4"/>
            <w:tcBorders>
              <w:tl2br w:val="nil"/>
              <w:tr2bl w:val="nil"/>
            </w:tcBorders>
            <w:vAlign w:val="center"/>
          </w:tcPr>
          <w:p>
            <w:pPr>
              <w:widowControl/>
              <w:spacing w:line="240" w:lineRule="exact"/>
              <w:ind w:left="105"/>
              <w:jc w:val="left"/>
              <w:textAlignment w:val="baseline"/>
              <w:rPr>
                <w:rFonts w:ascii="黑体" w:hAnsi="黑体" w:eastAsia="黑体"/>
                <w:sz w:val="18"/>
                <w:szCs w:val="18"/>
                <w:lang w:val="zh-CN"/>
              </w:rPr>
            </w:pPr>
            <w:r>
              <w:rPr>
                <w:rFonts w:ascii="黑体" w:hAnsi="黑体" w:eastAsia="黑体"/>
                <w:sz w:val="18"/>
                <w:szCs w:val="18"/>
                <w:lang w:val="zh-CN"/>
              </w:rPr>
              <w:t>≥300</w:t>
            </w:r>
            <w:r>
              <w:rPr>
                <w:rFonts w:ascii="黑体" w:hAnsi="黑体" w:eastAsia="黑体"/>
                <w:sz w:val="18"/>
                <w:szCs w:val="18"/>
              </w:rPr>
              <w:t>M</w:t>
            </w:r>
            <w:r>
              <w:rPr>
                <w:rFonts w:hint="eastAsia" w:ascii="黑体" w:hAnsi="黑体" w:eastAsia="黑体"/>
                <w:sz w:val="18"/>
                <w:szCs w:val="18"/>
              </w:rPr>
              <w:t>Hz</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706"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57</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性能要求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显存等效频</w:t>
            </w:r>
          </w:p>
        </w:tc>
        <w:tc>
          <w:tcPr>
            <w:tcW w:w="6112" w:type="dxa"/>
            <w:gridSpan w:val="4"/>
            <w:tcBorders>
              <w:tl2br w:val="nil"/>
              <w:tr2bl w:val="nil"/>
            </w:tcBorders>
            <w:vAlign w:val="center"/>
          </w:tcPr>
          <w:p>
            <w:pPr>
              <w:widowControl/>
              <w:spacing w:line="240" w:lineRule="exact"/>
              <w:ind w:left="105"/>
              <w:jc w:val="left"/>
              <w:textAlignment w:val="baseline"/>
              <w:rPr>
                <w:rFonts w:ascii="黑体" w:hAnsi="黑体" w:eastAsia="黑体"/>
                <w:sz w:val="18"/>
                <w:szCs w:val="18"/>
                <w:lang w:val="zh-CN"/>
              </w:rPr>
            </w:pPr>
            <w:r>
              <w:rPr>
                <w:rFonts w:ascii="黑体" w:hAnsi="黑体" w:eastAsia="黑体"/>
                <w:sz w:val="18"/>
                <w:szCs w:val="18"/>
                <w:lang w:val="zh-CN"/>
              </w:rPr>
              <w:t>≥1000</w:t>
            </w:r>
            <w:r>
              <w:rPr>
                <w:rFonts w:ascii="黑体" w:hAnsi="黑体" w:eastAsia="黑体"/>
                <w:sz w:val="18"/>
                <w:szCs w:val="18"/>
              </w:rPr>
              <w:t>MT/s</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3"/>
          <w:wBefore w:w="11" w:type="dxa"/>
          <w:wAfter w:w="123" w:type="dxa"/>
          <w:trHeight w:val="950"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58</w:t>
            </w:r>
          </w:p>
        </w:tc>
        <w:tc>
          <w:tcPr>
            <w:tcW w:w="790" w:type="dxa"/>
            <w:gridSpan w:val="2"/>
            <w:tcBorders>
              <w:tl2br w:val="nil"/>
              <w:tr2bl w:val="nil"/>
            </w:tcBorders>
            <w:vAlign w:val="center"/>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性能要求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tcPr>
          <w:p>
            <w:pPr>
              <w:widowControl/>
              <w:spacing w:line="240" w:lineRule="exact"/>
              <w:ind w:left="108" w:right="144"/>
              <w:jc w:val="left"/>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显卡可支持多屏同时显示数量</w:t>
            </w:r>
          </w:p>
        </w:tc>
        <w:tc>
          <w:tcPr>
            <w:tcW w:w="6112" w:type="dxa"/>
            <w:gridSpan w:val="4"/>
            <w:tcBorders>
              <w:tl2br w:val="nil"/>
              <w:tr2bl w:val="nil"/>
            </w:tcBorders>
            <w:vAlign w:val="center"/>
          </w:tcPr>
          <w:p>
            <w:pPr>
              <w:widowControl/>
              <w:spacing w:line="240" w:lineRule="exact"/>
              <w:ind w:left="108" w:right="180"/>
              <w:textAlignment w:val="baseline"/>
              <w:rPr>
                <w:rFonts w:ascii="黑体" w:hAnsi="黑体" w:eastAsia="黑体"/>
                <w:spacing w:val="-3"/>
                <w:sz w:val="18"/>
                <w:szCs w:val="18"/>
                <w:lang w:val="zh-CN"/>
              </w:rPr>
            </w:pPr>
            <w:r>
              <w:rPr>
                <w:rFonts w:ascii="黑体" w:hAnsi="黑体" w:eastAsia="黑体"/>
                <w:spacing w:val="-3"/>
                <w:sz w:val="18"/>
                <w:szCs w:val="18"/>
                <w:lang w:val="zh-CN"/>
              </w:rPr>
              <w:t>显卡应支持 2 块屏幕同时显示</w:t>
            </w:r>
            <w:r>
              <w:rPr>
                <w:rFonts w:hint="eastAsia" w:ascii="黑体" w:hAnsi="黑体" w:eastAsia="黑体"/>
                <w:spacing w:val="-3"/>
                <w:sz w:val="18"/>
                <w:szCs w:val="18"/>
                <w:lang w:val="zh-CN"/>
              </w:rPr>
              <w:t>，</w:t>
            </w:r>
            <w:r>
              <w:rPr>
                <w:rFonts w:ascii="黑体" w:hAnsi="黑体" w:eastAsia="黑体"/>
                <w:spacing w:val="-3"/>
                <w:sz w:val="18"/>
                <w:szCs w:val="18"/>
                <w:lang w:val="zh-CN"/>
              </w:rPr>
              <w:t>分辨率应不低于 1920×1080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5"/>
          <w:wBefore w:w="11" w:type="dxa"/>
          <w:wAfter w:w="168" w:type="dxa"/>
          <w:trHeight w:val="970"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59</w:t>
            </w:r>
          </w:p>
        </w:tc>
        <w:tc>
          <w:tcPr>
            <w:tcW w:w="790" w:type="dxa"/>
            <w:gridSpan w:val="2"/>
            <w:tcBorders>
              <w:tl2br w:val="nil"/>
              <w:tr2bl w:val="nil"/>
            </w:tcBorders>
            <w:vAlign w:val="center"/>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性能要求</w:t>
            </w:r>
          </w:p>
        </w:tc>
        <w:tc>
          <w:tcPr>
            <w:tcW w:w="735" w:type="dxa"/>
            <w:tcBorders>
              <w:tl2br w:val="nil"/>
              <w:tr2bl w:val="nil"/>
            </w:tcBorders>
            <w:vAlign w:val="center"/>
          </w:tcPr>
          <w:p>
            <w:pPr>
              <w:widowControl/>
              <w:spacing w:line="240" w:lineRule="exact"/>
              <w:jc w:val="center"/>
              <w:textAlignment w:val="baseline"/>
              <w:rPr>
                <w:rFonts w:ascii="黑体" w:hAnsi="黑体" w:eastAsia="黑体"/>
                <w:spacing w:val="6"/>
                <w:sz w:val="18"/>
                <w:szCs w:val="18"/>
                <w:lang w:val="zh-CN"/>
              </w:rPr>
            </w:pPr>
            <w:r>
              <w:rPr>
                <w:rFonts w:hint="eastAsia"/>
              </w:rPr>
              <w:t>★</w:t>
            </w:r>
            <w:r>
              <w:rPr>
                <w:rFonts w:ascii="黑体" w:hAnsi="黑体" w:eastAsia="黑体"/>
                <w:spacing w:val="6"/>
                <w:sz w:val="18"/>
                <w:szCs w:val="18"/>
                <w:lang w:val="zh-CN"/>
              </w:rPr>
              <w:t>网络设备</w:t>
            </w:r>
          </w:p>
          <w:p>
            <w:pPr>
              <w:widowControl/>
              <w:spacing w:line="240" w:lineRule="exact"/>
              <w:jc w:val="center"/>
              <w:textAlignment w:val="baseline"/>
              <w:rPr>
                <w:rFonts w:ascii="黑体" w:hAnsi="黑体" w:eastAsia="黑体"/>
                <w:spacing w:val="6"/>
                <w:sz w:val="18"/>
                <w:szCs w:val="18"/>
                <w:lang w:val="zh-CN"/>
              </w:rPr>
            </w:pPr>
            <w:r>
              <w:rPr>
                <w:rFonts w:hint="eastAsia" w:ascii="黑体" w:hAnsi="黑体" w:eastAsia="黑体"/>
                <w:spacing w:val="6"/>
                <w:sz w:val="18"/>
                <w:szCs w:val="18"/>
                <w:lang w:val="zh-CN"/>
              </w:rPr>
              <w:t>性能</w:t>
            </w: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有线网卡速率</w:t>
            </w:r>
          </w:p>
        </w:tc>
        <w:tc>
          <w:tcPr>
            <w:tcW w:w="6067" w:type="dxa"/>
            <w:gridSpan w:val="2"/>
            <w:tcBorders>
              <w:tl2br w:val="nil"/>
              <w:tr2bl w:val="nil"/>
            </w:tcBorders>
            <w:vAlign w:val="center"/>
          </w:tcPr>
          <w:p>
            <w:pPr>
              <w:widowControl/>
              <w:spacing w:line="240" w:lineRule="exact"/>
              <w:ind w:left="108"/>
              <w:textAlignment w:val="baseline"/>
              <w:rPr>
                <w:rFonts w:ascii="黑体" w:hAnsi="黑体" w:eastAsia="黑体"/>
                <w:spacing w:val="-3"/>
                <w:sz w:val="18"/>
                <w:szCs w:val="18"/>
                <w:lang w:val="zh-CN"/>
              </w:rPr>
            </w:pPr>
            <w:r>
              <w:rPr>
                <w:rFonts w:ascii="黑体" w:hAnsi="黑体" w:eastAsia="黑体"/>
                <w:spacing w:val="-3"/>
                <w:sz w:val="18"/>
                <w:szCs w:val="18"/>
                <w:lang w:val="zh-CN"/>
              </w:rPr>
              <w:t>最高速率应不低于 1000</w:t>
            </w:r>
            <w:r>
              <w:rPr>
                <w:rFonts w:ascii="黑体" w:hAnsi="黑体" w:eastAsia="黑体"/>
                <w:spacing w:val="-3"/>
                <w:sz w:val="18"/>
                <w:szCs w:val="18"/>
              </w:rPr>
              <w:t>Mbps</w:t>
            </w:r>
            <w:r>
              <w:rPr>
                <w:rFonts w:hint="eastAsia" w:ascii="黑体" w:hAnsi="黑体" w:eastAsia="黑体"/>
                <w:spacing w:val="-3"/>
                <w:sz w:val="18"/>
                <w:szCs w:val="18"/>
              </w:rPr>
              <w:t>，</w:t>
            </w:r>
            <w:r>
              <w:rPr>
                <w:rFonts w:ascii="黑体" w:hAnsi="黑体" w:eastAsia="黑体"/>
                <w:spacing w:val="-3"/>
                <w:sz w:val="18"/>
                <w:szCs w:val="18"/>
                <w:lang w:val="zh-CN"/>
              </w:rPr>
              <w:t>应支持 10</w:t>
            </w:r>
            <w:r>
              <w:rPr>
                <w:rFonts w:ascii="黑体" w:hAnsi="黑体" w:eastAsia="黑体"/>
                <w:spacing w:val="-3"/>
                <w:sz w:val="18"/>
                <w:szCs w:val="18"/>
              </w:rPr>
              <w:t>Mbps</w:t>
            </w:r>
            <w:r>
              <w:rPr>
                <w:rFonts w:ascii="黑体" w:hAnsi="黑体" w:eastAsia="黑体"/>
                <w:spacing w:val="-3"/>
                <w:sz w:val="18"/>
                <w:szCs w:val="18"/>
                <w:lang w:val="zh-CN"/>
              </w:rPr>
              <w:t>、100</w:t>
            </w:r>
            <w:r>
              <w:rPr>
                <w:rFonts w:ascii="黑体" w:hAnsi="黑体" w:eastAsia="黑体"/>
                <w:spacing w:val="-3"/>
                <w:sz w:val="18"/>
                <w:szCs w:val="18"/>
              </w:rPr>
              <w:t>Mbps</w:t>
            </w:r>
            <w:r>
              <w:rPr>
                <w:rFonts w:ascii="黑体" w:hAnsi="黑体" w:eastAsia="黑体"/>
                <w:spacing w:val="-3"/>
                <w:sz w:val="18"/>
                <w:szCs w:val="18"/>
                <w:lang w:val="zh-CN"/>
              </w:rPr>
              <w:t>、1000</w:t>
            </w:r>
            <w:r>
              <w:rPr>
                <w:rFonts w:ascii="黑体" w:hAnsi="黑体" w:eastAsia="黑体"/>
                <w:spacing w:val="-3"/>
                <w:sz w:val="18"/>
                <w:szCs w:val="18"/>
              </w:rPr>
              <w:t xml:space="preserve">Mbps </w:t>
            </w:r>
            <w:r>
              <w:rPr>
                <w:rFonts w:ascii="黑体" w:hAnsi="黑体" w:eastAsia="黑体"/>
                <w:spacing w:val="-3"/>
                <w:sz w:val="18"/>
                <w:szCs w:val="18"/>
                <w:lang w:val="zh-CN"/>
              </w:rPr>
              <w:t>速率自适应</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5"/>
          <w:wBefore w:w="11" w:type="dxa"/>
          <w:wAfter w:w="168" w:type="dxa"/>
          <w:trHeight w:val="1210"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60</w:t>
            </w:r>
          </w:p>
        </w:tc>
        <w:tc>
          <w:tcPr>
            <w:tcW w:w="790" w:type="dxa"/>
            <w:gridSpan w:val="2"/>
            <w:tcBorders>
              <w:tl2br w:val="nil"/>
              <w:tr2bl w:val="nil"/>
            </w:tcBorders>
            <w:vAlign w:val="center"/>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vMerge w:val="restart"/>
            <w:tcBorders>
              <w:tl2br w:val="nil"/>
              <w:tr2bl w:val="nil"/>
            </w:tcBorders>
            <w:vAlign w:val="center"/>
          </w:tcPr>
          <w:p>
            <w:pPr>
              <w:widowControl/>
              <w:spacing w:line="240" w:lineRule="exact"/>
              <w:ind w:left="144"/>
              <w:jc w:val="left"/>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主板功能</w:t>
            </w:r>
          </w:p>
        </w:tc>
        <w:tc>
          <w:tcPr>
            <w:tcW w:w="1100" w:type="dxa"/>
            <w:tcBorders>
              <w:tl2br w:val="nil"/>
              <w:tr2bl w:val="nil"/>
            </w:tcBorders>
          </w:tcPr>
          <w:p>
            <w:pPr>
              <w:widowControl/>
              <w:spacing w:line="240" w:lineRule="exact"/>
              <w:ind w:left="108" w:right="252"/>
              <w:jc w:val="left"/>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内存扩展接口 (板载内存不涉及)</w:t>
            </w:r>
          </w:p>
        </w:tc>
        <w:tc>
          <w:tcPr>
            <w:tcW w:w="6067" w:type="dxa"/>
            <w:gridSpan w:val="2"/>
            <w:tcBorders>
              <w:tl2br w:val="nil"/>
              <w:tr2bl w:val="nil"/>
            </w:tcBorders>
            <w:vAlign w:val="center"/>
          </w:tcPr>
          <w:p>
            <w:pPr>
              <w:widowControl/>
              <w:spacing w:line="240" w:lineRule="exact"/>
              <w:ind w:left="11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w:t>
            </w:r>
            <w:r>
              <w:rPr>
                <w:rFonts w:hint="eastAsia" w:ascii="黑体" w:hAnsi="黑体" w:eastAsia="黑体"/>
                <w:spacing w:val="-3"/>
                <w:sz w:val="18"/>
                <w:szCs w:val="18"/>
                <w:lang w:val="en-US" w:eastAsia="zh-CN"/>
              </w:rPr>
              <w:t>2</w:t>
            </w:r>
            <w:r>
              <w:rPr>
                <w:rFonts w:ascii="黑体" w:hAnsi="黑体" w:eastAsia="黑体"/>
                <w:spacing w:val="-3"/>
                <w:sz w:val="18"/>
                <w:szCs w:val="18"/>
                <w:lang w:val="zh-CN"/>
              </w:rPr>
              <w:t>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5"/>
          <w:wBefore w:w="11" w:type="dxa"/>
          <w:wAfter w:w="168" w:type="dxa"/>
          <w:trHeight w:val="730"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61</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tcPr>
          <w:p>
            <w:pPr>
              <w:widowControl/>
              <w:spacing w:line="240" w:lineRule="exact"/>
              <w:ind w:left="108"/>
              <w:jc w:val="left"/>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 xml:space="preserve">主板 </w:t>
            </w:r>
            <w:r>
              <w:rPr>
                <w:rFonts w:ascii="黑体" w:hAnsi="黑体" w:eastAsia="黑体"/>
                <w:spacing w:val="-3"/>
                <w:sz w:val="18"/>
                <w:szCs w:val="18"/>
              </w:rPr>
              <w:t xml:space="preserve">USB </w:t>
            </w:r>
            <w:r>
              <w:rPr>
                <w:rFonts w:ascii="黑体" w:hAnsi="黑体" w:eastAsia="黑体"/>
                <w:spacing w:val="-3"/>
                <w:sz w:val="18"/>
                <w:szCs w:val="18"/>
                <w:lang w:val="zh-CN"/>
              </w:rPr>
              <w:t>瞬间过流保护</w:t>
            </w:r>
          </w:p>
        </w:tc>
        <w:tc>
          <w:tcPr>
            <w:tcW w:w="6067" w:type="dxa"/>
            <w:gridSpan w:val="2"/>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支持有瞬间过流保护功能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5"/>
          <w:wBefore w:w="11" w:type="dxa"/>
          <w:wAfter w:w="168" w:type="dxa"/>
          <w:trHeight w:val="591"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62</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tcPr>
          <w:p>
            <w:pPr>
              <w:widowControl/>
              <w:spacing w:line="240" w:lineRule="exact"/>
              <w:ind w:left="108" w:right="180"/>
              <w:jc w:val="left"/>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主板防静电保护</w:t>
            </w:r>
          </w:p>
        </w:tc>
        <w:tc>
          <w:tcPr>
            <w:tcW w:w="6067" w:type="dxa"/>
            <w:gridSpan w:val="2"/>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支持防静电保护功能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5"/>
          <w:wBefore w:w="11" w:type="dxa"/>
          <w:wAfter w:w="168" w:type="dxa"/>
          <w:trHeight w:val="1154"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63</w:t>
            </w:r>
          </w:p>
        </w:tc>
        <w:tc>
          <w:tcPr>
            <w:tcW w:w="790" w:type="dxa"/>
            <w:gridSpan w:val="2"/>
            <w:tcBorders>
              <w:tl2br w:val="nil"/>
              <w:tr2bl w:val="nil"/>
            </w:tcBorders>
            <w:vAlign w:val="center"/>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jc w:val="left"/>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rPr>
              <w:t xml:space="preserve">I/O </w:t>
            </w:r>
            <w:r>
              <w:rPr>
                <w:rFonts w:ascii="黑体" w:hAnsi="黑体" w:eastAsia="黑体"/>
                <w:spacing w:val="-3"/>
                <w:sz w:val="18"/>
                <w:szCs w:val="18"/>
                <w:lang w:val="zh-CN"/>
              </w:rPr>
              <w:t>接口功能</w:t>
            </w:r>
          </w:p>
        </w:tc>
        <w:tc>
          <w:tcPr>
            <w:tcW w:w="6067" w:type="dxa"/>
            <w:gridSpan w:val="2"/>
            <w:tcBorders>
              <w:tl2br w:val="nil"/>
              <w:tr2bl w:val="nil"/>
            </w:tcBorders>
          </w:tcPr>
          <w:p>
            <w:pPr>
              <w:widowControl/>
              <w:spacing w:line="240" w:lineRule="exact"/>
              <w:ind w:left="108" w:right="108"/>
              <w:textAlignment w:val="baseline"/>
              <w:rPr>
                <w:rFonts w:ascii="黑体" w:hAnsi="黑体" w:eastAsia="黑体"/>
                <w:spacing w:val="-15"/>
                <w:sz w:val="18"/>
                <w:szCs w:val="18"/>
                <w:lang w:val="zh-CN"/>
              </w:rPr>
            </w:pPr>
            <w:r>
              <w:rPr>
                <w:rFonts w:ascii="黑体" w:hAnsi="黑体" w:eastAsia="黑体"/>
                <w:spacing w:val="-15"/>
                <w:sz w:val="18"/>
                <w:szCs w:val="18"/>
                <w:lang w:val="zh-CN"/>
              </w:rPr>
              <w:t xml:space="preserve">提供基于标准 </w:t>
            </w:r>
            <w:r>
              <w:rPr>
                <w:rFonts w:ascii="黑体" w:hAnsi="黑体" w:eastAsia="黑体"/>
                <w:spacing w:val="-15"/>
                <w:sz w:val="18"/>
                <w:szCs w:val="18"/>
              </w:rPr>
              <w:t xml:space="preserve">USB </w:t>
            </w:r>
            <w:r>
              <w:rPr>
                <w:rFonts w:ascii="黑体" w:hAnsi="黑体" w:eastAsia="黑体"/>
                <w:spacing w:val="-15"/>
                <w:sz w:val="18"/>
                <w:szCs w:val="18"/>
                <w:lang w:val="zh-CN"/>
              </w:rPr>
              <w:t xml:space="preserve">接口外设连接功能、 基于音频输入输出接口的音频扩展功能、基于 </w:t>
            </w:r>
            <w:r>
              <w:rPr>
                <w:rFonts w:ascii="黑体" w:hAnsi="黑体" w:eastAsia="黑体"/>
                <w:spacing w:val="-15"/>
                <w:sz w:val="18"/>
                <w:szCs w:val="18"/>
              </w:rPr>
              <w:t xml:space="preserve">PCIe </w:t>
            </w:r>
            <w:r>
              <w:rPr>
                <w:rFonts w:ascii="黑体" w:hAnsi="黑体" w:eastAsia="黑体"/>
                <w:spacing w:val="-15"/>
                <w:sz w:val="18"/>
                <w:szCs w:val="18"/>
                <w:lang w:val="zh-CN"/>
              </w:rPr>
              <w:t xml:space="preserve">接口板卡扩展功能、基于 </w:t>
            </w:r>
            <w:r>
              <w:rPr>
                <w:rFonts w:ascii="黑体" w:hAnsi="黑体" w:eastAsia="黑体"/>
                <w:spacing w:val="-15"/>
                <w:sz w:val="18"/>
                <w:szCs w:val="18"/>
              </w:rPr>
              <w:t xml:space="preserve">HDMI </w:t>
            </w:r>
            <w:r>
              <w:rPr>
                <w:rFonts w:ascii="黑体" w:hAnsi="黑体" w:eastAsia="黑体"/>
                <w:spacing w:val="-15"/>
                <w:sz w:val="18"/>
                <w:szCs w:val="18"/>
                <w:lang w:val="zh-CN"/>
              </w:rPr>
              <w:t xml:space="preserve">或 </w:t>
            </w:r>
            <w:r>
              <w:rPr>
                <w:rFonts w:ascii="黑体" w:hAnsi="黑体" w:eastAsia="黑体"/>
                <w:spacing w:val="-15"/>
                <w:sz w:val="18"/>
                <w:szCs w:val="18"/>
              </w:rPr>
              <w:t xml:space="preserve">VGA </w:t>
            </w:r>
            <w:r>
              <w:rPr>
                <w:rFonts w:ascii="黑体" w:hAnsi="黑体" w:eastAsia="黑体"/>
                <w:spacing w:val="-15"/>
                <w:sz w:val="18"/>
                <w:szCs w:val="18"/>
                <w:lang w:val="zh-CN"/>
              </w:rPr>
              <w:t xml:space="preserve">或 </w:t>
            </w:r>
            <w:r>
              <w:rPr>
                <w:rFonts w:ascii="黑体" w:hAnsi="黑体" w:eastAsia="黑体"/>
                <w:spacing w:val="-15"/>
                <w:sz w:val="18"/>
                <w:szCs w:val="18"/>
              </w:rPr>
              <w:t xml:space="preserve">Type-C </w:t>
            </w:r>
            <w:r>
              <w:rPr>
                <w:rFonts w:ascii="黑体" w:hAnsi="黑体" w:eastAsia="黑体"/>
                <w:spacing w:val="-15"/>
                <w:sz w:val="18"/>
                <w:szCs w:val="18"/>
                <w:lang w:val="zh-CN"/>
              </w:rPr>
              <w:t xml:space="preserve">或 </w:t>
            </w:r>
            <w:r>
              <w:rPr>
                <w:rFonts w:ascii="黑体" w:hAnsi="黑体" w:eastAsia="黑体"/>
                <w:spacing w:val="-15"/>
                <w:sz w:val="18"/>
                <w:szCs w:val="18"/>
              </w:rPr>
              <w:t xml:space="preserve">DVI </w:t>
            </w:r>
            <w:r>
              <w:rPr>
                <w:rFonts w:ascii="黑体" w:hAnsi="黑体" w:eastAsia="黑体"/>
                <w:spacing w:val="-15"/>
                <w:sz w:val="18"/>
                <w:szCs w:val="18"/>
                <w:lang w:val="zh-CN"/>
              </w:rPr>
              <w:t xml:space="preserve">或 </w:t>
            </w:r>
            <w:r>
              <w:rPr>
                <w:rFonts w:ascii="黑体" w:hAnsi="黑体" w:eastAsia="黑体"/>
                <w:spacing w:val="-15"/>
                <w:sz w:val="18"/>
                <w:szCs w:val="18"/>
              </w:rPr>
              <w:t xml:space="preserve">DP </w:t>
            </w:r>
            <w:r>
              <w:rPr>
                <w:rFonts w:ascii="黑体" w:hAnsi="黑体" w:eastAsia="黑体"/>
                <w:spacing w:val="-15"/>
                <w:sz w:val="18"/>
                <w:szCs w:val="18"/>
                <w:lang w:val="zh-CN"/>
              </w:rPr>
              <w:t>等接口外接显示器扩展功能、基于存储接口对产品进行增容功能等。产品</w:t>
            </w:r>
            <w:r>
              <w:rPr>
                <w:rFonts w:ascii="黑体" w:hAnsi="黑体" w:eastAsia="黑体"/>
                <w:spacing w:val="-9"/>
                <w:sz w:val="18"/>
                <w:szCs w:val="18"/>
              </w:rPr>
              <w:t xml:space="preserve">I/O </w:t>
            </w:r>
            <w:r>
              <w:rPr>
                <w:rFonts w:ascii="黑体" w:hAnsi="黑体" w:eastAsia="黑体"/>
                <w:spacing w:val="-9"/>
                <w:sz w:val="18"/>
                <w:szCs w:val="18"/>
                <w:lang w:val="zh-CN"/>
              </w:rPr>
              <w:t>接口</w:t>
            </w:r>
            <w:r>
              <w:rPr>
                <w:rFonts w:hint="eastAsia" w:ascii="黑体" w:hAnsi="黑体" w:eastAsia="黑体"/>
                <w:spacing w:val="-9"/>
                <w:sz w:val="18"/>
                <w:szCs w:val="18"/>
                <w:lang w:val="zh-CN"/>
              </w:rPr>
              <w:t>，</w:t>
            </w:r>
            <w:r>
              <w:rPr>
                <w:rFonts w:ascii="黑体" w:hAnsi="黑体" w:eastAsia="黑体"/>
                <w:spacing w:val="-9"/>
                <w:sz w:val="18"/>
                <w:szCs w:val="18"/>
                <w:lang w:val="zh-CN"/>
              </w:rPr>
              <w:t xml:space="preserve">应具备外接标准 </w:t>
            </w:r>
            <w:r>
              <w:rPr>
                <w:rFonts w:ascii="黑体" w:hAnsi="黑体" w:eastAsia="黑体"/>
                <w:spacing w:val="-9"/>
                <w:sz w:val="18"/>
                <w:szCs w:val="18"/>
              </w:rPr>
              <w:t xml:space="preserve">USB </w:t>
            </w:r>
            <w:r>
              <w:rPr>
                <w:rFonts w:ascii="黑体" w:hAnsi="黑体" w:eastAsia="黑体"/>
                <w:spacing w:val="-9"/>
                <w:sz w:val="18"/>
                <w:szCs w:val="18"/>
                <w:lang w:val="zh-CN"/>
              </w:rPr>
              <w:t>设备、 显示器、音频设备等内外部设备能力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5"/>
          <w:wBefore w:w="11" w:type="dxa"/>
          <w:wAfter w:w="168" w:type="dxa"/>
          <w:trHeight w:val="737"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64</w:t>
            </w:r>
          </w:p>
        </w:tc>
        <w:tc>
          <w:tcPr>
            <w:tcW w:w="790" w:type="dxa"/>
            <w:gridSpan w:val="2"/>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tcBorders>
              <w:tl2br w:val="nil"/>
              <w:tr2bl w:val="nil"/>
            </w:tcBorders>
            <w:vAlign w:val="center"/>
          </w:tcPr>
          <w:p>
            <w:pPr>
              <w:widowControl/>
              <w:spacing w:line="240" w:lineRule="exact"/>
              <w:textAlignment w:val="baseline"/>
              <w:rPr>
                <w:sz w:val="18"/>
                <w:szCs w:val="18"/>
              </w:rPr>
            </w:pPr>
            <w:r>
              <w:rPr>
                <w:rFonts w:hint="eastAsia"/>
              </w:rPr>
              <w:t>★</w:t>
            </w:r>
            <w:r>
              <w:rPr>
                <w:rFonts w:ascii="黑体" w:hAnsi="黑体" w:eastAsia="黑体"/>
                <w:spacing w:val="-3"/>
                <w:sz w:val="18"/>
                <w:szCs w:val="18"/>
                <w:lang w:val="zh-CN"/>
              </w:rPr>
              <w:t>显卡功能</w:t>
            </w:r>
          </w:p>
        </w:tc>
        <w:tc>
          <w:tcPr>
            <w:tcW w:w="1100" w:type="dxa"/>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hint="eastAsia"/>
              </w:rPr>
              <w:t>★</w:t>
            </w:r>
            <w:r>
              <w:rPr>
                <w:rFonts w:ascii="黑体" w:hAnsi="黑体" w:eastAsia="黑体"/>
                <w:spacing w:val="-15"/>
                <w:sz w:val="18"/>
                <w:szCs w:val="18"/>
                <w:lang w:val="zh-CN"/>
              </w:rPr>
              <w:t>显卡外接显示接口</w:t>
            </w:r>
          </w:p>
        </w:tc>
        <w:tc>
          <w:tcPr>
            <w:tcW w:w="6067" w:type="dxa"/>
            <w:gridSpan w:val="2"/>
            <w:tcBorders>
              <w:tl2br w:val="nil"/>
              <w:tr2bl w:val="nil"/>
            </w:tcBorders>
          </w:tcPr>
          <w:p>
            <w:pPr>
              <w:widowControl/>
              <w:spacing w:line="240" w:lineRule="exact"/>
              <w:ind w:left="108"/>
              <w:jc w:val="left"/>
              <w:textAlignment w:val="baseline"/>
              <w:rPr>
                <w:rFonts w:ascii="黑体" w:hAnsi="黑体" w:eastAsia="黑体"/>
                <w:spacing w:val="-15"/>
                <w:sz w:val="18"/>
                <w:szCs w:val="18"/>
                <w:lang w:val="zh-CN"/>
              </w:rPr>
            </w:pPr>
            <w:r>
              <w:rPr>
                <w:rFonts w:ascii="黑体" w:hAnsi="黑体" w:eastAsia="黑体"/>
                <w:spacing w:val="-3"/>
                <w:sz w:val="18"/>
                <w:szCs w:val="18"/>
                <w:lang w:val="zh-CN"/>
              </w:rPr>
              <w:t xml:space="preserve">显卡至少支持 </w:t>
            </w:r>
            <w:r>
              <w:rPr>
                <w:rFonts w:ascii="黑体" w:hAnsi="黑体" w:eastAsia="黑体"/>
                <w:spacing w:val="-3"/>
                <w:sz w:val="18"/>
                <w:szCs w:val="18"/>
              </w:rPr>
              <w:t>VGA</w:t>
            </w:r>
            <w:r>
              <w:rPr>
                <w:rFonts w:ascii="黑体" w:hAnsi="黑体" w:eastAsia="黑体"/>
                <w:spacing w:val="-3"/>
                <w:sz w:val="18"/>
                <w:szCs w:val="18"/>
                <w:lang w:val="zh-CN"/>
              </w:rPr>
              <w:t>、</w:t>
            </w:r>
            <w:r>
              <w:rPr>
                <w:rFonts w:ascii="黑体" w:hAnsi="黑体" w:eastAsia="黑体"/>
                <w:spacing w:val="-3"/>
                <w:sz w:val="18"/>
                <w:szCs w:val="18"/>
              </w:rPr>
              <w:t>HDMI</w:t>
            </w:r>
            <w:r>
              <w:rPr>
                <w:rFonts w:ascii="黑体" w:hAnsi="黑体" w:eastAsia="黑体"/>
                <w:spacing w:val="-3"/>
                <w:sz w:val="18"/>
                <w:szCs w:val="18"/>
                <w:lang w:val="zh-CN"/>
              </w:rPr>
              <w:t>、</w:t>
            </w:r>
            <w:r>
              <w:rPr>
                <w:rFonts w:ascii="黑体" w:hAnsi="黑体" w:eastAsia="黑体"/>
                <w:spacing w:val="-3"/>
                <w:sz w:val="18"/>
                <w:szCs w:val="18"/>
              </w:rPr>
              <w:t>DVI</w:t>
            </w:r>
            <w:r>
              <w:rPr>
                <w:rFonts w:ascii="黑体" w:hAnsi="黑体" w:eastAsia="黑体"/>
                <w:spacing w:val="-3"/>
                <w:sz w:val="18"/>
                <w:szCs w:val="18"/>
                <w:lang w:val="zh-CN"/>
              </w:rPr>
              <w:t>、</w:t>
            </w:r>
            <w:r>
              <w:rPr>
                <w:rFonts w:ascii="黑体" w:hAnsi="黑体" w:eastAsia="黑体"/>
                <w:spacing w:val="-3"/>
                <w:sz w:val="18"/>
                <w:szCs w:val="18"/>
              </w:rPr>
              <w:t>DP</w:t>
            </w:r>
            <w:r>
              <w:rPr>
                <w:rFonts w:ascii="黑体" w:hAnsi="黑体" w:eastAsia="黑体"/>
                <w:spacing w:val="-3"/>
                <w:sz w:val="18"/>
                <w:szCs w:val="18"/>
                <w:lang w:val="zh-CN"/>
              </w:rPr>
              <w:t xml:space="preserve">、 </w:t>
            </w:r>
            <w:r>
              <w:rPr>
                <w:rFonts w:ascii="黑体" w:hAnsi="黑体" w:eastAsia="黑体"/>
                <w:spacing w:val="-3"/>
                <w:sz w:val="18"/>
                <w:szCs w:val="18"/>
              </w:rPr>
              <w:t xml:space="preserve">Type-C </w:t>
            </w:r>
            <w:r>
              <w:rPr>
                <w:rFonts w:ascii="黑体" w:hAnsi="黑体" w:eastAsia="黑体"/>
                <w:spacing w:val="-3"/>
                <w:sz w:val="18"/>
                <w:szCs w:val="18"/>
                <w:lang w:val="zh-CN"/>
              </w:rPr>
              <w:t>中 1 种显示接口</w:t>
            </w:r>
            <w:r>
              <w:rPr>
                <w:rFonts w:hint="eastAsia" w:ascii="黑体" w:hAnsi="黑体" w:eastAsia="黑体"/>
                <w:spacing w:val="-3"/>
                <w:sz w:val="18"/>
                <w:szCs w:val="18"/>
                <w:lang w:val="zh-CN"/>
              </w:rPr>
              <w:t>，</w:t>
            </w:r>
            <w:r>
              <w:rPr>
                <w:rFonts w:ascii="黑体" w:hAnsi="黑体" w:eastAsia="黑体"/>
                <w:spacing w:val="-3"/>
                <w:sz w:val="18"/>
                <w:szCs w:val="18"/>
                <w:lang w:val="zh-CN"/>
              </w:rPr>
              <w:t>并与显示器接口相匹配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5"/>
          <w:wBefore w:w="11" w:type="dxa"/>
          <w:wAfter w:w="168" w:type="dxa"/>
          <w:trHeight w:val="1061"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65</w:t>
            </w:r>
          </w:p>
        </w:tc>
        <w:tc>
          <w:tcPr>
            <w:tcW w:w="790" w:type="dxa"/>
            <w:gridSpan w:val="2"/>
            <w:tcBorders>
              <w:tl2br w:val="nil"/>
              <w:tr2bl w:val="nil"/>
            </w:tcBorders>
            <w:vAlign w:val="center"/>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tcBorders>
              <w:tl2br w:val="nil"/>
              <w:tr2bl w:val="nil"/>
            </w:tcBorders>
            <w:vAlign w:val="center"/>
          </w:tcPr>
          <w:p>
            <w:pPr>
              <w:widowControl/>
              <w:spacing w:line="240" w:lineRule="exact"/>
              <w:jc w:val="center"/>
              <w:rPr>
                <w:sz w:val="18"/>
                <w:szCs w:val="18"/>
              </w:rPr>
            </w:pPr>
            <w:r>
              <w:rPr>
                <w:rFonts w:ascii="黑体" w:hAnsi="黑体" w:eastAsia="黑体"/>
                <w:spacing w:val="-3"/>
                <w:sz w:val="18"/>
                <w:szCs w:val="18"/>
                <w:lang w:val="zh-CN"/>
              </w:rPr>
              <w:t>外设</w:t>
            </w:r>
            <w:r>
              <w:rPr>
                <w:rFonts w:ascii="黑体" w:hAnsi="黑体" w:eastAsia="黑体"/>
                <w:sz w:val="18"/>
                <w:szCs w:val="18"/>
              </w:rPr>
              <w:br w:type="textWrapping"/>
            </w:r>
            <w:r>
              <w:rPr>
                <w:rFonts w:ascii="黑体" w:hAnsi="黑体" w:eastAsia="黑体"/>
                <w:spacing w:val="-3"/>
                <w:sz w:val="18"/>
                <w:szCs w:val="18"/>
                <w:lang w:val="zh-CN"/>
              </w:rPr>
              <w:t>功能</w:t>
            </w:r>
          </w:p>
        </w:tc>
        <w:tc>
          <w:tcPr>
            <w:tcW w:w="1100" w:type="dxa"/>
            <w:tcBorders>
              <w:tl2br w:val="nil"/>
              <w:tr2bl w:val="nil"/>
            </w:tcBorders>
            <w:vAlign w:val="center"/>
          </w:tcPr>
          <w:p>
            <w:pPr>
              <w:widowControl/>
              <w:spacing w:line="240" w:lineRule="exact"/>
              <w:ind w:left="105"/>
              <w:jc w:val="left"/>
              <w:textAlignment w:val="baseline"/>
              <w:rPr>
                <w:rFonts w:ascii="黑体" w:hAnsi="黑体" w:eastAsia="黑体"/>
                <w:spacing w:val="-3"/>
                <w:sz w:val="18"/>
                <w:szCs w:val="18"/>
                <w:lang w:val="zh-CN"/>
              </w:rPr>
            </w:pPr>
            <w:r>
              <w:rPr>
                <w:rFonts w:ascii="黑体" w:hAnsi="黑体" w:eastAsia="黑体"/>
                <w:sz w:val="18"/>
                <w:szCs w:val="18"/>
                <w:lang w:val="zh-CN"/>
              </w:rPr>
              <w:t>光驱功能</w:t>
            </w:r>
          </w:p>
        </w:tc>
        <w:tc>
          <w:tcPr>
            <w:tcW w:w="6067" w:type="dxa"/>
            <w:gridSpan w:val="2"/>
            <w:tcBorders>
              <w:tl2br w:val="nil"/>
              <w:tr2bl w:val="nil"/>
            </w:tcBorders>
          </w:tcPr>
          <w:p>
            <w:pPr>
              <w:widowControl/>
              <w:spacing w:line="240" w:lineRule="exact"/>
              <w:ind w:left="144" w:right="108"/>
              <w:jc w:val="left"/>
              <w:textAlignment w:val="baseline"/>
              <w:rPr>
                <w:rFonts w:ascii="黑体" w:hAnsi="黑体" w:eastAsia="黑体"/>
                <w:spacing w:val="-7"/>
                <w:sz w:val="18"/>
                <w:szCs w:val="18"/>
                <w:lang w:val="zh-CN"/>
              </w:rPr>
            </w:pPr>
            <w:r>
              <w:rPr>
                <w:rFonts w:hint="eastAsia" w:ascii="黑体" w:hAnsi="黑体" w:eastAsia="黑体"/>
                <w:spacing w:val="-7"/>
                <w:sz w:val="18"/>
                <w:szCs w:val="18"/>
                <w:lang w:val="zh-CN"/>
              </w:rPr>
              <w:t>如有</w:t>
            </w:r>
            <w:r>
              <w:rPr>
                <w:rFonts w:ascii="黑体" w:hAnsi="黑体" w:eastAsia="黑体"/>
                <w:spacing w:val="-7"/>
                <w:sz w:val="18"/>
                <w:szCs w:val="18"/>
                <w:lang w:val="zh-CN"/>
              </w:rPr>
              <w:t>光驱</w:t>
            </w:r>
            <w:r>
              <w:rPr>
                <w:rFonts w:hint="eastAsia" w:ascii="黑体" w:hAnsi="黑体" w:eastAsia="黑体"/>
                <w:spacing w:val="-7"/>
                <w:sz w:val="18"/>
                <w:szCs w:val="18"/>
                <w:lang w:val="zh-CN"/>
              </w:rPr>
              <w:t>，</w:t>
            </w:r>
            <w:r>
              <w:rPr>
                <w:rFonts w:ascii="黑体" w:hAnsi="黑体" w:eastAsia="黑体"/>
                <w:spacing w:val="-7"/>
                <w:sz w:val="18"/>
                <w:szCs w:val="18"/>
                <w:lang w:val="zh-CN"/>
              </w:rPr>
              <w:t>应支持只读、刻录等类型</w:t>
            </w:r>
            <w:r>
              <w:rPr>
                <w:rFonts w:hint="eastAsia" w:ascii="黑体" w:hAnsi="黑体" w:eastAsia="黑体"/>
                <w:spacing w:val="-7"/>
                <w:sz w:val="18"/>
                <w:szCs w:val="18"/>
                <w:lang w:val="zh-CN"/>
              </w:rPr>
              <w:t>；</w:t>
            </w:r>
            <w:r>
              <w:rPr>
                <w:rFonts w:ascii="黑体" w:hAnsi="黑体" w:eastAsia="黑体"/>
                <w:spacing w:val="-7"/>
                <w:sz w:val="18"/>
                <w:szCs w:val="18"/>
                <w:lang w:val="zh-CN"/>
              </w:rPr>
              <w:t xml:space="preserve">最大读取速度 </w:t>
            </w:r>
            <w:r>
              <w:rPr>
                <w:rFonts w:ascii="黑体" w:hAnsi="黑体" w:eastAsia="黑体"/>
                <w:spacing w:val="-7"/>
                <w:sz w:val="18"/>
                <w:szCs w:val="18"/>
              </w:rPr>
              <w:t xml:space="preserve">CD </w:t>
            </w:r>
            <w:r>
              <w:rPr>
                <w:rFonts w:ascii="黑体" w:hAnsi="黑体" w:eastAsia="黑体"/>
                <w:spacing w:val="-7"/>
                <w:sz w:val="18"/>
                <w:szCs w:val="18"/>
                <w:lang w:val="zh-CN"/>
              </w:rPr>
              <w:t>不低于 24×150</w:t>
            </w:r>
            <w:r>
              <w:rPr>
                <w:rFonts w:ascii="黑体" w:hAnsi="黑体" w:eastAsia="黑体"/>
                <w:spacing w:val="-7"/>
                <w:sz w:val="18"/>
                <w:szCs w:val="18"/>
              </w:rPr>
              <w:t>KB/s</w:t>
            </w:r>
            <w:r>
              <w:rPr>
                <w:rFonts w:hint="eastAsia" w:ascii="黑体" w:hAnsi="黑体" w:eastAsia="黑体"/>
                <w:spacing w:val="-7"/>
                <w:sz w:val="18"/>
                <w:szCs w:val="18"/>
              </w:rPr>
              <w:t>；</w:t>
            </w:r>
            <w:r>
              <w:rPr>
                <w:rFonts w:ascii="黑体" w:hAnsi="黑体" w:eastAsia="黑体"/>
                <w:spacing w:val="-7"/>
                <w:sz w:val="18"/>
                <w:szCs w:val="18"/>
              </w:rPr>
              <w:t xml:space="preserve"> </w:t>
            </w:r>
            <w:r>
              <w:rPr>
                <w:rFonts w:ascii="黑体" w:hAnsi="黑体" w:eastAsia="黑体"/>
                <w:spacing w:val="-7"/>
                <w:sz w:val="18"/>
                <w:szCs w:val="18"/>
                <w:lang w:val="zh-CN"/>
              </w:rPr>
              <w:t xml:space="preserve">最大读取速度 </w:t>
            </w:r>
            <w:r>
              <w:rPr>
                <w:rFonts w:ascii="黑体" w:hAnsi="黑体" w:eastAsia="黑体"/>
                <w:spacing w:val="-7"/>
                <w:sz w:val="18"/>
                <w:szCs w:val="18"/>
              </w:rPr>
              <w:t>DVD</w:t>
            </w:r>
            <w:r>
              <w:rPr>
                <w:rFonts w:ascii="黑体" w:hAnsi="黑体" w:eastAsia="黑体"/>
                <w:spacing w:val="-7"/>
                <w:sz w:val="18"/>
                <w:szCs w:val="18"/>
                <w:lang w:val="zh-CN"/>
              </w:rPr>
              <w:t>不低于 8×358</w:t>
            </w:r>
            <w:r>
              <w:rPr>
                <w:rFonts w:ascii="黑体" w:hAnsi="黑体" w:eastAsia="黑体"/>
                <w:spacing w:val="-7"/>
                <w:sz w:val="18"/>
                <w:szCs w:val="18"/>
              </w:rPr>
              <w:t>KB/s</w:t>
            </w:r>
            <w:r>
              <w:rPr>
                <w:rFonts w:hint="eastAsia" w:ascii="黑体" w:hAnsi="黑体" w:eastAsia="黑体"/>
                <w:spacing w:val="-7"/>
                <w:sz w:val="18"/>
                <w:szCs w:val="18"/>
              </w:rPr>
              <w:t>；</w:t>
            </w:r>
            <w:r>
              <w:rPr>
                <w:rFonts w:ascii="黑体" w:hAnsi="黑体" w:eastAsia="黑体"/>
                <w:spacing w:val="-7"/>
                <w:sz w:val="18"/>
                <w:szCs w:val="18"/>
              </w:rPr>
              <w:t xml:space="preserve"> </w:t>
            </w:r>
            <w:r>
              <w:rPr>
                <w:rFonts w:ascii="黑体" w:hAnsi="黑体" w:eastAsia="黑体"/>
                <w:spacing w:val="-7"/>
                <w:sz w:val="18"/>
                <w:szCs w:val="18"/>
                <w:lang w:val="zh-CN"/>
              </w:rPr>
              <w:t xml:space="preserve">最大刻录速度 </w:t>
            </w:r>
            <w:r>
              <w:rPr>
                <w:rFonts w:ascii="黑体" w:hAnsi="黑体" w:eastAsia="黑体"/>
                <w:spacing w:val="-7"/>
                <w:sz w:val="18"/>
                <w:szCs w:val="18"/>
              </w:rPr>
              <w:t>CD</w:t>
            </w:r>
            <w:r>
              <w:rPr>
                <w:rFonts w:ascii="黑体" w:hAnsi="黑体" w:eastAsia="黑体"/>
                <w:spacing w:val="-7"/>
                <w:sz w:val="18"/>
                <w:szCs w:val="18"/>
                <w:lang w:val="zh-CN"/>
              </w:rPr>
              <w:t>不低于 24×150</w:t>
            </w:r>
            <w:r>
              <w:rPr>
                <w:rFonts w:ascii="黑体" w:hAnsi="黑体" w:eastAsia="黑体"/>
                <w:spacing w:val="-7"/>
                <w:sz w:val="18"/>
                <w:szCs w:val="18"/>
              </w:rPr>
              <w:t>KB/s</w:t>
            </w:r>
            <w:r>
              <w:rPr>
                <w:rFonts w:hint="eastAsia" w:ascii="黑体" w:hAnsi="黑体" w:eastAsia="黑体"/>
                <w:spacing w:val="-7"/>
                <w:sz w:val="18"/>
                <w:szCs w:val="18"/>
              </w:rPr>
              <w:t>；</w:t>
            </w:r>
            <w:r>
              <w:rPr>
                <w:rFonts w:ascii="黑体" w:hAnsi="黑体" w:eastAsia="黑体"/>
                <w:spacing w:val="-7"/>
                <w:sz w:val="18"/>
                <w:szCs w:val="18"/>
              </w:rPr>
              <w:t xml:space="preserve"> </w:t>
            </w:r>
            <w:r>
              <w:rPr>
                <w:rFonts w:ascii="黑体" w:hAnsi="黑体" w:eastAsia="黑体"/>
                <w:spacing w:val="-7"/>
                <w:sz w:val="18"/>
                <w:szCs w:val="18"/>
                <w:lang w:val="zh-CN"/>
              </w:rPr>
              <w:t xml:space="preserve">最大刻录速度 </w:t>
            </w:r>
            <w:r>
              <w:rPr>
                <w:rFonts w:ascii="黑体" w:hAnsi="黑体" w:eastAsia="黑体"/>
                <w:spacing w:val="-7"/>
                <w:sz w:val="18"/>
                <w:szCs w:val="18"/>
              </w:rPr>
              <w:t xml:space="preserve">DVD </w:t>
            </w:r>
            <w:r>
              <w:rPr>
                <w:rFonts w:ascii="黑体" w:hAnsi="黑体" w:eastAsia="黑体"/>
                <w:spacing w:val="-7"/>
                <w:sz w:val="18"/>
                <w:szCs w:val="18"/>
                <w:lang w:val="zh-CN"/>
              </w:rPr>
              <w:t>不低于 6× 1358</w:t>
            </w:r>
            <w:r>
              <w:rPr>
                <w:rFonts w:ascii="黑体" w:hAnsi="黑体" w:eastAsia="黑体"/>
                <w:spacing w:val="-7"/>
                <w:sz w:val="18"/>
                <w:szCs w:val="18"/>
              </w:rPr>
              <w:t>KB/s</w:t>
            </w:r>
            <w:r>
              <w:rPr>
                <w:rFonts w:hint="eastAsia" w:ascii="黑体" w:hAnsi="黑体" w:eastAsia="黑体"/>
                <w:spacing w:val="-7"/>
                <w:sz w:val="18"/>
                <w:szCs w:val="18"/>
              </w:rPr>
              <w:t>；</w:t>
            </w:r>
          </w:p>
          <w:p>
            <w:pPr>
              <w:widowControl/>
              <w:spacing w:line="240" w:lineRule="exact"/>
              <w:ind w:left="144" w:right="180"/>
              <w:jc w:val="left"/>
              <w:textAlignment w:val="baseline"/>
              <w:rPr>
                <w:rFonts w:ascii="黑体" w:hAnsi="黑体" w:eastAsia="黑体"/>
                <w:spacing w:val="-15"/>
                <w:sz w:val="18"/>
                <w:szCs w:val="18"/>
                <w:lang w:val="zh-CN"/>
              </w:rPr>
            </w:pPr>
            <w:r>
              <w:rPr>
                <w:rFonts w:ascii="黑体" w:hAnsi="黑体" w:eastAsia="黑体"/>
                <w:spacing w:val="-3"/>
                <w:sz w:val="18"/>
                <w:szCs w:val="18"/>
                <w:lang w:val="zh-CN"/>
              </w:rPr>
              <w:t>兼容光盘类型包含只读光盘、可读写光盘、可擦写光盘等</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5"/>
          <w:wBefore w:w="11" w:type="dxa"/>
          <w:wAfter w:w="168" w:type="dxa"/>
          <w:trHeight w:val="688"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66</w:t>
            </w:r>
          </w:p>
        </w:tc>
        <w:tc>
          <w:tcPr>
            <w:tcW w:w="790" w:type="dxa"/>
            <w:gridSpan w:val="2"/>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tcBorders>
              <w:tl2br w:val="nil"/>
              <w:tr2bl w:val="nil"/>
            </w:tcBorders>
            <w:vAlign w:val="center"/>
          </w:tcPr>
          <w:p>
            <w:pPr>
              <w:widowControl/>
              <w:spacing w:line="240" w:lineRule="exact"/>
              <w:ind w:left="144"/>
              <w:jc w:val="left"/>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存储功能</w:t>
            </w: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z w:val="18"/>
                <w:szCs w:val="18"/>
                <w:lang w:val="zh-CN"/>
              </w:rPr>
            </w:pPr>
            <w:r>
              <w:rPr>
                <w:rFonts w:hint="eastAsia"/>
              </w:rPr>
              <w:t>★</w:t>
            </w:r>
            <w:r>
              <w:rPr>
                <w:rFonts w:ascii="黑体" w:hAnsi="黑体" w:eastAsia="黑体"/>
                <w:spacing w:val="-3"/>
                <w:sz w:val="18"/>
                <w:szCs w:val="18"/>
                <w:lang w:val="zh-CN"/>
              </w:rPr>
              <w:t>存储功能</w:t>
            </w:r>
          </w:p>
        </w:tc>
        <w:tc>
          <w:tcPr>
            <w:tcW w:w="6067"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 xml:space="preserve">通过 </w:t>
            </w:r>
            <w:r>
              <w:rPr>
                <w:rFonts w:ascii="黑体" w:hAnsi="黑体" w:eastAsia="黑体"/>
                <w:spacing w:val="-3"/>
                <w:sz w:val="18"/>
                <w:szCs w:val="18"/>
              </w:rPr>
              <w:t xml:space="preserve">SATA </w:t>
            </w:r>
            <w:r>
              <w:rPr>
                <w:rFonts w:ascii="黑体" w:hAnsi="黑体" w:eastAsia="黑体"/>
                <w:spacing w:val="-3"/>
                <w:sz w:val="18"/>
                <w:szCs w:val="18"/>
                <w:lang w:val="zh-CN"/>
              </w:rPr>
              <w:t>固态存储/</w:t>
            </w:r>
            <w:r>
              <w:rPr>
                <w:rFonts w:ascii="黑体" w:hAnsi="黑体" w:eastAsia="黑体"/>
                <w:spacing w:val="-3"/>
                <w:sz w:val="18"/>
                <w:szCs w:val="18"/>
              </w:rPr>
              <w:t xml:space="preserve">PCIe </w:t>
            </w:r>
            <w:r>
              <w:rPr>
                <w:rFonts w:ascii="黑体" w:hAnsi="黑体" w:eastAsia="黑体"/>
                <w:spacing w:val="-3"/>
                <w:sz w:val="18"/>
                <w:szCs w:val="18"/>
                <w:lang w:val="zh-CN"/>
              </w:rPr>
              <w:t>固态存储 /</w:t>
            </w:r>
            <w:r>
              <w:rPr>
                <w:rFonts w:ascii="黑体" w:hAnsi="黑体" w:eastAsia="黑体"/>
                <w:spacing w:val="-3"/>
                <w:sz w:val="18"/>
                <w:szCs w:val="18"/>
              </w:rPr>
              <w:t xml:space="preserve">UFS </w:t>
            </w:r>
            <w:r>
              <w:rPr>
                <w:rFonts w:ascii="黑体" w:hAnsi="黑体" w:eastAsia="黑体"/>
                <w:spacing w:val="-3"/>
                <w:sz w:val="18"/>
                <w:szCs w:val="18"/>
                <w:lang w:val="zh-CN"/>
              </w:rPr>
              <w:t>固态存储/</w:t>
            </w:r>
            <w:r>
              <w:rPr>
                <w:rFonts w:ascii="黑体" w:hAnsi="黑体" w:eastAsia="黑体"/>
                <w:spacing w:val="-3"/>
                <w:sz w:val="18"/>
                <w:szCs w:val="18"/>
              </w:rPr>
              <w:t xml:space="preserve">SATA </w:t>
            </w:r>
            <w:r>
              <w:rPr>
                <w:rFonts w:ascii="黑体" w:hAnsi="黑体" w:eastAsia="黑体"/>
                <w:spacing w:val="-3"/>
                <w:sz w:val="18"/>
                <w:szCs w:val="18"/>
                <w:lang w:val="zh-CN"/>
              </w:rPr>
              <w:t>硬磁盘等存储部件提供存储功能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5"/>
          <w:wBefore w:w="11" w:type="dxa"/>
          <w:wAfter w:w="168" w:type="dxa"/>
          <w:trHeight w:val="688"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lang w:val="zh-CN"/>
              </w:rPr>
              <w:t>6</w:t>
            </w:r>
            <w:r>
              <w:rPr>
                <w:rFonts w:hint="eastAsia" w:ascii="黑体" w:hAnsi="黑体" w:eastAsia="黑体"/>
                <w:sz w:val="18"/>
                <w:szCs w:val="18"/>
              </w:rPr>
              <w:t>7</w:t>
            </w:r>
          </w:p>
        </w:tc>
        <w:tc>
          <w:tcPr>
            <w:tcW w:w="790" w:type="dxa"/>
            <w:gridSpan w:val="2"/>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vMerge w:val="restart"/>
            <w:tcBorders>
              <w:tl2br w:val="nil"/>
              <w:tr2bl w:val="nil"/>
            </w:tcBorders>
            <w:vAlign w:val="center"/>
          </w:tcPr>
          <w:p>
            <w:pPr>
              <w:widowControl/>
              <w:spacing w:line="240" w:lineRule="exact"/>
              <w:jc w:val="center"/>
              <w:textAlignment w:val="baseline"/>
              <w:rPr>
                <w:rFonts w:ascii="黑体" w:hAnsi="黑体" w:eastAsia="黑体"/>
                <w:spacing w:val="-3"/>
                <w:sz w:val="18"/>
                <w:szCs w:val="18"/>
              </w:rPr>
            </w:pPr>
            <w:r>
              <w:rPr>
                <w:rFonts w:hint="eastAsia"/>
              </w:rPr>
              <w:t>★</w:t>
            </w:r>
            <w:r>
              <w:rPr>
                <w:rFonts w:ascii="黑体" w:hAnsi="黑体" w:eastAsia="黑体"/>
                <w:spacing w:val="-3"/>
                <w:sz w:val="18"/>
                <w:szCs w:val="18"/>
                <w:lang w:val="zh-CN"/>
              </w:rPr>
              <w:t>网络</w:t>
            </w:r>
            <w:r>
              <w:rPr>
                <w:rFonts w:ascii="黑体" w:hAnsi="黑体" w:eastAsia="黑体"/>
                <w:sz w:val="18"/>
                <w:szCs w:val="18"/>
              </w:rPr>
              <w:cr/>
            </w:r>
            <w:r>
              <w:rPr>
                <w:rFonts w:ascii="黑体" w:hAnsi="黑体" w:eastAsia="黑体"/>
                <w:sz w:val="18"/>
                <w:szCs w:val="18"/>
              </w:rPr>
              <w:br w:type="textWrapping"/>
            </w:r>
            <w:r>
              <w:rPr>
                <w:rFonts w:ascii="黑体" w:hAnsi="黑体" w:eastAsia="黑体"/>
                <w:spacing w:val="-3"/>
                <w:sz w:val="18"/>
                <w:szCs w:val="18"/>
                <w:lang w:val="zh-CN"/>
              </w:rPr>
              <w:t>设备</w:t>
            </w:r>
            <w:r>
              <w:rPr>
                <w:rFonts w:ascii="黑体" w:hAnsi="黑体" w:eastAsia="黑体"/>
                <w:sz w:val="18"/>
                <w:szCs w:val="18"/>
              </w:rPr>
              <w:cr/>
            </w:r>
            <w:r>
              <w:rPr>
                <w:rFonts w:ascii="黑体" w:hAnsi="黑体" w:eastAsia="黑体"/>
                <w:sz w:val="18"/>
                <w:szCs w:val="18"/>
              </w:rPr>
              <w:br w:type="textWrapping"/>
            </w:r>
            <w:r>
              <w:rPr>
                <w:rFonts w:ascii="黑体" w:hAnsi="黑体" w:eastAsia="黑体"/>
                <w:spacing w:val="-3"/>
                <w:sz w:val="18"/>
                <w:szCs w:val="18"/>
                <w:lang w:val="zh-CN"/>
              </w:rPr>
              <w:t>功能</w:t>
            </w:r>
          </w:p>
          <w:p>
            <w:pPr>
              <w:widowControl/>
              <w:spacing w:line="240" w:lineRule="exact"/>
              <w:jc w:val="left"/>
              <w:textAlignment w:val="baseline"/>
              <w:rPr>
                <w:rFonts w:ascii="黑体" w:hAnsi="黑体" w:eastAsia="黑体"/>
                <w:spacing w:val="-3"/>
                <w:sz w:val="18"/>
                <w:szCs w:val="18"/>
                <w:lang w:val="zh-CN"/>
              </w:rPr>
            </w:pP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z w:val="18"/>
                <w:szCs w:val="18"/>
                <w:lang w:val="zh-CN"/>
              </w:rPr>
            </w:pPr>
            <w:r>
              <w:rPr>
                <w:rFonts w:hint="eastAsia"/>
              </w:rPr>
              <w:t>★</w:t>
            </w:r>
            <w:r>
              <w:rPr>
                <w:rFonts w:ascii="黑体" w:hAnsi="黑体" w:eastAsia="黑体"/>
                <w:spacing w:val="-3"/>
                <w:sz w:val="18"/>
                <w:szCs w:val="18"/>
                <w:lang w:val="zh-CN"/>
              </w:rPr>
              <w:t>网络功能</w:t>
            </w:r>
          </w:p>
        </w:tc>
        <w:tc>
          <w:tcPr>
            <w:tcW w:w="6067" w:type="dxa"/>
            <w:gridSpan w:val="2"/>
            <w:tcBorders>
              <w:tl2br w:val="nil"/>
              <w:tr2bl w:val="nil"/>
            </w:tcBorders>
            <w:vAlign w:val="center"/>
          </w:tcPr>
          <w:p>
            <w:pPr>
              <w:widowControl/>
              <w:spacing w:line="240" w:lineRule="exact"/>
              <w:ind w:left="108" w:right="216"/>
              <w:textAlignment w:val="baseline"/>
              <w:rPr>
                <w:rFonts w:ascii="黑体" w:hAnsi="黑体" w:eastAsia="黑体"/>
                <w:spacing w:val="-3"/>
                <w:sz w:val="18"/>
                <w:szCs w:val="18"/>
                <w:lang w:val="zh-CN"/>
              </w:rPr>
            </w:pPr>
            <w:r>
              <w:rPr>
                <w:rFonts w:ascii="黑体" w:hAnsi="黑体" w:eastAsia="黑体"/>
                <w:spacing w:val="-3"/>
                <w:sz w:val="18"/>
                <w:szCs w:val="18"/>
              </w:rPr>
              <w:t>a)</w:t>
            </w:r>
            <w:r>
              <w:rPr>
                <w:rFonts w:ascii="黑体" w:hAnsi="黑体" w:eastAsia="黑体"/>
                <w:spacing w:val="-3"/>
                <w:sz w:val="18"/>
                <w:szCs w:val="18"/>
                <w:lang w:val="zh-CN"/>
              </w:rPr>
              <w:t>支持网络连接、网络开启/关闭功能</w:t>
            </w:r>
            <w:r>
              <w:rPr>
                <w:rFonts w:hint="eastAsia" w:ascii="黑体" w:hAnsi="黑体" w:eastAsia="黑体"/>
                <w:spacing w:val="-3"/>
                <w:sz w:val="18"/>
                <w:szCs w:val="18"/>
                <w:lang w:val="zh-CN"/>
              </w:rPr>
              <w:t>；</w:t>
            </w:r>
            <w:r>
              <w:rPr>
                <w:rFonts w:ascii="黑体" w:hAnsi="黑体" w:eastAsia="黑体"/>
                <w:spacing w:val="-3"/>
                <w:sz w:val="18"/>
                <w:szCs w:val="18"/>
              </w:rPr>
              <w:t>b)</w:t>
            </w:r>
            <w:r>
              <w:rPr>
                <w:rFonts w:ascii="黑体" w:hAnsi="黑体" w:eastAsia="黑体"/>
                <w:spacing w:val="-3"/>
                <w:sz w:val="18"/>
                <w:szCs w:val="18"/>
                <w:lang w:val="zh-CN"/>
              </w:rPr>
              <w:t>支持访问网络和数据交换功能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5"/>
          <w:wBefore w:w="11" w:type="dxa"/>
          <w:wAfter w:w="168" w:type="dxa"/>
          <w:trHeight w:val="688"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68</w:t>
            </w:r>
          </w:p>
        </w:tc>
        <w:tc>
          <w:tcPr>
            <w:tcW w:w="790" w:type="dxa"/>
            <w:gridSpan w:val="2"/>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vMerge w:val="continue"/>
            <w:tcBorders>
              <w:tl2br w:val="nil"/>
              <w:tr2bl w:val="nil"/>
            </w:tcBorders>
            <w:vAlign w:val="center"/>
          </w:tcPr>
          <w:p>
            <w:pPr>
              <w:widowControl/>
              <w:spacing w:line="240" w:lineRule="exact"/>
              <w:rPr>
                <w:rFonts w:ascii="黑体" w:hAnsi="黑体" w:eastAsia="黑体"/>
                <w:spacing w:val="-3"/>
                <w:sz w:val="18"/>
                <w:szCs w:val="18"/>
                <w:lang w:val="zh-CN"/>
              </w:rPr>
            </w:pPr>
          </w:p>
        </w:tc>
        <w:tc>
          <w:tcPr>
            <w:tcW w:w="1100" w:type="dxa"/>
            <w:tcBorders>
              <w:tl2br w:val="nil"/>
              <w:tr2bl w:val="nil"/>
            </w:tcBorders>
          </w:tcPr>
          <w:p>
            <w:pPr>
              <w:widowControl/>
              <w:spacing w:line="240" w:lineRule="exact"/>
              <w:ind w:left="108" w:right="252"/>
              <w:jc w:val="left"/>
              <w:textAlignment w:val="baseline"/>
              <w:rPr>
                <w:rFonts w:ascii="黑体" w:hAnsi="黑体" w:eastAsia="黑体"/>
                <w:sz w:val="18"/>
                <w:szCs w:val="18"/>
                <w:lang w:val="zh-CN"/>
              </w:rPr>
            </w:pPr>
            <w:r>
              <w:rPr>
                <w:rFonts w:hint="eastAsia"/>
              </w:rPr>
              <w:t>★</w:t>
            </w:r>
            <w:r>
              <w:rPr>
                <w:rFonts w:ascii="黑体" w:hAnsi="黑体" w:eastAsia="黑体"/>
                <w:spacing w:val="-3"/>
                <w:sz w:val="18"/>
                <w:szCs w:val="18"/>
                <w:lang w:val="zh-CN"/>
              </w:rPr>
              <w:t>数据传输</w:t>
            </w:r>
          </w:p>
        </w:tc>
        <w:tc>
          <w:tcPr>
            <w:tcW w:w="6067" w:type="dxa"/>
            <w:gridSpan w:val="2"/>
            <w:tcBorders>
              <w:tl2br w:val="nil"/>
              <w:tr2bl w:val="nil"/>
            </w:tcBorders>
            <w:vAlign w:val="center"/>
          </w:tcPr>
          <w:p>
            <w:pPr>
              <w:widowControl/>
              <w:spacing w:line="240" w:lineRule="exact"/>
              <w:ind w:left="108" w:right="216"/>
              <w:textAlignment w:val="baseline"/>
              <w:rPr>
                <w:rFonts w:ascii="黑体" w:hAnsi="黑体" w:eastAsia="黑体"/>
                <w:spacing w:val="-3"/>
                <w:sz w:val="18"/>
                <w:szCs w:val="18"/>
                <w:lang w:val="zh-CN"/>
              </w:rPr>
            </w:pPr>
            <w:r>
              <w:rPr>
                <w:rFonts w:ascii="黑体" w:hAnsi="黑体" w:eastAsia="黑体"/>
                <w:spacing w:val="-3"/>
                <w:sz w:val="18"/>
                <w:szCs w:val="18"/>
                <w:lang w:val="zh-CN"/>
              </w:rPr>
              <w:t>支持数据传输能力</w:t>
            </w:r>
            <w:r>
              <w:rPr>
                <w:rFonts w:hint="eastAsia" w:ascii="黑体" w:hAnsi="黑体" w:eastAsia="黑体"/>
                <w:spacing w:val="-3"/>
                <w:sz w:val="18"/>
                <w:szCs w:val="18"/>
                <w:lang w:val="zh-CN"/>
              </w:rPr>
              <w:t>，</w:t>
            </w:r>
            <w:r>
              <w:rPr>
                <w:rFonts w:ascii="黑体" w:hAnsi="黑体" w:eastAsia="黑体"/>
                <w:spacing w:val="-3"/>
                <w:sz w:val="18"/>
                <w:szCs w:val="18"/>
                <w:lang w:val="zh-CN"/>
              </w:rPr>
              <w:t>并提供数据流量和异常日志记录功能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5"/>
          <w:wBefore w:w="11" w:type="dxa"/>
          <w:wAfter w:w="168" w:type="dxa"/>
          <w:trHeight w:val="758"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69</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vMerge w:val="continue"/>
            <w:tcBorders>
              <w:tl2br w:val="nil"/>
              <w:tr2bl w:val="nil"/>
            </w:tcBorders>
          </w:tcPr>
          <w:p>
            <w:pPr>
              <w:widowControl/>
              <w:spacing w:line="240" w:lineRule="exact"/>
              <w:jc w:val="left"/>
              <w:textAlignment w:val="baseline"/>
              <w:rPr>
                <w:rFonts w:ascii="黑体" w:hAnsi="黑体" w:eastAsia="黑体"/>
                <w:spacing w:val="-3"/>
                <w:sz w:val="18"/>
                <w:szCs w:val="18"/>
                <w:lang w:val="zh-CN"/>
              </w:rPr>
            </w:pPr>
          </w:p>
        </w:tc>
        <w:tc>
          <w:tcPr>
            <w:tcW w:w="1100" w:type="dxa"/>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hint="eastAsia"/>
              </w:rPr>
              <w:t>★</w:t>
            </w:r>
            <w:r>
              <w:rPr>
                <w:rFonts w:ascii="黑体" w:hAnsi="黑体" w:eastAsia="黑体"/>
                <w:spacing w:val="-7"/>
                <w:sz w:val="18"/>
                <w:szCs w:val="18"/>
                <w:lang w:val="zh-CN"/>
              </w:rPr>
              <w:t>有线网卡接口类型</w:t>
            </w:r>
          </w:p>
        </w:tc>
        <w:tc>
          <w:tcPr>
            <w:tcW w:w="6067" w:type="dxa"/>
            <w:gridSpan w:val="2"/>
            <w:tcBorders>
              <w:tl2br w:val="nil"/>
              <w:tr2bl w:val="nil"/>
            </w:tcBorders>
            <w:vAlign w:val="center"/>
          </w:tcPr>
          <w:p>
            <w:pPr>
              <w:widowControl/>
              <w:spacing w:line="240" w:lineRule="exact"/>
              <w:ind w:left="110"/>
              <w:textAlignment w:val="baseline"/>
              <w:rPr>
                <w:rFonts w:ascii="黑体" w:hAnsi="黑体" w:eastAsia="黑体"/>
                <w:spacing w:val="-3"/>
                <w:sz w:val="18"/>
                <w:szCs w:val="18"/>
                <w:lang w:val="zh-CN"/>
              </w:rPr>
            </w:pPr>
            <w:r>
              <w:rPr>
                <w:rFonts w:ascii="黑体" w:hAnsi="黑体" w:eastAsia="黑体"/>
                <w:sz w:val="18"/>
                <w:szCs w:val="18"/>
                <w:lang w:val="zh-CN"/>
              </w:rPr>
              <w:t xml:space="preserve">支持 </w:t>
            </w:r>
            <w:r>
              <w:rPr>
                <w:rFonts w:ascii="黑体" w:hAnsi="黑体" w:eastAsia="黑体"/>
                <w:sz w:val="18"/>
                <w:szCs w:val="18"/>
              </w:rPr>
              <w:t xml:space="preserve">RJ45 </w:t>
            </w:r>
            <w:r>
              <w:rPr>
                <w:rFonts w:ascii="黑体" w:hAnsi="黑体" w:eastAsia="黑体"/>
                <w:sz w:val="18"/>
                <w:szCs w:val="18"/>
                <w:lang w:val="zh-CN"/>
              </w:rPr>
              <w:t>接口</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5"/>
          <w:wBefore w:w="11" w:type="dxa"/>
          <w:wAfter w:w="168" w:type="dxa"/>
          <w:trHeight w:val="627"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70</w:t>
            </w:r>
          </w:p>
        </w:tc>
        <w:tc>
          <w:tcPr>
            <w:tcW w:w="790" w:type="dxa"/>
            <w:gridSpan w:val="2"/>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vMerge w:val="continue"/>
            <w:tcBorders>
              <w:tl2br w:val="nil"/>
              <w:tr2bl w:val="nil"/>
            </w:tcBorders>
          </w:tcPr>
          <w:p>
            <w:pPr>
              <w:widowControl/>
              <w:spacing w:line="240" w:lineRule="exact"/>
              <w:rPr>
                <w:rFonts w:ascii="黑体" w:hAnsi="黑体" w:eastAsia="黑体"/>
                <w:spacing w:val="-3"/>
                <w:sz w:val="18"/>
                <w:szCs w:val="18"/>
                <w:lang w:val="zh-CN"/>
              </w:rPr>
            </w:pPr>
          </w:p>
        </w:tc>
        <w:tc>
          <w:tcPr>
            <w:tcW w:w="1100" w:type="dxa"/>
            <w:tcBorders>
              <w:tl2br w:val="nil"/>
              <w:tr2bl w:val="nil"/>
            </w:tcBorders>
          </w:tcPr>
          <w:p>
            <w:pPr>
              <w:widowControl/>
              <w:spacing w:line="240" w:lineRule="exact"/>
              <w:ind w:left="108" w:right="252"/>
              <w:jc w:val="left"/>
              <w:textAlignment w:val="baseline"/>
              <w:rPr>
                <w:rFonts w:ascii="黑体" w:hAnsi="黑体" w:eastAsia="黑体"/>
                <w:spacing w:val="-3"/>
                <w:sz w:val="18"/>
                <w:szCs w:val="18"/>
                <w:lang w:val="zh-CN"/>
              </w:rPr>
            </w:pPr>
            <w:r>
              <w:rPr>
                <w:rFonts w:hint="eastAsia"/>
              </w:rPr>
              <w:t>★</w:t>
            </w:r>
            <w:r>
              <w:rPr>
                <w:rFonts w:ascii="黑体" w:hAnsi="黑体" w:eastAsia="黑体"/>
                <w:spacing w:val="-4"/>
                <w:sz w:val="18"/>
                <w:szCs w:val="18"/>
                <w:lang w:val="zh-CN"/>
              </w:rPr>
              <w:t>网络设备拆装</w:t>
            </w:r>
          </w:p>
        </w:tc>
        <w:tc>
          <w:tcPr>
            <w:tcW w:w="6067" w:type="dxa"/>
            <w:gridSpan w:val="2"/>
            <w:tcBorders>
              <w:tl2br w:val="nil"/>
              <w:tr2bl w:val="nil"/>
            </w:tcBorders>
            <w:vAlign w:val="center"/>
          </w:tcPr>
          <w:p>
            <w:pPr>
              <w:widowControl/>
              <w:spacing w:line="240" w:lineRule="exact"/>
              <w:ind w:left="108" w:right="216"/>
              <w:textAlignment w:val="baseline"/>
              <w:rPr>
                <w:rFonts w:ascii="黑体" w:hAnsi="黑体" w:eastAsia="黑体"/>
                <w:spacing w:val="-3"/>
                <w:sz w:val="18"/>
                <w:szCs w:val="18"/>
                <w:lang w:val="zh-CN"/>
              </w:rPr>
            </w:pPr>
            <w:r>
              <w:rPr>
                <w:rFonts w:ascii="黑体" w:hAnsi="黑体" w:eastAsia="黑体"/>
                <w:spacing w:val="-3"/>
                <w:sz w:val="18"/>
                <w:szCs w:val="18"/>
                <w:lang w:val="zh-CN"/>
              </w:rPr>
              <w:t>网络设备支持物理拆装</w:t>
            </w:r>
            <w:r>
              <w:rPr>
                <w:rFonts w:hint="eastAsia" w:ascii="黑体" w:hAnsi="黑体" w:eastAsia="黑体"/>
                <w:spacing w:val="-3"/>
                <w:sz w:val="18"/>
                <w:szCs w:val="18"/>
                <w:lang w:val="zh-CN"/>
              </w:rPr>
              <w:t>，</w:t>
            </w:r>
            <w:r>
              <w:rPr>
                <w:rFonts w:ascii="黑体" w:hAnsi="黑体" w:eastAsia="黑体"/>
                <w:spacing w:val="-3"/>
                <w:sz w:val="18"/>
                <w:szCs w:val="18"/>
                <w:lang w:val="zh-CN"/>
              </w:rPr>
              <w:t>包括无线网卡和蓝牙模块等</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648"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71</w:t>
            </w:r>
          </w:p>
        </w:tc>
        <w:tc>
          <w:tcPr>
            <w:tcW w:w="790" w:type="dxa"/>
            <w:gridSpan w:val="2"/>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vMerge w:val="restart"/>
            <w:tcBorders>
              <w:tl2br w:val="nil"/>
              <w:tr2bl w:val="nil"/>
            </w:tcBorders>
            <w:vAlign w:val="center"/>
          </w:tcPr>
          <w:p>
            <w:pPr>
              <w:widowControl/>
              <w:spacing w:line="240" w:lineRule="exact"/>
              <w:jc w:val="center"/>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外部</w:t>
            </w:r>
            <w:r>
              <w:rPr>
                <w:rFonts w:ascii="黑体" w:hAnsi="黑体" w:eastAsia="黑体"/>
                <w:sz w:val="18"/>
                <w:szCs w:val="18"/>
              </w:rPr>
              <w:br w:type="textWrapping"/>
            </w:r>
            <w:r>
              <w:rPr>
                <w:rFonts w:ascii="黑体" w:hAnsi="黑体" w:eastAsia="黑体"/>
                <w:spacing w:val="-3"/>
                <w:sz w:val="18"/>
                <w:szCs w:val="18"/>
                <w:lang w:val="zh-CN"/>
              </w:rPr>
              <w:t>接口</w:t>
            </w:r>
            <w:r>
              <w:rPr>
                <w:rFonts w:ascii="黑体" w:hAnsi="黑体" w:eastAsia="黑体"/>
                <w:sz w:val="18"/>
                <w:szCs w:val="18"/>
              </w:rPr>
              <w:br w:type="textWrapping"/>
            </w:r>
            <w:r>
              <w:rPr>
                <w:rFonts w:ascii="黑体" w:hAnsi="黑体" w:eastAsia="黑体"/>
                <w:spacing w:val="-3"/>
                <w:sz w:val="18"/>
                <w:szCs w:val="18"/>
                <w:lang w:val="zh-CN"/>
              </w:rPr>
              <w:t>功能</w:t>
            </w: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音频接口类型</w:t>
            </w:r>
          </w:p>
        </w:tc>
        <w:tc>
          <w:tcPr>
            <w:tcW w:w="6043" w:type="dxa"/>
            <w:tcBorders>
              <w:tl2br w:val="nil"/>
              <w:tr2bl w:val="nil"/>
            </w:tcBorders>
            <w:vAlign w:val="center"/>
          </w:tcPr>
          <w:p>
            <w:pPr>
              <w:widowControl/>
              <w:spacing w:line="240" w:lineRule="exact"/>
              <w:ind w:left="110"/>
              <w:jc w:val="left"/>
              <w:textAlignment w:val="baseline"/>
              <w:rPr>
                <w:rFonts w:ascii="黑体" w:hAnsi="黑体" w:eastAsia="黑体"/>
                <w:spacing w:val="-9"/>
                <w:sz w:val="18"/>
                <w:szCs w:val="18"/>
                <w:lang w:val="zh-CN"/>
              </w:rPr>
            </w:pPr>
            <w:r>
              <w:rPr>
                <w:rFonts w:ascii="黑体" w:hAnsi="黑体" w:eastAsia="黑体"/>
                <w:spacing w:val="-9"/>
                <w:sz w:val="18"/>
                <w:szCs w:val="18"/>
                <w:lang w:val="zh-CN"/>
              </w:rPr>
              <w:t>支持 3.5</w:t>
            </w:r>
            <w:r>
              <w:rPr>
                <w:rFonts w:ascii="黑体" w:hAnsi="黑体" w:eastAsia="黑体"/>
                <w:spacing w:val="-9"/>
                <w:sz w:val="18"/>
                <w:szCs w:val="18"/>
              </w:rPr>
              <w:t xml:space="preserve">mm </w:t>
            </w:r>
            <w:r>
              <w:rPr>
                <w:rFonts w:ascii="黑体" w:hAnsi="黑体" w:eastAsia="黑体"/>
                <w:spacing w:val="-9"/>
                <w:sz w:val="18"/>
                <w:szCs w:val="18"/>
                <w:lang w:val="zh-CN"/>
              </w:rPr>
              <w:t>孔径 3 段式或 4 段式接口</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758"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72</w:t>
            </w:r>
          </w:p>
        </w:tc>
        <w:tc>
          <w:tcPr>
            <w:tcW w:w="790" w:type="dxa"/>
            <w:gridSpan w:val="2"/>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视频接口类</w:t>
            </w:r>
          </w:p>
        </w:tc>
        <w:tc>
          <w:tcPr>
            <w:tcW w:w="6043" w:type="dxa"/>
            <w:tcBorders>
              <w:tl2br w:val="nil"/>
              <w:tr2bl w:val="nil"/>
            </w:tcBorders>
            <w:vAlign w:val="center"/>
          </w:tcPr>
          <w:p>
            <w:pPr>
              <w:widowControl/>
              <w:spacing w:line="240" w:lineRule="exact"/>
              <w:ind w:left="108"/>
              <w:jc w:val="left"/>
              <w:textAlignment w:val="baseline"/>
              <w:rPr>
                <w:rFonts w:ascii="黑体" w:hAnsi="黑体" w:eastAsia="黑体"/>
                <w:spacing w:val="-12"/>
                <w:sz w:val="18"/>
                <w:szCs w:val="18"/>
                <w:lang w:val="zh-CN"/>
              </w:rPr>
            </w:pPr>
            <w:r>
              <w:rPr>
                <w:rFonts w:ascii="黑体" w:hAnsi="黑体" w:eastAsia="黑体"/>
                <w:spacing w:val="-12"/>
                <w:sz w:val="18"/>
                <w:szCs w:val="18"/>
                <w:lang w:val="zh-CN"/>
              </w:rPr>
              <w:t xml:space="preserve">至少支持 </w:t>
            </w:r>
            <w:r>
              <w:rPr>
                <w:rFonts w:ascii="黑体" w:hAnsi="黑体" w:eastAsia="黑体"/>
                <w:spacing w:val="-12"/>
                <w:sz w:val="18"/>
                <w:szCs w:val="18"/>
              </w:rPr>
              <w:t>VGA</w:t>
            </w:r>
            <w:r>
              <w:rPr>
                <w:rFonts w:ascii="黑体" w:hAnsi="黑体" w:eastAsia="黑体"/>
                <w:spacing w:val="-12"/>
                <w:sz w:val="18"/>
                <w:szCs w:val="18"/>
                <w:lang w:val="zh-CN"/>
              </w:rPr>
              <w:t>、</w:t>
            </w:r>
            <w:r>
              <w:rPr>
                <w:rFonts w:ascii="黑体" w:hAnsi="黑体" w:eastAsia="黑体"/>
                <w:spacing w:val="-12"/>
                <w:sz w:val="18"/>
                <w:szCs w:val="18"/>
              </w:rPr>
              <w:t>HDMI</w:t>
            </w:r>
            <w:r>
              <w:rPr>
                <w:rFonts w:ascii="黑体" w:hAnsi="黑体" w:eastAsia="黑体"/>
                <w:spacing w:val="-12"/>
                <w:sz w:val="18"/>
                <w:szCs w:val="18"/>
                <w:lang w:val="zh-CN"/>
              </w:rPr>
              <w:t>、</w:t>
            </w:r>
            <w:r>
              <w:rPr>
                <w:rFonts w:ascii="黑体" w:hAnsi="黑体" w:eastAsia="黑体"/>
                <w:spacing w:val="-12"/>
                <w:sz w:val="18"/>
                <w:szCs w:val="18"/>
              </w:rPr>
              <w:t>DVI</w:t>
            </w:r>
            <w:r>
              <w:rPr>
                <w:rFonts w:ascii="黑体" w:hAnsi="黑体" w:eastAsia="黑体"/>
                <w:spacing w:val="-12"/>
                <w:sz w:val="18"/>
                <w:szCs w:val="18"/>
                <w:lang w:val="zh-CN"/>
              </w:rPr>
              <w:t>、</w:t>
            </w:r>
            <w:r>
              <w:rPr>
                <w:rFonts w:ascii="黑体" w:hAnsi="黑体" w:eastAsia="黑体"/>
                <w:spacing w:val="-12"/>
                <w:sz w:val="18"/>
                <w:szCs w:val="18"/>
              </w:rPr>
              <w:t>DP</w:t>
            </w:r>
            <w:r>
              <w:rPr>
                <w:rFonts w:ascii="黑体" w:hAnsi="黑体" w:eastAsia="黑体"/>
                <w:spacing w:val="-12"/>
                <w:sz w:val="18"/>
                <w:szCs w:val="18"/>
                <w:lang w:val="zh-CN"/>
              </w:rPr>
              <w:t>、</w:t>
            </w:r>
            <w:r>
              <w:rPr>
                <w:rFonts w:ascii="黑体" w:hAnsi="黑体" w:eastAsia="黑体"/>
                <w:spacing w:val="-12"/>
                <w:sz w:val="18"/>
                <w:szCs w:val="18"/>
              </w:rPr>
              <w:t xml:space="preserve">Type-C </w:t>
            </w:r>
            <w:r>
              <w:rPr>
                <w:rFonts w:ascii="黑体" w:hAnsi="黑体" w:eastAsia="黑体"/>
                <w:spacing w:val="-12"/>
                <w:sz w:val="18"/>
                <w:szCs w:val="18"/>
                <w:lang w:val="zh-CN"/>
              </w:rPr>
              <w:t xml:space="preserve">中 </w:t>
            </w:r>
            <w:r>
              <w:rPr>
                <w:rFonts w:ascii="黑体" w:hAnsi="黑体" w:eastAsia="黑体"/>
                <w:spacing w:val="-12"/>
                <w:sz w:val="18"/>
                <w:szCs w:val="18"/>
              </w:rPr>
              <w:t>3</w:t>
            </w:r>
            <w:r>
              <w:rPr>
                <w:rFonts w:ascii="黑体" w:hAnsi="黑体" w:eastAsia="黑体"/>
                <w:spacing w:val="-12"/>
                <w:sz w:val="18"/>
                <w:szCs w:val="18"/>
                <w:lang w:val="zh-CN"/>
              </w:rPr>
              <w:t xml:space="preserve"> 种显示接口</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1051"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73</w:t>
            </w:r>
          </w:p>
        </w:tc>
        <w:tc>
          <w:tcPr>
            <w:tcW w:w="790" w:type="dxa"/>
            <w:gridSpan w:val="2"/>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144"/>
              <w:jc w:val="center"/>
              <w:textAlignment w:val="baseline"/>
              <w:rPr>
                <w:rFonts w:ascii="黑体" w:hAnsi="黑体" w:eastAsia="黑体"/>
                <w:spacing w:val="-7"/>
                <w:sz w:val="18"/>
                <w:szCs w:val="18"/>
                <w:lang w:val="zh-CN"/>
              </w:rPr>
            </w:pPr>
            <w:r>
              <w:rPr>
                <w:rFonts w:hint="eastAsia"/>
              </w:rPr>
              <w:t>★</w:t>
            </w:r>
            <w:r>
              <w:rPr>
                <w:rFonts w:ascii="黑体" w:hAnsi="黑体" w:eastAsia="黑体"/>
                <w:spacing w:val="-7"/>
                <w:sz w:val="18"/>
                <w:szCs w:val="18"/>
              </w:rPr>
              <w:t>HDMI</w:t>
            </w:r>
            <w:r>
              <w:rPr>
                <w:rFonts w:ascii="黑体" w:hAnsi="黑体" w:eastAsia="黑体"/>
                <w:spacing w:val="-7"/>
                <w:sz w:val="18"/>
                <w:szCs w:val="18"/>
                <w:lang w:val="zh-CN"/>
              </w:rPr>
              <w:t xml:space="preserve">、 </w:t>
            </w:r>
            <w:r>
              <w:rPr>
                <w:rFonts w:ascii="黑体" w:hAnsi="黑体" w:eastAsia="黑体"/>
                <w:spacing w:val="-7"/>
                <w:sz w:val="18"/>
                <w:szCs w:val="18"/>
              </w:rPr>
              <w:t>DP</w:t>
            </w:r>
            <w:r>
              <w:rPr>
                <w:rFonts w:ascii="黑体" w:hAnsi="黑体" w:eastAsia="黑体"/>
                <w:spacing w:val="-7"/>
                <w:sz w:val="18"/>
                <w:szCs w:val="18"/>
                <w:lang w:val="zh-CN"/>
              </w:rPr>
              <w:t xml:space="preserve">、 </w:t>
            </w:r>
            <w:r>
              <w:rPr>
                <w:rFonts w:ascii="黑体" w:hAnsi="黑体" w:eastAsia="黑体"/>
                <w:spacing w:val="-7"/>
                <w:sz w:val="18"/>
                <w:szCs w:val="18"/>
              </w:rPr>
              <w:t xml:space="preserve">Type-C </w:t>
            </w:r>
            <w:r>
              <w:rPr>
                <w:rFonts w:ascii="黑体" w:hAnsi="黑体" w:eastAsia="黑体"/>
                <w:spacing w:val="-7"/>
                <w:sz w:val="18"/>
                <w:szCs w:val="18"/>
                <w:lang w:val="zh-CN"/>
              </w:rPr>
              <w:t>显示接口要求</w:t>
            </w:r>
          </w:p>
        </w:tc>
        <w:tc>
          <w:tcPr>
            <w:tcW w:w="6043" w:type="dxa"/>
            <w:tcBorders>
              <w:tl2br w:val="nil"/>
              <w:tr2bl w:val="nil"/>
            </w:tcBorders>
            <w:vAlign w:val="center"/>
          </w:tcPr>
          <w:p>
            <w:pPr>
              <w:widowControl/>
              <w:spacing w:line="240" w:lineRule="exact"/>
              <w:ind w:left="108"/>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 xml:space="preserve">若提供 </w:t>
            </w:r>
            <w:r>
              <w:rPr>
                <w:rFonts w:ascii="黑体" w:hAnsi="黑体" w:eastAsia="黑体"/>
                <w:spacing w:val="-3"/>
                <w:sz w:val="18"/>
                <w:szCs w:val="18"/>
              </w:rPr>
              <w:t xml:space="preserve">HDMI </w:t>
            </w:r>
            <w:r>
              <w:rPr>
                <w:rFonts w:ascii="黑体" w:hAnsi="黑体" w:eastAsia="黑体"/>
                <w:spacing w:val="-3"/>
                <w:sz w:val="18"/>
                <w:szCs w:val="18"/>
                <w:lang w:val="zh-CN"/>
              </w:rPr>
              <w:t xml:space="preserve">或 </w:t>
            </w:r>
            <w:r>
              <w:rPr>
                <w:rFonts w:ascii="黑体" w:hAnsi="黑体" w:eastAsia="黑体"/>
                <w:spacing w:val="-3"/>
                <w:sz w:val="18"/>
                <w:szCs w:val="18"/>
              </w:rPr>
              <w:t xml:space="preserve">DP </w:t>
            </w:r>
            <w:r>
              <w:rPr>
                <w:rFonts w:ascii="黑体" w:hAnsi="黑体" w:eastAsia="黑体"/>
                <w:spacing w:val="-3"/>
                <w:sz w:val="18"/>
                <w:szCs w:val="18"/>
                <w:lang w:val="zh-CN"/>
              </w:rPr>
              <w:t xml:space="preserve">或 </w:t>
            </w:r>
            <w:r>
              <w:rPr>
                <w:rFonts w:ascii="黑体" w:hAnsi="黑体" w:eastAsia="黑体"/>
                <w:spacing w:val="-3"/>
                <w:sz w:val="18"/>
                <w:szCs w:val="18"/>
              </w:rPr>
              <w:t xml:space="preserve">Type-C </w:t>
            </w:r>
            <w:r>
              <w:rPr>
                <w:rFonts w:ascii="黑体" w:hAnsi="黑体" w:eastAsia="黑体"/>
                <w:spacing w:val="-3"/>
                <w:sz w:val="18"/>
                <w:szCs w:val="18"/>
                <w:lang w:val="zh-CN"/>
              </w:rPr>
              <w:t>作为显示接口</w:t>
            </w:r>
            <w:r>
              <w:rPr>
                <w:rFonts w:hint="eastAsia" w:ascii="黑体" w:hAnsi="黑体" w:eastAsia="黑体"/>
                <w:spacing w:val="-3"/>
                <w:sz w:val="18"/>
                <w:szCs w:val="18"/>
                <w:lang w:val="zh-CN"/>
              </w:rPr>
              <w:t>，</w:t>
            </w:r>
            <w:r>
              <w:rPr>
                <w:rFonts w:ascii="黑体" w:hAnsi="黑体" w:eastAsia="黑体"/>
                <w:spacing w:val="-3"/>
                <w:sz w:val="18"/>
                <w:szCs w:val="18"/>
                <w:lang w:val="zh-CN"/>
              </w:rPr>
              <w:t>应支持音频和视频同步输出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692"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74</w:t>
            </w:r>
          </w:p>
        </w:tc>
        <w:tc>
          <w:tcPr>
            <w:tcW w:w="790" w:type="dxa"/>
            <w:gridSpan w:val="2"/>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tcBorders>
              <w:tl2br w:val="nil"/>
              <w:tr2bl w:val="nil"/>
            </w:tcBorders>
          </w:tcPr>
          <w:p>
            <w:pPr>
              <w:widowControl/>
              <w:spacing w:line="240" w:lineRule="exact"/>
              <w:ind w:left="144"/>
              <w:jc w:val="left"/>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电源功能</w:t>
            </w:r>
          </w:p>
        </w:tc>
        <w:tc>
          <w:tcPr>
            <w:tcW w:w="1100" w:type="dxa"/>
            <w:tcBorders>
              <w:tl2br w:val="nil"/>
              <w:tr2bl w:val="nil"/>
            </w:tcBorders>
            <w:vAlign w:val="center"/>
          </w:tcPr>
          <w:p>
            <w:pPr>
              <w:widowControl/>
              <w:spacing w:line="240" w:lineRule="exact"/>
              <w:ind w:left="108" w:right="180"/>
              <w:jc w:val="center"/>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电源线适配能力</w:t>
            </w:r>
          </w:p>
        </w:tc>
        <w:tc>
          <w:tcPr>
            <w:tcW w:w="6043" w:type="dxa"/>
            <w:tcBorders>
              <w:tl2br w:val="nil"/>
              <w:tr2bl w:val="nil"/>
            </w:tcBorders>
            <w:vAlign w:val="center"/>
          </w:tcPr>
          <w:p>
            <w:pPr>
              <w:widowControl/>
              <w:spacing w:line="240" w:lineRule="exact"/>
              <w:ind w:left="108" w:right="108"/>
              <w:textAlignment w:val="baseline"/>
              <w:rPr>
                <w:rFonts w:ascii="黑体" w:hAnsi="黑体" w:eastAsia="黑体"/>
                <w:spacing w:val="-3"/>
                <w:sz w:val="18"/>
                <w:szCs w:val="18"/>
                <w:lang w:val="zh-CN"/>
              </w:rPr>
            </w:pPr>
            <w:r>
              <w:rPr>
                <w:rFonts w:ascii="黑体" w:hAnsi="黑体" w:eastAsia="黑体"/>
                <w:spacing w:val="-3"/>
                <w:sz w:val="18"/>
                <w:szCs w:val="18"/>
                <w:lang w:val="zh-CN"/>
              </w:rPr>
              <w:t xml:space="preserve">电源适配器电线组件应符合 </w:t>
            </w:r>
            <w:r>
              <w:rPr>
                <w:rFonts w:ascii="黑体" w:hAnsi="黑体" w:eastAsia="黑体"/>
                <w:spacing w:val="-3"/>
                <w:sz w:val="18"/>
                <w:szCs w:val="18"/>
              </w:rPr>
              <w:t xml:space="preserve">GB/T </w:t>
            </w:r>
            <w:r>
              <w:rPr>
                <w:rFonts w:ascii="黑体" w:hAnsi="黑体" w:eastAsia="黑体"/>
                <w:spacing w:val="-3"/>
                <w:sz w:val="18"/>
                <w:szCs w:val="18"/>
                <w:lang w:val="zh-CN"/>
              </w:rPr>
              <w:t>15934 的要求</w:t>
            </w:r>
            <w:r>
              <w:rPr>
                <w:rFonts w:hint="eastAsia" w:ascii="黑体" w:hAnsi="黑体" w:eastAsia="黑体"/>
                <w:spacing w:val="-3"/>
                <w:sz w:val="18"/>
                <w:szCs w:val="18"/>
                <w:lang w:val="zh-CN"/>
              </w:rPr>
              <w:t>，</w:t>
            </w:r>
            <w:r>
              <w:rPr>
                <w:rFonts w:ascii="黑体" w:hAnsi="黑体" w:eastAsia="黑体"/>
                <w:spacing w:val="-3"/>
                <w:sz w:val="18"/>
                <w:szCs w:val="18"/>
                <w:lang w:val="zh-CN"/>
              </w:rPr>
              <w:t>可拆线的插头和连接器可以不做要求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730"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76</w:t>
            </w:r>
          </w:p>
        </w:tc>
        <w:tc>
          <w:tcPr>
            <w:tcW w:w="790" w:type="dxa"/>
            <w:gridSpan w:val="2"/>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vMerge w:val="restart"/>
            <w:tcBorders>
              <w:tl2br w:val="nil"/>
              <w:tr2bl w:val="nil"/>
            </w:tcBorders>
            <w:vAlign w:val="center"/>
          </w:tcPr>
          <w:p>
            <w:pPr>
              <w:widowControl/>
              <w:spacing w:line="240" w:lineRule="exact"/>
              <w:jc w:val="center"/>
              <w:textAlignment w:val="baseline"/>
              <w:rPr>
                <w:rFonts w:ascii="黑体" w:hAnsi="黑体" w:eastAsia="黑体"/>
                <w:spacing w:val="2"/>
                <w:sz w:val="18"/>
                <w:szCs w:val="18"/>
                <w:lang w:val="zh-CN"/>
              </w:rPr>
            </w:pPr>
            <w:r>
              <w:rPr>
                <w:rFonts w:hint="eastAsia"/>
              </w:rPr>
              <w:t>★</w:t>
            </w:r>
            <w:r>
              <w:rPr>
                <w:rFonts w:ascii="黑体" w:hAnsi="黑体" w:eastAsia="黑体"/>
                <w:spacing w:val="2"/>
                <w:sz w:val="18"/>
                <w:szCs w:val="18"/>
                <w:lang w:val="zh-CN"/>
              </w:rPr>
              <w:t>操作系统及软件功</w:t>
            </w:r>
            <w:r>
              <w:rPr>
                <w:rFonts w:ascii="黑体" w:hAnsi="黑体" w:eastAsia="黑体"/>
                <w:sz w:val="18"/>
                <w:szCs w:val="18"/>
                <w:lang w:val="zh-CN"/>
              </w:rPr>
              <w:t>能</w:t>
            </w:r>
          </w:p>
          <w:p>
            <w:pPr>
              <w:widowControl/>
              <w:spacing w:line="240" w:lineRule="exact"/>
              <w:jc w:val="center"/>
              <w:textAlignment w:val="baseline"/>
              <w:rPr>
                <w:sz w:val="18"/>
                <w:szCs w:val="18"/>
              </w:rPr>
            </w:pPr>
          </w:p>
        </w:tc>
        <w:tc>
          <w:tcPr>
            <w:tcW w:w="1100" w:type="dxa"/>
            <w:tcBorders>
              <w:tl2br w:val="nil"/>
              <w:tr2bl w:val="nil"/>
            </w:tcBorders>
            <w:vAlign w:val="center"/>
          </w:tcPr>
          <w:p>
            <w:pPr>
              <w:widowControl/>
              <w:spacing w:line="240" w:lineRule="exact"/>
              <w:ind w:left="108" w:right="180"/>
              <w:jc w:val="center"/>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中文信息处理要求</w:t>
            </w:r>
          </w:p>
        </w:tc>
        <w:tc>
          <w:tcPr>
            <w:tcW w:w="6043" w:type="dxa"/>
            <w:tcBorders>
              <w:tl2br w:val="nil"/>
              <w:tr2bl w:val="nil"/>
            </w:tcBorders>
            <w:vAlign w:val="center"/>
          </w:tcPr>
          <w:p>
            <w:pPr>
              <w:widowControl/>
              <w:spacing w:line="240" w:lineRule="exact"/>
              <w:ind w:left="110"/>
              <w:textAlignment w:val="baseline"/>
              <w:rPr>
                <w:rFonts w:ascii="黑体" w:hAnsi="黑体" w:eastAsia="黑体"/>
                <w:sz w:val="18"/>
                <w:szCs w:val="18"/>
                <w:lang w:val="zh-CN"/>
              </w:rPr>
            </w:pPr>
            <w:r>
              <w:rPr>
                <w:rFonts w:ascii="黑体" w:hAnsi="黑体" w:eastAsia="黑体"/>
                <w:sz w:val="18"/>
                <w:szCs w:val="18"/>
                <w:lang w:val="zh-CN"/>
              </w:rPr>
              <w:t xml:space="preserve">符合 </w:t>
            </w:r>
            <w:r>
              <w:rPr>
                <w:rFonts w:ascii="黑体" w:hAnsi="黑体" w:eastAsia="黑体"/>
                <w:sz w:val="18"/>
                <w:szCs w:val="18"/>
              </w:rPr>
              <w:t xml:space="preserve">GB 18030 </w:t>
            </w:r>
            <w:r>
              <w:rPr>
                <w:rFonts w:ascii="黑体" w:hAnsi="黑体" w:eastAsia="黑体"/>
                <w:sz w:val="18"/>
                <w:szCs w:val="18"/>
                <w:lang w:val="zh-CN"/>
              </w:rPr>
              <w:t>的相关规定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734"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77</w:t>
            </w:r>
          </w:p>
        </w:tc>
        <w:tc>
          <w:tcPr>
            <w:tcW w:w="790" w:type="dxa"/>
            <w:gridSpan w:val="2"/>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vAlign w:val="center"/>
          </w:tcPr>
          <w:p>
            <w:pPr>
              <w:widowControl/>
              <w:spacing w:line="240" w:lineRule="exact"/>
              <w:jc w:val="center"/>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操作系</w:t>
            </w:r>
            <w:r>
              <w:rPr>
                <w:rFonts w:ascii="黑体" w:hAnsi="黑体" w:eastAsia="黑体"/>
                <w:sz w:val="18"/>
                <w:szCs w:val="18"/>
              </w:rPr>
              <w:br w:type="textWrapping"/>
            </w:r>
            <w:r>
              <w:rPr>
                <w:rFonts w:ascii="黑体" w:hAnsi="黑体" w:eastAsia="黑体"/>
                <w:spacing w:val="-3"/>
                <w:sz w:val="18"/>
                <w:szCs w:val="18"/>
                <w:lang w:val="zh-CN"/>
              </w:rPr>
              <w:t>统备份及</w:t>
            </w:r>
            <w:r>
              <w:rPr>
                <w:rFonts w:ascii="黑体" w:hAnsi="黑体" w:eastAsia="黑体"/>
                <w:sz w:val="18"/>
                <w:szCs w:val="18"/>
              </w:rPr>
              <w:br w:type="textWrapping"/>
            </w:r>
            <w:r>
              <w:rPr>
                <w:rFonts w:ascii="黑体" w:hAnsi="黑体" w:eastAsia="黑体"/>
                <w:spacing w:val="-3"/>
                <w:sz w:val="18"/>
                <w:szCs w:val="18"/>
                <w:lang w:val="zh-CN"/>
              </w:rPr>
              <w:t>还原功能</w:t>
            </w:r>
          </w:p>
        </w:tc>
        <w:tc>
          <w:tcPr>
            <w:tcW w:w="6043" w:type="dxa"/>
            <w:tcBorders>
              <w:tl2br w:val="nil"/>
              <w:tr2bl w:val="nil"/>
            </w:tcBorders>
            <w:vAlign w:val="center"/>
          </w:tcPr>
          <w:p>
            <w:pPr>
              <w:widowControl/>
              <w:spacing w:line="240" w:lineRule="exact"/>
              <w:ind w:left="110"/>
              <w:textAlignment w:val="baseline"/>
              <w:rPr>
                <w:rFonts w:ascii="黑体" w:hAnsi="黑体" w:eastAsia="黑体"/>
                <w:sz w:val="18"/>
                <w:szCs w:val="18"/>
                <w:lang w:val="zh-CN"/>
              </w:rPr>
            </w:pPr>
            <w:r>
              <w:rPr>
                <w:rFonts w:ascii="黑体" w:hAnsi="黑体" w:eastAsia="黑体"/>
                <w:sz w:val="18"/>
                <w:szCs w:val="18"/>
                <w:lang w:val="zh-CN"/>
              </w:rPr>
              <w:t>支持操作系统备份及还原功能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565"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78</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180"/>
              <w:jc w:val="center"/>
              <w:textAlignment w:val="baseline"/>
              <w:rPr>
                <w:rFonts w:ascii="黑体" w:hAnsi="黑体" w:eastAsia="黑体"/>
                <w:spacing w:val="-11"/>
                <w:sz w:val="18"/>
                <w:szCs w:val="18"/>
                <w:lang w:val="zh-CN"/>
              </w:rPr>
            </w:pPr>
            <w:r>
              <w:rPr>
                <w:rFonts w:hint="eastAsia"/>
              </w:rPr>
              <w:t>★</w:t>
            </w:r>
            <w:r>
              <w:rPr>
                <w:rFonts w:ascii="黑体" w:hAnsi="黑体" w:eastAsia="黑体"/>
                <w:spacing w:val="-11"/>
                <w:sz w:val="18"/>
                <w:szCs w:val="18"/>
                <w:lang w:val="zh-CN"/>
              </w:rPr>
              <w:t>固件备份还原能力</w:t>
            </w:r>
          </w:p>
        </w:tc>
        <w:tc>
          <w:tcPr>
            <w:tcW w:w="6043" w:type="dxa"/>
            <w:tcBorders>
              <w:tl2br w:val="nil"/>
              <w:tr2bl w:val="nil"/>
            </w:tcBorders>
            <w:vAlign w:val="center"/>
          </w:tcPr>
          <w:p>
            <w:pPr>
              <w:widowControl/>
              <w:spacing w:line="240" w:lineRule="exact"/>
              <w:ind w:firstLine="180" w:firstLineChars="100"/>
              <w:textAlignment w:val="baseline"/>
              <w:rPr>
                <w:rFonts w:ascii="黑体" w:hAnsi="黑体" w:eastAsia="黑体"/>
                <w:sz w:val="18"/>
                <w:szCs w:val="18"/>
                <w:lang w:val="zh-CN"/>
              </w:rPr>
            </w:pPr>
            <w:r>
              <w:rPr>
                <w:rFonts w:ascii="黑体" w:hAnsi="黑体" w:eastAsia="黑体"/>
                <w:sz w:val="18"/>
                <w:szCs w:val="18"/>
                <w:lang w:val="zh-CN"/>
              </w:rPr>
              <w:t>支持备份及还原固件的功能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729"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79</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180"/>
              <w:jc w:val="center"/>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操作系统及驱动升级</w:t>
            </w:r>
          </w:p>
        </w:tc>
        <w:tc>
          <w:tcPr>
            <w:tcW w:w="6043" w:type="dxa"/>
            <w:tcBorders>
              <w:tl2br w:val="nil"/>
              <w:tr2bl w:val="nil"/>
            </w:tcBorders>
            <w:vAlign w:val="center"/>
          </w:tcPr>
          <w:p>
            <w:pPr>
              <w:widowControl/>
              <w:spacing w:line="240" w:lineRule="exact"/>
              <w:ind w:left="108" w:right="216"/>
              <w:textAlignment w:val="baseline"/>
              <w:rPr>
                <w:rFonts w:ascii="黑体" w:hAnsi="黑体" w:eastAsia="黑体"/>
                <w:spacing w:val="-3"/>
                <w:sz w:val="18"/>
                <w:szCs w:val="18"/>
                <w:lang w:val="zh-CN"/>
              </w:rPr>
            </w:pPr>
            <w:r>
              <w:rPr>
                <w:rFonts w:ascii="黑体" w:hAnsi="黑体" w:eastAsia="黑体"/>
                <w:spacing w:val="-3"/>
                <w:sz w:val="18"/>
                <w:szCs w:val="18"/>
                <w:lang w:val="zh-CN"/>
              </w:rPr>
              <w:t>支持通过网络、闪存盘等方式对操作系统、驱动进行升级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576"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80</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z w:val="18"/>
                <w:szCs w:val="18"/>
                <w:lang w:val="zh-CN"/>
              </w:rPr>
            </w:pPr>
            <w:r>
              <w:rPr>
                <w:rFonts w:hint="eastAsia"/>
              </w:rPr>
              <w:t>★</w:t>
            </w:r>
            <w:r>
              <w:rPr>
                <w:rFonts w:ascii="黑体" w:hAnsi="黑体" w:eastAsia="黑体"/>
                <w:sz w:val="18"/>
                <w:szCs w:val="18"/>
                <w:lang w:val="zh-CN"/>
              </w:rPr>
              <w:t>固件升级</w:t>
            </w:r>
          </w:p>
        </w:tc>
        <w:tc>
          <w:tcPr>
            <w:tcW w:w="6043" w:type="dxa"/>
            <w:tcBorders>
              <w:tl2br w:val="nil"/>
              <w:tr2bl w:val="nil"/>
            </w:tcBorders>
            <w:vAlign w:val="center"/>
          </w:tcPr>
          <w:p>
            <w:pPr>
              <w:widowControl/>
              <w:spacing w:line="240" w:lineRule="exact"/>
              <w:ind w:left="108" w:right="216"/>
              <w:textAlignment w:val="baseline"/>
              <w:rPr>
                <w:rFonts w:ascii="黑体" w:hAnsi="黑体" w:eastAsia="黑体"/>
                <w:spacing w:val="-3"/>
                <w:sz w:val="18"/>
                <w:szCs w:val="18"/>
                <w:lang w:val="zh-CN"/>
              </w:rPr>
            </w:pPr>
            <w:r>
              <w:rPr>
                <w:rFonts w:ascii="黑体" w:hAnsi="黑体" w:eastAsia="黑体"/>
                <w:spacing w:val="-3"/>
                <w:sz w:val="18"/>
                <w:szCs w:val="18"/>
                <w:lang w:val="zh-CN"/>
              </w:rPr>
              <w:t>支持通过网络、闪存盘等方式对固件进行升级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765"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81</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180"/>
              <w:jc w:val="center"/>
              <w:textAlignment w:val="baseline"/>
              <w:rPr>
                <w:rFonts w:ascii="黑体" w:hAnsi="黑体" w:eastAsia="黑体"/>
                <w:spacing w:val="-12"/>
                <w:sz w:val="18"/>
                <w:szCs w:val="18"/>
                <w:lang w:val="zh-CN"/>
              </w:rPr>
            </w:pPr>
            <w:r>
              <w:rPr>
                <w:rFonts w:hint="eastAsia"/>
              </w:rPr>
              <w:t>★</w:t>
            </w:r>
            <w:r>
              <w:rPr>
                <w:rFonts w:ascii="黑体" w:hAnsi="黑体" w:eastAsia="黑体"/>
                <w:spacing w:val="-12"/>
                <w:sz w:val="18"/>
                <w:szCs w:val="18"/>
              </w:rPr>
              <w:t xml:space="preserve">BIOS </w:t>
            </w:r>
            <w:r>
              <w:rPr>
                <w:rFonts w:ascii="黑体" w:hAnsi="黑体" w:eastAsia="黑体"/>
                <w:spacing w:val="-12"/>
                <w:sz w:val="18"/>
                <w:szCs w:val="18"/>
                <w:lang w:val="zh-CN"/>
              </w:rPr>
              <w:t>支持关闭通讯接口</w:t>
            </w:r>
          </w:p>
        </w:tc>
        <w:tc>
          <w:tcPr>
            <w:tcW w:w="6043" w:type="dxa"/>
            <w:tcBorders>
              <w:tl2br w:val="nil"/>
              <w:tr2bl w:val="nil"/>
            </w:tcBorders>
            <w:vAlign w:val="center"/>
          </w:tcPr>
          <w:p>
            <w:pPr>
              <w:widowControl/>
              <w:spacing w:line="240" w:lineRule="exact"/>
              <w:ind w:left="110"/>
              <w:textAlignment w:val="baseline"/>
              <w:rPr>
                <w:rFonts w:ascii="黑体" w:hAnsi="黑体" w:eastAsia="黑体"/>
                <w:sz w:val="18"/>
                <w:szCs w:val="18"/>
                <w:lang w:val="zh-CN"/>
              </w:rPr>
            </w:pPr>
            <w:r>
              <w:rPr>
                <w:rFonts w:ascii="黑体" w:hAnsi="黑体" w:eastAsia="黑体"/>
                <w:sz w:val="18"/>
                <w:szCs w:val="18"/>
                <w:lang w:val="zh-CN"/>
              </w:rPr>
              <w:t xml:space="preserve">支持 </w:t>
            </w:r>
            <w:r>
              <w:rPr>
                <w:rFonts w:ascii="黑体" w:hAnsi="黑体" w:eastAsia="黑体"/>
                <w:sz w:val="18"/>
                <w:szCs w:val="18"/>
              </w:rPr>
              <w:t xml:space="preserve">BIOS </w:t>
            </w:r>
            <w:r>
              <w:rPr>
                <w:rFonts w:ascii="黑体" w:hAnsi="黑体" w:eastAsia="黑体"/>
                <w:sz w:val="18"/>
                <w:szCs w:val="18"/>
                <w:lang w:val="zh-CN"/>
              </w:rPr>
              <w:t xml:space="preserve">关闭以太网及 </w:t>
            </w:r>
            <w:r>
              <w:rPr>
                <w:rFonts w:ascii="黑体" w:hAnsi="黑体" w:eastAsia="黑体"/>
                <w:sz w:val="18"/>
                <w:szCs w:val="18"/>
              </w:rPr>
              <w:t xml:space="preserve">USB </w:t>
            </w:r>
            <w:r>
              <w:rPr>
                <w:rFonts w:ascii="黑体" w:hAnsi="黑体" w:eastAsia="黑体"/>
                <w:sz w:val="18"/>
                <w:szCs w:val="18"/>
                <w:lang w:val="zh-CN"/>
              </w:rPr>
              <w:t>接口</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730"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82</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固件查看信息</w:t>
            </w:r>
          </w:p>
        </w:tc>
        <w:tc>
          <w:tcPr>
            <w:tcW w:w="6043" w:type="dxa"/>
            <w:tcBorders>
              <w:tl2br w:val="nil"/>
              <w:tr2bl w:val="nil"/>
            </w:tcBorders>
            <w:vAlign w:val="center"/>
          </w:tcPr>
          <w:p>
            <w:pPr>
              <w:widowControl/>
              <w:spacing w:line="240" w:lineRule="exact"/>
              <w:ind w:left="108" w:right="180"/>
              <w:textAlignment w:val="baseline"/>
              <w:rPr>
                <w:rFonts w:ascii="黑体" w:hAnsi="黑体" w:eastAsia="黑体"/>
                <w:spacing w:val="-3"/>
                <w:sz w:val="18"/>
                <w:szCs w:val="18"/>
                <w:lang w:val="zh-CN"/>
              </w:rPr>
            </w:pPr>
            <w:r>
              <w:rPr>
                <w:rFonts w:ascii="黑体" w:hAnsi="黑体" w:eastAsia="黑体"/>
                <w:spacing w:val="-3"/>
                <w:sz w:val="18"/>
                <w:szCs w:val="18"/>
                <w:lang w:val="zh-CN"/>
              </w:rPr>
              <w:t>支持查看固件版本、内存信息、主板信息、处理器信息和系统时间信息等功能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729"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83</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180"/>
              <w:jc w:val="center"/>
              <w:textAlignment w:val="baseline"/>
              <w:rPr>
                <w:rFonts w:ascii="黑体" w:hAnsi="黑体" w:eastAsia="黑体"/>
                <w:spacing w:val="-7"/>
                <w:sz w:val="18"/>
                <w:szCs w:val="18"/>
                <w:lang w:val="zh-CN"/>
              </w:rPr>
            </w:pPr>
            <w:r>
              <w:rPr>
                <w:rFonts w:hint="eastAsia"/>
              </w:rPr>
              <w:t>★</w:t>
            </w:r>
            <w:r>
              <w:rPr>
                <w:rFonts w:ascii="黑体" w:hAnsi="黑体" w:eastAsia="黑体"/>
                <w:spacing w:val="-7"/>
                <w:sz w:val="18"/>
                <w:szCs w:val="18"/>
                <w:lang w:val="zh-CN"/>
              </w:rPr>
              <w:t>固件设置启动顺序</w:t>
            </w:r>
          </w:p>
        </w:tc>
        <w:tc>
          <w:tcPr>
            <w:tcW w:w="6043" w:type="dxa"/>
            <w:tcBorders>
              <w:tl2br w:val="nil"/>
              <w:tr2bl w:val="nil"/>
            </w:tcBorders>
            <w:vAlign w:val="center"/>
          </w:tcPr>
          <w:p>
            <w:pPr>
              <w:widowControl/>
              <w:spacing w:line="240" w:lineRule="exact"/>
              <w:ind w:left="108" w:right="216"/>
              <w:textAlignment w:val="baseline"/>
              <w:rPr>
                <w:rFonts w:ascii="黑体" w:hAnsi="黑体" w:eastAsia="黑体"/>
                <w:spacing w:val="-3"/>
                <w:sz w:val="18"/>
                <w:szCs w:val="18"/>
                <w:lang w:val="zh-CN"/>
              </w:rPr>
            </w:pPr>
            <w:r>
              <w:rPr>
                <w:rFonts w:ascii="黑体" w:hAnsi="黑体" w:eastAsia="黑体"/>
                <w:spacing w:val="-3"/>
                <w:sz w:val="18"/>
                <w:szCs w:val="18"/>
                <w:lang w:val="zh-CN"/>
              </w:rPr>
              <w:t>支持设置启动顺序功能</w:t>
            </w:r>
            <w:r>
              <w:rPr>
                <w:rFonts w:hint="eastAsia" w:ascii="黑体" w:hAnsi="黑体" w:eastAsia="黑体"/>
                <w:spacing w:val="-3"/>
                <w:sz w:val="18"/>
                <w:szCs w:val="18"/>
                <w:lang w:val="zh-CN"/>
              </w:rPr>
              <w:t>，</w:t>
            </w:r>
            <w:r>
              <w:rPr>
                <w:rFonts w:ascii="黑体" w:hAnsi="黑体" w:eastAsia="黑体"/>
                <w:spacing w:val="-3"/>
                <w:sz w:val="18"/>
                <w:szCs w:val="18"/>
                <w:lang w:val="zh-CN"/>
              </w:rPr>
              <w:t>并按照设置的启动顺序启动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581"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84</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固件设置口令</w:t>
            </w:r>
          </w:p>
        </w:tc>
        <w:tc>
          <w:tcPr>
            <w:tcW w:w="6043" w:type="dxa"/>
            <w:tcBorders>
              <w:tl2br w:val="nil"/>
              <w:tr2bl w:val="nil"/>
            </w:tcBorders>
            <w:vAlign w:val="center"/>
          </w:tcPr>
          <w:p>
            <w:pPr>
              <w:widowControl/>
              <w:spacing w:line="240" w:lineRule="exact"/>
              <w:ind w:left="108" w:right="180"/>
              <w:textAlignment w:val="baseline"/>
              <w:rPr>
                <w:rFonts w:ascii="黑体" w:hAnsi="黑体" w:eastAsia="黑体"/>
                <w:spacing w:val="-3"/>
                <w:sz w:val="18"/>
                <w:szCs w:val="18"/>
                <w:lang w:val="zh-CN"/>
              </w:rPr>
            </w:pPr>
            <w:r>
              <w:rPr>
                <w:rFonts w:ascii="黑体" w:hAnsi="黑体" w:eastAsia="黑体"/>
                <w:spacing w:val="-3"/>
                <w:sz w:val="18"/>
                <w:szCs w:val="18"/>
                <w:lang w:val="zh-CN"/>
              </w:rPr>
              <w:t>支持设置口令、修改口令、验证口令功能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817"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85</w:t>
            </w:r>
          </w:p>
        </w:tc>
        <w:tc>
          <w:tcPr>
            <w:tcW w:w="790" w:type="dxa"/>
            <w:gridSpan w:val="2"/>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功能要求</w:t>
            </w:r>
          </w:p>
        </w:tc>
        <w:tc>
          <w:tcPr>
            <w:tcW w:w="735" w:type="dxa"/>
            <w:vMerge w:val="continue"/>
            <w:tcBorders>
              <w:tl2br w:val="nil"/>
              <w:tr2bl w:val="nil"/>
            </w:tcBorders>
            <w:vAlign w:val="center"/>
          </w:tcPr>
          <w:p>
            <w:pPr>
              <w:widowControl/>
              <w:spacing w:line="240" w:lineRule="exact"/>
              <w:jc w:val="center"/>
              <w:textAlignment w:val="baseline"/>
              <w:rPr>
                <w:sz w:val="18"/>
                <w:szCs w:val="18"/>
              </w:rPr>
            </w:pPr>
          </w:p>
        </w:tc>
        <w:tc>
          <w:tcPr>
            <w:tcW w:w="1100" w:type="dxa"/>
            <w:tcBorders>
              <w:tl2br w:val="nil"/>
              <w:tr2bl w:val="nil"/>
            </w:tcBorders>
            <w:vAlign w:val="center"/>
          </w:tcPr>
          <w:p>
            <w:pPr>
              <w:widowControl/>
              <w:spacing w:line="240" w:lineRule="exact"/>
              <w:ind w:left="108" w:right="180"/>
              <w:jc w:val="center"/>
              <w:textAlignment w:val="baseline"/>
              <w:rPr>
                <w:rFonts w:ascii="黑体" w:hAnsi="黑体" w:eastAsia="黑体"/>
                <w:spacing w:val="-4"/>
                <w:sz w:val="18"/>
                <w:szCs w:val="18"/>
                <w:lang w:val="zh-CN"/>
              </w:rPr>
            </w:pPr>
            <w:r>
              <w:rPr>
                <w:rFonts w:hint="eastAsia"/>
              </w:rPr>
              <w:t>★</w:t>
            </w:r>
            <w:r>
              <w:rPr>
                <w:rFonts w:ascii="黑体" w:hAnsi="黑体" w:eastAsia="黑体"/>
                <w:spacing w:val="-7"/>
                <w:sz w:val="18"/>
                <w:szCs w:val="18"/>
                <w:lang w:val="zh-CN"/>
              </w:rPr>
              <w:t>固件设置网络引导</w:t>
            </w:r>
          </w:p>
        </w:tc>
        <w:tc>
          <w:tcPr>
            <w:tcW w:w="6043" w:type="dxa"/>
            <w:tcBorders>
              <w:tl2br w:val="nil"/>
              <w:tr2bl w:val="nil"/>
            </w:tcBorders>
            <w:vAlign w:val="center"/>
          </w:tcPr>
          <w:p>
            <w:pPr>
              <w:widowControl/>
              <w:spacing w:line="240" w:lineRule="exact"/>
              <w:ind w:left="110"/>
              <w:textAlignment w:val="baseline"/>
              <w:rPr>
                <w:rFonts w:ascii="黑体" w:hAnsi="黑体" w:eastAsia="黑体"/>
                <w:spacing w:val="-3"/>
                <w:sz w:val="18"/>
                <w:szCs w:val="18"/>
                <w:lang w:val="zh-CN"/>
              </w:rPr>
            </w:pPr>
            <w:r>
              <w:rPr>
                <w:rFonts w:ascii="黑体" w:hAnsi="黑体" w:eastAsia="黑体"/>
                <w:sz w:val="18"/>
                <w:szCs w:val="18"/>
                <w:lang w:val="zh-CN"/>
              </w:rPr>
              <w:t>支持网络引导启动和关闭功能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721"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86</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可靠性要求</w:t>
            </w:r>
          </w:p>
        </w:tc>
        <w:tc>
          <w:tcPr>
            <w:tcW w:w="735" w:type="dxa"/>
            <w:vMerge w:val="restart"/>
            <w:tcBorders>
              <w:tl2br w:val="nil"/>
              <w:tr2bl w:val="nil"/>
            </w:tcBorders>
            <w:vAlign w:val="center"/>
          </w:tcPr>
          <w:p>
            <w:pPr>
              <w:widowControl/>
              <w:spacing w:line="240" w:lineRule="exact"/>
              <w:ind w:left="108"/>
              <w:jc w:val="center"/>
              <w:textAlignment w:val="baseline"/>
              <w:rPr>
                <w:sz w:val="18"/>
                <w:szCs w:val="18"/>
              </w:rPr>
            </w:pPr>
            <w:r>
              <w:rPr>
                <w:rFonts w:hint="eastAsia"/>
              </w:rPr>
              <w:t>★</w:t>
            </w:r>
            <w:r>
              <w:rPr>
                <w:rFonts w:ascii="黑体" w:hAnsi="黑体" w:eastAsia="黑体"/>
                <w:spacing w:val="14"/>
                <w:sz w:val="18"/>
                <w:szCs w:val="18"/>
                <w:lang w:val="zh-CN"/>
              </w:rPr>
              <w:t>存储设备可靠性</w:t>
            </w: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pacing w:val="-7"/>
                <w:sz w:val="18"/>
                <w:szCs w:val="18"/>
                <w:lang w:val="zh-CN"/>
              </w:rPr>
            </w:pPr>
            <w:r>
              <w:rPr>
                <w:rFonts w:hint="eastAsia"/>
              </w:rPr>
              <w:t>★</w:t>
            </w:r>
            <w:r>
              <w:rPr>
                <w:rFonts w:ascii="黑体" w:hAnsi="黑体" w:eastAsia="黑体"/>
                <w:spacing w:val="-4"/>
                <w:sz w:val="18"/>
                <w:szCs w:val="18"/>
                <w:lang w:val="zh-CN"/>
              </w:rPr>
              <w:t>固态存储寿命</w:t>
            </w:r>
          </w:p>
        </w:tc>
        <w:tc>
          <w:tcPr>
            <w:tcW w:w="6043" w:type="dxa"/>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rPr>
              <w:t>TBW ≥ 80TB(</w:t>
            </w:r>
            <w:r>
              <w:rPr>
                <w:rFonts w:ascii="黑体" w:hAnsi="黑体" w:eastAsia="黑体"/>
                <w:sz w:val="18"/>
                <w:szCs w:val="18"/>
                <w:lang w:val="zh-CN"/>
              </w:rPr>
              <w:t>条件:240</w:t>
            </w:r>
            <w:r>
              <w:rPr>
                <w:rFonts w:ascii="黑体" w:hAnsi="黑体" w:eastAsia="黑体"/>
                <w:sz w:val="18"/>
                <w:szCs w:val="18"/>
              </w:rPr>
              <w:t xml:space="preserve">GB </w:t>
            </w:r>
            <w:r>
              <w:rPr>
                <w:rFonts w:ascii="黑体" w:hAnsi="黑体" w:eastAsia="黑体"/>
                <w:sz w:val="18"/>
                <w:szCs w:val="18"/>
                <w:lang w:val="zh-CN"/>
              </w:rPr>
              <w:t>硬盘容量)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711"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87</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可靠性要求</w:t>
            </w:r>
          </w:p>
        </w:tc>
        <w:tc>
          <w:tcPr>
            <w:tcW w:w="735" w:type="dxa"/>
            <w:vMerge w:val="continue"/>
            <w:tcBorders>
              <w:tl2br w:val="nil"/>
              <w:tr2bl w:val="nil"/>
            </w:tcBorders>
            <w:vAlign w:val="center"/>
          </w:tcPr>
          <w:p>
            <w:pPr>
              <w:widowControl/>
              <w:spacing w:line="240" w:lineRule="exact"/>
              <w:jc w:val="center"/>
              <w:rPr>
                <w:sz w:val="18"/>
                <w:szCs w:val="18"/>
              </w:rPr>
            </w:pP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pacing w:val="-7"/>
                <w:sz w:val="18"/>
                <w:szCs w:val="18"/>
                <w:lang w:val="zh-CN"/>
              </w:rPr>
            </w:pPr>
            <w:r>
              <w:rPr>
                <w:rFonts w:hint="eastAsia"/>
              </w:rPr>
              <w:t>★</w:t>
            </w:r>
            <w:r>
              <w:rPr>
                <w:rFonts w:ascii="黑体" w:hAnsi="黑体" w:eastAsia="黑体"/>
                <w:spacing w:val="-4"/>
                <w:sz w:val="18"/>
                <w:szCs w:val="18"/>
                <w:lang w:val="zh-CN"/>
              </w:rPr>
              <w:t>机械硬盘寿命</w:t>
            </w:r>
          </w:p>
        </w:tc>
        <w:tc>
          <w:tcPr>
            <w:tcW w:w="6043" w:type="dxa"/>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通电时间≥5 万小时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1"/>
          <w:wBefore w:w="11" w:type="dxa"/>
          <w:wAfter w:w="72" w:type="dxa"/>
          <w:trHeight w:val="730"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88</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可靠性要求</w:t>
            </w:r>
          </w:p>
        </w:tc>
        <w:tc>
          <w:tcPr>
            <w:tcW w:w="735" w:type="dxa"/>
            <w:vMerge w:val="restart"/>
            <w:tcBorders>
              <w:tl2br w:val="nil"/>
              <w:tr2bl w:val="nil"/>
            </w:tcBorders>
            <w:vAlign w:val="center"/>
          </w:tcPr>
          <w:p>
            <w:pPr>
              <w:widowControl/>
              <w:spacing w:line="240" w:lineRule="exact"/>
              <w:jc w:val="center"/>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外设</w:t>
            </w:r>
            <w:r>
              <w:rPr>
                <w:rFonts w:ascii="黑体" w:hAnsi="黑体" w:eastAsia="黑体"/>
                <w:sz w:val="18"/>
                <w:szCs w:val="18"/>
              </w:rPr>
              <w:br w:type="textWrapping"/>
            </w:r>
            <w:r>
              <w:rPr>
                <w:rFonts w:ascii="黑体" w:hAnsi="黑体" w:eastAsia="黑体"/>
                <w:spacing w:val="-3"/>
                <w:sz w:val="18"/>
                <w:szCs w:val="18"/>
                <w:lang w:val="zh-CN"/>
              </w:rPr>
              <w:t>可靠</w:t>
            </w:r>
            <w:r>
              <w:rPr>
                <w:rFonts w:ascii="黑体" w:hAnsi="黑体" w:eastAsia="黑体"/>
                <w:sz w:val="18"/>
                <w:szCs w:val="18"/>
              </w:rPr>
              <w:br w:type="textWrapping"/>
            </w:r>
            <w:r>
              <w:rPr>
                <w:rFonts w:ascii="黑体" w:hAnsi="黑体" w:eastAsia="黑体"/>
                <w:spacing w:val="-3"/>
                <w:sz w:val="18"/>
                <w:szCs w:val="18"/>
                <w:lang w:val="zh-CN"/>
              </w:rPr>
              <w:t>性</w:t>
            </w: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键盘按键寿命</w:t>
            </w:r>
          </w:p>
        </w:tc>
        <w:tc>
          <w:tcPr>
            <w:tcW w:w="6163" w:type="dxa"/>
            <w:gridSpan w:val="6"/>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≥1000 万次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1"/>
          <w:wBefore w:w="11" w:type="dxa"/>
          <w:wAfter w:w="72" w:type="dxa"/>
          <w:trHeight w:val="729"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89</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可靠性要求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鼠标按键寿命</w:t>
            </w:r>
          </w:p>
        </w:tc>
        <w:tc>
          <w:tcPr>
            <w:tcW w:w="6163" w:type="dxa"/>
            <w:gridSpan w:val="6"/>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≥500 万次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1"/>
          <w:wBefore w:w="11" w:type="dxa"/>
          <w:wAfter w:w="72" w:type="dxa"/>
          <w:trHeight w:val="730"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90</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可靠性要求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180"/>
              <w:jc w:val="center"/>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键盘鼠标线材寿命</w:t>
            </w:r>
          </w:p>
        </w:tc>
        <w:tc>
          <w:tcPr>
            <w:tcW w:w="6163" w:type="dxa"/>
            <w:gridSpan w:val="6"/>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键盘鼠标所用线材经±60°弯折不低于 3000 次</w:t>
            </w:r>
            <w:r>
              <w:rPr>
                <w:rFonts w:hint="eastAsia" w:ascii="黑体" w:hAnsi="黑体" w:eastAsia="黑体"/>
                <w:spacing w:val="-3"/>
                <w:sz w:val="18"/>
                <w:szCs w:val="18"/>
                <w:lang w:val="zh-CN"/>
              </w:rPr>
              <w:t>，</w:t>
            </w:r>
            <w:r>
              <w:rPr>
                <w:rFonts w:ascii="黑体" w:hAnsi="黑体" w:eastAsia="黑体"/>
                <w:spacing w:val="-3"/>
                <w:sz w:val="18"/>
                <w:szCs w:val="18"/>
                <w:lang w:val="zh-CN"/>
              </w:rPr>
              <w:t>功能、外观完好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1"/>
          <w:wBefore w:w="11" w:type="dxa"/>
          <w:wAfter w:w="72" w:type="dxa"/>
          <w:trHeight w:val="730"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91</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可靠性要求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风扇寿命</w:t>
            </w:r>
          </w:p>
        </w:tc>
        <w:tc>
          <w:tcPr>
            <w:tcW w:w="6163" w:type="dxa"/>
            <w:gridSpan w:val="6"/>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≥4 万小时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1"/>
          <w:wBefore w:w="11" w:type="dxa"/>
          <w:wAfter w:w="72" w:type="dxa"/>
          <w:trHeight w:val="729"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92</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可靠性要求</w:t>
            </w:r>
          </w:p>
        </w:tc>
        <w:tc>
          <w:tcPr>
            <w:tcW w:w="735" w:type="dxa"/>
            <w:vMerge w:val="restart"/>
            <w:tcBorders>
              <w:tl2br w:val="nil"/>
              <w:tr2bl w:val="nil"/>
            </w:tcBorders>
            <w:vAlign w:val="center"/>
          </w:tcPr>
          <w:p>
            <w:pPr>
              <w:widowControl/>
              <w:spacing w:line="240" w:lineRule="exact"/>
              <w:ind w:left="108"/>
              <w:jc w:val="center"/>
              <w:textAlignment w:val="baseline"/>
              <w:rPr>
                <w:rFonts w:ascii="黑体" w:hAnsi="黑体" w:eastAsia="黑体"/>
                <w:spacing w:val="14"/>
                <w:sz w:val="18"/>
                <w:szCs w:val="18"/>
                <w:lang w:val="zh-CN"/>
              </w:rPr>
            </w:pPr>
            <w:r>
              <w:rPr>
                <w:rFonts w:hint="eastAsia"/>
              </w:rPr>
              <w:t>★</w:t>
            </w:r>
            <w:r>
              <w:rPr>
                <w:rFonts w:ascii="黑体" w:hAnsi="黑体" w:eastAsia="黑体"/>
                <w:spacing w:val="14"/>
                <w:sz w:val="18"/>
                <w:szCs w:val="18"/>
                <w:lang w:val="zh-CN"/>
              </w:rPr>
              <w:t>整机可靠性要求</w:t>
            </w:r>
          </w:p>
          <w:p>
            <w:pPr>
              <w:widowControl/>
              <w:spacing w:line="240" w:lineRule="exact"/>
              <w:jc w:val="left"/>
              <w:textAlignment w:val="baseline"/>
              <w:rPr>
                <w:sz w:val="18"/>
                <w:szCs w:val="18"/>
              </w:rPr>
            </w:pPr>
          </w:p>
        </w:tc>
        <w:tc>
          <w:tcPr>
            <w:tcW w:w="1100" w:type="dxa"/>
            <w:tcBorders>
              <w:tl2br w:val="nil"/>
              <w:tr2bl w:val="nil"/>
            </w:tcBorders>
            <w:vAlign w:val="center"/>
          </w:tcPr>
          <w:p>
            <w:pPr>
              <w:widowControl/>
              <w:spacing w:line="240" w:lineRule="exact"/>
              <w:jc w:val="center"/>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电磁兼</w:t>
            </w:r>
            <w:r>
              <w:rPr>
                <w:rFonts w:ascii="黑体" w:hAnsi="黑体" w:eastAsia="黑体"/>
                <w:sz w:val="18"/>
                <w:szCs w:val="18"/>
              </w:rPr>
              <w:cr/>
            </w:r>
            <w:r>
              <w:rPr>
                <w:rFonts w:ascii="黑体" w:hAnsi="黑体" w:eastAsia="黑体"/>
                <w:sz w:val="18"/>
                <w:szCs w:val="18"/>
              </w:rPr>
              <w:br w:type="textWrapping"/>
            </w:r>
            <w:r>
              <w:rPr>
                <w:rFonts w:ascii="黑体" w:hAnsi="黑体" w:eastAsia="黑体"/>
                <w:spacing w:val="-3"/>
                <w:sz w:val="18"/>
                <w:szCs w:val="18"/>
                <w:lang w:val="zh-CN"/>
              </w:rPr>
              <w:t>容性要求</w:t>
            </w:r>
            <w:r>
              <w:rPr>
                <w:rFonts w:ascii="黑体" w:hAnsi="黑体" w:eastAsia="黑体"/>
                <w:sz w:val="18"/>
                <w:szCs w:val="18"/>
              </w:rPr>
              <w:cr/>
            </w:r>
            <w:r>
              <w:rPr>
                <w:rFonts w:ascii="黑体" w:hAnsi="黑体" w:eastAsia="黑体"/>
                <w:sz w:val="18"/>
                <w:szCs w:val="18"/>
              </w:rPr>
              <w:br w:type="textWrapping"/>
            </w:r>
            <w:r>
              <w:rPr>
                <w:rFonts w:ascii="黑体" w:hAnsi="黑体" w:eastAsia="黑体"/>
                <w:spacing w:val="-3"/>
                <w:sz w:val="18"/>
                <w:szCs w:val="18"/>
                <w:lang w:val="zh-CN"/>
              </w:rPr>
              <w:t>的抗扰度</w:t>
            </w:r>
          </w:p>
        </w:tc>
        <w:tc>
          <w:tcPr>
            <w:tcW w:w="6163" w:type="dxa"/>
            <w:gridSpan w:val="6"/>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 xml:space="preserve">符合 </w:t>
            </w:r>
            <w:r>
              <w:rPr>
                <w:rFonts w:ascii="黑体" w:hAnsi="黑体" w:eastAsia="黑体"/>
                <w:sz w:val="18"/>
                <w:szCs w:val="18"/>
              </w:rPr>
              <w:t xml:space="preserve">GB/T 9254.2 </w:t>
            </w:r>
            <w:r>
              <w:rPr>
                <w:rFonts w:ascii="黑体" w:hAnsi="黑体" w:eastAsia="黑体"/>
                <w:sz w:val="18"/>
                <w:szCs w:val="18"/>
                <w:lang w:val="zh-CN"/>
              </w:rPr>
              <w:t>的规定</w:t>
            </w:r>
            <w:r>
              <w:rPr>
                <w:rFonts w:hint="eastAsia" w:ascii="黑体" w:hAnsi="黑体" w:eastAsia="黑体"/>
                <w:sz w:val="18"/>
                <w:szCs w:val="18"/>
                <w:lang w:val="zh-CN"/>
              </w:rPr>
              <w:t>，试验结果低于国家标准8d</w:t>
            </w:r>
            <w:r>
              <w:rPr>
                <w:rFonts w:ascii="黑体" w:hAnsi="黑体" w:eastAsia="黑体"/>
                <w:sz w:val="18"/>
                <w:szCs w:val="18"/>
                <w:lang w:val="zh-CN"/>
              </w:rPr>
              <w:t>B</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1"/>
          <w:wBefore w:w="11" w:type="dxa"/>
          <w:wAfter w:w="72" w:type="dxa"/>
          <w:trHeight w:val="970"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93</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可靠性要求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144"/>
              <w:jc w:val="center"/>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环境条件要求的气候环境适应性</w:t>
            </w:r>
          </w:p>
        </w:tc>
        <w:tc>
          <w:tcPr>
            <w:tcW w:w="6163" w:type="dxa"/>
            <w:gridSpan w:val="6"/>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 xml:space="preserve">符合 </w:t>
            </w:r>
            <w:r>
              <w:rPr>
                <w:rFonts w:ascii="黑体" w:hAnsi="黑体" w:eastAsia="黑体"/>
                <w:sz w:val="18"/>
                <w:szCs w:val="18"/>
              </w:rPr>
              <w:t xml:space="preserve">GB/T 9813.1 </w:t>
            </w:r>
            <w:r>
              <w:rPr>
                <w:rFonts w:ascii="黑体" w:hAnsi="黑体" w:eastAsia="黑体"/>
                <w:sz w:val="18"/>
                <w:szCs w:val="18"/>
                <w:lang w:val="zh-CN"/>
              </w:rPr>
              <w:t>中规定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1"/>
          <w:wBefore w:w="11" w:type="dxa"/>
          <w:wAfter w:w="72" w:type="dxa"/>
          <w:trHeight w:val="974"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94</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可靠性要求</w:t>
            </w:r>
          </w:p>
        </w:tc>
        <w:tc>
          <w:tcPr>
            <w:tcW w:w="735" w:type="dxa"/>
            <w:vMerge w:val="continue"/>
            <w:tcBorders>
              <w:tl2br w:val="nil"/>
              <w:tr2bl w:val="nil"/>
            </w:tcBorders>
            <w:vAlign w:val="center"/>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144"/>
              <w:jc w:val="center"/>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环境条件要求的振动适应性</w:t>
            </w:r>
          </w:p>
        </w:tc>
        <w:tc>
          <w:tcPr>
            <w:tcW w:w="6163" w:type="dxa"/>
            <w:gridSpan w:val="6"/>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 xml:space="preserve">符合 </w:t>
            </w:r>
            <w:r>
              <w:rPr>
                <w:rFonts w:ascii="黑体" w:hAnsi="黑体" w:eastAsia="黑体"/>
                <w:sz w:val="18"/>
                <w:szCs w:val="18"/>
              </w:rPr>
              <w:t xml:space="preserve">GB/T 9813.1 </w:t>
            </w:r>
            <w:r>
              <w:rPr>
                <w:rFonts w:ascii="黑体" w:hAnsi="黑体" w:eastAsia="黑体"/>
                <w:sz w:val="18"/>
                <w:szCs w:val="18"/>
                <w:lang w:val="zh-CN"/>
              </w:rPr>
              <w:t>中规定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1"/>
          <w:wBefore w:w="11" w:type="dxa"/>
          <w:wAfter w:w="72" w:type="dxa"/>
          <w:trHeight w:val="974"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95</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可靠性要求</w:t>
            </w:r>
          </w:p>
        </w:tc>
        <w:tc>
          <w:tcPr>
            <w:tcW w:w="735" w:type="dxa"/>
            <w:vMerge w:val="continue"/>
            <w:tcBorders>
              <w:tl2br w:val="nil"/>
              <w:tr2bl w:val="nil"/>
            </w:tcBorders>
          </w:tcPr>
          <w:p>
            <w:pPr>
              <w:widowControl/>
              <w:spacing w:line="240" w:lineRule="exact"/>
              <w:jc w:val="left"/>
              <w:textAlignment w:val="baseline"/>
              <w:rPr>
                <w:sz w:val="18"/>
                <w:szCs w:val="18"/>
              </w:rPr>
            </w:pPr>
          </w:p>
        </w:tc>
        <w:tc>
          <w:tcPr>
            <w:tcW w:w="1100" w:type="dxa"/>
            <w:tcBorders>
              <w:tl2br w:val="nil"/>
              <w:tr2bl w:val="nil"/>
            </w:tcBorders>
            <w:vAlign w:val="center"/>
          </w:tcPr>
          <w:p>
            <w:pPr>
              <w:widowControl/>
              <w:spacing w:line="240" w:lineRule="exact"/>
              <w:ind w:left="108" w:right="144"/>
              <w:jc w:val="center"/>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环境条件要求的冲击适应性</w:t>
            </w:r>
          </w:p>
        </w:tc>
        <w:tc>
          <w:tcPr>
            <w:tcW w:w="6163" w:type="dxa"/>
            <w:gridSpan w:val="6"/>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 xml:space="preserve">符合 </w:t>
            </w:r>
            <w:r>
              <w:rPr>
                <w:rFonts w:ascii="黑体" w:hAnsi="黑体" w:eastAsia="黑体"/>
                <w:sz w:val="18"/>
                <w:szCs w:val="18"/>
              </w:rPr>
              <w:t xml:space="preserve">GB/T 9813.1 </w:t>
            </w:r>
            <w:r>
              <w:rPr>
                <w:rFonts w:ascii="黑体" w:hAnsi="黑体" w:eastAsia="黑体"/>
                <w:sz w:val="18"/>
                <w:szCs w:val="18"/>
                <w:lang w:val="zh-CN"/>
              </w:rPr>
              <w:t>中规定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1"/>
          <w:wBefore w:w="11" w:type="dxa"/>
          <w:wAfter w:w="72" w:type="dxa"/>
          <w:trHeight w:val="974"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96</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可靠性要求</w:t>
            </w:r>
          </w:p>
        </w:tc>
        <w:tc>
          <w:tcPr>
            <w:tcW w:w="735" w:type="dxa"/>
            <w:vMerge w:val="continue"/>
            <w:tcBorders>
              <w:tl2br w:val="nil"/>
              <w:tr2bl w:val="nil"/>
            </w:tcBorders>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44" w:right="144"/>
              <w:jc w:val="center"/>
              <w:textAlignment w:val="baseline"/>
              <w:rPr>
                <w:rFonts w:ascii="黑体" w:hAnsi="黑体" w:eastAsia="黑体"/>
                <w:spacing w:val="-3"/>
                <w:sz w:val="18"/>
                <w:szCs w:val="18"/>
                <w:lang w:val="zh-CN"/>
              </w:rPr>
            </w:pPr>
            <w:r>
              <w:rPr>
                <w:rFonts w:hint="eastAsia"/>
              </w:rPr>
              <w:t>★</w:t>
            </w:r>
            <w:r>
              <w:rPr>
                <w:rFonts w:ascii="黑体" w:hAnsi="黑体" w:eastAsia="黑体"/>
                <w:spacing w:val="-4"/>
                <w:sz w:val="18"/>
                <w:szCs w:val="18"/>
                <w:lang w:val="zh-CN"/>
              </w:rPr>
              <w:t>环境条件要求的</w:t>
            </w:r>
            <w:r>
              <w:rPr>
                <w:rFonts w:ascii="黑体" w:hAnsi="黑体" w:eastAsia="黑体"/>
                <w:spacing w:val="-3"/>
                <w:sz w:val="18"/>
                <w:szCs w:val="18"/>
                <w:lang w:val="zh-CN"/>
              </w:rPr>
              <w:t>碰撞适应性</w:t>
            </w:r>
          </w:p>
        </w:tc>
        <w:tc>
          <w:tcPr>
            <w:tcW w:w="6163" w:type="dxa"/>
            <w:gridSpan w:val="6"/>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 xml:space="preserve">符合 </w:t>
            </w:r>
            <w:r>
              <w:rPr>
                <w:rFonts w:ascii="黑体" w:hAnsi="黑体" w:eastAsia="黑体"/>
                <w:sz w:val="18"/>
                <w:szCs w:val="18"/>
              </w:rPr>
              <w:t xml:space="preserve">GB/T 9813.1 </w:t>
            </w:r>
            <w:r>
              <w:rPr>
                <w:rFonts w:ascii="黑体" w:hAnsi="黑体" w:eastAsia="黑体"/>
                <w:sz w:val="18"/>
                <w:szCs w:val="18"/>
                <w:lang w:val="zh-CN"/>
              </w:rPr>
              <w:t>中规定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974"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97</w:t>
            </w:r>
          </w:p>
        </w:tc>
        <w:tc>
          <w:tcPr>
            <w:tcW w:w="790" w:type="dxa"/>
            <w:gridSpan w:val="2"/>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可靠性要求</w:t>
            </w:r>
          </w:p>
        </w:tc>
        <w:tc>
          <w:tcPr>
            <w:tcW w:w="735" w:type="dxa"/>
            <w:vMerge w:val="continue"/>
            <w:tcBorders>
              <w:tl2br w:val="nil"/>
              <w:tr2bl w:val="nil"/>
            </w:tcBorders>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144"/>
              <w:jc w:val="center"/>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环境条件要求的运输包装件跌落适应性</w:t>
            </w:r>
          </w:p>
        </w:tc>
        <w:tc>
          <w:tcPr>
            <w:tcW w:w="6043" w:type="dxa"/>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 xml:space="preserve">符合 </w:t>
            </w:r>
            <w:r>
              <w:rPr>
                <w:rFonts w:ascii="黑体" w:hAnsi="黑体" w:eastAsia="黑体"/>
                <w:sz w:val="18"/>
                <w:szCs w:val="18"/>
              </w:rPr>
              <w:t xml:space="preserve">GB/T 9813.1 </w:t>
            </w:r>
            <w:r>
              <w:rPr>
                <w:rFonts w:ascii="黑体" w:hAnsi="黑体" w:eastAsia="黑体"/>
                <w:sz w:val="18"/>
                <w:szCs w:val="18"/>
                <w:lang w:val="zh-CN"/>
              </w:rPr>
              <w:t>中规定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974"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98</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可靠性要求</w:t>
            </w:r>
          </w:p>
        </w:tc>
        <w:tc>
          <w:tcPr>
            <w:tcW w:w="735" w:type="dxa"/>
            <w:vMerge w:val="continue"/>
            <w:tcBorders>
              <w:tl2br w:val="nil"/>
              <w:tr2bl w:val="nil"/>
            </w:tcBorders>
          </w:tcPr>
          <w:p>
            <w:pPr>
              <w:widowControl/>
              <w:spacing w:line="240" w:lineRule="exact"/>
              <w:rPr>
                <w:sz w:val="18"/>
                <w:szCs w:val="18"/>
              </w:rPr>
            </w:pPr>
          </w:p>
        </w:tc>
        <w:tc>
          <w:tcPr>
            <w:tcW w:w="1100" w:type="dxa"/>
            <w:tcBorders>
              <w:tl2br w:val="nil"/>
              <w:tr2bl w:val="nil"/>
            </w:tcBorders>
            <w:vAlign w:val="center"/>
          </w:tcPr>
          <w:p>
            <w:pPr>
              <w:widowControl/>
              <w:spacing w:line="240" w:lineRule="exact"/>
              <w:ind w:left="108" w:right="216"/>
              <w:jc w:val="center"/>
              <w:textAlignment w:val="baseline"/>
              <w:rPr>
                <w:rFonts w:ascii="黑体" w:hAnsi="黑体" w:eastAsia="黑体"/>
                <w:spacing w:val="-3"/>
                <w:sz w:val="18"/>
                <w:szCs w:val="18"/>
                <w:lang w:val="zh-CN"/>
              </w:rPr>
            </w:pPr>
            <w:r>
              <w:rPr>
                <w:rFonts w:hint="eastAsia"/>
              </w:rPr>
              <w:t>★</w:t>
            </w:r>
            <w:r>
              <w:rPr>
                <w:rFonts w:ascii="黑体" w:hAnsi="黑体" w:eastAsia="黑体"/>
                <w:spacing w:val="-11"/>
                <w:sz w:val="18"/>
                <w:szCs w:val="18"/>
              </w:rPr>
              <w:t xml:space="preserve">MTBF </w:t>
            </w:r>
            <w:r>
              <w:rPr>
                <w:rFonts w:ascii="黑体" w:hAnsi="黑体" w:eastAsia="黑体"/>
                <w:spacing w:val="-11"/>
                <w:sz w:val="18"/>
                <w:szCs w:val="18"/>
                <w:lang w:val="zh-CN"/>
              </w:rPr>
              <w:t>测试</w:t>
            </w:r>
          </w:p>
        </w:tc>
        <w:tc>
          <w:tcPr>
            <w:tcW w:w="6043" w:type="dxa"/>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rPr>
              <w:t>MTBF(m1)≥99 万</w:t>
            </w:r>
            <w:r>
              <w:rPr>
                <w:rFonts w:ascii="黑体" w:hAnsi="黑体" w:eastAsia="黑体"/>
                <w:sz w:val="18"/>
                <w:szCs w:val="18"/>
                <w:lang w:val="zh-CN"/>
              </w:rPr>
              <w:t>小时</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883" w:hRule="exact"/>
        </w:trPr>
        <w:tc>
          <w:tcPr>
            <w:tcW w:w="461" w:type="dxa"/>
            <w:gridSpan w:val="2"/>
            <w:tcBorders>
              <w:tl2br w:val="nil"/>
              <w:tr2bl w:val="nil"/>
            </w:tcBorders>
            <w:vAlign w:val="center"/>
          </w:tcPr>
          <w:p>
            <w:pPr>
              <w:spacing w:before="292" w:after="229" w:line="198" w:lineRule="exact"/>
              <w:jc w:val="center"/>
              <w:textAlignment w:val="baseline"/>
              <w:rPr>
                <w:rFonts w:ascii="黑体" w:hAnsi="黑体" w:eastAsia="黑体"/>
                <w:sz w:val="18"/>
                <w:szCs w:val="18"/>
              </w:rPr>
            </w:pPr>
            <w:r>
              <w:rPr>
                <w:rFonts w:hint="eastAsia" w:ascii="黑体" w:hAnsi="黑体" w:eastAsia="黑体"/>
                <w:sz w:val="18"/>
                <w:szCs w:val="18"/>
              </w:rPr>
              <w:t>99</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兼容要求</w:t>
            </w:r>
          </w:p>
        </w:tc>
        <w:tc>
          <w:tcPr>
            <w:tcW w:w="735" w:type="dxa"/>
            <w:vMerge w:val="restart"/>
            <w:tcBorders>
              <w:tl2br w:val="nil"/>
              <w:tr2bl w:val="nil"/>
            </w:tcBorders>
            <w:vAlign w:val="center"/>
          </w:tcPr>
          <w:p>
            <w:pPr>
              <w:spacing w:before="961" w:after="949" w:line="240" w:lineRule="exact"/>
              <w:ind w:left="144"/>
              <w:jc w:val="left"/>
              <w:textAlignment w:val="baseline"/>
              <w:rPr>
                <w:sz w:val="18"/>
                <w:szCs w:val="18"/>
              </w:rPr>
            </w:pPr>
            <w:r>
              <w:rPr>
                <w:rFonts w:hint="eastAsia"/>
              </w:rPr>
              <w:t>★</w:t>
            </w:r>
            <w:r>
              <w:rPr>
                <w:rFonts w:ascii="黑体" w:hAnsi="黑体" w:eastAsia="黑体"/>
                <w:spacing w:val="-3"/>
                <w:sz w:val="18"/>
                <w:szCs w:val="18"/>
                <w:lang w:val="zh-CN"/>
              </w:rPr>
              <w:t>兼容要求</w:t>
            </w:r>
          </w:p>
        </w:tc>
        <w:tc>
          <w:tcPr>
            <w:tcW w:w="1100" w:type="dxa"/>
            <w:tcBorders>
              <w:tl2br w:val="nil"/>
              <w:tr2bl w:val="nil"/>
            </w:tcBorders>
          </w:tcPr>
          <w:p>
            <w:pPr>
              <w:spacing w:before="130" w:after="109" w:line="240" w:lineRule="exact"/>
              <w:ind w:left="108" w:right="252"/>
              <w:jc w:val="left"/>
              <w:textAlignment w:val="baseline"/>
              <w:rPr>
                <w:rFonts w:ascii="黑体" w:hAnsi="黑体" w:eastAsia="黑体"/>
                <w:spacing w:val="-11"/>
                <w:sz w:val="18"/>
                <w:szCs w:val="18"/>
                <w:lang w:val="zh-CN"/>
              </w:rPr>
            </w:pPr>
            <w:r>
              <w:rPr>
                <w:rFonts w:hint="eastAsia"/>
              </w:rPr>
              <w:t>★</w:t>
            </w:r>
            <w:r>
              <w:rPr>
                <w:rFonts w:ascii="黑体" w:hAnsi="黑体" w:eastAsia="黑体"/>
                <w:spacing w:val="-4"/>
                <w:sz w:val="18"/>
                <w:szCs w:val="18"/>
                <w:lang w:val="zh-CN"/>
              </w:rPr>
              <w:t>常用软件兼容</w:t>
            </w:r>
          </w:p>
        </w:tc>
        <w:tc>
          <w:tcPr>
            <w:tcW w:w="6043" w:type="dxa"/>
            <w:tcBorders>
              <w:tl2br w:val="nil"/>
              <w:tr2bl w:val="nil"/>
            </w:tcBorders>
          </w:tcPr>
          <w:p>
            <w:pPr>
              <w:spacing w:line="236" w:lineRule="exact"/>
              <w:ind w:left="108" w:right="288"/>
              <w:jc w:val="left"/>
              <w:textAlignment w:val="baseline"/>
              <w:rPr>
                <w:rFonts w:ascii="黑体" w:hAnsi="黑体" w:eastAsia="黑体"/>
                <w:spacing w:val="-7"/>
                <w:sz w:val="18"/>
                <w:szCs w:val="18"/>
                <w:lang w:val="zh-CN"/>
              </w:rPr>
            </w:pPr>
            <w:r>
              <w:rPr>
                <w:rFonts w:ascii="黑体" w:hAnsi="黑体" w:eastAsia="黑体"/>
                <w:spacing w:val="-7"/>
                <w:sz w:val="18"/>
                <w:szCs w:val="18"/>
                <w:lang w:val="zh-CN"/>
              </w:rPr>
              <w:t>支持流式软件、版式软件、浏览器、 邮件采购人端、解压软件、多媒体、 图形图像处理等常用软件</w:t>
            </w:r>
          </w:p>
          <w:p>
            <w:pPr>
              <w:spacing w:line="236" w:lineRule="exact"/>
              <w:ind w:left="108" w:right="288"/>
              <w:jc w:val="left"/>
              <w:textAlignment w:val="baseline"/>
              <w:rPr>
                <w:rFonts w:ascii="黑体" w:hAnsi="黑体" w:eastAsia="黑体"/>
                <w:sz w:val="18"/>
                <w:szCs w:val="1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641" w:hRule="exact"/>
        </w:trPr>
        <w:tc>
          <w:tcPr>
            <w:tcW w:w="461" w:type="dxa"/>
            <w:gridSpan w:val="2"/>
            <w:tcBorders>
              <w:tl2br w:val="nil"/>
              <w:tr2bl w:val="nil"/>
            </w:tcBorders>
            <w:vAlign w:val="center"/>
          </w:tcPr>
          <w:p>
            <w:pPr>
              <w:spacing w:before="211" w:after="152" w:line="198" w:lineRule="exact"/>
              <w:jc w:val="center"/>
              <w:textAlignment w:val="baseline"/>
              <w:rPr>
                <w:rFonts w:ascii="黑体" w:hAnsi="黑体" w:eastAsia="黑体"/>
                <w:sz w:val="18"/>
                <w:szCs w:val="18"/>
              </w:rPr>
            </w:pPr>
            <w:r>
              <w:rPr>
                <w:rFonts w:hint="eastAsia" w:ascii="黑体" w:hAnsi="黑体" w:eastAsia="黑体"/>
                <w:sz w:val="18"/>
                <w:szCs w:val="18"/>
              </w:rPr>
              <w:t>100</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兼容要求</w:t>
            </w:r>
          </w:p>
        </w:tc>
        <w:tc>
          <w:tcPr>
            <w:tcW w:w="735" w:type="dxa"/>
            <w:vMerge w:val="continue"/>
            <w:tcBorders>
              <w:tl2br w:val="nil"/>
              <w:tr2bl w:val="nil"/>
            </w:tcBorders>
            <w:vAlign w:val="center"/>
          </w:tcPr>
          <w:p>
            <w:pPr>
              <w:rPr>
                <w:sz w:val="18"/>
                <w:szCs w:val="18"/>
              </w:rPr>
            </w:pPr>
          </w:p>
        </w:tc>
        <w:tc>
          <w:tcPr>
            <w:tcW w:w="1100" w:type="dxa"/>
            <w:tcBorders>
              <w:tl2br w:val="nil"/>
              <w:tr2bl w:val="nil"/>
            </w:tcBorders>
          </w:tcPr>
          <w:p>
            <w:pPr>
              <w:spacing w:before="49" w:after="32" w:line="240" w:lineRule="exact"/>
              <w:ind w:left="108" w:right="252"/>
              <w:jc w:val="left"/>
              <w:textAlignment w:val="baseline"/>
              <w:rPr>
                <w:rFonts w:ascii="黑体" w:hAnsi="黑体" w:eastAsia="黑体"/>
                <w:spacing w:val="-11"/>
                <w:sz w:val="18"/>
                <w:szCs w:val="18"/>
                <w:lang w:val="zh-CN"/>
              </w:rPr>
            </w:pPr>
            <w:r>
              <w:rPr>
                <w:rFonts w:hint="eastAsia"/>
              </w:rPr>
              <w:t>★</w:t>
            </w:r>
            <w:r>
              <w:rPr>
                <w:rFonts w:ascii="黑体" w:hAnsi="黑体" w:eastAsia="黑体"/>
                <w:spacing w:val="-3"/>
                <w:sz w:val="18"/>
                <w:szCs w:val="18"/>
                <w:lang w:val="zh-CN"/>
              </w:rPr>
              <w:t>数据库兼容</w:t>
            </w:r>
          </w:p>
        </w:tc>
        <w:tc>
          <w:tcPr>
            <w:tcW w:w="6043" w:type="dxa"/>
            <w:tcBorders>
              <w:tl2br w:val="nil"/>
              <w:tr2bl w:val="nil"/>
            </w:tcBorders>
            <w:vAlign w:val="center"/>
          </w:tcPr>
          <w:p>
            <w:pPr>
              <w:spacing w:before="207" w:after="152" w:line="202" w:lineRule="exact"/>
              <w:ind w:left="110"/>
              <w:jc w:val="left"/>
              <w:textAlignment w:val="baseline"/>
              <w:rPr>
                <w:rFonts w:ascii="黑体" w:hAnsi="黑体" w:eastAsia="黑体"/>
                <w:sz w:val="18"/>
                <w:szCs w:val="18"/>
              </w:rPr>
            </w:pPr>
            <w:r>
              <w:rPr>
                <w:rFonts w:ascii="黑体" w:hAnsi="黑体" w:eastAsia="黑体"/>
                <w:sz w:val="18"/>
                <w:szCs w:val="18"/>
                <w:lang w:val="zh-CN"/>
              </w:rPr>
              <w:t>兼容 3 个及以上厂商的数据库产品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641" w:hRule="exact"/>
        </w:trPr>
        <w:tc>
          <w:tcPr>
            <w:tcW w:w="461" w:type="dxa"/>
            <w:gridSpan w:val="2"/>
            <w:tcBorders>
              <w:tl2br w:val="nil"/>
              <w:tr2bl w:val="nil"/>
            </w:tcBorders>
            <w:vAlign w:val="center"/>
          </w:tcPr>
          <w:p>
            <w:pPr>
              <w:spacing w:before="211" w:after="152" w:line="198" w:lineRule="exact"/>
              <w:jc w:val="center"/>
              <w:textAlignment w:val="baseline"/>
              <w:rPr>
                <w:rFonts w:ascii="黑体" w:hAnsi="黑体" w:eastAsia="黑体"/>
                <w:sz w:val="18"/>
                <w:szCs w:val="18"/>
              </w:rPr>
            </w:pPr>
            <w:r>
              <w:rPr>
                <w:rFonts w:hint="eastAsia" w:ascii="黑体" w:hAnsi="黑体" w:eastAsia="黑体"/>
                <w:sz w:val="18"/>
                <w:szCs w:val="18"/>
              </w:rPr>
              <w:t>101</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兼容要求</w:t>
            </w:r>
          </w:p>
        </w:tc>
        <w:tc>
          <w:tcPr>
            <w:tcW w:w="735" w:type="dxa"/>
            <w:vMerge w:val="continue"/>
            <w:tcBorders>
              <w:tl2br w:val="nil"/>
              <w:tr2bl w:val="nil"/>
            </w:tcBorders>
            <w:vAlign w:val="center"/>
          </w:tcPr>
          <w:p>
            <w:pPr>
              <w:rPr>
                <w:sz w:val="18"/>
                <w:szCs w:val="18"/>
              </w:rPr>
            </w:pPr>
          </w:p>
        </w:tc>
        <w:tc>
          <w:tcPr>
            <w:tcW w:w="1100" w:type="dxa"/>
            <w:tcBorders>
              <w:tl2br w:val="nil"/>
              <w:tr2bl w:val="nil"/>
            </w:tcBorders>
          </w:tcPr>
          <w:p>
            <w:pPr>
              <w:spacing w:after="8" w:line="240" w:lineRule="exact"/>
              <w:ind w:left="108" w:right="252"/>
              <w:jc w:val="left"/>
              <w:textAlignment w:val="baseline"/>
              <w:rPr>
                <w:rFonts w:ascii="黑体" w:hAnsi="黑体" w:eastAsia="黑体"/>
                <w:spacing w:val="-11"/>
                <w:sz w:val="18"/>
                <w:szCs w:val="18"/>
                <w:lang w:val="zh-CN"/>
              </w:rPr>
            </w:pPr>
            <w:r>
              <w:rPr>
                <w:rFonts w:hint="eastAsia"/>
              </w:rPr>
              <w:t>★</w:t>
            </w:r>
            <w:r>
              <w:rPr>
                <w:rFonts w:ascii="黑体" w:hAnsi="黑体" w:eastAsia="黑体"/>
                <w:spacing w:val="-3"/>
                <w:sz w:val="18"/>
                <w:szCs w:val="18"/>
                <w:lang w:val="zh-CN"/>
              </w:rPr>
              <w:t>中间件兼容</w:t>
            </w:r>
          </w:p>
        </w:tc>
        <w:tc>
          <w:tcPr>
            <w:tcW w:w="6043" w:type="dxa"/>
            <w:tcBorders>
              <w:tl2br w:val="nil"/>
              <w:tr2bl w:val="nil"/>
            </w:tcBorders>
            <w:vAlign w:val="center"/>
          </w:tcPr>
          <w:p>
            <w:pPr>
              <w:spacing w:before="207" w:after="152" w:line="202" w:lineRule="exact"/>
              <w:ind w:left="110"/>
              <w:jc w:val="left"/>
              <w:textAlignment w:val="baseline"/>
              <w:rPr>
                <w:rFonts w:ascii="黑体" w:hAnsi="黑体" w:eastAsia="黑体"/>
                <w:sz w:val="18"/>
                <w:szCs w:val="18"/>
                <w:lang w:val="zh-CN"/>
              </w:rPr>
            </w:pPr>
            <w:r>
              <w:rPr>
                <w:rFonts w:ascii="黑体" w:hAnsi="黑体" w:eastAsia="黑体"/>
                <w:sz w:val="18"/>
                <w:szCs w:val="18"/>
              </w:rPr>
              <w:t>兼容 3 个及以上厂商中间件产品</w:t>
            </w:r>
            <w:r>
              <w:rPr>
                <w:rFonts w:hint="eastAsia" w:ascii="黑体" w:hAnsi="黑体" w:eastAsia="黑体"/>
                <w:sz w:val="18"/>
                <w:szCs w:val="18"/>
              </w:rPr>
              <w:t>；</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791" w:hRule="exact"/>
        </w:trPr>
        <w:tc>
          <w:tcPr>
            <w:tcW w:w="461" w:type="dxa"/>
            <w:gridSpan w:val="2"/>
            <w:tcBorders>
              <w:tl2br w:val="nil"/>
              <w:tr2bl w:val="nil"/>
            </w:tcBorders>
            <w:vAlign w:val="center"/>
          </w:tcPr>
          <w:p>
            <w:pPr>
              <w:spacing w:before="211" w:after="152" w:line="198" w:lineRule="exact"/>
              <w:jc w:val="center"/>
              <w:textAlignment w:val="baseline"/>
              <w:rPr>
                <w:rFonts w:ascii="黑体" w:hAnsi="黑体" w:eastAsia="黑体"/>
                <w:sz w:val="18"/>
                <w:szCs w:val="18"/>
              </w:rPr>
            </w:pPr>
            <w:r>
              <w:rPr>
                <w:rFonts w:hint="eastAsia" w:ascii="黑体" w:hAnsi="黑体" w:eastAsia="黑体"/>
                <w:sz w:val="18"/>
                <w:szCs w:val="18"/>
              </w:rPr>
              <w:t>102</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hint="eastAsia" w:ascii="黑体" w:hAnsi="黑体" w:eastAsia="黑体"/>
                <w:spacing w:val="-3"/>
                <w:sz w:val="18"/>
                <w:szCs w:val="18"/>
                <w:lang w:val="zh-CN"/>
              </w:rPr>
              <w:t>兼容要求</w:t>
            </w:r>
          </w:p>
        </w:tc>
        <w:tc>
          <w:tcPr>
            <w:tcW w:w="735" w:type="dxa"/>
            <w:vMerge w:val="continue"/>
            <w:tcBorders>
              <w:tl2br w:val="nil"/>
              <w:tr2bl w:val="nil"/>
            </w:tcBorders>
            <w:vAlign w:val="center"/>
          </w:tcPr>
          <w:p>
            <w:pPr>
              <w:rPr>
                <w:sz w:val="18"/>
                <w:szCs w:val="18"/>
              </w:rPr>
            </w:pPr>
          </w:p>
        </w:tc>
        <w:tc>
          <w:tcPr>
            <w:tcW w:w="1100" w:type="dxa"/>
            <w:tcBorders>
              <w:tl2br w:val="nil"/>
              <w:tr2bl w:val="nil"/>
            </w:tcBorders>
          </w:tcPr>
          <w:p>
            <w:pPr>
              <w:spacing w:before="49" w:after="42" w:line="240" w:lineRule="exact"/>
              <w:ind w:left="108" w:right="252"/>
              <w:jc w:val="left"/>
              <w:textAlignment w:val="baseline"/>
              <w:rPr>
                <w:rFonts w:ascii="黑体" w:hAnsi="黑体" w:eastAsia="黑体"/>
                <w:spacing w:val="-3"/>
                <w:sz w:val="18"/>
                <w:szCs w:val="18"/>
                <w:lang w:val="zh-CN"/>
              </w:rPr>
            </w:pPr>
            <w:bookmarkStart w:id="46" w:name="OLE_LINK7"/>
            <w:r>
              <w:rPr>
                <w:rFonts w:hint="eastAsia"/>
              </w:rPr>
              <w:t>★</w:t>
            </w:r>
            <w:bookmarkEnd w:id="46"/>
            <w:r>
              <w:rPr>
                <w:rFonts w:hint="eastAsia" w:ascii="黑体" w:hAnsi="宋体" w:eastAsia="黑体" w:cs="黑体"/>
                <w:spacing w:val="-4"/>
                <w:sz w:val="18"/>
                <w:szCs w:val="18"/>
                <w:lang w:bidi="ar"/>
              </w:rPr>
              <w:t>平台软件兼容</w:t>
            </w:r>
          </w:p>
        </w:tc>
        <w:tc>
          <w:tcPr>
            <w:tcW w:w="6043" w:type="dxa"/>
            <w:tcBorders>
              <w:tl2br w:val="nil"/>
              <w:tr2bl w:val="nil"/>
            </w:tcBorders>
          </w:tcPr>
          <w:p>
            <w:pPr>
              <w:spacing w:before="49" w:after="42" w:line="240" w:lineRule="exact"/>
              <w:ind w:left="108" w:right="216"/>
              <w:jc w:val="left"/>
              <w:textAlignment w:val="baseline"/>
              <w:rPr>
                <w:rFonts w:ascii="黑体" w:hAnsi="黑体" w:eastAsia="黑体"/>
                <w:sz w:val="18"/>
                <w:szCs w:val="18"/>
              </w:rPr>
            </w:pPr>
            <w:r>
              <w:rPr>
                <w:rFonts w:hint="eastAsia" w:ascii="黑体" w:hAnsi="宋体" w:eastAsia="黑体" w:cs="黑体"/>
                <w:spacing w:val="-3"/>
                <w:sz w:val="18"/>
                <w:szCs w:val="18"/>
                <w:lang w:bidi="ar"/>
              </w:rPr>
              <w:t>兼容 3 个及以上厂商云计算及大数据平台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715" w:hRule="exact"/>
        </w:trPr>
        <w:tc>
          <w:tcPr>
            <w:tcW w:w="461" w:type="dxa"/>
            <w:gridSpan w:val="2"/>
            <w:tcBorders>
              <w:tl2br w:val="nil"/>
              <w:tr2bl w:val="nil"/>
            </w:tcBorders>
            <w:vAlign w:val="center"/>
          </w:tcPr>
          <w:p>
            <w:pPr>
              <w:spacing w:before="211" w:after="162" w:line="198" w:lineRule="exact"/>
              <w:jc w:val="center"/>
              <w:textAlignment w:val="baseline"/>
              <w:rPr>
                <w:rFonts w:ascii="黑体" w:hAnsi="黑体" w:eastAsia="黑体"/>
                <w:sz w:val="18"/>
                <w:szCs w:val="18"/>
              </w:rPr>
            </w:pPr>
            <w:r>
              <w:rPr>
                <w:rFonts w:hint="eastAsia" w:ascii="黑体" w:hAnsi="黑体" w:eastAsia="黑体"/>
                <w:sz w:val="18"/>
                <w:szCs w:val="18"/>
              </w:rPr>
              <w:t>103</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兼容要求</w:t>
            </w:r>
          </w:p>
        </w:tc>
        <w:tc>
          <w:tcPr>
            <w:tcW w:w="735" w:type="dxa"/>
            <w:vMerge w:val="continue"/>
            <w:tcBorders>
              <w:tl2br w:val="nil"/>
              <w:tr2bl w:val="nil"/>
            </w:tcBorders>
            <w:vAlign w:val="center"/>
          </w:tcPr>
          <w:p>
            <w:pPr>
              <w:rPr>
                <w:sz w:val="18"/>
                <w:szCs w:val="18"/>
              </w:rPr>
            </w:pPr>
          </w:p>
        </w:tc>
        <w:tc>
          <w:tcPr>
            <w:tcW w:w="1100" w:type="dxa"/>
            <w:tcBorders>
              <w:tl2br w:val="nil"/>
              <w:tr2bl w:val="nil"/>
            </w:tcBorders>
          </w:tcPr>
          <w:p>
            <w:pPr>
              <w:spacing w:before="49" w:after="42" w:line="240" w:lineRule="exact"/>
              <w:ind w:left="108" w:right="252"/>
              <w:jc w:val="left"/>
              <w:textAlignment w:val="baseline"/>
              <w:rPr>
                <w:rFonts w:ascii="黑体" w:hAnsi="黑体" w:eastAsia="黑体"/>
                <w:spacing w:val="-11"/>
                <w:sz w:val="18"/>
                <w:szCs w:val="18"/>
                <w:lang w:val="zh-CN"/>
              </w:rPr>
            </w:pPr>
            <w:r>
              <w:rPr>
                <w:rFonts w:hint="eastAsia"/>
              </w:rPr>
              <w:t>★</w:t>
            </w:r>
            <w:r>
              <w:rPr>
                <w:rFonts w:ascii="黑体" w:hAnsi="黑体" w:eastAsia="黑体"/>
                <w:spacing w:val="-4"/>
                <w:sz w:val="18"/>
                <w:szCs w:val="18"/>
                <w:lang w:val="zh-CN"/>
              </w:rPr>
              <w:t>平台软件兼容</w:t>
            </w:r>
          </w:p>
        </w:tc>
        <w:tc>
          <w:tcPr>
            <w:tcW w:w="6043" w:type="dxa"/>
            <w:tcBorders>
              <w:tl2br w:val="nil"/>
              <w:tr2bl w:val="nil"/>
            </w:tcBorders>
          </w:tcPr>
          <w:p>
            <w:pPr>
              <w:spacing w:before="49" w:after="42" w:line="240" w:lineRule="exact"/>
              <w:ind w:left="108" w:right="216"/>
              <w:jc w:val="left"/>
              <w:textAlignment w:val="baseline"/>
              <w:rPr>
                <w:rFonts w:ascii="黑体" w:hAnsi="黑体" w:eastAsia="黑体"/>
                <w:sz w:val="18"/>
                <w:szCs w:val="18"/>
              </w:rPr>
            </w:pPr>
            <w:r>
              <w:rPr>
                <w:rFonts w:ascii="黑体" w:hAnsi="黑体" w:eastAsia="黑体"/>
                <w:spacing w:val="-3"/>
                <w:sz w:val="18"/>
                <w:szCs w:val="18"/>
                <w:lang w:val="zh-CN"/>
              </w:rPr>
              <w:t>兼容 3 个及以上厂商云计算及大数据平台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wBefore w:w="11" w:type="dxa"/>
          <w:trHeight w:val="970" w:hRule="exact"/>
        </w:trPr>
        <w:tc>
          <w:tcPr>
            <w:tcW w:w="461" w:type="dxa"/>
            <w:gridSpan w:val="2"/>
            <w:tcBorders>
              <w:tl2br w:val="nil"/>
              <w:tr2bl w:val="nil"/>
            </w:tcBorders>
            <w:vAlign w:val="center"/>
          </w:tcPr>
          <w:p>
            <w:pPr>
              <w:spacing w:before="408" w:after="354" w:line="198" w:lineRule="exact"/>
              <w:jc w:val="center"/>
              <w:textAlignment w:val="baseline"/>
              <w:rPr>
                <w:rFonts w:ascii="黑体" w:hAnsi="黑体" w:eastAsia="黑体"/>
                <w:sz w:val="18"/>
                <w:szCs w:val="18"/>
              </w:rPr>
            </w:pPr>
            <w:r>
              <w:rPr>
                <w:rFonts w:hint="eastAsia" w:ascii="黑体" w:hAnsi="黑体" w:eastAsia="黑体"/>
                <w:sz w:val="18"/>
                <w:szCs w:val="18"/>
              </w:rPr>
              <w:t>104</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包装及运输要求</w:t>
            </w:r>
          </w:p>
        </w:tc>
        <w:tc>
          <w:tcPr>
            <w:tcW w:w="735" w:type="dxa"/>
            <w:tcBorders>
              <w:tl2br w:val="nil"/>
              <w:tr2bl w:val="nil"/>
            </w:tcBorders>
            <w:vAlign w:val="center"/>
          </w:tcPr>
          <w:p>
            <w:pPr>
              <w:spacing w:line="238" w:lineRule="exact"/>
              <w:ind w:left="108"/>
              <w:jc w:val="center"/>
              <w:textAlignment w:val="baseline"/>
              <w:rPr>
                <w:rFonts w:ascii="黑体" w:hAnsi="黑体" w:eastAsia="黑体"/>
                <w:spacing w:val="14"/>
                <w:sz w:val="18"/>
                <w:szCs w:val="18"/>
                <w:lang w:val="zh-CN"/>
              </w:rPr>
            </w:pPr>
            <w:r>
              <w:rPr>
                <w:rFonts w:hint="eastAsia"/>
              </w:rPr>
              <w:t>★</w:t>
            </w:r>
            <w:r>
              <w:rPr>
                <w:rFonts w:ascii="黑体" w:hAnsi="黑体" w:eastAsia="黑体"/>
                <w:spacing w:val="14"/>
                <w:sz w:val="18"/>
                <w:szCs w:val="18"/>
                <w:lang w:val="zh-CN"/>
              </w:rPr>
              <w:t>包装及运输要求</w:t>
            </w:r>
          </w:p>
        </w:tc>
        <w:tc>
          <w:tcPr>
            <w:tcW w:w="1100" w:type="dxa"/>
            <w:tcBorders>
              <w:tl2br w:val="nil"/>
              <w:tr2bl w:val="nil"/>
            </w:tcBorders>
          </w:tcPr>
          <w:p>
            <w:pPr>
              <w:spacing w:before="126" w:after="114" w:line="240" w:lineRule="exact"/>
              <w:ind w:left="108"/>
              <w:jc w:val="left"/>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标志、包装、运输和贮存</w:t>
            </w:r>
          </w:p>
        </w:tc>
        <w:tc>
          <w:tcPr>
            <w:tcW w:w="6235" w:type="dxa"/>
            <w:gridSpan w:val="7"/>
            <w:tcBorders>
              <w:tl2br w:val="nil"/>
              <w:tr2bl w:val="nil"/>
            </w:tcBorders>
            <w:vAlign w:val="center"/>
          </w:tcPr>
          <w:p>
            <w:pPr>
              <w:spacing w:before="246" w:after="234" w:line="240" w:lineRule="exact"/>
              <w:ind w:left="108" w:right="216"/>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 xml:space="preserve">符合 </w:t>
            </w:r>
            <w:r>
              <w:rPr>
                <w:rFonts w:ascii="黑体" w:hAnsi="黑体" w:eastAsia="黑体"/>
                <w:spacing w:val="-3"/>
                <w:sz w:val="18"/>
                <w:szCs w:val="18"/>
              </w:rPr>
              <w:t xml:space="preserve">GB/T 9813.1 </w:t>
            </w:r>
            <w:r>
              <w:rPr>
                <w:rFonts w:ascii="黑体" w:hAnsi="黑体" w:eastAsia="黑体"/>
                <w:spacing w:val="-3"/>
                <w:sz w:val="18"/>
                <w:szCs w:val="18"/>
                <w:lang w:val="zh-CN"/>
              </w:rPr>
              <w:t>和商品包装政府采购需求标准的相关规定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wBefore w:w="11" w:type="dxa"/>
          <w:trHeight w:val="608" w:hRule="exact"/>
        </w:trPr>
        <w:tc>
          <w:tcPr>
            <w:tcW w:w="461" w:type="dxa"/>
            <w:gridSpan w:val="2"/>
            <w:tcBorders>
              <w:tl2br w:val="nil"/>
              <w:tr2bl w:val="nil"/>
            </w:tcBorders>
            <w:vAlign w:val="center"/>
          </w:tcPr>
          <w:p>
            <w:pPr>
              <w:spacing w:before="215" w:after="153" w:line="198" w:lineRule="exact"/>
              <w:jc w:val="center"/>
              <w:textAlignment w:val="baseline"/>
              <w:rPr>
                <w:rFonts w:ascii="黑体" w:hAnsi="黑体" w:eastAsia="黑体"/>
                <w:sz w:val="18"/>
                <w:szCs w:val="18"/>
              </w:rPr>
            </w:pPr>
            <w:r>
              <w:rPr>
                <w:rFonts w:hint="eastAsia" w:ascii="黑体" w:hAnsi="黑体" w:eastAsia="黑体"/>
                <w:sz w:val="18"/>
                <w:szCs w:val="18"/>
              </w:rPr>
              <w:t>105</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服务要求</w:t>
            </w:r>
          </w:p>
        </w:tc>
        <w:tc>
          <w:tcPr>
            <w:tcW w:w="735" w:type="dxa"/>
            <w:vMerge w:val="restart"/>
            <w:tcBorders>
              <w:tl2br w:val="nil"/>
              <w:tr2bl w:val="nil"/>
            </w:tcBorders>
            <w:vAlign w:val="center"/>
          </w:tcPr>
          <w:p>
            <w:pPr>
              <w:spacing w:before="2343" w:after="2336" w:line="240" w:lineRule="exact"/>
              <w:ind w:left="144"/>
              <w:jc w:val="left"/>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服务要求</w:t>
            </w:r>
          </w:p>
          <w:p>
            <w:pPr>
              <w:jc w:val="center"/>
              <w:textAlignment w:val="baseline"/>
              <w:rPr>
                <w:sz w:val="18"/>
                <w:szCs w:val="18"/>
              </w:rPr>
            </w:pPr>
          </w:p>
        </w:tc>
        <w:tc>
          <w:tcPr>
            <w:tcW w:w="1100" w:type="dxa"/>
            <w:tcBorders>
              <w:tl2br w:val="nil"/>
              <w:tr2bl w:val="nil"/>
            </w:tcBorders>
          </w:tcPr>
          <w:p>
            <w:pPr>
              <w:spacing w:before="53" w:after="33" w:line="240" w:lineRule="exact"/>
              <w:ind w:left="108" w:right="252"/>
              <w:jc w:val="left"/>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配置检查工具</w:t>
            </w:r>
          </w:p>
        </w:tc>
        <w:tc>
          <w:tcPr>
            <w:tcW w:w="6235" w:type="dxa"/>
            <w:gridSpan w:val="7"/>
            <w:tcBorders>
              <w:tl2br w:val="nil"/>
              <w:tr2bl w:val="nil"/>
            </w:tcBorders>
            <w:vAlign w:val="center"/>
          </w:tcPr>
          <w:p>
            <w:pPr>
              <w:spacing w:before="215" w:after="153" w:line="198" w:lineRule="exact"/>
              <w:ind w:left="110"/>
              <w:jc w:val="left"/>
              <w:textAlignment w:val="baseline"/>
              <w:rPr>
                <w:rFonts w:ascii="黑体" w:hAnsi="黑体" w:eastAsia="黑体"/>
                <w:sz w:val="18"/>
                <w:szCs w:val="18"/>
                <w:lang w:val="zh-CN"/>
              </w:rPr>
            </w:pPr>
            <w:r>
              <w:rPr>
                <w:rFonts w:ascii="黑体" w:hAnsi="黑体" w:eastAsia="黑体"/>
                <w:sz w:val="18"/>
                <w:szCs w:val="18"/>
                <w:lang w:val="zh-CN"/>
              </w:rPr>
              <w:t>供应商提供自检测试工具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wBefore w:w="11" w:type="dxa"/>
          <w:trHeight w:val="1394" w:hRule="exact"/>
        </w:trPr>
        <w:tc>
          <w:tcPr>
            <w:tcW w:w="461" w:type="dxa"/>
            <w:gridSpan w:val="2"/>
            <w:tcBorders>
              <w:tl2br w:val="nil"/>
              <w:tr2bl w:val="nil"/>
            </w:tcBorders>
            <w:vAlign w:val="center"/>
          </w:tcPr>
          <w:p>
            <w:pPr>
              <w:spacing w:before="1368" w:after="1314" w:line="198" w:lineRule="exact"/>
              <w:jc w:val="center"/>
              <w:textAlignment w:val="baseline"/>
              <w:rPr>
                <w:rFonts w:ascii="黑体" w:hAnsi="黑体" w:eastAsia="黑体"/>
                <w:sz w:val="18"/>
                <w:szCs w:val="18"/>
              </w:rPr>
            </w:pPr>
            <w:r>
              <w:rPr>
                <w:rFonts w:hint="eastAsia" w:ascii="黑体" w:hAnsi="黑体" w:eastAsia="黑体"/>
                <w:sz w:val="18"/>
                <w:szCs w:val="18"/>
              </w:rPr>
              <w:t>106</w:t>
            </w:r>
          </w:p>
        </w:tc>
        <w:tc>
          <w:tcPr>
            <w:tcW w:w="790" w:type="dxa"/>
            <w:gridSpan w:val="2"/>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服务要求</w:t>
            </w:r>
          </w:p>
        </w:tc>
        <w:tc>
          <w:tcPr>
            <w:tcW w:w="735" w:type="dxa"/>
            <w:vMerge w:val="continue"/>
            <w:tcBorders>
              <w:tl2br w:val="nil"/>
              <w:tr2bl w:val="nil"/>
            </w:tcBorders>
            <w:vAlign w:val="center"/>
          </w:tcPr>
          <w:p>
            <w:pPr>
              <w:jc w:val="center"/>
              <w:rPr>
                <w:sz w:val="18"/>
                <w:szCs w:val="18"/>
              </w:rPr>
            </w:pPr>
          </w:p>
        </w:tc>
        <w:tc>
          <w:tcPr>
            <w:tcW w:w="1100" w:type="dxa"/>
            <w:tcBorders>
              <w:tl2br w:val="nil"/>
              <w:tr2bl w:val="nil"/>
            </w:tcBorders>
            <w:vAlign w:val="center"/>
          </w:tcPr>
          <w:p>
            <w:pPr>
              <w:spacing w:before="53" w:after="33" w:line="240" w:lineRule="exact"/>
              <w:ind w:left="108" w:right="252"/>
              <w:jc w:val="left"/>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服务响应</w:t>
            </w:r>
          </w:p>
        </w:tc>
        <w:tc>
          <w:tcPr>
            <w:tcW w:w="6235" w:type="dxa"/>
            <w:gridSpan w:val="7"/>
            <w:tcBorders>
              <w:tl2br w:val="nil"/>
              <w:tr2bl w:val="nil"/>
            </w:tcBorders>
          </w:tcPr>
          <w:p>
            <w:pPr>
              <w:spacing w:line="240" w:lineRule="exact"/>
              <w:ind w:left="144" w:right="180"/>
              <w:jc w:val="left"/>
              <w:textAlignment w:val="baseline"/>
              <w:rPr>
                <w:rFonts w:ascii="黑体" w:hAnsi="黑体" w:eastAsia="黑体"/>
                <w:spacing w:val="-3"/>
                <w:sz w:val="18"/>
                <w:szCs w:val="18"/>
              </w:rPr>
            </w:pPr>
            <w:r>
              <w:rPr>
                <w:rFonts w:ascii="黑体" w:hAnsi="黑体" w:eastAsia="黑体"/>
                <w:spacing w:val="-3"/>
                <w:sz w:val="18"/>
                <w:szCs w:val="18"/>
              </w:rPr>
              <w:t>a)</w:t>
            </w:r>
            <w:r>
              <w:rPr>
                <w:rFonts w:ascii="黑体" w:hAnsi="黑体" w:eastAsia="黑体"/>
                <w:spacing w:val="-3"/>
                <w:sz w:val="18"/>
                <w:szCs w:val="18"/>
                <w:lang w:val="zh-CN"/>
              </w:rPr>
              <w:t>供应商提供电话、电子邮件、远程连接等多种形式服务</w:t>
            </w:r>
            <w:r>
              <w:rPr>
                <w:rFonts w:hint="eastAsia" w:ascii="黑体" w:hAnsi="黑体" w:eastAsia="黑体"/>
                <w:spacing w:val="-3"/>
                <w:sz w:val="18"/>
                <w:szCs w:val="18"/>
                <w:lang w:val="zh-CN"/>
              </w:rPr>
              <w:t>；</w:t>
            </w:r>
          </w:p>
          <w:p>
            <w:pPr>
              <w:spacing w:line="240" w:lineRule="exact"/>
              <w:ind w:left="144" w:right="180"/>
              <w:jc w:val="left"/>
              <w:textAlignment w:val="baseline"/>
              <w:rPr>
                <w:rFonts w:ascii="黑体" w:hAnsi="黑体" w:eastAsia="黑体"/>
                <w:spacing w:val="-3"/>
                <w:sz w:val="18"/>
                <w:szCs w:val="18"/>
              </w:rPr>
            </w:pPr>
            <w:r>
              <w:rPr>
                <w:rFonts w:ascii="黑体" w:hAnsi="黑体" w:eastAsia="黑体"/>
                <w:spacing w:val="-3"/>
                <w:sz w:val="18"/>
                <w:szCs w:val="18"/>
              </w:rPr>
              <w:t>b)</w:t>
            </w:r>
            <w:r>
              <w:rPr>
                <w:rFonts w:ascii="黑体" w:hAnsi="黑体" w:eastAsia="黑体"/>
                <w:spacing w:val="-3"/>
                <w:sz w:val="18"/>
                <w:szCs w:val="18"/>
                <w:lang w:val="zh-CN"/>
              </w:rPr>
              <w:t>供应商提供同城 4</w:t>
            </w:r>
            <w:r>
              <w:rPr>
                <w:rFonts w:ascii="黑体" w:hAnsi="黑体" w:eastAsia="黑体"/>
                <w:spacing w:val="-3"/>
                <w:sz w:val="18"/>
                <w:szCs w:val="18"/>
              </w:rPr>
              <w:t>h</w:t>
            </w:r>
            <w:r>
              <w:rPr>
                <w:rFonts w:ascii="黑体" w:hAnsi="黑体" w:eastAsia="黑体"/>
                <w:spacing w:val="-3"/>
                <w:sz w:val="18"/>
                <w:szCs w:val="18"/>
                <w:lang w:val="zh-CN"/>
              </w:rPr>
              <w:t>、异地 12</w:t>
            </w:r>
            <w:r>
              <w:rPr>
                <w:rFonts w:ascii="黑体" w:hAnsi="黑体" w:eastAsia="黑体"/>
                <w:spacing w:val="-3"/>
                <w:sz w:val="18"/>
                <w:szCs w:val="18"/>
              </w:rPr>
              <w:t xml:space="preserve">h </w:t>
            </w:r>
            <w:r>
              <w:rPr>
                <w:rFonts w:ascii="黑体" w:hAnsi="黑体" w:eastAsia="黑体"/>
                <w:spacing w:val="-3"/>
                <w:sz w:val="18"/>
                <w:szCs w:val="18"/>
                <w:lang w:val="zh-CN"/>
              </w:rPr>
              <w:t>技术响应服务</w:t>
            </w:r>
            <w:r>
              <w:rPr>
                <w:rFonts w:hint="eastAsia" w:ascii="黑体" w:hAnsi="黑体" w:eastAsia="黑体"/>
                <w:spacing w:val="-3"/>
                <w:sz w:val="18"/>
                <w:szCs w:val="18"/>
                <w:lang w:val="zh-CN"/>
              </w:rPr>
              <w:t>，</w:t>
            </w:r>
            <w:r>
              <w:rPr>
                <w:rFonts w:ascii="黑体" w:hAnsi="黑体" w:eastAsia="黑体"/>
                <w:spacing w:val="-3"/>
                <w:sz w:val="18"/>
                <w:szCs w:val="18"/>
                <w:lang w:val="zh-CN"/>
              </w:rPr>
              <w:t>2 个工作日解决问题</w:t>
            </w:r>
            <w:r>
              <w:rPr>
                <w:rFonts w:hint="eastAsia" w:ascii="黑体" w:hAnsi="黑体" w:eastAsia="黑体"/>
                <w:spacing w:val="-3"/>
                <w:sz w:val="18"/>
                <w:szCs w:val="18"/>
                <w:lang w:val="zh-CN"/>
              </w:rPr>
              <w:t>，</w:t>
            </w:r>
            <w:r>
              <w:rPr>
                <w:rFonts w:ascii="黑体" w:hAnsi="黑体" w:eastAsia="黑体"/>
                <w:spacing w:val="-3"/>
                <w:sz w:val="18"/>
                <w:szCs w:val="18"/>
                <w:lang w:val="zh-CN"/>
              </w:rPr>
              <w:t>对于未能解决的问题和故障应提供可行的升级方案</w:t>
            </w:r>
            <w:r>
              <w:rPr>
                <w:rFonts w:hint="eastAsia" w:ascii="黑体" w:hAnsi="黑体" w:eastAsia="黑体"/>
                <w:spacing w:val="-3"/>
                <w:sz w:val="18"/>
                <w:szCs w:val="18"/>
                <w:lang w:val="zh-CN"/>
              </w:rPr>
              <w:t>，</w:t>
            </w:r>
            <w:r>
              <w:rPr>
                <w:rFonts w:ascii="黑体" w:hAnsi="黑体" w:eastAsia="黑体"/>
                <w:spacing w:val="-3"/>
                <w:sz w:val="18"/>
                <w:szCs w:val="18"/>
                <w:lang w:val="zh-CN"/>
              </w:rPr>
              <w:t>并提供周转设备或更换设备</w:t>
            </w:r>
            <w:r>
              <w:rPr>
                <w:rFonts w:hint="eastAsia" w:ascii="黑体" w:hAnsi="黑体" w:eastAsia="黑体"/>
                <w:spacing w:val="-3"/>
                <w:sz w:val="18"/>
                <w:szCs w:val="18"/>
                <w:lang w:val="zh-CN"/>
              </w:rPr>
              <w:t>；</w:t>
            </w:r>
          </w:p>
          <w:p>
            <w:pPr>
              <w:spacing w:line="237" w:lineRule="exact"/>
              <w:ind w:left="144"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体</w:t>
            </w:r>
            <w:r>
              <w:rPr>
                <w:rFonts w:hint="eastAsia" w:ascii="黑体" w:hAnsi="黑体" w:eastAsia="黑体"/>
                <w:spacing w:val="-3"/>
                <w:sz w:val="18"/>
                <w:szCs w:val="18"/>
                <w:lang w:val="zh-CN"/>
              </w:rPr>
              <w:t>，</w:t>
            </w:r>
            <w:r>
              <w:rPr>
                <w:rFonts w:ascii="黑体" w:hAnsi="黑体" w:eastAsia="黑体"/>
                <w:spacing w:val="-3"/>
                <w:sz w:val="18"/>
                <w:szCs w:val="18"/>
                <w:lang w:val="zh-CN"/>
              </w:rPr>
              <w:t>符合专业服务体系标准要求</w:t>
            </w:r>
            <w:r>
              <w:rPr>
                <w:rFonts w:hint="eastAsia" w:ascii="黑体" w:hAnsi="黑体" w:eastAsia="黑体"/>
                <w:spacing w:val="-3"/>
                <w:sz w:val="18"/>
                <w:szCs w:val="18"/>
                <w:lang w:val="zh-CN"/>
              </w:rPr>
              <w:t>，</w:t>
            </w:r>
            <w:r>
              <w:rPr>
                <w:rFonts w:ascii="黑体" w:hAnsi="黑体" w:eastAsia="黑体"/>
                <w:spacing w:val="-3"/>
                <w:sz w:val="18"/>
                <w:szCs w:val="18"/>
                <w:lang w:val="zh-CN"/>
              </w:rPr>
              <w:t>提供原厂中文服务</w:t>
            </w:r>
            <w:r>
              <w:rPr>
                <w:rFonts w:hint="eastAsia" w:ascii="黑体" w:hAnsi="黑体" w:eastAsia="黑体"/>
                <w:spacing w:val="-3"/>
                <w:sz w:val="18"/>
                <w:szCs w:val="18"/>
                <w:lang w:val="zh-CN"/>
              </w:rPr>
              <w:t>；</w:t>
            </w:r>
          </w:p>
          <w:p>
            <w:pPr>
              <w:spacing w:line="237" w:lineRule="exact"/>
              <w:ind w:left="144" w:right="180"/>
              <w:jc w:val="left"/>
              <w:textAlignment w:val="baseline"/>
              <w:rPr>
                <w:rFonts w:ascii="黑体" w:hAnsi="黑体" w:eastAsia="黑体"/>
                <w:spacing w:val="-3"/>
                <w:sz w:val="18"/>
                <w:szCs w:val="18"/>
              </w:rPr>
            </w:pPr>
            <w:r>
              <w:rPr>
                <w:rFonts w:hint="eastAsia" w:ascii="黑体" w:hAnsi="黑体" w:eastAsia="黑体"/>
                <w:spacing w:val="-3"/>
                <w:sz w:val="18"/>
                <w:szCs w:val="18"/>
              </w:rPr>
              <w:t>c</w:t>
            </w:r>
            <w:r>
              <w:rPr>
                <w:rFonts w:ascii="黑体" w:hAnsi="黑体" w:eastAsia="黑体"/>
                <w:spacing w:val="-3"/>
                <w:sz w:val="18"/>
                <w:szCs w:val="18"/>
              </w:rPr>
              <w:t>)</w:t>
            </w:r>
            <w:r>
              <w:rPr>
                <w:rFonts w:ascii="黑体" w:hAnsi="黑体" w:eastAsia="黑体"/>
                <w:spacing w:val="-3"/>
                <w:sz w:val="18"/>
                <w:szCs w:val="18"/>
                <w:lang w:val="zh-CN"/>
              </w:rPr>
              <w:t>服务周期内提供产品的维修、换件和升级服务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wBefore w:w="11" w:type="dxa"/>
          <w:trHeight w:val="1129" w:hRule="exact"/>
        </w:trPr>
        <w:tc>
          <w:tcPr>
            <w:tcW w:w="461" w:type="dxa"/>
            <w:gridSpan w:val="2"/>
            <w:tcBorders>
              <w:tl2br w:val="nil"/>
              <w:tr2bl w:val="nil"/>
            </w:tcBorders>
            <w:vAlign w:val="center"/>
          </w:tcPr>
          <w:p>
            <w:pPr>
              <w:spacing w:before="768" w:after="723" w:line="198" w:lineRule="exact"/>
              <w:jc w:val="center"/>
              <w:textAlignment w:val="baseline"/>
              <w:rPr>
                <w:rFonts w:ascii="黑体" w:hAnsi="黑体" w:eastAsia="黑体"/>
                <w:sz w:val="18"/>
                <w:szCs w:val="18"/>
              </w:rPr>
            </w:pPr>
            <w:r>
              <w:rPr>
                <w:rFonts w:hint="eastAsia" w:ascii="黑体" w:hAnsi="黑体" w:eastAsia="黑体"/>
                <w:sz w:val="18"/>
                <w:szCs w:val="18"/>
              </w:rPr>
              <w:t>107</w:t>
            </w:r>
          </w:p>
        </w:tc>
        <w:tc>
          <w:tcPr>
            <w:tcW w:w="790" w:type="dxa"/>
            <w:gridSpan w:val="2"/>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服务要求</w:t>
            </w:r>
          </w:p>
        </w:tc>
        <w:tc>
          <w:tcPr>
            <w:tcW w:w="735" w:type="dxa"/>
            <w:vMerge w:val="continue"/>
            <w:tcBorders>
              <w:tl2br w:val="nil"/>
              <w:tr2bl w:val="nil"/>
            </w:tcBorders>
            <w:vAlign w:val="center"/>
          </w:tcPr>
          <w:p>
            <w:pPr>
              <w:rPr>
                <w:sz w:val="18"/>
                <w:szCs w:val="18"/>
              </w:rPr>
            </w:pPr>
          </w:p>
        </w:tc>
        <w:tc>
          <w:tcPr>
            <w:tcW w:w="1100" w:type="dxa"/>
            <w:tcBorders>
              <w:tl2br w:val="nil"/>
              <w:tr2bl w:val="nil"/>
            </w:tcBorders>
            <w:vAlign w:val="center"/>
          </w:tcPr>
          <w:p>
            <w:pPr>
              <w:spacing w:before="53" w:after="33" w:line="240" w:lineRule="exact"/>
              <w:ind w:left="108" w:right="252"/>
              <w:jc w:val="left"/>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服务周期</w:t>
            </w:r>
          </w:p>
        </w:tc>
        <w:tc>
          <w:tcPr>
            <w:tcW w:w="6235" w:type="dxa"/>
            <w:gridSpan w:val="7"/>
            <w:tcBorders>
              <w:tl2br w:val="nil"/>
              <w:tr2bl w:val="nil"/>
            </w:tcBorders>
          </w:tcPr>
          <w:p>
            <w:pPr>
              <w:numPr>
                <w:ilvl w:val="0"/>
                <w:numId w:val="14"/>
              </w:numPr>
              <w:tabs>
                <w:tab w:val="left" w:pos="360"/>
                <w:tab w:val="clear" w:pos="216"/>
              </w:tabs>
              <w:spacing w:line="240" w:lineRule="exact"/>
              <w:ind w:left="144"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设备停产后应继续提供质量保障服务(含备品备件)</w:t>
            </w:r>
            <w:r>
              <w:rPr>
                <w:rFonts w:hint="eastAsia" w:ascii="黑体" w:hAnsi="黑体" w:eastAsia="黑体"/>
                <w:spacing w:val="-3"/>
                <w:sz w:val="18"/>
                <w:szCs w:val="18"/>
                <w:lang w:val="zh-CN"/>
              </w:rPr>
              <w:t>，</w:t>
            </w:r>
            <w:r>
              <w:rPr>
                <w:rFonts w:ascii="黑体" w:hAnsi="黑体" w:eastAsia="黑体"/>
                <w:spacing w:val="-3"/>
                <w:sz w:val="18"/>
                <w:szCs w:val="18"/>
                <w:lang w:val="zh-CN"/>
              </w:rPr>
              <w:t>服务终止时间与最后一批设备交付时间间隔不低于 6 年</w:t>
            </w:r>
            <w:r>
              <w:rPr>
                <w:rFonts w:hint="eastAsia" w:ascii="黑体" w:hAnsi="黑体" w:eastAsia="黑体"/>
                <w:spacing w:val="-3"/>
                <w:sz w:val="18"/>
                <w:szCs w:val="18"/>
                <w:lang w:val="zh-CN"/>
              </w:rPr>
              <w:t>；</w:t>
            </w:r>
          </w:p>
          <w:p>
            <w:pPr>
              <w:numPr>
                <w:ilvl w:val="0"/>
                <w:numId w:val="14"/>
              </w:numPr>
              <w:tabs>
                <w:tab w:val="left" w:pos="360"/>
                <w:tab w:val="clear" w:pos="216"/>
              </w:tabs>
              <w:spacing w:line="240" w:lineRule="exact"/>
              <w:ind w:left="144" w:right="288"/>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产品停止服务时间应提前 1 年告知</w:t>
            </w:r>
            <w:r>
              <w:rPr>
                <w:rFonts w:hint="eastAsia" w:ascii="黑体" w:hAnsi="黑体" w:eastAsia="黑体"/>
                <w:spacing w:val="-3"/>
                <w:sz w:val="18"/>
                <w:szCs w:val="18"/>
                <w:lang w:val="zh-CN"/>
              </w:rPr>
              <w:t>；</w:t>
            </w:r>
          </w:p>
          <w:p>
            <w:pPr>
              <w:numPr>
                <w:ilvl w:val="0"/>
                <w:numId w:val="14"/>
              </w:numPr>
              <w:tabs>
                <w:tab w:val="left" w:pos="360"/>
                <w:tab w:val="clear" w:pos="216"/>
              </w:tabs>
              <w:spacing w:before="37" w:after="3" w:line="203" w:lineRule="exact"/>
              <w:ind w:left="144"/>
              <w:jc w:val="left"/>
              <w:textAlignment w:val="baseline"/>
              <w:rPr>
                <w:rFonts w:ascii="黑体" w:hAnsi="黑体" w:eastAsia="黑体"/>
                <w:sz w:val="18"/>
                <w:szCs w:val="18"/>
                <w:lang w:val="zh-CN"/>
              </w:rPr>
            </w:pPr>
            <w:r>
              <w:rPr>
                <w:rFonts w:ascii="黑体" w:hAnsi="黑体" w:eastAsia="黑体"/>
                <w:sz w:val="18"/>
                <w:szCs w:val="18"/>
                <w:lang w:val="zh-CN"/>
              </w:rPr>
              <w:t>应明确产品发布日期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wBefore w:w="11" w:type="dxa"/>
          <w:trHeight w:val="1086" w:hRule="exact"/>
        </w:trPr>
        <w:tc>
          <w:tcPr>
            <w:tcW w:w="461" w:type="dxa"/>
            <w:gridSpan w:val="2"/>
            <w:tcBorders>
              <w:tl2br w:val="nil"/>
              <w:tr2bl w:val="nil"/>
            </w:tcBorders>
            <w:vAlign w:val="center"/>
          </w:tcPr>
          <w:p>
            <w:pPr>
              <w:spacing w:before="504" w:after="450" w:line="198" w:lineRule="exact"/>
              <w:jc w:val="center"/>
              <w:textAlignment w:val="baseline"/>
              <w:rPr>
                <w:rFonts w:ascii="黑体" w:hAnsi="黑体" w:eastAsia="黑体"/>
                <w:sz w:val="18"/>
                <w:szCs w:val="18"/>
              </w:rPr>
            </w:pPr>
            <w:r>
              <w:rPr>
                <w:rFonts w:hint="eastAsia" w:ascii="黑体" w:hAnsi="黑体" w:eastAsia="黑体"/>
                <w:sz w:val="18"/>
                <w:szCs w:val="18"/>
              </w:rPr>
              <w:t>108</w:t>
            </w:r>
          </w:p>
        </w:tc>
        <w:tc>
          <w:tcPr>
            <w:tcW w:w="790" w:type="dxa"/>
            <w:gridSpan w:val="2"/>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服务要求</w:t>
            </w:r>
          </w:p>
        </w:tc>
        <w:tc>
          <w:tcPr>
            <w:tcW w:w="735" w:type="dxa"/>
            <w:vMerge w:val="continue"/>
            <w:tcBorders>
              <w:tl2br w:val="nil"/>
              <w:tr2bl w:val="nil"/>
            </w:tcBorders>
            <w:vAlign w:val="center"/>
          </w:tcPr>
          <w:p>
            <w:pPr>
              <w:jc w:val="center"/>
              <w:textAlignment w:val="baseline"/>
              <w:rPr>
                <w:sz w:val="18"/>
                <w:szCs w:val="18"/>
              </w:rPr>
            </w:pPr>
          </w:p>
        </w:tc>
        <w:tc>
          <w:tcPr>
            <w:tcW w:w="1100" w:type="dxa"/>
            <w:tcBorders>
              <w:tl2br w:val="nil"/>
              <w:tr2bl w:val="nil"/>
            </w:tcBorders>
            <w:vAlign w:val="center"/>
          </w:tcPr>
          <w:p>
            <w:pPr>
              <w:spacing w:before="342" w:after="330" w:line="240" w:lineRule="exact"/>
              <w:ind w:left="108" w:right="252"/>
              <w:jc w:val="center"/>
              <w:textAlignment w:val="baseline"/>
              <w:rPr>
                <w:rFonts w:ascii="黑体" w:hAnsi="黑体" w:eastAsia="黑体"/>
                <w:spacing w:val="-11"/>
                <w:sz w:val="18"/>
                <w:szCs w:val="18"/>
                <w:lang w:val="zh-CN"/>
              </w:rPr>
            </w:pPr>
            <w:r>
              <w:rPr>
                <w:rFonts w:hint="eastAsia"/>
              </w:rPr>
              <w:t>★</w:t>
            </w:r>
            <w:r>
              <w:rPr>
                <w:rFonts w:ascii="黑体" w:hAnsi="黑体" w:eastAsia="黑体"/>
                <w:spacing w:val="-4"/>
                <w:sz w:val="18"/>
                <w:szCs w:val="18"/>
                <w:lang w:val="zh-CN"/>
              </w:rPr>
              <w:t>预装操作系统</w:t>
            </w:r>
          </w:p>
        </w:tc>
        <w:tc>
          <w:tcPr>
            <w:tcW w:w="6235" w:type="dxa"/>
            <w:gridSpan w:val="7"/>
            <w:tcBorders>
              <w:tl2br w:val="nil"/>
              <w:tr2bl w:val="nil"/>
            </w:tcBorders>
            <w:vAlign w:val="center"/>
          </w:tcPr>
          <w:p>
            <w:pPr>
              <w:shd w:val="clear" w:color="auto" w:fill="FFFFFF"/>
              <w:tabs>
                <w:tab w:val="left" w:pos="360"/>
              </w:tabs>
              <w:spacing w:line="240" w:lineRule="exact"/>
              <w:ind w:right="288"/>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预装符合桌面操作系统政府采购需求标准的正版操作系统</w:t>
            </w:r>
            <w:r>
              <w:rPr>
                <w:rFonts w:hint="eastAsia" w:ascii="黑体" w:hAnsi="黑体" w:eastAsia="黑体"/>
                <w:spacing w:val="-3"/>
                <w:sz w:val="18"/>
                <w:szCs w:val="18"/>
                <w:lang w:val="zh-CN"/>
              </w:rPr>
              <w:t>。</w:t>
            </w:r>
          </w:p>
          <w:p>
            <w:pPr>
              <w:keepNext w:val="0"/>
              <w:keepLines w:val="0"/>
              <w:pageBreakBefore/>
              <w:widowControl/>
              <w:kinsoku/>
              <w:wordWrap/>
              <w:overflowPunct/>
              <w:topLinePunct w:val="0"/>
              <w:autoSpaceDE/>
              <w:autoSpaceDN/>
              <w:bidi w:val="0"/>
              <w:adjustRightInd/>
              <w:snapToGrid/>
              <w:jc w:val="left"/>
              <w:textAlignment w:val="auto"/>
              <w:rPr>
                <w:rFonts w:ascii="黑体" w:hAnsi="黑体" w:eastAsia="黑体"/>
                <w:spacing w:val="-3"/>
                <w:sz w:val="18"/>
                <w:szCs w:val="18"/>
                <w:lang w:val="zh-CN"/>
              </w:rPr>
            </w:pPr>
            <w:r>
              <w:rPr>
                <w:rFonts w:hint="eastAsia" w:ascii="黑体" w:hAnsi="黑体" w:eastAsia="黑体"/>
                <w:spacing w:val="-3"/>
                <w:sz w:val="18"/>
                <w:szCs w:val="18"/>
                <w:lang w:val="zh-CN"/>
              </w:rPr>
              <w:t>功能要求：</w:t>
            </w:r>
            <w:r>
              <w:rPr>
                <w:rFonts w:hint="eastAsia" w:ascii="黑体" w:hAnsi="黑体" w:eastAsia="黑体"/>
                <w:spacing w:val="-3"/>
                <w:sz w:val="18"/>
                <w:szCs w:val="18"/>
                <w:lang w:val="en-US" w:eastAsia="zh-CN"/>
              </w:rPr>
              <w:t>需求详见附件三《操作系统采购需求》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wBefore w:w="11" w:type="dxa"/>
          <w:trHeight w:val="767" w:hRule="exact"/>
        </w:trPr>
        <w:tc>
          <w:tcPr>
            <w:tcW w:w="461" w:type="dxa"/>
            <w:gridSpan w:val="2"/>
            <w:tcBorders>
              <w:tl2br w:val="nil"/>
              <w:tr2bl w:val="nil"/>
            </w:tcBorders>
            <w:vAlign w:val="center"/>
          </w:tcPr>
          <w:p>
            <w:pPr>
              <w:spacing w:before="211" w:after="162" w:line="198" w:lineRule="exact"/>
              <w:jc w:val="center"/>
              <w:textAlignment w:val="baseline"/>
              <w:rPr>
                <w:rFonts w:ascii="黑体" w:hAnsi="黑体" w:eastAsia="黑体"/>
                <w:sz w:val="18"/>
                <w:szCs w:val="18"/>
              </w:rPr>
            </w:pPr>
            <w:r>
              <w:rPr>
                <w:rFonts w:hint="eastAsia" w:ascii="黑体" w:hAnsi="黑体" w:eastAsia="黑体"/>
                <w:sz w:val="18"/>
                <w:szCs w:val="18"/>
              </w:rPr>
              <w:t>109</w:t>
            </w:r>
          </w:p>
        </w:tc>
        <w:tc>
          <w:tcPr>
            <w:tcW w:w="790" w:type="dxa"/>
            <w:gridSpan w:val="2"/>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服务要求</w:t>
            </w:r>
          </w:p>
        </w:tc>
        <w:tc>
          <w:tcPr>
            <w:tcW w:w="735" w:type="dxa"/>
            <w:vMerge w:val="continue"/>
            <w:tcBorders>
              <w:tl2br w:val="nil"/>
              <w:tr2bl w:val="nil"/>
            </w:tcBorders>
            <w:vAlign w:val="center"/>
          </w:tcPr>
          <w:p>
            <w:pPr>
              <w:jc w:val="center"/>
              <w:rPr>
                <w:sz w:val="18"/>
                <w:szCs w:val="18"/>
              </w:rPr>
            </w:pPr>
          </w:p>
        </w:tc>
        <w:tc>
          <w:tcPr>
            <w:tcW w:w="1100" w:type="dxa"/>
            <w:tcBorders>
              <w:tl2br w:val="nil"/>
              <w:tr2bl w:val="nil"/>
            </w:tcBorders>
            <w:vAlign w:val="center"/>
          </w:tcPr>
          <w:p>
            <w:pPr>
              <w:spacing w:before="49" w:after="42" w:line="240" w:lineRule="exact"/>
              <w:ind w:left="108" w:right="252"/>
              <w:jc w:val="center"/>
              <w:textAlignment w:val="baseline"/>
              <w:rPr>
                <w:rFonts w:ascii="黑体" w:hAnsi="黑体" w:eastAsia="黑体"/>
                <w:spacing w:val="-11"/>
                <w:sz w:val="18"/>
                <w:szCs w:val="18"/>
                <w:lang w:val="zh-CN"/>
              </w:rPr>
            </w:pPr>
            <w:r>
              <w:rPr>
                <w:rFonts w:hint="eastAsia"/>
              </w:rPr>
              <w:t>★</w:t>
            </w:r>
            <w:r>
              <w:rPr>
                <w:rFonts w:ascii="黑体" w:hAnsi="黑体" w:eastAsia="黑体"/>
                <w:spacing w:val="-3"/>
                <w:sz w:val="18"/>
                <w:szCs w:val="18"/>
                <w:lang w:val="zh-CN"/>
              </w:rPr>
              <w:t>培训服务</w:t>
            </w:r>
          </w:p>
        </w:tc>
        <w:tc>
          <w:tcPr>
            <w:tcW w:w="6235" w:type="dxa"/>
            <w:gridSpan w:val="7"/>
            <w:tcBorders>
              <w:tl2br w:val="nil"/>
              <w:tr2bl w:val="nil"/>
            </w:tcBorders>
            <w:vAlign w:val="center"/>
          </w:tcPr>
          <w:p>
            <w:pPr>
              <w:spacing w:before="49" w:after="42" w:line="240" w:lineRule="exact"/>
              <w:ind w:left="108" w:right="216"/>
              <w:jc w:val="left"/>
              <w:textAlignment w:val="baseline"/>
              <w:rPr>
                <w:rFonts w:ascii="黑体" w:hAnsi="黑体" w:eastAsia="黑体"/>
                <w:sz w:val="18"/>
                <w:szCs w:val="18"/>
                <w:lang w:val="zh-CN"/>
              </w:rPr>
            </w:pPr>
            <w:r>
              <w:rPr>
                <w:rFonts w:ascii="黑体" w:hAnsi="黑体" w:eastAsia="黑体"/>
                <w:spacing w:val="-3"/>
                <w:sz w:val="18"/>
                <w:szCs w:val="18"/>
                <w:lang w:val="zh-CN"/>
              </w:rPr>
              <w:t>供应商提供培训材料、产品手册、培训视频等培训相关内容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wBefore w:w="11" w:type="dxa"/>
          <w:trHeight w:val="767" w:hRule="exact"/>
        </w:trPr>
        <w:tc>
          <w:tcPr>
            <w:tcW w:w="461" w:type="dxa"/>
            <w:gridSpan w:val="2"/>
            <w:tcBorders>
              <w:tl2br w:val="nil"/>
              <w:tr2bl w:val="nil"/>
            </w:tcBorders>
            <w:vAlign w:val="center"/>
          </w:tcPr>
          <w:p>
            <w:pPr>
              <w:spacing w:before="288" w:after="243" w:line="198" w:lineRule="exact"/>
              <w:jc w:val="center"/>
              <w:textAlignment w:val="baseline"/>
              <w:rPr>
                <w:rFonts w:ascii="黑体" w:hAnsi="黑体" w:eastAsia="黑体"/>
                <w:sz w:val="18"/>
                <w:szCs w:val="18"/>
              </w:rPr>
            </w:pPr>
            <w:r>
              <w:rPr>
                <w:rFonts w:hint="eastAsia" w:ascii="黑体" w:hAnsi="黑体" w:eastAsia="黑体"/>
                <w:sz w:val="18"/>
                <w:szCs w:val="18"/>
              </w:rPr>
              <w:t>110</w:t>
            </w:r>
          </w:p>
        </w:tc>
        <w:tc>
          <w:tcPr>
            <w:tcW w:w="790" w:type="dxa"/>
            <w:gridSpan w:val="2"/>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服务要求</w:t>
            </w:r>
          </w:p>
        </w:tc>
        <w:tc>
          <w:tcPr>
            <w:tcW w:w="735" w:type="dxa"/>
            <w:vMerge w:val="continue"/>
            <w:tcBorders>
              <w:tl2br w:val="nil"/>
              <w:tr2bl w:val="nil"/>
            </w:tcBorders>
            <w:vAlign w:val="center"/>
          </w:tcPr>
          <w:p>
            <w:pPr>
              <w:jc w:val="center"/>
              <w:rPr>
                <w:sz w:val="18"/>
                <w:szCs w:val="18"/>
              </w:rPr>
            </w:pPr>
          </w:p>
        </w:tc>
        <w:tc>
          <w:tcPr>
            <w:tcW w:w="1100" w:type="dxa"/>
            <w:tcBorders>
              <w:tl2br w:val="nil"/>
              <w:tr2bl w:val="nil"/>
            </w:tcBorders>
            <w:vAlign w:val="center"/>
          </w:tcPr>
          <w:p>
            <w:pPr>
              <w:spacing w:after="3" w:line="240" w:lineRule="exact"/>
              <w:ind w:left="108" w:right="180"/>
              <w:jc w:val="center"/>
              <w:textAlignment w:val="baseline"/>
              <w:rPr>
                <w:rFonts w:ascii="黑体" w:hAnsi="黑体" w:eastAsia="黑体"/>
                <w:spacing w:val="-11"/>
                <w:sz w:val="18"/>
                <w:szCs w:val="18"/>
                <w:lang w:val="zh-CN"/>
              </w:rPr>
            </w:pPr>
            <w:r>
              <w:rPr>
                <w:rFonts w:hint="eastAsia"/>
              </w:rPr>
              <w:t>★</w:t>
            </w:r>
            <w:r>
              <w:rPr>
                <w:rFonts w:ascii="黑体" w:hAnsi="黑体" w:eastAsia="黑体"/>
                <w:spacing w:val="-4"/>
                <w:sz w:val="18"/>
                <w:szCs w:val="18"/>
                <w:lang w:val="zh-CN"/>
              </w:rPr>
              <w:t>典型问题解决手册</w:t>
            </w:r>
          </w:p>
        </w:tc>
        <w:tc>
          <w:tcPr>
            <w:tcW w:w="6235" w:type="dxa"/>
            <w:gridSpan w:val="7"/>
            <w:tcBorders>
              <w:tl2br w:val="nil"/>
              <w:tr2bl w:val="nil"/>
            </w:tcBorders>
            <w:vAlign w:val="center"/>
          </w:tcPr>
          <w:p>
            <w:pPr>
              <w:spacing w:before="126" w:after="123" w:line="240" w:lineRule="exact"/>
              <w:ind w:left="108" w:right="216"/>
              <w:jc w:val="left"/>
              <w:textAlignment w:val="baseline"/>
              <w:rPr>
                <w:rFonts w:ascii="黑体" w:hAnsi="黑体" w:eastAsia="黑体"/>
                <w:sz w:val="18"/>
                <w:szCs w:val="18"/>
                <w:lang w:val="zh-CN"/>
              </w:rPr>
            </w:pPr>
            <w:r>
              <w:rPr>
                <w:rFonts w:ascii="黑体" w:hAnsi="黑体" w:eastAsia="黑体"/>
                <w:spacing w:val="-3"/>
                <w:sz w:val="18"/>
                <w:szCs w:val="18"/>
                <w:lang w:val="zh-CN"/>
              </w:rPr>
              <w:t>供应商提供典型问题解决说明文档或视频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wBefore w:w="11" w:type="dxa"/>
          <w:trHeight w:val="767" w:hRule="exact"/>
        </w:trPr>
        <w:tc>
          <w:tcPr>
            <w:tcW w:w="461" w:type="dxa"/>
            <w:gridSpan w:val="2"/>
            <w:tcBorders>
              <w:tl2br w:val="nil"/>
              <w:tr2bl w:val="nil"/>
            </w:tcBorders>
            <w:vAlign w:val="center"/>
          </w:tcPr>
          <w:p>
            <w:pPr>
              <w:spacing w:before="288" w:after="233" w:line="198" w:lineRule="exact"/>
              <w:jc w:val="center"/>
              <w:textAlignment w:val="baseline"/>
              <w:rPr>
                <w:rFonts w:ascii="黑体" w:hAnsi="黑体" w:eastAsia="黑体"/>
                <w:sz w:val="18"/>
                <w:szCs w:val="18"/>
              </w:rPr>
            </w:pPr>
            <w:r>
              <w:rPr>
                <w:rFonts w:hint="eastAsia" w:ascii="黑体" w:hAnsi="黑体" w:eastAsia="黑体"/>
                <w:sz w:val="18"/>
                <w:szCs w:val="18"/>
              </w:rPr>
              <w:t>111</w:t>
            </w:r>
          </w:p>
        </w:tc>
        <w:tc>
          <w:tcPr>
            <w:tcW w:w="790" w:type="dxa"/>
            <w:gridSpan w:val="2"/>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服务要求</w:t>
            </w:r>
          </w:p>
        </w:tc>
        <w:tc>
          <w:tcPr>
            <w:tcW w:w="735" w:type="dxa"/>
            <w:vMerge w:val="continue"/>
            <w:tcBorders>
              <w:tl2br w:val="nil"/>
              <w:tr2bl w:val="nil"/>
            </w:tcBorders>
            <w:vAlign w:val="center"/>
          </w:tcPr>
          <w:p>
            <w:pPr>
              <w:jc w:val="center"/>
              <w:rPr>
                <w:sz w:val="18"/>
                <w:szCs w:val="18"/>
              </w:rPr>
            </w:pPr>
          </w:p>
        </w:tc>
        <w:tc>
          <w:tcPr>
            <w:tcW w:w="1100" w:type="dxa"/>
            <w:tcBorders>
              <w:tl2br w:val="nil"/>
              <w:tr2bl w:val="nil"/>
            </w:tcBorders>
            <w:vAlign w:val="center"/>
          </w:tcPr>
          <w:p>
            <w:pPr>
              <w:spacing w:line="237" w:lineRule="exact"/>
              <w:jc w:val="center"/>
              <w:textAlignment w:val="baseline"/>
              <w:rPr>
                <w:rFonts w:ascii="黑体" w:hAnsi="黑体" w:eastAsia="黑体"/>
                <w:spacing w:val="-11"/>
                <w:sz w:val="18"/>
                <w:szCs w:val="18"/>
                <w:lang w:val="zh-CN"/>
              </w:rPr>
            </w:pPr>
            <w:r>
              <w:rPr>
                <w:rFonts w:hint="eastAsia"/>
              </w:rPr>
              <w:t>★</w:t>
            </w:r>
            <w:r>
              <w:rPr>
                <w:rFonts w:ascii="黑体" w:hAnsi="黑体" w:eastAsia="黑体"/>
                <w:sz w:val="18"/>
                <w:szCs w:val="18"/>
                <w:lang w:val="zh-CN"/>
              </w:rPr>
              <w:t>厂家升</w:t>
            </w:r>
            <w:r>
              <w:rPr>
                <w:rFonts w:ascii="黑体" w:hAnsi="黑体" w:eastAsia="黑体"/>
                <w:sz w:val="18"/>
                <w:szCs w:val="18"/>
              </w:rPr>
              <w:br w:type="textWrapping"/>
            </w:r>
            <w:r>
              <w:rPr>
                <w:rFonts w:ascii="黑体" w:hAnsi="黑体" w:eastAsia="黑体"/>
                <w:sz w:val="18"/>
                <w:szCs w:val="18"/>
                <w:lang w:val="zh-CN"/>
              </w:rPr>
              <w:t>级软件与</w:t>
            </w:r>
            <w:r>
              <w:rPr>
                <w:rFonts w:ascii="黑体" w:hAnsi="黑体" w:eastAsia="黑体"/>
                <w:sz w:val="18"/>
                <w:szCs w:val="18"/>
              </w:rPr>
              <w:br w:type="textWrapping"/>
            </w:r>
            <w:r>
              <w:rPr>
                <w:rFonts w:ascii="黑体" w:hAnsi="黑体" w:eastAsia="黑体"/>
                <w:sz w:val="18"/>
                <w:szCs w:val="18"/>
                <w:lang w:val="zh-CN"/>
              </w:rPr>
              <w:t>扩容服务</w:t>
            </w:r>
          </w:p>
        </w:tc>
        <w:tc>
          <w:tcPr>
            <w:tcW w:w="6235" w:type="dxa"/>
            <w:gridSpan w:val="7"/>
            <w:tcBorders>
              <w:tl2br w:val="nil"/>
              <w:tr2bl w:val="nil"/>
            </w:tcBorders>
            <w:vAlign w:val="center"/>
          </w:tcPr>
          <w:p>
            <w:pPr>
              <w:spacing w:before="126" w:after="113" w:line="240" w:lineRule="exact"/>
              <w:ind w:left="108" w:right="288"/>
              <w:jc w:val="left"/>
              <w:textAlignment w:val="baseline"/>
              <w:rPr>
                <w:rFonts w:ascii="黑体" w:hAnsi="黑体" w:eastAsia="黑体"/>
                <w:sz w:val="18"/>
                <w:szCs w:val="18"/>
                <w:lang w:val="zh-CN"/>
              </w:rPr>
            </w:pPr>
            <w:r>
              <w:rPr>
                <w:rFonts w:ascii="黑体" w:hAnsi="黑体" w:eastAsia="黑体"/>
                <w:spacing w:val="-3"/>
                <w:sz w:val="18"/>
                <w:szCs w:val="18"/>
                <w:lang w:val="zh-CN"/>
              </w:rPr>
              <w:t>供应商提供上门升级部件/软件与扩容的增值服务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767" w:hRule="exact"/>
        </w:trPr>
        <w:tc>
          <w:tcPr>
            <w:tcW w:w="461" w:type="dxa"/>
            <w:gridSpan w:val="2"/>
            <w:tcBorders>
              <w:tl2br w:val="nil"/>
              <w:tr2bl w:val="nil"/>
            </w:tcBorders>
            <w:vAlign w:val="center"/>
          </w:tcPr>
          <w:p>
            <w:pPr>
              <w:spacing w:before="288" w:after="239" w:line="198" w:lineRule="exact"/>
              <w:jc w:val="center"/>
              <w:textAlignment w:val="baseline"/>
              <w:rPr>
                <w:rFonts w:ascii="黑体" w:hAnsi="黑体" w:eastAsia="黑体"/>
                <w:sz w:val="18"/>
                <w:szCs w:val="18"/>
              </w:rPr>
            </w:pPr>
            <w:r>
              <w:rPr>
                <w:rFonts w:hint="eastAsia" w:ascii="黑体" w:hAnsi="黑体" w:eastAsia="黑体"/>
                <w:sz w:val="18"/>
                <w:szCs w:val="18"/>
              </w:rPr>
              <w:t>112</w:t>
            </w:r>
          </w:p>
        </w:tc>
        <w:tc>
          <w:tcPr>
            <w:tcW w:w="790" w:type="dxa"/>
            <w:gridSpan w:val="2"/>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服务要求</w:t>
            </w:r>
          </w:p>
        </w:tc>
        <w:tc>
          <w:tcPr>
            <w:tcW w:w="735" w:type="dxa"/>
            <w:vMerge w:val="continue"/>
            <w:tcBorders>
              <w:tl2br w:val="nil"/>
              <w:tr2bl w:val="nil"/>
            </w:tcBorders>
            <w:vAlign w:val="center"/>
          </w:tcPr>
          <w:p>
            <w:pPr>
              <w:jc w:val="center"/>
              <w:rPr>
                <w:sz w:val="18"/>
                <w:szCs w:val="18"/>
              </w:rPr>
            </w:pPr>
          </w:p>
        </w:tc>
        <w:tc>
          <w:tcPr>
            <w:tcW w:w="1100" w:type="dxa"/>
            <w:tcBorders>
              <w:tl2br w:val="nil"/>
              <w:tr2bl w:val="nil"/>
            </w:tcBorders>
            <w:vAlign w:val="center"/>
          </w:tcPr>
          <w:p>
            <w:pPr>
              <w:spacing w:line="239" w:lineRule="exact"/>
              <w:ind w:left="108" w:right="180"/>
              <w:jc w:val="center"/>
              <w:textAlignment w:val="baseline"/>
              <w:rPr>
                <w:rFonts w:ascii="黑体" w:hAnsi="黑体" w:eastAsia="黑体"/>
                <w:spacing w:val="-11"/>
                <w:sz w:val="18"/>
                <w:szCs w:val="18"/>
                <w:lang w:val="zh-CN"/>
              </w:rPr>
            </w:pPr>
            <w:r>
              <w:rPr>
                <w:rFonts w:hint="eastAsia"/>
              </w:rPr>
              <w:t>★</w:t>
            </w:r>
            <w:r>
              <w:rPr>
                <w:rFonts w:ascii="黑体" w:hAnsi="黑体" w:eastAsia="黑体"/>
                <w:spacing w:val="-4"/>
                <w:sz w:val="18"/>
                <w:szCs w:val="18"/>
                <w:lang w:val="zh-CN"/>
              </w:rPr>
              <w:t>整机质量服务要求</w:t>
            </w:r>
          </w:p>
        </w:tc>
        <w:tc>
          <w:tcPr>
            <w:tcW w:w="6043" w:type="dxa"/>
            <w:tcBorders>
              <w:tl2br w:val="nil"/>
              <w:tr2bl w:val="nil"/>
            </w:tcBorders>
            <w:vAlign w:val="center"/>
          </w:tcPr>
          <w:p>
            <w:pPr>
              <w:spacing w:before="126" w:after="119" w:line="240" w:lineRule="exact"/>
              <w:ind w:left="108" w:right="216"/>
              <w:jc w:val="left"/>
              <w:textAlignment w:val="baseline"/>
              <w:rPr>
                <w:rFonts w:ascii="黑体" w:hAnsi="黑体" w:eastAsia="黑体"/>
                <w:sz w:val="18"/>
                <w:szCs w:val="18"/>
                <w:lang w:val="zh-CN"/>
              </w:rPr>
            </w:pPr>
            <w:r>
              <w:rPr>
                <w:rFonts w:ascii="黑体" w:hAnsi="黑体" w:eastAsia="黑体"/>
                <w:spacing w:val="-3"/>
                <w:sz w:val="18"/>
                <w:szCs w:val="18"/>
                <w:lang w:val="zh-CN"/>
              </w:rPr>
              <w:t>服务周期(含换件和维修)应不小于 3 年</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767" w:hRule="exact"/>
        </w:trPr>
        <w:tc>
          <w:tcPr>
            <w:tcW w:w="461" w:type="dxa"/>
            <w:gridSpan w:val="2"/>
            <w:tcBorders>
              <w:tl2br w:val="nil"/>
              <w:tr2bl w:val="nil"/>
            </w:tcBorders>
            <w:vAlign w:val="center"/>
          </w:tcPr>
          <w:p>
            <w:pPr>
              <w:spacing w:before="211" w:after="162" w:line="198" w:lineRule="exact"/>
              <w:jc w:val="center"/>
              <w:textAlignment w:val="baseline"/>
              <w:rPr>
                <w:rFonts w:ascii="黑体" w:hAnsi="黑体" w:eastAsia="黑体"/>
                <w:sz w:val="18"/>
                <w:szCs w:val="18"/>
              </w:rPr>
            </w:pPr>
            <w:r>
              <w:rPr>
                <w:rFonts w:hint="eastAsia" w:ascii="黑体" w:hAnsi="黑体" w:eastAsia="黑体"/>
                <w:sz w:val="18"/>
                <w:szCs w:val="18"/>
              </w:rPr>
              <w:t>113</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服务要求</w:t>
            </w:r>
          </w:p>
        </w:tc>
        <w:tc>
          <w:tcPr>
            <w:tcW w:w="735" w:type="dxa"/>
            <w:vMerge w:val="continue"/>
            <w:tcBorders>
              <w:tl2br w:val="nil"/>
              <w:tr2bl w:val="nil"/>
            </w:tcBorders>
          </w:tcPr>
          <w:p>
            <w:pPr>
              <w:rPr>
                <w:sz w:val="18"/>
                <w:szCs w:val="18"/>
              </w:rPr>
            </w:pPr>
          </w:p>
        </w:tc>
        <w:tc>
          <w:tcPr>
            <w:tcW w:w="1100" w:type="dxa"/>
            <w:tcBorders>
              <w:tl2br w:val="nil"/>
              <w:tr2bl w:val="nil"/>
            </w:tcBorders>
          </w:tcPr>
          <w:p>
            <w:pPr>
              <w:spacing w:before="49" w:after="42" w:line="240" w:lineRule="exact"/>
              <w:ind w:left="108" w:right="252"/>
              <w:jc w:val="left"/>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合格证书要求</w:t>
            </w:r>
          </w:p>
        </w:tc>
        <w:tc>
          <w:tcPr>
            <w:tcW w:w="6043" w:type="dxa"/>
            <w:tcBorders>
              <w:tl2br w:val="nil"/>
              <w:tr2bl w:val="nil"/>
            </w:tcBorders>
            <w:vAlign w:val="center"/>
          </w:tcPr>
          <w:p>
            <w:pPr>
              <w:spacing w:before="211" w:after="162" w:line="198" w:lineRule="exact"/>
              <w:ind w:left="105"/>
              <w:jc w:val="left"/>
              <w:textAlignment w:val="baseline"/>
              <w:rPr>
                <w:rFonts w:ascii="黑体" w:hAnsi="黑体" w:eastAsia="黑体"/>
                <w:spacing w:val="-3"/>
                <w:sz w:val="18"/>
                <w:szCs w:val="18"/>
                <w:lang w:val="zh-CN"/>
              </w:rPr>
            </w:pPr>
            <w:r>
              <w:rPr>
                <w:rFonts w:ascii="黑体" w:hAnsi="黑体" w:eastAsia="黑体"/>
                <w:sz w:val="18"/>
                <w:szCs w:val="18"/>
                <w:lang w:val="zh-CN"/>
              </w:rPr>
              <w:t>供应商提供产品合格证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767" w:hRule="exact"/>
        </w:trPr>
        <w:tc>
          <w:tcPr>
            <w:tcW w:w="461" w:type="dxa"/>
            <w:gridSpan w:val="2"/>
            <w:tcBorders>
              <w:tl2br w:val="nil"/>
              <w:tr2bl w:val="nil"/>
            </w:tcBorders>
            <w:vAlign w:val="center"/>
          </w:tcPr>
          <w:p>
            <w:pPr>
              <w:spacing w:before="288" w:after="243" w:line="198" w:lineRule="exact"/>
              <w:jc w:val="center"/>
              <w:textAlignment w:val="baseline"/>
              <w:rPr>
                <w:rFonts w:ascii="黑体" w:hAnsi="黑体" w:eastAsia="黑体"/>
                <w:sz w:val="18"/>
                <w:szCs w:val="18"/>
              </w:rPr>
            </w:pPr>
            <w:r>
              <w:rPr>
                <w:rFonts w:hint="eastAsia" w:ascii="黑体" w:hAnsi="黑体" w:eastAsia="黑体"/>
                <w:sz w:val="18"/>
                <w:szCs w:val="18"/>
              </w:rPr>
              <w:t>114</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服务要求</w:t>
            </w:r>
          </w:p>
        </w:tc>
        <w:tc>
          <w:tcPr>
            <w:tcW w:w="735" w:type="dxa"/>
            <w:vMerge w:val="continue"/>
            <w:tcBorders>
              <w:tl2br w:val="nil"/>
              <w:tr2bl w:val="nil"/>
            </w:tcBorders>
          </w:tcPr>
          <w:p>
            <w:pPr>
              <w:rPr>
                <w:sz w:val="18"/>
                <w:szCs w:val="18"/>
              </w:rPr>
            </w:pPr>
          </w:p>
        </w:tc>
        <w:tc>
          <w:tcPr>
            <w:tcW w:w="1100" w:type="dxa"/>
            <w:tcBorders>
              <w:tl2br w:val="nil"/>
              <w:tr2bl w:val="nil"/>
            </w:tcBorders>
          </w:tcPr>
          <w:p>
            <w:pPr>
              <w:spacing w:after="3" w:line="240" w:lineRule="exact"/>
              <w:jc w:val="center"/>
              <w:textAlignment w:val="baseline"/>
              <w:rPr>
                <w:rFonts w:ascii="黑体" w:hAnsi="黑体" w:eastAsia="黑体"/>
                <w:spacing w:val="-4"/>
                <w:sz w:val="18"/>
                <w:szCs w:val="18"/>
                <w:lang w:val="zh-CN"/>
              </w:rPr>
            </w:pPr>
            <w:r>
              <w:rPr>
                <w:rFonts w:hint="eastAsia"/>
              </w:rPr>
              <w:t>★</w:t>
            </w:r>
            <w:r>
              <w:rPr>
                <w:rFonts w:ascii="黑体" w:hAnsi="黑体" w:eastAsia="黑体"/>
                <w:spacing w:val="-3"/>
                <w:sz w:val="18"/>
                <w:szCs w:val="18"/>
                <w:lang w:val="zh-CN"/>
              </w:rPr>
              <w:t>开箱组</w:t>
            </w:r>
            <w:r>
              <w:rPr>
                <w:rFonts w:ascii="黑体" w:hAnsi="黑体" w:eastAsia="黑体"/>
                <w:sz w:val="18"/>
                <w:szCs w:val="18"/>
              </w:rPr>
              <w:br w:type="textWrapping"/>
            </w:r>
            <w:r>
              <w:rPr>
                <w:rFonts w:ascii="黑体" w:hAnsi="黑体" w:eastAsia="黑体"/>
                <w:spacing w:val="-3"/>
                <w:sz w:val="18"/>
                <w:szCs w:val="18"/>
                <w:lang w:val="zh-CN"/>
              </w:rPr>
              <w:t>装/使用</w:t>
            </w:r>
            <w:r>
              <w:rPr>
                <w:rFonts w:ascii="黑体" w:hAnsi="黑体" w:eastAsia="黑体"/>
                <w:sz w:val="18"/>
                <w:szCs w:val="18"/>
              </w:rPr>
              <w:br w:type="textWrapping"/>
            </w:r>
            <w:r>
              <w:rPr>
                <w:rFonts w:ascii="黑体" w:hAnsi="黑体" w:eastAsia="黑体"/>
                <w:spacing w:val="-3"/>
                <w:sz w:val="18"/>
                <w:szCs w:val="18"/>
                <w:lang w:val="zh-CN"/>
              </w:rPr>
              <w:t>指导要求</w:t>
            </w:r>
          </w:p>
        </w:tc>
        <w:tc>
          <w:tcPr>
            <w:tcW w:w="6043" w:type="dxa"/>
            <w:tcBorders>
              <w:tl2br w:val="nil"/>
              <w:tr2bl w:val="nil"/>
            </w:tcBorders>
            <w:vAlign w:val="center"/>
          </w:tcPr>
          <w:p>
            <w:pPr>
              <w:spacing w:before="288" w:after="243" w:line="198" w:lineRule="exact"/>
              <w:ind w:left="105"/>
              <w:jc w:val="left"/>
              <w:textAlignment w:val="baseline"/>
              <w:rPr>
                <w:rFonts w:ascii="黑体" w:hAnsi="黑体" w:eastAsia="黑体"/>
                <w:sz w:val="18"/>
                <w:szCs w:val="18"/>
                <w:lang w:val="zh-CN"/>
              </w:rPr>
            </w:pPr>
            <w:r>
              <w:rPr>
                <w:rFonts w:ascii="黑体" w:hAnsi="黑体" w:eastAsia="黑体"/>
                <w:sz w:val="18"/>
                <w:szCs w:val="18"/>
                <w:lang w:val="zh-CN"/>
              </w:rPr>
              <w:t>供应商提供开箱组装/使用指导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767" w:hRule="exact"/>
        </w:trPr>
        <w:tc>
          <w:tcPr>
            <w:tcW w:w="461" w:type="dxa"/>
            <w:gridSpan w:val="2"/>
            <w:tcBorders>
              <w:tl2br w:val="nil"/>
              <w:tr2bl w:val="nil"/>
            </w:tcBorders>
            <w:vAlign w:val="center"/>
          </w:tcPr>
          <w:p>
            <w:pPr>
              <w:spacing w:before="292" w:after="229" w:line="198" w:lineRule="exact"/>
              <w:jc w:val="center"/>
              <w:textAlignment w:val="baseline"/>
              <w:rPr>
                <w:rFonts w:ascii="黑体" w:hAnsi="黑体" w:eastAsia="黑体"/>
                <w:sz w:val="18"/>
                <w:szCs w:val="18"/>
              </w:rPr>
            </w:pPr>
            <w:r>
              <w:rPr>
                <w:rFonts w:hint="eastAsia" w:ascii="黑体" w:hAnsi="黑体" w:eastAsia="黑体"/>
                <w:sz w:val="18"/>
                <w:szCs w:val="18"/>
              </w:rPr>
              <w:t>115</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服务要求</w:t>
            </w:r>
          </w:p>
        </w:tc>
        <w:tc>
          <w:tcPr>
            <w:tcW w:w="735" w:type="dxa"/>
            <w:vMerge w:val="continue"/>
            <w:tcBorders>
              <w:tl2br w:val="nil"/>
              <w:tr2bl w:val="nil"/>
            </w:tcBorders>
          </w:tcPr>
          <w:p>
            <w:pPr>
              <w:rPr>
                <w:sz w:val="18"/>
                <w:szCs w:val="18"/>
              </w:rPr>
            </w:pPr>
          </w:p>
        </w:tc>
        <w:tc>
          <w:tcPr>
            <w:tcW w:w="1100" w:type="dxa"/>
            <w:tcBorders>
              <w:tl2br w:val="nil"/>
              <w:tr2bl w:val="nil"/>
            </w:tcBorders>
          </w:tcPr>
          <w:p>
            <w:pPr>
              <w:spacing w:line="236" w:lineRule="exact"/>
              <w:ind w:left="108" w:right="180"/>
              <w:jc w:val="left"/>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驱动下载服务要求</w:t>
            </w:r>
          </w:p>
        </w:tc>
        <w:tc>
          <w:tcPr>
            <w:tcW w:w="6043" w:type="dxa"/>
            <w:tcBorders>
              <w:tl2br w:val="nil"/>
              <w:tr2bl w:val="nil"/>
            </w:tcBorders>
            <w:vAlign w:val="center"/>
          </w:tcPr>
          <w:p>
            <w:pPr>
              <w:spacing w:before="292" w:after="229" w:line="198" w:lineRule="exact"/>
              <w:ind w:left="105"/>
              <w:jc w:val="left"/>
              <w:textAlignment w:val="baseline"/>
              <w:rPr>
                <w:rFonts w:ascii="黑体" w:hAnsi="黑体" w:eastAsia="黑体"/>
                <w:sz w:val="18"/>
                <w:szCs w:val="18"/>
                <w:lang w:val="zh-CN"/>
              </w:rPr>
            </w:pPr>
            <w:r>
              <w:rPr>
                <w:rFonts w:ascii="黑体" w:hAnsi="黑体" w:eastAsia="黑体"/>
                <w:sz w:val="18"/>
                <w:szCs w:val="18"/>
                <w:lang w:val="zh-CN"/>
              </w:rPr>
              <w:t>供应商提供驱动光盘或下载方式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940" w:hRule="exact"/>
        </w:trPr>
        <w:tc>
          <w:tcPr>
            <w:tcW w:w="461" w:type="dxa"/>
            <w:gridSpan w:val="2"/>
            <w:tcBorders>
              <w:tl2br w:val="nil"/>
              <w:tr2bl w:val="nil"/>
            </w:tcBorders>
            <w:vAlign w:val="center"/>
          </w:tcPr>
          <w:p>
            <w:pPr>
              <w:spacing w:before="413" w:after="358" w:line="198" w:lineRule="exact"/>
              <w:jc w:val="center"/>
              <w:textAlignment w:val="baseline"/>
              <w:rPr>
                <w:rFonts w:ascii="黑体" w:hAnsi="黑体" w:eastAsia="黑体"/>
                <w:sz w:val="18"/>
                <w:szCs w:val="18"/>
              </w:rPr>
            </w:pPr>
            <w:r>
              <w:rPr>
                <w:rFonts w:hint="eastAsia" w:ascii="黑体" w:hAnsi="黑体" w:eastAsia="黑体"/>
                <w:sz w:val="18"/>
                <w:szCs w:val="18"/>
              </w:rPr>
              <w:t>116</w:t>
            </w:r>
          </w:p>
        </w:tc>
        <w:tc>
          <w:tcPr>
            <w:tcW w:w="790" w:type="dxa"/>
            <w:gridSpan w:val="2"/>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服务要求</w:t>
            </w:r>
          </w:p>
        </w:tc>
        <w:tc>
          <w:tcPr>
            <w:tcW w:w="735" w:type="dxa"/>
            <w:vMerge w:val="continue"/>
            <w:tcBorders>
              <w:tl2br w:val="nil"/>
              <w:tr2bl w:val="nil"/>
            </w:tcBorders>
          </w:tcPr>
          <w:p>
            <w:pPr>
              <w:rPr>
                <w:sz w:val="18"/>
                <w:szCs w:val="18"/>
              </w:rPr>
            </w:pPr>
          </w:p>
        </w:tc>
        <w:tc>
          <w:tcPr>
            <w:tcW w:w="1100" w:type="dxa"/>
            <w:tcBorders>
              <w:tl2br w:val="nil"/>
              <w:tr2bl w:val="nil"/>
            </w:tcBorders>
          </w:tcPr>
          <w:p>
            <w:pPr>
              <w:spacing w:line="239" w:lineRule="exact"/>
              <w:ind w:left="108" w:right="144"/>
              <w:jc w:val="left"/>
              <w:textAlignment w:val="baseline"/>
              <w:rPr>
                <w:rFonts w:ascii="黑体" w:hAnsi="黑体" w:eastAsia="黑体"/>
                <w:spacing w:val="-4"/>
                <w:sz w:val="18"/>
                <w:szCs w:val="18"/>
                <w:lang w:val="zh-CN"/>
              </w:rPr>
            </w:pPr>
            <w:r>
              <w:rPr>
                <w:rFonts w:hint="eastAsia"/>
              </w:rPr>
              <w:t>★</w:t>
            </w:r>
            <w:r>
              <w:rPr>
                <w:rFonts w:ascii="黑体" w:hAnsi="黑体" w:eastAsia="黑体"/>
                <w:spacing w:val="-3"/>
                <w:sz w:val="18"/>
                <w:szCs w:val="18"/>
                <w:lang w:val="zh-CN"/>
              </w:rPr>
              <w:t>兼容适配软件下载服务要求</w:t>
            </w:r>
          </w:p>
        </w:tc>
        <w:tc>
          <w:tcPr>
            <w:tcW w:w="6043" w:type="dxa"/>
            <w:tcBorders>
              <w:tl2br w:val="nil"/>
              <w:tr2bl w:val="nil"/>
            </w:tcBorders>
            <w:vAlign w:val="center"/>
          </w:tcPr>
          <w:p>
            <w:pPr>
              <w:spacing w:before="251" w:after="238" w:line="240" w:lineRule="exact"/>
              <w:ind w:left="216" w:right="396" w:hanging="72"/>
              <w:jc w:val="left"/>
              <w:textAlignment w:val="baseline"/>
              <w:rPr>
                <w:rFonts w:ascii="黑体" w:hAnsi="黑体" w:eastAsia="黑体"/>
                <w:sz w:val="18"/>
                <w:szCs w:val="18"/>
                <w:lang w:val="zh-CN"/>
              </w:rPr>
            </w:pPr>
            <w:r>
              <w:rPr>
                <w:rFonts w:ascii="黑体" w:hAnsi="黑体" w:eastAsia="黑体"/>
                <w:spacing w:val="-3"/>
                <w:sz w:val="18"/>
                <w:szCs w:val="18"/>
                <w:lang w:val="zh-CN"/>
              </w:rPr>
              <w:t>供应商提供兼容适配软件下载渠道 (光盘、网站)</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940"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117</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供应</w:t>
            </w:r>
            <w:r>
              <w:rPr>
                <w:rFonts w:ascii="黑体" w:hAnsi="黑体" w:eastAsia="黑体"/>
                <w:spacing w:val="-3"/>
                <w:sz w:val="18"/>
                <w:szCs w:val="18"/>
                <w:lang w:val="zh-CN"/>
              </w:rPr>
              <w:br w:type="textWrapping"/>
            </w:r>
            <w:r>
              <w:rPr>
                <w:rFonts w:ascii="黑体" w:hAnsi="黑体" w:eastAsia="黑体"/>
                <w:spacing w:val="-3"/>
                <w:sz w:val="18"/>
                <w:szCs w:val="18"/>
                <w:lang w:val="zh-CN"/>
              </w:rPr>
              <w:t>保障</w:t>
            </w:r>
            <w:r>
              <w:rPr>
                <w:rFonts w:ascii="黑体" w:hAnsi="黑体" w:eastAsia="黑体"/>
                <w:spacing w:val="-3"/>
                <w:sz w:val="18"/>
                <w:szCs w:val="18"/>
                <w:lang w:val="zh-CN"/>
              </w:rPr>
              <w:br w:type="textWrapping"/>
            </w:r>
            <w:r>
              <w:rPr>
                <w:rFonts w:ascii="黑体" w:hAnsi="黑体" w:eastAsia="黑体"/>
                <w:spacing w:val="-3"/>
                <w:sz w:val="18"/>
                <w:szCs w:val="18"/>
                <w:lang w:val="zh-CN"/>
              </w:rPr>
              <w:t>要求</w:t>
            </w:r>
          </w:p>
        </w:tc>
        <w:tc>
          <w:tcPr>
            <w:tcW w:w="735" w:type="dxa"/>
            <w:tcBorders>
              <w:tl2br w:val="nil"/>
              <w:tr2bl w:val="nil"/>
            </w:tcBorders>
          </w:tcPr>
          <w:p>
            <w:pPr>
              <w:widowControl/>
              <w:spacing w:line="240" w:lineRule="exact"/>
              <w:jc w:val="center"/>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供应</w:t>
            </w:r>
            <w:r>
              <w:rPr>
                <w:rFonts w:ascii="黑体" w:hAnsi="黑体" w:eastAsia="黑体"/>
                <w:sz w:val="18"/>
                <w:szCs w:val="18"/>
              </w:rPr>
              <w:br w:type="textWrapping"/>
            </w:r>
            <w:r>
              <w:rPr>
                <w:rFonts w:ascii="黑体" w:hAnsi="黑体" w:eastAsia="黑体"/>
                <w:spacing w:val="-3"/>
                <w:sz w:val="18"/>
                <w:szCs w:val="18"/>
                <w:lang w:val="zh-CN"/>
              </w:rPr>
              <w:t>链合</w:t>
            </w:r>
            <w:r>
              <w:rPr>
                <w:rFonts w:ascii="黑体" w:hAnsi="黑体" w:eastAsia="黑体"/>
                <w:sz w:val="18"/>
                <w:szCs w:val="18"/>
              </w:rPr>
              <w:br w:type="textWrapping"/>
            </w:r>
            <w:r>
              <w:rPr>
                <w:rFonts w:ascii="黑体" w:hAnsi="黑体" w:eastAsia="黑体"/>
                <w:spacing w:val="-3"/>
                <w:sz w:val="18"/>
                <w:szCs w:val="18"/>
                <w:lang w:val="zh-CN"/>
              </w:rPr>
              <w:t>规性</w:t>
            </w: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pacing w:val="-4"/>
                <w:sz w:val="18"/>
                <w:szCs w:val="18"/>
                <w:lang w:val="zh-CN"/>
              </w:rPr>
            </w:pPr>
            <w:r>
              <w:rPr>
                <w:rFonts w:hint="eastAsia"/>
              </w:rPr>
              <w:t>★</w:t>
            </w:r>
            <w:r>
              <w:rPr>
                <w:rFonts w:ascii="黑体" w:hAnsi="黑体" w:eastAsia="黑体"/>
                <w:spacing w:val="-4"/>
                <w:sz w:val="18"/>
                <w:szCs w:val="18"/>
                <w:lang w:val="zh-CN"/>
              </w:rPr>
              <w:t>产品部件保障</w:t>
            </w:r>
          </w:p>
        </w:tc>
        <w:tc>
          <w:tcPr>
            <w:tcW w:w="6043" w:type="dxa"/>
            <w:tcBorders>
              <w:tl2br w:val="nil"/>
              <w:tr2bl w:val="nil"/>
            </w:tcBorders>
          </w:tcPr>
          <w:p>
            <w:pPr>
              <w:widowControl/>
              <w:spacing w:line="240" w:lineRule="exact"/>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供应商保障产品主要部件</w:t>
            </w:r>
            <w:r>
              <w:rPr>
                <w:rFonts w:hint="eastAsia" w:ascii="黑体" w:hAnsi="黑体" w:eastAsia="黑体"/>
                <w:spacing w:val="-3"/>
                <w:sz w:val="18"/>
                <w:szCs w:val="18"/>
                <w:lang w:val="zh-CN"/>
              </w:rPr>
              <w:t>，</w:t>
            </w:r>
            <w:r>
              <w:rPr>
                <w:rFonts w:ascii="黑体" w:hAnsi="黑体" w:eastAsia="黑体"/>
                <w:spacing w:val="-3"/>
                <w:sz w:val="18"/>
                <w:szCs w:val="18"/>
                <w:lang w:val="zh-CN"/>
              </w:rPr>
              <w:t>提供 6 年的备件服务能力(自购买之日起)</w:t>
            </w:r>
            <w:r>
              <w:rPr>
                <w:rFonts w:hint="eastAsia" w:ascii="黑体" w:hAnsi="黑体" w:eastAsia="黑体"/>
                <w:spacing w:val="-3"/>
                <w:sz w:val="18"/>
                <w:szCs w:val="18"/>
                <w:lang w:val="zh-CN"/>
              </w:rPr>
              <w:t>，</w:t>
            </w:r>
            <w:r>
              <w:rPr>
                <w:rFonts w:ascii="黑体" w:hAnsi="黑体" w:eastAsia="黑体"/>
                <w:spacing w:val="-3"/>
                <w:sz w:val="18"/>
                <w:szCs w:val="18"/>
                <w:lang w:val="zh-CN"/>
              </w:rPr>
              <w:t>或提供可兼容原设备的升级换代产品</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940"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118</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供应</w:t>
            </w:r>
            <w:r>
              <w:rPr>
                <w:rFonts w:ascii="黑体" w:hAnsi="黑体" w:eastAsia="黑体"/>
                <w:spacing w:val="-3"/>
                <w:sz w:val="18"/>
                <w:szCs w:val="18"/>
                <w:lang w:val="zh-CN"/>
              </w:rPr>
              <w:br w:type="textWrapping"/>
            </w:r>
            <w:r>
              <w:rPr>
                <w:rFonts w:ascii="黑体" w:hAnsi="黑体" w:eastAsia="黑体"/>
                <w:spacing w:val="-3"/>
                <w:sz w:val="18"/>
                <w:szCs w:val="18"/>
                <w:lang w:val="zh-CN"/>
              </w:rPr>
              <w:t>保障</w:t>
            </w:r>
            <w:r>
              <w:rPr>
                <w:rFonts w:ascii="黑体" w:hAnsi="黑体" w:eastAsia="黑体"/>
                <w:spacing w:val="-3"/>
                <w:sz w:val="18"/>
                <w:szCs w:val="18"/>
                <w:lang w:val="zh-CN"/>
              </w:rPr>
              <w:br w:type="textWrapping"/>
            </w:r>
            <w:r>
              <w:rPr>
                <w:rFonts w:ascii="黑体" w:hAnsi="黑体" w:eastAsia="黑体"/>
                <w:spacing w:val="-3"/>
                <w:sz w:val="18"/>
                <w:szCs w:val="18"/>
                <w:lang w:val="zh-CN"/>
              </w:rPr>
              <w:t>要求</w:t>
            </w:r>
          </w:p>
        </w:tc>
        <w:tc>
          <w:tcPr>
            <w:tcW w:w="735" w:type="dxa"/>
            <w:vMerge w:val="restart"/>
            <w:tcBorders>
              <w:tl2br w:val="nil"/>
              <w:tr2bl w:val="nil"/>
            </w:tcBorders>
            <w:vAlign w:val="center"/>
          </w:tcPr>
          <w:p>
            <w:pPr>
              <w:widowControl/>
              <w:spacing w:line="240" w:lineRule="exact"/>
              <w:ind w:left="144"/>
              <w:jc w:val="center"/>
              <w:textAlignment w:val="baseline"/>
              <w:rPr>
                <w:rFonts w:ascii="黑体" w:hAnsi="黑体" w:eastAsia="黑体"/>
                <w:sz w:val="18"/>
                <w:szCs w:val="18"/>
                <w:lang w:val="zh-CN"/>
              </w:rPr>
            </w:pPr>
            <w:r>
              <w:rPr>
                <w:rFonts w:hint="eastAsia"/>
              </w:rPr>
              <w:t>★</w:t>
            </w:r>
            <w:r>
              <w:rPr>
                <w:rFonts w:ascii="黑体" w:hAnsi="黑体" w:eastAsia="黑体"/>
                <w:spacing w:val="-3"/>
                <w:sz w:val="18"/>
                <w:szCs w:val="18"/>
                <w:lang w:val="zh-CN"/>
              </w:rPr>
              <w:t>供应链</w:t>
            </w:r>
            <w:r>
              <w:rPr>
                <w:rFonts w:hint="eastAsia" w:ascii="黑体" w:hAnsi="黑体" w:eastAsia="黑体"/>
                <w:spacing w:val="-3"/>
                <w:sz w:val="18"/>
                <w:szCs w:val="18"/>
                <w:lang w:val="zh-CN"/>
              </w:rPr>
              <w:t>质量</w:t>
            </w: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抗干扰性</w:t>
            </w:r>
          </w:p>
        </w:tc>
        <w:tc>
          <w:tcPr>
            <w:tcW w:w="6043" w:type="dxa"/>
            <w:tcBorders>
              <w:tl2br w:val="nil"/>
              <w:tr2bl w:val="nil"/>
            </w:tcBorders>
          </w:tcPr>
          <w:p>
            <w:pPr>
              <w:widowControl/>
              <w:spacing w:line="240" w:lineRule="exact"/>
              <w:ind w:left="108" w:right="180"/>
              <w:jc w:val="left"/>
              <w:textAlignment w:val="baseline"/>
              <w:rPr>
                <w:rFonts w:ascii="黑体" w:hAnsi="黑体" w:eastAsia="黑体"/>
                <w:spacing w:val="-3"/>
                <w:sz w:val="18"/>
                <w:szCs w:val="18"/>
                <w:lang w:val="zh-CN"/>
              </w:rPr>
            </w:pPr>
            <w:r>
              <w:rPr>
                <w:rFonts w:ascii="黑体" w:hAnsi="黑体" w:eastAsia="黑体"/>
                <w:spacing w:val="-3"/>
                <w:sz w:val="18"/>
                <w:szCs w:val="18"/>
                <w:lang w:val="zh-CN"/>
              </w:rPr>
              <w:t>当产品部件出现供应风险时</w:t>
            </w:r>
            <w:r>
              <w:rPr>
                <w:rFonts w:hint="eastAsia" w:ascii="黑体" w:hAnsi="黑体" w:eastAsia="黑体"/>
                <w:spacing w:val="-3"/>
                <w:sz w:val="18"/>
                <w:szCs w:val="18"/>
                <w:lang w:val="zh-CN"/>
              </w:rPr>
              <w:t>，</w:t>
            </w:r>
            <w:r>
              <w:rPr>
                <w:rFonts w:ascii="黑体" w:hAnsi="黑体" w:eastAsia="黑体"/>
                <w:spacing w:val="-3"/>
                <w:sz w:val="18"/>
                <w:szCs w:val="18"/>
                <w:lang w:val="zh-CN"/>
              </w:rPr>
              <w:t>供应商应通知采购人并提供风险应对方案确保产品的服务保障</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940"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119</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供应</w:t>
            </w:r>
            <w:r>
              <w:rPr>
                <w:rFonts w:ascii="黑体" w:hAnsi="黑体" w:eastAsia="黑体"/>
                <w:spacing w:val="-3"/>
                <w:sz w:val="18"/>
                <w:szCs w:val="18"/>
                <w:lang w:val="zh-CN"/>
              </w:rPr>
              <w:br w:type="textWrapping"/>
            </w:r>
            <w:r>
              <w:rPr>
                <w:rFonts w:ascii="黑体" w:hAnsi="黑体" w:eastAsia="黑体"/>
                <w:spacing w:val="-3"/>
                <w:sz w:val="18"/>
                <w:szCs w:val="18"/>
                <w:lang w:val="zh-CN"/>
              </w:rPr>
              <w:t>保障</w:t>
            </w:r>
            <w:r>
              <w:rPr>
                <w:rFonts w:ascii="黑体" w:hAnsi="黑体" w:eastAsia="黑体"/>
                <w:spacing w:val="-3"/>
                <w:sz w:val="18"/>
                <w:szCs w:val="18"/>
                <w:lang w:val="zh-CN"/>
              </w:rPr>
              <w:br w:type="textWrapping"/>
            </w:r>
            <w:r>
              <w:rPr>
                <w:rFonts w:ascii="黑体" w:hAnsi="黑体" w:eastAsia="黑体"/>
                <w:spacing w:val="-3"/>
                <w:sz w:val="18"/>
                <w:szCs w:val="18"/>
                <w:lang w:val="zh-CN"/>
              </w:rPr>
              <w:t>要求</w:t>
            </w:r>
          </w:p>
        </w:tc>
        <w:tc>
          <w:tcPr>
            <w:tcW w:w="735" w:type="dxa"/>
            <w:vMerge w:val="continue"/>
            <w:tcBorders>
              <w:tl2br w:val="nil"/>
              <w:tr2bl w:val="nil"/>
            </w:tcBorders>
          </w:tcPr>
          <w:p>
            <w:pPr>
              <w:rPr>
                <w:sz w:val="18"/>
                <w:szCs w:val="18"/>
              </w:rPr>
            </w:pPr>
          </w:p>
        </w:tc>
        <w:tc>
          <w:tcPr>
            <w:tcW w:w="1100" w:type="dxa"/>
            <w:tcBorders>
              <w:tl2br w:val="nil"/>
              <w:tr2bl w:val="nil"/>
            </w:tcBorders>
          </w:tcPr>
          <w:p>
            <w:pPr>
              <w:widowControl/>
              <w:spacing w:line="240" w:lineRule="exact"/>
              <w:ind w:left="108" w:right="252"/>
              <w:jc w:val="left"/>
              <w:textAlignment w:val="baseline"/>
              <w:rPr>
                <w:rFonts w:ascii="黑体" w:hAnsi="黑体" w:eastAsia="黑体"/>
                <w:spacing w:val="-9"/>
                <w:sz w:val="18"/>
                <w:szCs w:val="18"/>
                <w:lang w:val="zh-CN"/>
              </w:rPr>
            </w:pPr>
            <w:r>
              <w:rPr>
                <w:rFonts w:hint="eastAsia"/>
              </w:rPr>
              <w:t>★</w:t>
            </w:r>
            <w:r>
              <w:rPr>
                <w:rFonts w:ascii="黑体" w:hAnsi="黑体" w:eastAsia="黑体"/>
                <w:spacing w:val="-9"/>
                <w:sz w:val="18"/>
                <w:szCs w:val="18"/>
                <w:lang w:val="zh-CN"/>
              </w:rPr>
              <w:t>供应能力证明</w:t>
            </w:r>
          </w:p>
        </w:tc>
        <w:tc>
          <w:tcPr>
            <w:tcW w:w="6043" w:type="dxa"/>
            <w:tcBorders>
              <w:tl2br w:val="nil"/>
              <w:tr2bl w:val="nil"/>
            </w:tcBorders>
          </w:tcPr>
          <w:p>
            <w:pPr>
              <w:widowControl/>
              <w:spacing w:line="240" w:lineRule="exact"/>
              <w:ind w:left="108" w:right="180"/>
              <w:jc w:val="left"/>
              <w:textAlignment w:val="baseline"/>
              <w:rPr>
                <w:rFonts w:ascii="黑体" w:hAnsi="黑体" w:eastAsia="黑体"/>
                <w:sz w:val="18"/>
                <w:szCs w:val="18"/>
                <w:lang w:val="zh-CN"/>
              </w:rPr>
            </w:pPr>
            <w:r>
              <w:rPr>
                <w:rFonts w:ascii="黑体" w:hAnsi="黑体" w:eastAsia="黑体"/>
                <w:sz w:val="18"/>
                <w:szCs w:val="18"/>
                <w:lang w:val="zh-CN"/>
              </w:rPr>
              <w:t>供应商提供</w:t>
            </w:r>
            <w:r>
              <w:rPr>
                <w:rFonts w:ascii="黑体" w:hAnsi="黑体" w:eastAsia="黑体"/>
                <w:b/>
                <w:bCs/>
                <w:sz w:val="18"/>
                <w:szCs w:val="18"/>
                <w:lang w:val="zh-CN"/>
              </w:rPr>
              <w:t>供应链稳定承诺书</w:t>
            </w:r>
            <w:r>
              <w:rPr>
                <w:rFonts w:hint="eastAsia" w:ascii="黑体" w:hAnsi="黑体" w:eastAsia="黑体"/>
                <w:b/>
                <w:bCs/>
                <w:sz w:val="18"/>
                <w:szCs w:val="18"/>
                <w:lang w:val="zh-CN"/>
              </w:rPr>
              <w:t>（</w:t>
            </w:r>
            <w:r>
              <w:rPr>
                <w:rFonts w:hint="eastAsia" w:ascii="黑体" w:hAnsi="黑体" w:eastAsia="黑体"/>
                <w:b/>
                <w:bCs/>
                <w:sz w:val="18"/>
                <w:szCs w:val="18"/>
              </w:rPr>
              <w:t>格式自拟</w:t>
            </w:r>
            <w:r>
              <w:rPr>
                <w:rFonts w:hint="eastAsia" w:ascii="黑体" w:hAnsi="黑体" w:eastAsia="黑体"/>
                <w:b/>
                <w:bCs/>
                <w:sz w:val="18"/>
                <w:szCs w:val="18"/>
                <w:lang w:val="zh-CN"/>
              </w:rPr>
              <w:t>）</w:t>
            </w:r>
            <w:r>
              <w:rPr>
                <w:rFonts w:hint="eastAsia" w:ascii="黑体" w:hAnsi="黑体" w:eastAsia="黑体"/>
                <w:sz w:val="18"/>
                <w:szCs w:val="18"/>
                <w:lang w:val="zh-CN"/>
              </w:rPr>
              <w:t>，</w:t>
            </w:r>
            <w:r>
              <w:rPr>
                <w:rFonts w:ascii="黑体" w:hAnsi="黑体" w:eastAsia="黑体"/>
                <w:sz w:val="18"/>
                <w:szCs w:val="18"/>
                <w:lang w:val="zh-CN"/>
              </w:rPr>
              <w:t>确保产品的部件在产品服务周期内稳定供货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1315"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120</w:t>
            </w:r>
          </w:p>
        </w:tc>
        <w:tc>
          <w:tcPr>
            <w:tcW w:w="790" w:type="dxa"/>
            <w:gridSpan w:val="2"/>
            <w:tcBorders>
              <w:tl2br w:val="nil"/>
              <w:tr2bl w:val="nil"/>
            </w:tcBorders>
            <w:vAlign w:val="center"/>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安全要求</w:t>
            </w:r>
          </w:p>
        </w:tc>
        <w:tc>
          <w:tcPr>
            <w:tcW w:w="735" w:type="dxa"/>
            <w:tcBorders>
              <w:tl2br w:val="nil"/>
              <w:tr2bl w:val="nil"/>
            </w:tcBorders>
          </w:tcPr>
          <w:p>
            <w:pPr>
              <w:widowControl/>
              <w:spacing w:line="240" w:lineRule="exact"/>
              <w:ind w:left="144"/>
              <w:jc w:val="left"/>
              <w:textAlignment w:val="baseline"/>
              <w:rPr>
                <w:rFonts w:ascii="黑体" w:hAnsi="黑体" w:eastAsia="黑体"/>
                <w:spacing w:val="2"/>
                <w:sz w:val="18"/>
                <w:szCs w:val="18"/>
                <w:lang w:val="zh-CN"/>
              </w:rPr>
            </w:pPr>
            <w:r>
              <w:rPr>
                <w:rFonts w:hint="eastAsia"/>
              </w:rPr>
              <w:t>★</w:t>
            </w:r>
            <w:r>
              <w:rPr>
                <w:rFonts w:ascii="黑体" w:hAnsi="黑体" w:eastAsia="黑体"/>
                <w:spacing w:val="2"/>
                <w:sz w:val="18"/>
                <w:szCs w:val="18"/>
                <w:lang w:val="zh-CN"/>
              </w:rPr>
              <w:t>关键部件安全要求</w:t>
            </w:r>
          </w:p>
        </w:tc>
        <w:tc>
          <w:tcPr>
            <w:tcW w:w="1100" w:type="dxa"/>
            <w:tcBorders>
              <w:tl2br w:val="nil"/>
              <w:tr2bl w:val="nil"/>
            </w:tcBorders>
            <w:vAlign w:val="center"/>
          </w:tcPr>
          <w:p>
            <w:pPr>
              <w:widowControl/>
              <w:spacing w:line="240" w:lineRule="exact"/>
              <w:ind w:left="72"/>
              <w:jc w:val="center"/>
              <w:textAlignment w:val="baseline"/>
              <w:rPr>
                <w:rFonts w:ascii="黑体" w:hAnsi="黑体" w:eastAsia="黑体"/>
                <w:sz w:val="18"/>
                <w:szCs w:val="18"/>
                <w:lang w:val="zh-CN"/>
              </w:rPr>
            </w:pPr>
            <w:bookmarkStart w:id="47" w:name="OLE_LINK4"/>
            <w:r>
              <w:rPr>
                <w:rFonts w:hint="eastAsia"/>
              </w:rPr>
              <w:t>★</w:t>
            </w:r>
            <w:bookmarkEnd w:id="47"/>
            <w:r>
              <w:rPr>
                <w:rFonts w:ascii="黑体" w:hAnsi="黑体" w:eastAsia="黑体"/>
                <w:sz w:val="18"/>
                <w:szCs w:val="18"/>
                <w:lang w:val="zh-CN"/>
              </w:rPr>
              <w:t>关键部</w:t>
            </w:r>
          </w:p>
          <w:p>
            <w:pPr>
              <w:widowControl/>
              <w:spacing w:line="240" w:lineRule="exact"/>
              <w:ind w:left="144" w:right="180"/>
              <w:jc w:val="center"/>
              <w:textAlignment w:val="baseline"/>
              <w:rPr>
                <w:rFonts w:ascii="黑体" w:hAnsi="黑体" w:eastAsia="黑体"/>
                <w:spacing w:val="-18"/>
                <w:sz w:val="18"/>
                <w:szCs w:val="18"/>
                <w:lang w:val="zh-CN"/>
              </w:rPr>
            </w:pPr>
            <w:r>
              <w:rPr>
                <w:rFonts w:ascii="黑体" w:hAnsi="黑体" w:eastAsia="黑体"/>
                <w:spacing w:val="-18"/>
                <w:sz w:val="18"/>
                <w:szCs w:val="18"/>
                <w:lang w:val="zh-CN"/>
              </w:rPr>
              <w:t>件安全要求</w:t>
            </w:r>
          </w:p>
        </w:tc>
        <w:tc>
          <w:tcPr>
            <w:tcW w:w="6043" w:type="dxa"/>
            <w:tcBorders>
              <w:tl2br w:val="nil"/>
              <w:tr2bl w:val="nil"/>
            </w:tcBorders>
            <w:vAlign w:val="center"/>
          </w:tcPr>
          <w:p>
            <w:pPr>
              <w:widowControl/>
              <w:spacing w:line="240" w:lineRule="exact"/>
              <w:ind w:left="108" w:right="252"/>
              <w:jc w:val="left"/>
              <w:textAlignment w:val="baseline"/>
              <w:rPr>
                <w:rFonts w:ascii="黑体" w:hAnsi="黑体" w:eastAsia="黑体"/>
                <w:spacing w:val="-3"/>
                <w:sz w:val="18"/>
                <w:szCs w:val="18"/>
                <w:lang w:val="zh-CN"/>
              </w:rPr>
            </w:pPr>
            <w:r>
              <w:rPr>
                <w:rFonts w:ascii="黑体" w:hAnsi="黑体" w:eastAsia="黑体"/>
                <w:spacing w:val="-3"/>
                <w:sz w:val="18"/>
                <w:szCs w:val="18"/>
              </w:rPr>
              <w:t xml:space="preserve">CPU </w:t>
            </w:r>
            <w:r>
              <w:rPr>
                <w:rFonts w:ascii="黑体" w:hAnsi="黑体" w:eastAsia="黑体"/>
                <w:spacing w:val="-3"/>
                <w:sz w:val="18"/>
                <w:szCs w:val="18"/>
                <w:lang w:val="zh-CN"/>
              </w:rPr>
              <w:t>和操作系统等关键部件应当符合安全可靠测评要求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1006"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121</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安全要求</w:t>
            </w:r>
          </w:p>
        </w:tc>
        <w:tc>
          <w:tcPr>
            <w:tcW w:w="735" w:type="dxa"/>
            <w:vMerge w:val="restart"/>
            <w:tcBorders>
              <w:tl2br w:val="nil"/>
              <w:tr2bl w:val="nil"/>
            </w:tcBorders>
            <w:vAlign w:val="center"/>
          </w:tcPr>
          <w:p>
            <w:pPr>
              <w:widowControl/>
              <w:spacing w:line="240" w:lineRule="exact"/>
              <w:ind w:left="108"/>
              <w:jc w:val="center"/>
              <w:textAlignment w:val="baseline"/>
              <w:rPr>
                <w:rFonts w:ascii="黑体" w:hAnsi="黑体" w:eastAsia="黑体"/>
                <w:spacing w:val="14"/>
                <w:sz w:val="18"/>
                <w:szCs w:val="18"/>
                <w:lang w:val="zh-CN"/>
              </w:rPr>
            </w:pPr>
            <w:r>
              <w:rPr>
                <w:rFonts w:hint="eastAsia"/>
              </w:rPr>
              <w:t>★</w:t>
            </w:r>
            <w:r>
              <w:rPr>
                <w:rFonts w:ascii="黑体" w:hAnsi="黑体" w:eastAsia="黑体"/>
                <w:spacing w:val="14"/>
                <w:sz w:val="18"/>
                <w:szCs w:val="18"/>
                <w:lang w:val="zh-CN"/>
              </w:rPr>
              <w:t>整机安全性要求</w:t>
            </w: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pacing w:val="-3"/>
                <w:sz w:val="18"/>
                <w:szCs w:val="18"/>
                <w:lang w:val="zh-CN"/>
              </w:rPr>
            </w:pPr>
            <w:r>
              <w:rPr>
                <w:rFonts w:hint="eastAsia"/>
              </w:rPr>
              <w:t>★</w:t>
            </w:r>
            <w:r>
              <w:rPr>
                <w:rFonts w:ascii="黑体" w:hAnsi="黑体" w:eastAsia="黑体"/>
                <w:spacing w:val="-3"/>
                <w:sz w:val="18"/>
                <w:szCs w:val="18"/>
                <w:lang w:val="zh-CN"/>
              </w:rPr>
              <w:t>密码算法实现</w:t>
            </w:r>
          </w:p>
        </w:tc>
        <w:tc>
          <w:tcPr>
            <w:tcW w:w="6043" w:type="dxa"/>
            <w:tcBorders>
              <w:tl2br w:val="nil"/>
              <w:tr2bl w:val="nil"/>
            </w:tcBorders>
          </w:tcPr>
          <w:p>
            <w:pPr>
              <w:widowControl/>
              <w:spacing w:line="240" w:lineRule="exact"/>
              <w:ind w:left="108" w:right="108"/>
              <w:jc w:val="left"/>
              <w:textAlignment w:val="baseline"/>
              <w:rPr>
                <w:rFonts w:ascii="黑体" w:hAnsi="黑体" w:eastAsia="黑体"/>
                <w:spacing w:val="-7"/>
                <w:sz w:val="18"/>
                <w:szCs w:val="18"/>
                <w:lang w:val="zh-CN"/>
              </w:rPr>
            </w:pPr>
            <w:r>
              <w:rPr>
                <w:rFonts w:ascii="黑体" w:hAnsi="黑体" w:eastAsia="黑体"/>
                <w:spacing w:val="-7"/>
                <w:sz w:val="18"/>
                <w:szCs w:val="18"/>
              </w:rPr>
              <w:t xml:space="preserve">CPU </w:t>
            </w:r>
            <w:r>
              <w:rPr>
                <w:rFonts w:ascii="黑体" w:hAnsi="黑体" w:eastAsia="黑体"/>
                <w:spacing w:val="-7"/>
                <w:sz w:val="18"/>
                <w:szCs w:val="18"/>
                <w:lang w:val="zh-CN"/>
              </w:rPr>
              <w:t xml:space="preserve">芯片应符合 </w:t>
            </w:r>
            <w:r>
              <w:rPr>
                <w:rFonts w:ascii="黑体" w:hAnsi="黑体" w:eastAsia="黑体"/>
                <w:spacing w:val="-7"/>
                <w:sz w:val="18"/>
                <w:szCs w:val="18"/>
              </w:rPr>
              <w:t xml:space="preserve">GM/T 0008 </w:t>
            </w:r>
            <w:r>
              <w:rPr>
                <w:rFonts w:ascii="黑体" w:hAnsi="黑体" w:eastAsia="黑体"/>
                <w:spacing w:val="-7"/>
                <w:sz w:val="18"/>
                <w:szCs w:val="18"/>
                <w:lang w:val="zh-CN"/>
              </w:rPr>
              <w:t>的相关规定</w:t>
            </w:r>
            <w:r>
              <w:rPr>
                <w:rFonts w:hint="eastAsia" w:ascii="黑体" w:hAnsi="黑体" w:eastAsia="黑体"/>
                <w:spacing w:val="-7"/>
                <w:sz w:val="18"/>
                <w:szCs w:val="18"/>
                <w:lang w:val="zh-CN"/>
              </w:rPr>
              <w:t>，</w:t>
            </w:r>
            <w:r>
              <w:rPr>
                <w:rFonts w:ascii="黑体" w:hAnsi="黑体" w:eastAsia="黑体"/>
                <w:spacing w:val="-7"/>
                <w:sz w:val="18"/>
                <w:szCs w:val="18"/>
                <w:lang w:val="zh-CN"/>
              </w:rPr>
              <w:t xml:space="preserve">或芯片密码模块应符合 </w:t>
            </w:r>
            <w:r>
              <w:rPr>
                <w:rFonts w:ascii="黑体" w:hAnsi="黑体" w:eastAsia="黑体"/>
                <w:spacing w:val="-7"/>
                <w:sz w:val="18"/>
                <w:szCs w:val="18"/>
              </w:rPr>
              <w:t xml:space="preserve">GB/T 37092 </w:t>
            </w:r>
            <w:r>
              <w:rPr>
                <w:rFonts w:ascii="黑体" w:hAnsi="黑体" w:eastAsia="黑体"/>
                <w:spacing w:val="-7"/>
                <w:sz w:val="18"/>
                <w:szCs w:val="18"/>
                <w:lang w:val="zh-CN"/>
              </w:rPr>
              <w:t xml:space="preserve">或 </w:t>
            </w:r>
            <w:r>
              <w:rPr>
                <w:rFonts w:ascii="黑体" w:hAnsi="黑体" w:eastAsia="黑体"/>
                <w:spacing w:val="-7"/>
                <w:sz w:val="18"/>
                <w:szCs w:val="18"/>
              </w:rPr>
              <w:t xml:space="preserve">GM/T 0028 </w:t>
            </w:r>
            <w:r>
              <w:rPr>
                <w:rFonts w:ascii="黑体" w:hAnsi="黑体" w:eastAsia="黑体"/>
                <w:spacing w:val="-7"/>
                <w:sz w:val="18"/>
                <w:szCs w:val="18"/>
                <w:lang w:val="zh-CN"/>
              </w:rPr>
              <w:t>的相关规定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940"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122</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安全要求</w:t>
            </w:r>
          </w:p>
        </w:tc>
        <w:tc>
          <w:tcPr>
            <w:tcW w:w="735" w:type="dxa"/>
            <w:vMerge w:val="continue"/>
            <w:tcBorders>
              <w:tl2br w:val="nil"/>
              <w:tr2bl w:val="nil"/>
            </w:tcBorders>
          </w:tcPr>
          <w:p>
            <w:pPr>
              <w:rPr>
                <w:sz w:val="18"/>
                <w:szCs w:val="18"/>
              </w:rPr>
            </w:pPr>
          </w:p>
        </w:tc>
        <w:tc>
          <w:tcPr>
            <w:tcW w:w="1100" w:type="dxa"/>
            <w:tcBorders>
              <w:tl2br w:val="nil"/>
              <w:tr2bl w:val="nil"/>
            </w:tcBorders>
            <w:vAlign w:val="center"/>
          </w:tcPr>
          <w:p>
            <w:pPr>
              <w:widowControl/>
              <w:spacing w:line="240" w:lineRule="exact"/>
              <w:ind w:left="108" w:right="252"/>
              <w:jc w:val="center"/>
              <w:textAlignment w:val="baseline"/>
              <w:rPr>
                <w:rFonts w:ascii="黑体" w:hAnsi="黑体" w:eastAsia="黑体"/>
                <w:spacing w:val="-11"/>
                <w:sz w:val="18"/>
                <w:szCs w:val="18"/>
                <w:lang w:val="zh-CN"/>
              </w:rPr>
            </w:pPr>
            <w:r>
              <w:rPr>
                <w:rFonts w:ascii="黑体" w:hAnsi="黑体" w:eastAsia="黑体"/>
                <w:spacing w:val="-11"/>
                <w:sz w:val="18"/>
                <w:szCs w:val="18"/>
              </w:rPr>
              <w:t xml:space="preserve">USB </w:t>
            </w:r>
            <w:r>
              <w:rPr>
                <w:rFonts w:ascii="黑体" w:hAnsi="黑体" w:eastAsia="黑体"/>
                <w:spacing w:val="-11"/>
                <w:sz w:val="18"/>
                <w:szCs w:val="18"/>
                <w:lang w:val="zh-CN"/>
              </w:rPr>
              <w:t>端口管控</w:t>
            </w:r>
          </w:p>
        </w:tc>
        <w:tc>
          <w:tcPr>
            <w:tcW w:w="6043" w:type="dxa"/>
            <w:tcBorders>
              <w:tl2br w:val="nil"/>
              <w:tr2bl w:val="nil"/>
            </w:tcBorders>
            <w:vAlign w:val="center"/>
          </w:tcPr>
          <w:p>
            <w:pPr>
              <w:widowControl/>
              <w:spacing w:line="240" w:lineRule="exact"/>
              <w:ind w:left="105"/>
              <w:jc w:val="left"/>
              <w:textAlignment w:val="baseline"/>
              <w:rPr>
                <w:rFonts w:ascii="黑体" w:hAnsi="黑体" w:eastAsia="黑体"/>
                <w:sz w:val="18"/>
                <w:szCs w:val="18"/>
                <w:lang w:val="zh-CN"/>
              </w:rPr>
            </w:pPr>
            <w:r>
              <w:rPr>
                <w:rFonts w:ascii="黑体" w:hAnsi="黑体" w:eastAsia="黑体"/>
                <w:sz w:val="18"/>
                <w:szCs w:val="18"/>
                <w:lang w:val="zh-CN"/>
              </w:rPr>
              <w:t xml:space="preserve">支持 </w:t>
            </w:r>
            <w:r>
              <w:rPr>
                <w:rFonts w:ascii="黑体" w:hAnsi="黑体" w:eastAsia="黑体"/>
                <w:sz w:val="18"/>
                <w:szCs w:val="18"/>
              </w:rPr>
              <w:t xml:space="preserve">USB </w:t>
            </w:r>
            <w:r>
              <w:rPr>
                <w:rFonts w:ascii="黑体" w:hAnsi="黑体" w:eastAsia="黑体"/>
                <w:sz w:val="18"/>
                <w:szCs w:val="18"/>
                <w:lang w:val="zh-CN"/>
              </w:rPr>
              <w:t>端口管控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884"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rPr>
              <w:t>123</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安全要求</w:t>
            </w:r>
          </w:p>
        </w:tc>
        <w:tc>
          <w:tcPr>
            <w:tcW w:w="735" w:type="dxa"/>
            <w:vMerge w:val="continue"/>
            <w:tcBorders>
              <w:tl2br w:val="nil"/>
              <w:tr2bl w:val="nil"/>
            </w:tcBorders>
          </w:tcPr>
          <w:p>
            <w:pPr>
              <w:rPr>
                <w:sz w:val="18"/>
                <w:szCs w:val="18"/>
              </w:rPr>
            </w:pPr>
          </w:p>
        </w:tc>
        <w:tc>
          <w:tcPr>
            <w:tcW w:w="1100" w:type="dxa"/>
            <w:tcBorders>
              <w:tl2br w:val="nil"/>
              <w:tr2bl w:val="nil"/>
            </w:tcBorders>
            <w:vAlign w:val="center"/>
          </w:tcPr>
          <w:p>
            <w:pPr>
              <w:widowControl/>
              <w:spacing w:line="240" w:lineRule="exact"/>
              <w:ind w:left="108" w:right="252"/>
              <w:textAlignment w:val="baseline"/>
              <w:rPr>
                <w:rFonts w:ascii="黑体" w:hAnsi="黑体" w:eastAsia="黑体"/>
                <w:spacing w:val="-11"/>
                <w:sz w:val="18"/>
                <w:szCs w:val="18"/>
              </w:rPr>
            </w:pPr>
            <w:r>
              <w:rPr>
                <w:rFonts w:hint="eastAsia"/>
              </w:rPr>
              <w:t>★</w:t>
            </w:r>
            <w:r>
              <w:rPr>
                <w:rFonts w:ascii="黑体" w:hAnsi="黑体" w:eastAsia="黑体"/>
                <w:spacing w:val="-4"/>
                <w:sz w:val="18"/>
                <w:szCs w:val="18"/>
                <w:lang w:val="zh-CN"/>
              </w:rPr>
              <w:t>固件安全启动</w:t>
            </w:r>
          </w:p>
        </w:tc>
        <w:tc>
          <w:tcPr>
            <w:tcW w:w="6043" w:type="dxa"/>
            <w:tcBorders>
              <w:tl2br w:val="nil"/>
              <w:tr2bl w:val="nil"/>
            </w:tcBorders>
            <w:vAlign w:val="center"/>
          </w:tcPr>
          <w:p>
            <w:pPr>
              <w:widowControl/>
              <w:spacing w:line="240" w:lineRule="exact"/>
              <w:ind w:left="108" w:right="180"/>
              <w:textAlignment w:val="baseline"/>
              <w:rPr>
                <w:rFonts w:ascii="黑体" w:hAnsi="黑体" w:eastAsia="黑体"/>
                <w:sz w:val="18"/>
                <w:szCs w:val="18"/>
                <w:lang w:val="zh-CN"/>
              </w:rPr>
            </w:pPr>
            <w:r>
              <w:rPr>
                <w:rFonts w:ascii="黑体" w:hAnsi="黑体" w:eastAsia="黑体"/>
                <w:spacing w:val="-4"/>
                <w:sz w:val="18"/>
                <w:szCs w:val="18"/>
                <w:lang w:val="zh-CN"/>
              </w:rPr>
              <w:t>支持固件安全启动功能</w:t>
            </w:r>
            <w:r>
              <w:rPr>
                <w:rFonts w:hint="eastAsia" w:ascii="黑体" w:hAnsi="黑体" w:eastAsia="黑体"/>
                <w:spacing w:val="-4"/>
                <w:sz w:val="18"/>
                <w:szCs w:val="18"/>
                <w:lang w:val="zh-CN"/>
              </w:rPr>
              <w:t>，</w:t>
            </w:r>
            <w:r>
              <w:rPr>
                <w:rFonts w:ascii="黑体" w:hAnsi="黑体" w:eastAsia="黑体"/>
                <w:spacing w:val="-4"/>
                <w:sz w:val="18"/>
                <w:szCs w:val="18"/>
                <w:lang w:val="zh-CN"/>
              </w:rPr>
              <w:t>固件启动过程中只有通过启动校验才能正常启动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gridBefore w:val="1"/>
          <w:gridAfter w:val="6"/>
          <w:wBefore w:w="11" w:type="dxa"/>
          <w:wAfter w:w="192" w:type="dxa"/>
          <w:trHeight w:val="940" w:hRule="exact"/>
        </w:trPr>
        <w:tc>
          <w:tcPr>
            <w:tcW w:w="461" w:type="dxa"/>
            <w:gridSpan w:val="2"/>
            <w:tcBorders>
              <w:tl2br w:val="nil"/>
              <w:tr2bl w:val="nil"/>
            </w:tcBorders>
            <w:vAlign w:val="center"/>
          </w:tcPr>
          <w:p>
            <w:pPr>
              <w:widowControl/>
              <w:spacing w:line="240" w:lineRule="exact"/>
              <w:jc w:val="center"/>
              <w:textAlignment w:val="baseline"/>
              <w:rPr>
                <w:rFonts w:ascii="黑体" w:hAnsi="黑体" w:eastAsia="黑体"/>
                <w:sz w:val="18"/>
                <w:szCs w:val="18"/>
              </w:rPr>
            </w:pPr>
            <w:r>
              <w:rPr>
                <w:rFonts w:hint="eastAsia" w:ascii="黑体" w:hAnsi="黑体" w:eastAsia="黑体"/>
                <w:sz w:val="18"/>
                <w:szCs w:val="18"/>
                <w:lang w:val="zh-CN"/>
              </w:rPr>
              <w:t>1</w:t>
            </w:r>
            <w:r>
              <w:rPr>
                <w:rFonts w:hint="eastAsia" w:ascii="黑体" w:hAnsi="黑体" w:eastAsia="黑体"/>
                <w:sz w:val="18"/>
                <w:szCs w:val="18"/>
              </w:rPr>
              <w:t>24</w:t>
            </w:r>
          </w:p>
        </w:tc>
        <w:tc>
          <w:tcPr>
            <w:tcW w:w="790" w:type="dxa"/>
            <w:gridSpan w:val="2"/>
            <w:tcBorders>
              <w:tl2br w:val="nil"/>
              <w:tr2bl w:val="nil"/>
            </w:tcBorders>
          </w:tcPr>
          <w:p>
            <w:pPr>
              <w:widowControl/>
              <w:spacing w:line="240" w:lineRule="exact"/>
              <w:ind w:left="108" w:right="180"/>
              <w:jc w:val="center"/>
              <w:textAlignment w:val="baseline"/>
              <w:rPr>
                <w:rFonts w:ascii="黑体" w:hAnsi="黑体" w:eastAsia="黑体"/>
                <w:spacing w:val="-3"/>
                <w:sz w:val="18"/>
                <w:szCs w:val="18"/>
                <w:lang w:val="zh-CN"/>
              </w:rPr>
            </w:pPr>
            <w:r>
              <w:rPr>
                <w:rFonts w:ascii="黑体" w:hAnsi="黑体" w:eastAsia="黑体"/>
                <w:spacing w:val="-3"/>
                <w:sz w:val="18"/>
                <w:szCs w:val="18"/>
                <w:lang w:val="zh-CN"/>
              </w:rPr>
              <w:t>安全要求</w:t>
            </w:r>
          </w:p>
        </w:tc>
        <w:tc>
          <w:tcPr>
            <w:tcW w:w="735" w:type="dxa"/>
            <w:vMerge w:val="continue"/>
            <w:tcBorders>
              <w:tl2br w:val="nil"/>
              <w:tr2bl w:val="nil"/>
            </w:tcBorders>
          </w:tcPr>
          <w:p>
            <w:pPr>
              <w:rPr>
                <w:sz w:val="18"/>
                <w:szCs w:val="18"/>
              </w:rPr>
            </w:pPr>
          </w:p>
        </w:tc>
        <w:tc>
          <w:tcPr>
            <w:tcW w:w="1100" w:type="dxa"/>
            <w:tcBorders>
              <w:tl2br w:val="nil"/>
              <w:tr2bl w:val="nil"/>
            </w:tcBorders>
            <w:vAlign w:val="center"/>
          </w:tcPr>
          <w:p>
            <w:pPr>
              <w:widowControl/>
              <w:spacing w:line="240" w:lineRule="exact"/>
              <w:ind w:left="108" w:right="180"/>
              <w:jc w:val="center"/>
              <w:textAlignment w:val="baseline"/>
              <w:rPr>
                <w:rFonts w:ascii="黑体" w:hAnsi="黑体" w:eastAsia="黑体"/>
                <w:spacing w:val="-11"/>
                <w:sz w:val="18"/>
                <w:szCs w:val="18"/>
              </w:rPr>
            </w:pPr>
            <w:r>
              <w:rPr>
                <w:rFonts w:hint="eastAsia"/>
              </w:rPr>
              <w:t>★</w:t>
            </w:r>
            <w:r>
              <w:rPr>
                <w:rFonts w:ascii="黑体" w:hAnsi="黑体" w:eastAsia="黑体"/>
                <w:spacing w:val="-4"/>
                <w:sz w:val="18"/>
                <w:szCs w:val="18"/>
                <w:lang w:val="zh-CN"/>
              </w:rPr>
              <w:t>限用物质的限量要求</w:t>
            </w:r>
          </w:p>
        </w:tc>
        <w:tc>
          <w:tcPr>
            <w:tcW w:w="6043" w:type="dxa"/>
            <w:tcBorders>
              <w:tl2br w:val="nil"/>
              <w:tr2bl w:val="nil"/>
            </w:tcBorders>
            <w:vAlign w:val="center"/>
          </w:tcPr>
          <w:p>
            <w:pPr>
              <w:widowControl/>
              <w:spacing w:line="240" w:lineRule="exact"/>
              <w:ind w:left="110"/>
              <w:jc w:val="left"/>
              <w:textAlignment w:val="baseline"/>
              <w:rPr>
                <w:rFonts w:ascii="黑体" w:hAnsi="黑体" w:eastAsia="黑体"/>
                <w:sz w:val="18"/>
                <w:szCs w:val="18"/>
                <w:lang w:val="zh-CN"/>
              </w:rPr>
            </w:pPr>
            <w:r>
              <w:rPr>
                <w:rFonts w:ascii="黑体" w:hAnsi="黑体" w:eastAsia="黑体"/>
                <w:sz w:val="18"/>
                <w:szCs w:val="18"/>
                <w:lang w:val="zh-CN"/>
              </w:rPr>
              <w:t xml:space="preserve">符合 </w:t>
            </w:r>
            <w:r>
              <w:rPr>
                <w:rFonts w:ascii="黑体" w:hAnsi="黑体" w:eastAsia="黑体"/>
                <w:sz w:val="18"/>
                <w:szCs w:val="18"/>
              </w:rPr>
              <w:t xml:space="preserve">GB/T 26572 </w:t>
            </w:r>
            <w:r>
              <w:rPr>
                <w:rFonts w:ascii="黑体" w:hAnsi="黑体" w:eastAsia="黑体"/>
                <w:sz w:val="18"/>
                <w:szCs w:val="18"/>
                <w:lang w:val="zh-CN"/>
              </w:rPr>
              <w:t>中规定</w:t>
            </w:r>
          </w:p>
        </w:tc>
      </w:tr>
    </w:tbl>
    <w:p>
      <w:pPr>
        <w:rPr>
          <w:rFonts w:ascii="宋体" w:hAnsi="宋体" w:cs="宋体"/>
          <w:sz w:val="18"/>
          <w:szCs w:val="18"/>
        </w:rPr>
      </w:pPr>
      <w:r>
        <w:rPr>
          <w:rFonts w:hint="eastAsia" w:ascii="宋体" w:hAnsi="宋体" w:cs="宋体"/>
          <w:sz w:val="18"/>
          <w:szCs w:val="18"/>
        </w:rPr>
        <w:br w:type="page"/>
      </w:r>
    </w:p>
    <w:p>
      <w:pPr>
        <w:pStyle w:val="32"/>
      </w:pPr>
    </w:p>
    <w:p>
      <w:pPr>
        <w:widowControl/>
        <w:jc w:val="left"/>
        <w:rPr>
          <w:rFonts w:ascii="宋体" w:hAnsi="宋体" w:cs="宋体"/>
          <w:b/>
          <w:bCs/>
          <w:kern w:val="0"/>
          <w:szCs w:val="21"/>
          <w:lang w:bidi="ar"/>
        </w:rPr>
      </w:pPr>
      <w:r>
        <w:rPr>
          <w:rFonts w:hint="eastAsia" w:ascii="宋体" w:hAnsi="宋体" w:cs="宋体"/>
          <w:b/>
          <w:bCs/>
          <w:kern w:val="0"/>
          <w:szCs w:val="21"/>
          <w:lang w:bidi="ar"/>
        </w:rPr>
        <w:t>附件二《桌面显示器采购需求》</w:t>
      </w:r>
    </w:p>
    <w:tbl>
      <w:tblPr>
        <w:tblStyle w:val="42"/>
        <w:tblpPr w:leftFromText="180" w:rightFromText="180" w:vertAnchor="page" w:horzAnchor="page" w:tblpX="1118" w:tblpY="2338"/>
        <w:tblOverlap w:val="never"/>
        <w:tblW w:w="9337" w:type="dxa"/>
        <w:tblInd w:w="0" w:type="dxa"/>
        <w:tblLayout w:type="fixed"/>
        <w:tblCellMar>
          <w:top w:w="0" w:type="dxa"/>
          <w:left w:w="0" w:type="dxa"/>
          <w:bottom w:w="0" w:type="dxa"/>
          <w:right w:w="0" w:type="dxa"/>
        </w:tblCellMar>
      </w:tblPr>
      <w:tblGrid>
        <w:gridCol w:w="572"/>
        <w:gridCol w:w="1016"/>
        <w:gridCol w:w="1016"/>
        <w:gridCol w:w="1232"/>
        <w:gridCol w:w="4023"/>
        <w:gridCol w:w="1478"/>
      </w:tblGrid>
      <w:tr>
        <w:tblPrEx>
          <w:tblCellMar>
            <w:top w:w="0" w:type="dxa"/>
            <w:left w:w="0" w:type="dxa"/>
            <w:bottom w:w="0" w:type="dxa"/>
            <w:right w:w="0" w:type="dxa"/>
          </w:tblCellMar>
        </w:tblPrEx>
        <w:trPr>
          <w:trHeight w:val="665" w:hRule="exact"/>
        </w:trPr>
        <w:tc>
          <w:tcPr>
            <w:tcW w:w="5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textAlignment w:val="baseline"/>
              <w:rPr>
                <w:rFonts w:ascii="黑体" w:hAnsi="黑体" w:eastAsia="黑体"/>
                <w:b/>
                <w:spacing w:val="-3"/>
                <w:sz w:val="18"/>
                <w:lang w:val="zh-CN"/>
              </w:rPr>
            </w:pPr>
            <w:r>
              <w:rPr>
                <w:rFonts w:ascii="黑体" w:hAnsi="黑体" w:eastAsia="黑体"/>
                <w:b/>
                <w:spacing w:val="-3"/>
                <w:sz w:val="18"/>
                <w:lang w:val="zh-CN"/>
              </w:rPr>
              <w:t>序</w:t>
            </w:r>
            <w:r>
              <w:rPr>
                <w:rFonts w:ascii="黑体" w:hAnsi="黑体" w:eastAsia="黑体"/>
                <w:b/>
                <w:spacing w:val="-3"/>
                <w:sz w:val="18"/>
                <w:lang w:val="zh-CN"/>
              </w:rPr>
              <w:cr/>
            </w:r>
            <w:r>
              <w:rPr>
                <w:rFonts w:ascii="黑体" w:hAnsi="黑体" w:eastAsia="黑体"/>
                <w:b/>
                <w:spacing w:val="-3"/>
                <w:sz w:val="18"/>
                <w:lang w:val="zh-CN"/>
              </w:rPr>
              <w:br w:type="textWrapping"/>
            </w:r>
            <w:r>
              <w:rPr>
                <w:rFonts w:ascii="黑体" w:hAnsi="黑体" w:eastAsia="黑体"/>
                <w:b/>
                <w:spacing w:val="-3"/>
                <w:sz w:val="18"/>
                <w:lang w:val="zh-CN"/>
              </w:rPr>
              <w:t>号</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textAlignment w:val="baseline"/>
              <w:rPr>
                <w:rFonts w:ascii="黑体" w:hAnsi="黑体" w:eastAsia="黑体"/>
                <w:b/>
                <w:spacing w:val="-3"/>
                <w:sz w:val="18"/>
                <w:lang w:val="zh-CN"/>
              </w:rPr>
            </w:pPr>
            <w:r>
              <w:rPr>
                <w:rFonts w:ascii="黑体" w:hAnsi="黑体" w:eastAsia="黑体"/>
                <w:b/>
                <w:spacing w:val="-3"/>
                <w:sz w:val="18"/>
                <w:lang w:val="zh-CN"/>
              </w:rPr>
              <w:t>指标</w:t>
            </w:r>
            <w:r>
              <w:rPr>
                <w:rFonts w:ascii="黑体" w:hAnsi="黑体" w:eastAsia="黑体"/>
                <w:sz w:val="24"/>
              </w:rPr>
              <w:cr/>
            </w:r>
            <w:r>
              <w:rPr>
                <w:rFonts w:ascii="黑体" w:hAnsi="黑体" w:eastAsia="黑体"/>
                <w:sz w:val="24"/>
              </w:rPr>
              <w:br w:type="textWrapping"/>
            </w:r>
            <w:r>
              <w:rPr>
                <w:rFonts w:ascii="黑体" w:hAnsi="黑体" w:eastAsia="黑体"/>
                <w:b/>
                <w:spacing w:val="-3"/>
                <w:sz w:val="18"/>
                <w:lang w:val="zh-CN"/>
              </w:rPr>
              <w:t>分类</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textAlignment w:val="baseline"/>
              <w:rPr>
                <w:rFonts w:ascii="黑体" w:hAnsi="黑体" w:eastAsia="黑体"/>
                <w:b/>
                <w:sz w:val="18"/>
                <w:lang w:val="zh-CN"/>
              </w:rPr>
            </w:pPr>
            <w:r>
              <w:rPr>
                <w:rFonts w:ascii="黑体" w:hAnsi="黑体" w:eastAsia="黑体"/>
                <w:b/>
                <w:sz w:val="18"/>
                <w:lang w:val="zh-CN"/>
              </w:rPr>
              <w:t>一级</w:t>
            </w:r>
            <w:r>
              <w:rPr>
                <w:rFonts w:ascii="黑体" w:hAnsi="黑体" w:eastAsia="黑体"/>
                <w:sz w:val="24"/>
              </w:rPr>
              <w:cr/>
            </w:r>
            <w:r>
              <w:rPr>
                <w:rFonts w:ascii="黑体" w:hAnsi="黑体" w:eastAsia="黑体"/>
                <w:sz w:val="24"/>
              </w:rPr>
              <w:br w:type="textWrapping"/>
            </w:r>
            <w:r>
              <w:rPr>
                <w:rFonts w:ascii="黑体" w:hAnsi="黑体" w:eastAsia="黑体"/>
                <w:b/>
                <w:sz w:val="18"/>
                <w:lang w:val="zh-CN"/>
              </w:rPr>
              <w:t>指标</w:t>
            </w:r>
          </w:p>
        </w:tc>
        <w:tc>
          <w:tcPr>
            <w:tcW w:w="123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textAlignment w:val="baseline"/>
              <w:rPr>
                <w:rFonts w:ascii="黑体" w:hAnsi="黑体" w:eastAsia="黑体"/>
                <w:b/>
                <w:sz w:val="18"/>
                <w:lang w:val="zh-CN"/>
              </w:rPr>
            </w:pPr>
            <w:r>
              <w:rPr>
                <w:rFonts w:ascii="黑体" w:hAnsi="黑体" w:eastAsia="黑体"/>
                <w:b/>
                <w:sz w:val="18"/>
                <w:lang w:val="zh-CN"/>
              </w:rPr>
              <w:t>二级</w:t>
            </w:r>
            <w:r>
              <w:rPr>
                <w:rFonts w:ascii="黑体" w:hAnsi="黑体" w:eastAsia="黑体"/>
                <w:sz w:val="24"/>
              </w:rPr>
              <w:cr/>
            </w:r>
            <w:r>
              <w:rPr>
                <w:rFonts w:ascii="黑体" w:hAnsi="黑体" w:eastAsia="黑体"/>
                <w:sz w:val="24"/>
              </w:rPr>
              <w:br w:type="textWrapping"/>
            </w:r>
            <w:r>
              <w:rPr>
                <w:rFonts w:ascii="黑体" w:hAnsi="黑体" w:eastAsia="黑体"/>
                <w:b/>
                <w:sz w:val="18"/>
                <w:lang w:val="zh-CN"/>
              </w:rPr>
              <w:t>指标</w:t>
            </w:r>
          </w:p>
        </w:tc>
        <w:tc>
          <w:tcPr>
            <w:tcW w:w="402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ind w:right="1187"/>
              <w:jc w:val="center"/>
              <w:textAlignment w:val="baseline"/>
              <w:rPr>
                <w:rFonts w:ascii="黑体" w:hAnsi="黑体" w:eastAsia="黑体"/>
                <w:b/>
                <w:sz w:val="18"/>
                <w:lang w:val="zh-CN"/>
              </w:rPr>
            </w:pPr>
            <w:r>
              <w:rPr>
                <w:rFonts w:ascii="黑体" w:hAnsi="黑体" w:eastAsia="黑体"/>
                <w:b/>
                <w:sz w:val="18"/>
                <w:lang w:val="zh-CN"/>
              </w:rPr>
              <w:t>指标要求</w:t>
            </w:r>
          </w:p>
        </w:tc>
        <w:tc>
          <w:tcPr>
            <w:tcW w:w="147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textAlignment w:val="baseline"/>
              <w:rPr>
                <w:rFonts w:ascii="黑体" w:hAnsi="黑体" w:eastAsia="黑体"/>
                <w:b/>
                <w:sz w:val="18"/>
              </w:rPr>
            </w:pPr>
            <w:r>
              <w:rPr>
                <w:rFonts w:hint="eastAsia" w:ascii="黑体" w:hAnsi="黑体" w:eastAsia="黑体"/>
                <w:b/>
                <w:sz w:val="18"/>
              </w:rPr>
              <w:t>备注</w:t>
            </w:r>
          </w:p>
        </w:tc>
      </w:tr>
      <w:tr>
        <w:tblPrEx>
          <w:tblCellMar>
            <w:top w:w="0" w:type="dxa"/>
            <w:left w:w="0" w:type="dxa"/>
            <w:bottom w:w="0" w:type="dxa"/>
            <w:right w:w="0" w:type="dxa"/>
          </w:tblCellMar>
        </w:tblPrEx>
        <w:trPr>
          <w:trHeight w:val="665" w:hRule="exact"/>
        </w:trPr>
        <w:tc>
          <w:tcPr>
            <w:tcW w:w="57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textAlignment w:val="baseline"/>
              <w:rPr>
                <w:rFonts w:hint="eastAsia" w:ascii="黑体" w:hAnsi="黑体" w:eastAsia="黑体"/>
                <w:b w:val="0"/>
                <w:bCs/>
                <w:color w:val="auto"/>
                <w:spacing w:val="-3"/>
                <w:sz w:val="18"/>
                <w:lang w:val="en-US" w:eastAsia="zh-CN"/>
              </w:rPr>
            </w:pPr>
            <w:r>
              <w:rPr>
                <w:rFonts w:hint="eastAsia" w:ascii="黑体" w:hAnsi="黑体" w:eastAsia="黑体"/>
                <w:b w:val="0"/>
                <w:bCs/>
                <w:color w:val="auto"/>
                <w:spacing w:val="-3"/>
                <w:sz w:val="18"/>
                <w:lang w:val="en-US" w:eastAsia="zh-CN"/>
              </w:rPr>
              <w:t>1</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textAlignment w:val="baseline"/>
              <w:rPr>
                <w:rFonts w:ascii="黑体" w:hAnsi="黑体" w:eastAsia="黑体"/>
                <w:b w:val="0"/>
                <w:bCs/>
                <w:color w:val="auto"/>
                <w:spacing w:val="-3"/>
                <w:sz w:val="18"/>
                <w:lang w:val="zh-CN"/>
              </w:rPr>
            </w:pPr>
            <w:r>
              <w:rPr>
                <w:rFonts w:ascii="黑体" w:hAnsi="黑体" w:eastAsia="黑体"/>
                <w:color w:val="auto"/>
                <w:spacing w:val="-3"/>
                <w:sz w:val="18"/>
                <w:lang w:val="zh-CN"/>
              </w:rPr>
              <w:t>产品规格</w:t>
            </w:r>
          </w:p>
        </w:tc>
        <w:tc>
          <w:tcPr>
            <w:tcW w:w="1016" w:type="dxa"/>
            <w:vMerge w:val="restart"/>
            <w:tcBorders>
              <w:top w:val="single" w:color="auto" w:sz="4" w:space="0"/>
              <w:left w:val="single" w:color="auto" w:sz="4" w:space="0"/>
              <w:right w:val="single" w:color="auto" w:sz="4" w:space="0"/>
            </w:tcBorders>
            <w:vAlign w:val="center"/>
          </w:tcPr>
          <w:p>
            <w:pPr>
              <w:widowControl/>
              <w:spacing w:line="240" w:lineRule="exact"/>
              <w:jc w:val="center"/>
              <w:rPr>
                <w:color w:val="auto"/>
              </w:rPr>
            </w:pPr>
            <w:r>
              <w:rPr>
                <w:rFonts w:hint="eastAsia"/>
                <w:color w:val="auto"/>
              </w:rPr>
              <w:t>★</w:t>
            </w:r>
            <w:r>
              <w:rPr>
                <w:rFonts w:hint="eastAsia" w:ascii="黑体" w:hAnsi="黑体" w:eastAsia="黑体"/>
                <w:color w:val="auto"/>
                <w:spacing w:val="-3"/>
                <w:sz w:val="18"/>
                <w:lang w:val="en-US" w:eastAsia="zh-CN"/>
              </w:rPr>
              <w:t>显示设备规格</w:t>
            </w:r>
          </w:p>
        </w:tc>
        <w:tc>
          <w:tcPr>
            <w:tcW w:w="1232"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textAlignment w:val="baseline"/>
              <w:rPr>
                <w:rFonts w:hint="eastAsia" w:ascii="黑体" w:hAnsi="黑体" w:eastAsia="黑体"/>
                <w:b/>
                <w:color w:val="auto"/>
                <w:sz w:val="18"/>
                <w:lang w:val="zh-CN" w:eastAsia="zh-CN"/>
              </w:rPr>
            </w:pPr>
            <w:r>
              <w:rPr>
                <w:rFonts w:hint="eastAsia"/>
                <w:color w:val="auto"/>
              </w:rPr>
              <w:t>★</w:t>
            </w:r>
            <w:r>
              <w:rPr>
                <w:rFonts w:ascii="黑体" w:hAnsi="黑体" w:eastAsia="黑体"/>
                <w:color w:val="auto"/>
                <w:spacing w:val="-4"/>
                <w:sz w:val="18"/>
                <w:lang w:val="zh-CN"/>
              </w:rPr>
              <w:t>显示屏</w:t>
            </w:r>
            <w:r>
              <w:rPr>
                <w:rFonts w:hint="eastAsia" w:ascii="黑体" w:hAnsi="黑体" w:eastAsia="黑体"/>
                <w:color w:val="auto"/>
                <w:spacing w:val="-4"/>
                <w:sz w:val="18"/>
                <w:lang w:val="en-US" w:eastAsia="zh-CN"/>
              </w:rPr>
              <w:t>占比</w:t>
            </w:r>
          </w:p>
        </w:tc>
        <w:tc>
          <w:tcPr>
            <w:tcW w:w="4023" w:type="dxa"/>
            <w:tcBorders>
              <w:top w:val="single" w:color="auto" w:sz="4" w:space="0"/>
              <w:left w:val="single" w:color="auto" w:sz="4" w:space="0"/>
              <w:bottom w:val="single" w:color="auto" w:sz="4" w:space="0"/>
              <w:right w:val="single" w:color="auto" w:sz="4" w:space="0"/>
            </w:tcBorders>
            <w:vAlign w:val="center"/>
          </w:tcPr>
          <w:p>
            <w:pPr>
              <w:widowControl/>
              <w:spacing w:line="240" w:lineRule="exact"/>
              <w:ind w:right="1187"/>
              <w:jc w:val="center"/>
              <w:textAlignment w:val="baseline"/>
              <w:rPr>
                <w:rFonts w:hint="default" w:ascii="黑体" w:hAnsi="黑体" w:eastAsia="黑体"/>
                <w:b/>
                <w:color w:val="auto"/>
                <w:sz w:val="18"/>
                <w:lang w:val="en-US" w:eastAsia="zh-CN"/>
              </w:rPr>
            </w:pPr>
            <w:r>
              <w:rPr>
                <w:rFonts w:hint="eastAsia" w:ascii="黑体" w:hAnsi="黑体" w:eastAsia="黑体"/>
                <w:color w:val="auto"/>
                <w:sz w:val="18"/>
                <w:lang w:val="en-US" w:eastAsia="zh-CN"/>
              </w:rPr>
              <w:t xml:space="preserve">         </w:t>
            </w:r>
            <w:r>
              <w:rPr>
                <w:rFonts w:ascii="黑体" w:hAnsi="黑体" w:eastAsia="黑体"/>
                <w:color w:val="auto"/>
                <w:sz w:val="18"/>
                <w:lang w:val="zh-CN"/>
              </w:rPr>
              <w:t>≥</w:t>
            </w:r>
            <w:r>
              <w:rPr>
                <w:rFonts w:hint="eastAsia" w:ascii="黑体" w:hAnsi="黑体" w:eastAsia="黑体"/>
                <w:color w:val="auto"/>
                <w:sz w:val="18"/>
                <w:lang w:val="en-US" w:eastAsia="zh-CN"/>
              </w:rPr>
              <w:t>80%</w:t>
            </w:r>
          </w:p>
        </w:tc>
        <w:tc>
          <w:tcPr>
            <w:tcW w:w="1478"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textAlignment w:val="baseline"/>
              <w:rPr>
                <w:rFonts w:hint="eastAsia" w:ascii="黑体" w:hAnsi="黑体" w:eastAsia="黑体"/>
                <w:b/>
                <w:color w:val="auto"/>
                <w:sz w:val="18"/>
              </w:rPr>
            </w:pPr>
          </w:p>
        </w:tc>
      </w:tr>
      <w:tr>
        <w:tblPrEx>
          <w:tblCellMar>
            <w:top w:w="0" w:type="dxa"/>
            <w:left w:w="0" w:type="dxa"/>
            <w:bottom w:w="0" w:type="dxa"/>
            <w:right w:w="0" w:type="dxa"/>
          </w:tblCellMar>
        </w:tblPrEx>
        <w:trPr>
          <w:trHeight w:val="676"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ascii="黑体" w:hAnsi="黑体" w:eastAsia="黑体"/>
                <w:color w:val="auto"/>
                <w:sz w:val="18"/>
              </w:rPr>
            </w:pPr>
            <w:r>
              <w:rPr>
                <w:rFonts w:hint="eastAsia" w:ascii="黑体" w:hAnsi="黑体" w:eastAsia="黑体"/>
                <w:color w:val="auto"/>
                <w:sz w:val="18"/>
              </w:rPr>
              <w:t>2</w:t>
            </w:r>
          </w:p>
        </w:tc>
        <w:tc>
          <w:tcPr>
            <w:tcW w:w="1016"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ind w:left="108" w:right="180"/>
              <w:jc w:val="center"/>
              <w:textAlignment w:val="baseline"/>
              <w:rPr>
                <w:rFonts w:ascii="黑体" w:hAnsi="黑体" w:eastAsia="黑体"/>
                <w:color w:val="auto"/>
                <w:spacing w:val="-3"/>
                <w:sz w:val="18"/>
                <w:lang w:val="zh-CN"/>
              </w:rPr>
            </w:pPr>
            <w:r>
              <w:rPr>
                <w:rFonts w:ascii="黑体" w:hAnsi="黑体" w:eastAsia="黑体"/>
                <w:color w:val="auto"/>
                <w:spacing w:val="-3"/>
                <w:sz w:val="18"/>
                <w:lang w:val="zh-CN"/>
              </w:rPr>
              <w:t>产品规格</w:t>
            </w:r>
          </w:p>
        </w:tc>
        <w:tc>
          <w:tcPr>
            <w:tcW w:w="1016" w:type="dxa"/>
            <w:vMerge w:val="continue"/>
            <w:tcBorders>
              <w:left w:val="single" w:color="auto" w:sz="4" w:space="0"/>
              <w:right w:val="single" w:color="auto" w:sz="4" w:space="0"/>
            </w:tcBorders>
            <w:vAlign w:val="center"/>
          </w:tcPr>
          <w:p>
            <w:pPr>
              <w:widowControl/>
              <w:spacing w:line="240" w:lineRule="exact"/>
              <w:jc w:val="center"/>
              <w:rPr>
                <w:color w:val="auto"/>
              </w:rPr>
            </w:pP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right="252"/>
              <w:jc w:val="center"/>
              <w:textAlignment w:val="baseline"/>
              <w:rPr>
                <w:rFonts w:ascii="黑体" w:hAnsi="黑体" w:eastAsia="黑体"/>
                <w:color w:val="auto"/>
                <w:spacing w:val="-4"/>
                <w:sz w:val="18"/>
                <w:lang w:val="zh-CN"/>
              </w:rPr>
            </w:pPr>
            <w:r>
              <w:rPr>
                <w:rFonts w:hint="eastAsia"/>
                <w:color w:val="auto"/>
              </w:rPr>
              <w:t>★</w:t>
            </w:r>
            <w:r>
              <w:rPr>
                <w:rFonts w:ascii="黑体" w:hAnsi="黑体" w:eastAsia="黑体"/>
                <w:color w:val="auto"/>
                <w:spacing w:val="-4"/>
                <w:sz w:val="18"/>
                <w:lang w:val="zh-CN"/>
              </w:rPr>
              <w:t>显示屏分辨率</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10"/>
              <w:jc w:val="center"/>
              <w:textAlignment w:val="baseline"/>
              <w:rPr>
                <w:rFonts w:ascii="黑体" w:hAnsi="黑体" w:eastAsia="黑体"/>
                <w:color w:val="auto"/>
                <w:sz w:val="18"/>
                <w:lang w:val="zh-CN"/>
              </w:rPr>
            </w:pPr>
            <w:r>
              <w:rPr>
                <w:rFonts w:ascii="黑体" w:hAnsi="黑体" w:eastAsia="黑体"/>
                <w:color w:val="auto"/>
                <w:sz w:val="18"/>
                <w:lang w:val="zh-CN"/>
              </w:rPr>
              <w:t>≥</w:t>
            </w:r>
            <w:r>
              <w:rPr>
                <w:rFonts w:hint="eastAsia" w:ascii="黑体" w:hAnsi="黑体" w:eastAsia="黑体"/>
                <w:color w:val="auto"/>
                <w:sz w:val="18"/>
              </w:rPr>
              <w:t>2560</w:t>
            </w:r>
            <w:r>
              <w:rPr>
                <w:rFonts w:ascii="黑体" w:hAnsi="黑体" w:eastAsia="黑体"/>
                <w:color w:val="auto"/>
                <w:sz w:val="18"/>
              </w:rPr>
              <w:t>x1080</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8" w:right="108"/>
              <w:jc w:val="center"/>
              <w:textAlignment w:val="baseline"/>
              <w:rPr>
                <w:rFonts w:ascii="黑体" w:hAnsi="黑体" w:eastAsia="黑体"/>
                <w:color w:val="auto"/>
                <w:spacing w:val="-3"/>
                <w:sz w:val="18"/>
                <w:lang w:val="zh-CN"/>
              </w:rPr>
            </w:pPr>
          </w:p>
        </w:tc>
      </w:tr>
      <w:tr>
        <w:tblPrEx>
          <w:tblCellMar>
            <w:top w:w="0" w:type="dxa"/>
            <w:left w:w="0" w:type="dxa"/>
            <w:bottom w:w="0" w:type="dxa"/>
            <w:right w:w="0" w:type="dxa"/>
          </w:tblCellMar>
        </w:tblPrEx>
        <w:trPr>
          <w:trHeight w:val="522"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ascii="黑体" w:hAnsi="黑体" w:eastAsia="黑体"/>
                <w:color w:val="auto"/>
                <w:sz w:val="18"/>
              </w:rPr>
            </w:pPr>
            <w:r>
              <w:rPr>
                <w:rFonts w:hint="eastAsia" w:ascii="黑体" w:hAnsi="黑体" w:eastAsia="黑体"/>
                <w:color w:val="auto"/>
                <w:sz w:val="18"/>
              </w:rPr>
              <w:t>4</w:t>
            </w:r>
          </w:p>
        </w:tc>
        <w:tc>
          <w:tcPr>
            <w:tcW w:w="1016"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ind w:left="108" w:right="180"/>
              <w:jc w:val="center"/>
              <w:textAlignment w:val="baseline"/>
              <w:rPr>
                <w:rFonts w:ascii="黑体" w:hAnsi="黑体" w:eastAsia="黑体"/>
                <w:color w:val="auto"/>
                <w:spacing w:val="-3"/>
                <w:sz w:val="18"/>
                <w:lang w:val="zh-CN"/>
              </w:rPr>
            </w:pPr>
            <w:r>
              <w:rPr>
                <w:rFonts w:ascii="黑体" w:hAnsi="黑体" w:eastAsia="黑体"/>
                <w:color w:val="auto"/>
                <w:spacing w:val="-3"/>
                <w:sz w:val="18"/>
                <w:lang w:val="zh-CN"/>
              </w:rPr>
              <w:t>产品规格</w:t>
            </w:r>
          </w:p>
        </w:tc>
        <w:tc>
          <w:tcPr>
            <w:tcW w:w="1016" w:type="dxa"/>
            <w:vMerge w:val="continue"/>
            <w:tcBorders>
              <w:left w:val="single" w:color="auto" w:sz="4" w:space="0"/>
              <w:right w:val="single" w:color="auto" w:sz="4" w:space="0"/>
            </w:tcBorders>
            <w:vAlign w:val="center"/>
          </w:tcPr>
          <w:p>
            <w:pPr>
              <w:widowControl/>
              <w:spacing w:line="240" w:lineRule="exact"/>
              <w:jc w:val="center"/>
              <w:rPr>
                <w:color w:val="auto"/>
              </w:rPr>
            </w:pP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right="180"/>
              <w:jc w:val="center"/>
              <w:textAlignment w:val="baseline"/>
              <w:rPr>
                <w:rFonts w:ascii="黑体" w:hAnsi="黑体" w:eastAsia="黑体"/>
                <w:color w:val="auto"/>
                <w:spacing w:val="-4"/>
                <w:sz w:val="18"/>
                <w:lang w:val="zh-CN"/>
              </w:rPr>
            </w:pPr>
            <w:r>
              <w:rPr>
                <w:rFonts w:ascii="黑体" w:hAnsi="黑体" w:eastAsia="黑体"/>
                <w:color w:val="auto"/>
                <w:spacing w:val="-4"/>
                <w:sz w:val="18"/>
                <w:lang w:val="zh-CN"/>
              </w:rPr>
              <w:t>显示屏可视角度</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10"/>
              <w:jc w:val="center"/>
              <w:textAlignment w:val="baseline"/>
              <w:rPr>
                <w:rFonts w:ascii="黑体" w:hAnsi="黑体" w:eastAsia="黑体"/>
                <w:color w:val="auto"/>
                <w:sz w:val="18"/>
                <w:lang w:val="zh-CN"/>
              </w:rPr>
            </w:pPr>
            <w:r>
              <w:rPr>
                <w:rFonts w:ascii="黑体" w:hAnsi="黑体" w:eastAsia="黑体"/>
                <w:color w:val="auto"/>
                <w:sz w:val="18"/>
                <w:lang w:val="zh-CN"/>
              </w:rPr>
              <w:t>水平≥17</w:t>
            </w:r>
            <w:r>
              <w:rPr>
                <w:rFonts w:hint="eastAsia" w:ascii="黑体" w:hAnsi="黑体" w:eastAsia="黑体"/>
                <w:color w:val="auto"/>
                <w:sz w:val="18"/>
              </w:rPr>
              <w:t>8</w:t>
            </w:r>
            <w:r>
              <w:rPr>
                <w:rFonts w:ascii="黑体" w:hAnsi="黑体" w:eastAsia="黑体"/>
                <w:color w:val="auto"/>
                <w:sz w:val="18"/>
                <w:lang w:val="zh-CN"/>
              </w:rPr>
              <w:t>°</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8" w:right="252"/>
              <w:jc w:val="center"/>
              <w:textAlignment w:val="baseline"/>
              <w:rPr>
                <w:rFonts w:ascii="黑体" w:hAnsi="黑体" w:eastAsia="黑体"/>
                <w:color w:val="auto"/>
                <w:spacing w:val="-3"/>
                <w:sz w:val="18"/>
                <w:lang w:val="zh-CN"/>
              </w:rPr>
            </w:pPr>
          </w:p>
        </w:tc>
      </w:tr>
      <w:tr>
        <w:tblPrEx>
          <w:tblCellMar>
            <w:top w:w="0" w:type="dxa"/>
            <w:left w:w="0" w:type="dxa"/>
            <w:bottom w:w="0" w:type="dxa"/>
            <w:right w:w="0" w:type="dxa"/>
          </w:tblCellMar>
        </w:tblPrEx>
        <w:trPr>
          <w:trHeight w:val="522"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ascii="黑体" w:hAnsi="黑体" w:eastAsia="黑体"/>
                <w:color w:val="auto"/>
                <w:sz w:val="18"/>
              </w:rPr>
            </w:pPr>
            <w:r>
              <w:rPr>
                <w:rFonts w:hint="eastAsia" w:ascii="黑体" w:hAnsi="黑体" w:eastAsia="黑体"/>
                <w:color w:val="auto"/>
                <w:sz w:val="18"/>
              </w:rPr>
              <w:t>5</w:t>
            </w:r>
          </w:p>
        </w:tc>
        <w:tc>
          <w:tcPr>
            <w:tcW w:w="1016"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ind w:left="108" w:right="180"/>
              <w:jc w:val="center"/>
              <w:textAlignment w:val="baseline"/>
              <w:rPr>
                <w:rFonts w:ascii="黑体" w:hAnsi="黑体" w:eastAsia="黑体"/>
                <w:color w:val="auto"/>
                <w:spacing w:val="-3"/>
                <w:sz w:val="18"/>
                <w:lang w:val="zh-CN"/>
              </w:rPr>
            </w:pPr>
            <w:r>
              <w:rPr>
                <w:rFonts w:ascii="黑体" w:hAnsi="黑体" w:eastAsia="黑体"/>
                <w:color w:val="auto"/>
                <w:spacing w:val="-3"/>
                <w:sz w:val="18"/>
                <w:lang w:val="zh-CN"/>
              </w:rPr>
              <w:t>产品规格</w:t>
            </w:r>
          </w:p>
        </w:tc>
        <w:tc>
          <w:tcPr>
            <w:tcW w:w="1016" w:type="dxa"/>
            <w:vMerge w:val="continue"/>
            <w:tcBorders>
              <w:left w:val="single" w:color="auto" w:sz="4" w:space="0"/>
              <w:right w:val="single" w:color="auto" w:sz="4" w:space="0"/>
            </w:tcBorders>
            <w:vAlign w:val="center"/>
          </w:tcPr>
          <w:p>
            <w:pPr>
              <w:widowControl/>
              <w:spacing w:line="240" w:lineRule="exact"/>
              <w:jc w:val="center"/>
              <w:rPr>
                <w:color w:val="auto"/>
              </w:rPr>
            </w:pP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right="252"/>
              <w:jc w:val="center"/>
              <w:textAlignment w:val="baseline"/>
              <w:rPr>
                <w:rFonts w:ascii="黑体" w:hAnsi="黑体" w:eastAsia="黑体"/>
                <w:color w:val="auto"/>
                <w:spacing w:val="-3"/>
                <w:sz w:val="18"/>
                <w:lang w:val="zh-CN"/>
              </w:rPr>
            </w:pPr>
            <w:r>
              <w:rPr>
                <w:rFonts w:hint="eastAsia"/>
                <w:color w:val="auto"/>
              </w:rPr>
              <w:t>★</w:t>
            </w:r>
            <w:r>
              <w:rPr>
                <w:rFonts w:ascii="黑体" w:hAnsi="黑体" w:eastAsia="黑体"/>
                <w:color w:val="auto"/>
                <w:spacing w:val="-3"/>
                <w:sz w:val="18"/>
                <w:lang w:val="zh-CN"/>
              </w:rPr>
              <w:t>显示屏尺寸</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10"/>
              <w:jc w:val="center"/>
              <w:textAlignment w:val="baseline"/>
              <w:rPr>
                <w:rFonts w:ascii="黑体" w:hAnsi="黑体" w:eastAsia="黑体"/>
                <w:color w:val="auto"/>
                <w:sz w:val="18"/>
                <w:lang w:val="zh-CN"/>
              </w:rPr>
            </w:pPr>
            <w:r>
              <w:rPr>
                <w:rFonts w:ascii="黑体" w:hAnsi="黑体" w:eastAsia="黑体"/>
                <w:color w:val="auto"/>
                <w:sz w:val="18"/>
                <w:lang w:val="zh-CN"/>
              </w:rPr>
              <w:t>≥2</w:t>
            </w:r>
            <w:r>
              <w:rPr>
                <w:rFonts w:hint="eastAsia" w:ascii="黑体" w:hAnsi="黑体" w:eastAsia="黑体"/>
                <w:color w:val="auto"/>
                <w:sz w:val="18"/>
              </w:rPr>
              <w:t>9</w:t>
            </w:r>
            <w:r>
              <w:rPr>
                <w:rFonts w:ascii="黑体" w:hAnsi="黑体" w:eastAsia="黑体"/>
                <w:color w:val="auto"/>
                <w:sz w:val="18"/>
                <w:lang w:val="zh-CN"/>
              </w:rPr>
              <w:t xml:space="preserve"> 英寸</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8"/>
              <w:jc w:val="center"/>
              <w:textAlignment w:val="baseline"/>
              <w:rPr>
                <w:rFonts w:ascii="黑体" w:hAnsi="黑体" w:eastAsia="黑体"/>
                <w:color w:val="auto"/>
                <w:spacing w:val="-3"/>
                <w:sz w:val="18"/>
                <w:lang w:val="zh-CN"/>
              </w:rPr>
            </w:pPr>
          </w:p>
        </w:tc>
      </w:tr>
      <w:tr>
        <w:tblPrEx>
          <w:tblCellMar>
            <w:top w:w="0" w:type="dxa"/>
            <w:left w:w="0" w:type="dxa"/>
            <w:bottom w:w="0" w:type="dxa"/>
            <w:right w:w="0" w:type="dxa"/>
          </w:tblCellMar>
        </w:tblPrEx>
        <w:trPr>
          <w:trHeight w:val="522"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ascii="黑体" w:hAnsi="黑体" w:eastAsia="黑体"/>
                <w:color w:val="auto"/>
                <w:sz w:val="18"/>
              </w:rPr>
            </w:pPr>
            <w:r>
              <w:rPr>
                <w:rFonts w:hint="eastAsia" w:ascii="黑体" w:hAnsi="黑体" w:eastAsia="黑体"/>
                <w:color w:val="auto"/>
                <w:sz w:val="18"/>
              </w:rPr>
              <w:t>6</w:t>
            </w:r>
          </w:p>
        </w:tc>
        <w:tc>
          <w:tcPr>
            <w:tcW w:w="1016"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ind w:left="108" w:right="180"/>
              <w:jc w:val="center"/>
              <w:textAlignment w:val="baseline"/>
              <w:rPr>
                <w:rFonts w:ascii="黑体" w:hAnsi="黑体" w:eastAsia="黑体"/>
                <w:color w:val="auto"/>
                <w:spacing w:val="-3"/>
                <w:sz w:val="18"/>
                <w:lang w:val="zh-CN"/>
              </w:rPr>
            </w:pPr>
            <w:r>
              <w:rPr>
                <w:rFonts w:ascii="黑体" w:hAnsi="黑体" w:eastAsia="黑体"/>
                <w:color w:val="auto"/>
                <w:spacing w:val="-3"/>
                <w:sz w:val="18"/>
                <w:lang w:val="zh-CN"/>
              </w:rPr>
              <w:t>产品规格</w:t>
            </w:r>
          </w:p>
        </w:tc>
        <w:tc>
          <w:tcPr>
            <w:tcW w:w="1016" w:type="dxa"/>
            <w:vMerge w:val="continue"/>
            <w:tcBorders>
              <w:left w:val="single" w:color="auto" w:sz="4" w:space="0"/>
              <w:right w:val="single" w:color="auto" w:sz="4" w:space="0"/>
            </w:tcBorders>
            <w:vAlign w:val="center"/>
          </w:tcPr>
          <w:p>
            <w:pPr>
              <w:widowControl/>
              <w:spacing w:line="240" w:lineRule="exact"/>
              <w:jc w:val="center"/>
              <w:rPr>
                <w:color w:val="auto"/>
              </w:rPr>
            </w:pP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right="180"/>
              <w:jc w:val="center"/>
              <w:textAlignment w:val="baseline"/>
              <w:rPr>
                <w:rFonts w:ascii="黑体" w:hAnsi="黑体" w:eastAsia="黑体"/>
                <w:color w:val="auto"/>
                <w:spacing w:val="-4"/>
                <w:sz w:val="18"/>
                <w:lang w:val="zh-CN"/>
              </w:rPr>
            </w:pPr>
            <w:r>
              <w:rPr>
                <w:rFonts w:hint="eastAsia"/>
                <w:color w:val="auto"/>
              </w:rPr>
              <w:t>★</w:t>
            </w:r>
            <w:r>
              <w:rPr>
                <w:rFonts w:ascii="黑体" w:hAnsi="黑体" w:eastAsia="黑体"/>
                <w:color w:val="auto"/>
                <w:spacing w:val="-4"/>
                <w:sz w:val="18"/>
                <w:lang w:val="zh-CN"/>
              </w:rPr>
              <w:t>显示屏屏幕比例</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10"/>
              <w:jc w:val="center"/>
              <w:textAlignment w:val="baseline"/>
              <w:rPr>
                <w:rFonts w:ascii="黑体" w:hAnsi="黑体" w:eastAsia="黑体"/>
                <w:color w:val="auto"/>
                <w:sz w:val="18"/>
                <w:lang w:val="zh-CN"/>
              </w:rPr>
            </w:pPr>
            <w:r>
              <w:rPr>
                <w:rFonts w:ascii="黑体" w:hAnsi="黑体" w:eastAsia="黑体"/>
                <w:color w:val="auto"/>
                <w:sz w:val="18"/>
                <w:lang w:val="zh-CN"/>
              </w:rPr>
              <w:t>21:9</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8" w:right="252"/>
              <w:jc w:val="center"/>
              <w:textAlignment w:val="baseline"/>
              <w:rPr>
                <w:rFonts w:ascii="黑体" w:hAnsi="黑体" w:eastAsia="黑体"/>
                <w:color w:val="auto"/>
                <w:spacing w:val="-3"/>
                <w:sz w:val="18"/>
                <w:lang w:val="zh-CN"/>
              </w:rPr>
            </w:pPr>
          </w:p>
        </w:tc>
      </w:tr>
      <w:tr>
        <w:tblPrEx>
          <w:tblCellMar>
            <w:top w:w="0" w:type="dxa"/>
            <w:left w:w="0" w:type="dxa"/>
            <w:bottom w:w="0" w:type="dxa"/>
            <w:right w:w="0" w:type="dxa"/>
          </w:tblCellMar>
        </w:tblPrEx>
        <w:trPr>
          <w:trHeight w:val="522"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ascii="黑体" w:hAnsi="黑体" w:eastAsia="黑体"/>
                <w:color w:val="auto"/>
                <w:sz w:val="18"/>
              </w:rPr>
            </w:pPr>
            <w:r>
              <w:rPr>
                <w:rFonts w:hint="eastAsia" w:ascii="黑体" w:hAnsi="黑体" w:eastAsia="黑体"/>
                <w:color w:val="auto"/>
                <w:sz w:val="18"/>
              </w:rPr>
              <w:t>7</w:t>
            </w:r>
          </w:p>
        </w:tc>
        <w:tc>
          <w:tcPr>
            <w:tcW w:w="1016"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ind w:left="108" w:right="180"/>
              <w:jc w:val="center"/>
              <w:textAlignment w:val="baseline"/>
              <w:rPr>
                <w:rFonts w:ascii="黑体" w:hAnsi="黑体" w:eastAsia="黑体"/>
                <w:color w:val="auto"/>
                <w:spacing w:val="-3"/>
                <w:sz w:val="18"/>
                <w:lang w:val="zh-CN"/>
              </w:rPr>
            </w:pPr>
            <w:r>
              <w:rPr>
                <w:rFonts w:ascii="黑体" w:hAnsi="黑体" w:eastAsia="黑体"/>
                <w:color w:val="auto"/>
                <w:spacing w:val="-3"/>
                <w:sz w:val="18"/>
                <w:lang w:val="zh-CN"/>
              </w:rPr>
              <w:t>产品规格</w:t>
            </w:r>
          </w:p>
        </w:tc>
        <w:tc>
          <w:tcPr>
            <w:tcW w:w="1016" w:type="dxa"/>
            <w:vMerge w:val="continue"/>
            <w:tcBorders>
              <w:left w:val="single" w:color="auto" w:sz="4" w:space="0"/>
              <w:right w:val="single" w:color="auto" w:sz="4" w:space="0"/>
            </w:tcBorders>
            <w:vAlign w:val="center"/>
          </w:tcPr>
          <w:p>
            <w:pPr>
              <w:widowControl/>
              <w:spacing w:line="240" w:lineRule="exact"/>
              <w:jc w:val="center"/>
              <w:rPr>
                <w:color w:val="auto"/>
              </w:rPr>
            </w:pP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right="180"/>
              <w:jc w:val="center"/>
              <w:textAlignment w:val="baseline"/>
              <w:rPr>
                <w:rFonts w:ascii="黑体" w:hAnsi="黑体" w:eastAsia="黑体"/>
                <w:color w:val="auto"/>
                <w:spacing w:val="-4"/>
                <w:sz w:val="18"/>
                <w:lang w:val="zh-CN"/>
              </w:rPr>
            </w:pPr>
            <w:r>
              <w:rPr>
                <w:rFonts w:hint="eastAsia"/>
                <w:color w:val="auto"/>
              </w:rPr>
              <w:t>★</w:t>
            </w:r>
            <w:r>
              <w:rPr>
                <w:rFonts w:ascii="黑体" w:hAnsi="黑体" w:eastAsia="黑体"/>
                <w:color w:val="auto"/>
                <w:spacing w:val="-4"/>
                <w:sz w:val="18"/>
                <w:lang w:val="zh-CN"/>
              </w:rPr>
              <w:t>显示器外观颜色</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10"/>
              <w:jc w:val="center"/>
              <w:textAlignment w:val="baseline"/>
              <w:rPr>
                <w:rFonts w:ascii="黑体" w:hAnsi="黑体" w:eastAsia="黑体"/>
                <w:color w:val="auto"/>
                <w:sz w:val="18"/>
                <w:lang w:val="zh-CN"/>
              </w:rPr>
            </w:pPr>
            <w:r>
              <w:rPr>
                <w:rFonts w:ascii="黑体" w:hAnsi="黑体" w:eastAsia="黑体"/>
                <w:color w:val="auto"/>
                <w:sz w:val="18"/>
                <w:lang w:val="zh-CN"/>
              </w:rPr>
              <w:t>黑色/银色等商务色系</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8"/>
              <w:jc w:val="center"/>
              <w:textAlignment w:val="baseline"/>
              <w:rPr>
                <w:rFonts w:ascii="黑体" w:hAnsi="黑体" w:eastAsia="黑体"/>
                <w:color w:val="auto"/>
                <w:spacing w:val="-3"/>
                <w:sz w:val="18"/>
                <w:lang w:val="zh-CN"/>
              </w:rPr>
            </w:pPr>
          </w:p>
        </w:tc>
      </w:tr>
      <w:tr>
        <w:tblPrEx>
          <w:tblCellMar>
            <w:top w:w="0" w:type="dxa"/>
            <w:left w:w="0" w:type="dxa"/>
            <w:bottom w:w="0" w:type="dxa"/>
            <w:right w:w="0" w:type="dxa"/>
          </w:tblCellMar>
        </w:tblPrEx>
        <w:trPr>
          <w:trHeight w:val="522"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hint="eastAsia" w:ascii="黑体" w:hAnsi="黑体" w:eastAsia="黑体"/>
                <w:b/>
                <w:bCs/>
                <w:color w:val="auto"/>
                <w:sz w:val="18"/>
                <w:lang w:eastAsia="zh-CN"/>
              </w:rPr>
            </w:pPr>
            <w:r>
              <w:rPr>
                <w:rFonts w:hint="eastAsia" w:ascii="黑体" w:hAnsi="黑体" w:eastAsia="黑体"/>
                <w:color w:val="auto"/>
                <w:sz w:val="18"/>
                <w:lang w:val="en-US" w:eastAsia="zh-CN"/>
              </w:rPr>
              <w:t>8</w:t>
            </w:r>
          </w:p>
        </w:tc>
        <w:tc>
          <w:tcPr>
            <w:tcW w:w="1016"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ind w:left="108" w:leftChars="0" w:right="180" w:rightChars="0"/>
              <w:jc w:val="center"/>
              <w:textAlignment w:val="baseline"/>
              <w:rPr>
                <w:rFonts w:ascii="黑体" w:hAnsi="黑体" w:eastAsia="黑体"/>
                <w:b/>
                <w:bCs/>
                <w:color w:val="auto"/>
                <w:spacing w:val="-3"/>
                <w:sz w:val="18"/>
                <w:lang w:val="zh-CN"/>
              </w:rPr>
            </w:pPr>
            <w:r>
              <w:rPr>
                <w:rFonts w:ascii="黑体" w:hAnsi="黑体" w:eastAsia="黑体"/>
                <w:color w:val="auto"/>
                <w:spacing w:val="-3"/>
                <w:sz w:val="18"/>
                <w:lang w:val="zh-CN"/>
              </w:rPr>
              <w:t>产品规格</w:t>
            </w:r>
          </w:p>
        </w:tc>
        <w:tc>
          <w:tcPr>
            <w:tcW w:w="1016" w:type="dxa"/>
            <w:vMerge w:val="continue"/>
            <w:tcBorders>
              <w:left w:val="single" w:color="auto" w:sz="4" w:space="0"/>
              <w:right w:val="single" w:color="auto" w:sz="4" w:space="0"/>
            </w:tcBorders>
            <w:vAlign w:val="center"/>
          </w:tcPr>
          <w:p>
            <w:pPr>
              <w:widowControl/>
              <w:spacing w:line="240" w:lineRule="exact"/>
              <w:jc w:val="center"/>
              <w:rPr>
                <w:color w:val="auto"/>
              </w:rPr>
            </w:pP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right="180"/>
              <w:jc w:val="center"/>
              <w:textAlignment w:val="baseline"/>
              <w:rPr>
                <w:rFonts w:hint="eastAsia" w:ascii="黑体" w:hAnsi="黑体" w:eastAsia="黑体"/>
                <w:color w:val="auto"/>
                <w:spacing w:val="-4"/>
                <w:sz w:val="18"/>
                <w:lang w:val="zh-CN"/>
              </w:rPr>
            </w:pPr>
            <w:r>
              <w:rPr>
                <w:rFonts w:hint="eastAsia"/>
                <w:color w:val="auto"/>
              </w:rPr>
              <w:t>★</w:t>
            </w:r>
            <w:r>
              <w:rPr>
                <w:rFonts w:ascii="黑体" w:hAnsi="黑体" w:eastAsia="黑体"/>
                <w:color w:val="auto"/>
                <w:spacing w:val="-4"/>
                <w:sz w:val="18"/>
                <w:lang w:val="zh-CN"/>
              </w:rPr>
              <w:t>显示屏防蓝光</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8" w:right="180"/>
              <w:jc w:val="center"/>
              <w:textAlignment w:val="baseline"/>
              <w:rPr>
                <w:rFonts w:ascii="黑体" w:hAnsi="黑体" w:eastAsia="黑体"/>
                <w:color w:val="auto"/>
                <w:spacing w:val="-4"/>
                <w:sz w:val="18"/>
                <w:lang w:val="zh-CN"/>
              </w:rPr>
            </w:pPr>
            <w:r>
              <w:rPr>
                <w:rFonts w:ascii="黑体" w:hAnsi="黑体" w:eastAsia="黑体"/>
                <w:color w:val="auto"/>
                <w:spacing w:val="-4"/>
                <w:sz w:val="18"/>
                <w:lang w:val="zh-CN"/>
              </w:rPr>
              <w:t>支持防蓝光模式，蓝光加权辐射亮度比应≤0.0012W/(·cd·sr)（瓦每坎 特拉每球面度）</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8"/>
              <w:jc w:val="center"/>
              <w:textAlignment w:val="baseline"/>
              <w:rPr>
                <w:rFonts w:ascii="黑体" w:hAnsi="黑体" w:eastAsia="黑体"/>
                <w:color w:val="auto"/>
                <w:spacing w:val="-3"/>
                <w:sz w:val="18"/>
                <w:lang w:val="zh-CN"/>
              </w:rPr>
            </w:pPr>
          </w:p>
        </w:tc>
      </w:tr>
      <w:tr>
        <w:tblPrEx>
          <w:tblCellMar>
            <w:top w:w="0" w:type="dxa"/>
            <w:left w:w="0" w:type="dxa"/>
            <w:bottom w:w="0" w:type="dxa"/>
            <w:right w:w="0" w:type="dxa"/>
          </w:tblCellMar>
        </w:tblPrEx>
        <w:trPr>
          <w:trHeight w:val="522"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hint="eastAsia" w:ascii="黑体" w:hAnsi="黑体" w:eastAsia="黑体"/>
                <w:b/>
                <w:bCs/>
                <w:color w:val="auto"/>
                <w:sz w:val="18"/>
                <w:lang w:eastAsia="zh-CN"/>
              </w:rPr>
            </w:pPr>
            <w:r>
              <w:rPr>
                <w:rFonts w:hint="eastAsia" w:ascii="黑体" w:hAnsi="黑体" w:eastAsia="黑体"/>
                <w:color w:val="auto"/>
                <w:sz w:val="18"/>
                <w:lang w:val="en-US" w:eastAsia="zh-CN"/>
              </w:rPr>
              <w:t>9</w:t>
            </w:r>
          </w:p>
        </w:tc>
        <w:tc>
          <w:tcPr>
            <w:tcW w:w="1016"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ind w:left="108" w:leftChars="0" w:right="180" w:rightChars="0"/>
              <w:jc w:val="center"/>
              <w:textAlignment w:val="baseline"/>
              <w:rPr>
                <w:rFonts w:ascii="黑体" w:hAnsi="黑体" w:eastAsia="黑体"/>
                <w:b/>
                <w:bCs/>
                <w:color w:val="auto"/>
                <w:spacing w:val="-3"/>
                <w:sz w:val="18"/>
                <w:lang w:val="zh-CN"/>
              </w:rPr>
            </w:pPr>
            <w:r>
              <w:rPr>
                <w:rFonts w:ascii="黑体" w:hAnsi="黑体" w:eastAsia="黑体"/>
                <w:color w:val="auto"/>
                <w:spacing w:val="-3"/>
                <w:sz w:val="18"/>
                <w:lang w:val="zh-CN"/>
              </w:rPr>
              <w:t>产品规格</w:t>
            </w:r>
          </w:p>
        </w:tc>
        <w:tc>
          <w:tcPr>
            <w:tcW w:w="1016" w:type="dxa"/>
            <w:vMerge w:val="continue"/>
            <w:tcBorders>
              <w:left w:val="single" w:color="auto" w:sz="4" w:space="0"/>
              <w:right w:val="single" w:color="auto" w:sz="4" w:space="0"/>
            </w:tcBorders>
            <w:vAlign w:val="center"/>
          </w:tcPr>
          <w:p>
            <w:pPr>
              <w:widowControl/>
              <w:spacing w:line="240" w:lineRule="exact"/>
              <w:jc w:val="center"/>
              <w:rPr>
                <w:color w:val="auto"/>
              </w:rPr>
            </w:pP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right="180"/>
              <w:jc w:val="center"/>
              <w:textAlignment w:val="baseline"/>
              <w:rPr>
                <w:rFonts w:hint="eastAsia" w:ascii="黑体" w:hAnsi="黑体" w:eastAsia="黑体"/>
                <w:color w:val="auto"/>
                <w:spacing w:val="-4"/>
                <w:sz w:val="18"/>
                <w:lang w:val="zh-CN"/>
              </w:rPr>
            </w:pPr>
            <w:r>
              <w:rPr>
                <w:rFonts w:hint="eastAsia"/>
                <w:color w:val="auto"/>
              </w:rPr>
              <w:t>★</w:t>
            </w:r>
            <w:r>
              <w:rPr>
                <w:rFonts w:ascii="黑体" w:hAnsi="黑体" w:eastAsia="黑体"/>
                <w:color w:val="auto"/>
                <w:spacing w:val="-4"/>
                <w:sz w:val="18"/>
                <w:lang w:val="zh-CN"/>
              </w:rPr>
              <w:t>显示屏 低频闪</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8" w:right="180"/>
              <w:jc w:val="center"/>
              <w:textAlignment w:val="baseline"/>
              <w:rPr>
                <w:rFonts w:ascii="黑体" w:hAnsi="黑体" w:eastAsia="黑体"/>
                <w:color w:val="auto"/>
                <w:spacing w:val="-4"/>
                <w:sz w:val="18"/>
                <w:lang w:val="zh-CN"/>
              </w:rPr>
            </w:pPr>
            <w:r>
              <w:rPr>
                <w:rFonts w:ascii="黑体" w:hAnsi="黑体" w:eastAsia="黑体"/>
                <w:color w:val="auto"/>
                <w:spacing w:val="-4"/>
                <w:sz w:val="18"/>
                <w:lang w:val="zh-CN"/>
              </w:rPr>
              <w:t>显示屏应支持低频闪≤-35dB</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8"/>
              <w:jc w:val="center"/>
              <w:textAlignment w:val="baseline"/>
              <w:rPr>
                <w:rFonts w:ascii="黑体" w:hAnsi="黑体" w:eastAsia="黑体"/>
                <w:color w:val="auto"/>
                <w:spacing w:val="-3"/>
                <w:sz w:val="18"/>
                <w:lang w:val="zh-CN"/>
              </w:rPr>
            </w:pPr>
          </w:p>
        </w:tc>
      </w:tr>
      <w:tr>
        <w:tblPrEx>
          <w:tblCellMar>
            <w:top w:w="0" w:type="dxa"/>
            <w:left w:w="0" w:type="dxa"/>
            <w:bottom w:w="0" w:type="dxa"/>
            <w:right w:w="0" w:type="dxa"/>
          </w:tblCellMar>
        </w:tblPrEx>
        <w:trPr>
          <w:trHeight w:val="522"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hint="default" w:ascii="黑体" w:hAnsi="黑体" w:eastAsia="黑体"/>
                <w:b/>
                <w:bCs/>
                <w:color w:val="auto"/>
                <w:sz w:val="18"/>
                <w:lang w:val="en-US" w:eastAsia="zh-CN"/>
              </w:rPr>
            </w:pPr>
            <w:r>
              <w:rPr>
                <w:rFonts w:hint="eastAsia" w:ascii="黑体" w:hAnsi="黑体" w:eastAsia="黑体"/>
                <w:color w:val="auto"/>
                <w:sz w:val="18"/>
                <w:lang w:val="en-US" w:eastAsia="zh-CN"/>
              </w:rPr>
              <w:t>10</w:t>
            </w:r>
          </w:p>
        </w:tc>
        <w:tc>
          <w:tcPr>
            <w:tcW w:w="1016"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ind w:left="108" w:leftChars="0" w:right="180" w:rightChars="0"/>
              <w:jc w:val="center"/>
              <w:textAlignment w:val="baseline"/>
              <w:rPr>
                <w:rFonts w:ascii="黑体" w:hAnsi="黑体" w:eastAsia="黑体"/>
                <w:b/>
                <w:bCs/>
                <w:color w:val="auto"/>
                <w:spacing w:val="-3"/>
                <w:sz w:val="18"/>
                <w:lang w:val="zh-CN"/>
              </w:rPr>
            </w:pPr>
            <w:r>
              <w:rPr>
                <w:rFonts w:ascii="黑体" w:hAnsi="黑体" w:eastAsia="黑体"/>
                <w:color w:val="auto"/>
                <w:spacing w:val="-3"/>
                <w:sz w:val="18"/>
                <w:lang w:val="zh-CN"/>
              </w:rPr>
              <w:t>产品规格</w:t>
            </w:r>
          </w:p>
        </w:tc>
        <w:tc>
          <w:tcPr>
            <w:tcW w:w="1016"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color w:val="auto"/>
              </w:rPr>
            </w:pP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right="180"/>
              <w:jc w:val="center"/>
              <w:textAlignment w:val="baseline"/>
              <w:rPr>
                <w:rFonts w:hint="eastAsia" w:ascii="黑体" w:hAnsi="黑体" w:eastAsia="黑体"/>
                <w:color w:val="auto"/>
                <w:spacing w:val="-4"/>
                <w:sz w:val="18"/>
                <w:lang w:val="zh-CN"/>
              </w:rPr>
            </w:pPr>
            <w:r>
              <w:rPr>
                <w:rFonts w:hint="eastAsia"/>
                <w:color w:val="auto"/>
              </w:rPr>
              <w:t>★</w:t>
            </w:r>
            <w:r>
              <w:rPr>
                <w:rFonts w:ascii="黑体" w:hAnsi="黑体" w:eastAsia="黑体"/>
                <w:color w:val="auto"/>
                <w:spacing w:val="-4"/>
                <w:sz w:val="18"/>
                <w:lang w:val="zh-CN"/>
              </w:rPr>
              <w:t>显示屏 防炫目</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8" w:right="180"/>
              <w:jc w:val="center"/>
              <w:textAlignment w:val="baseline"/>
              <w:rPr>
                <w:rFonts w:ascii="黑体" w:hAnsi="黑体" w:eastAsia="黑体"/>
                <w:color w:val="auto"/>
                <w:spacing w:val="-4"/>
                <w:sz w:val="18"/>
                <w:lang w:val="zh-CN"/>
              </w:rPr>
            </w:pPr>
            <w:r>
              <w:rPr>
                <w:rFonts w:ascii="黑体" w:hAnsi="黑体" w:eastAsia="黑体"/>
                <w:color w:val="auto"/>
                <w:spacing w:val="-4"/>
                <w:sz w:val="18"/>
                <w:lang w:val="zh-CN"/>
              </w:rPr>
              <w:t>显示屏镜面反射率≤10%</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8"/>
              <w:jc w:val="center"/>
              <w:textAlignment w:val="baseline"/>
              <w:rPr>
                <w:rFonts w:ascii="黑体" w:hAnsi="黑体" w:eastAsia="黑体"/>
                <w:color w:val="auto"/>
                <w:spacing w:val="-3"/>
                <w:sz w:val="18"/>
                <w:lang w:val="zh-CN"/>
              </w:rPr>
            </w:pPr>
          </w:p>
        </w:tc>
      </w:tr>
      <w:tr>
        <w:tblPrEx>
          <w:tblCellMar>
            <w:top w:w="0" w:type="dxa"/>
            <w:left w:w="0" w:type="dxa"/>
            <w:bottom w:w="0" w:type="dxa"/>
            <w:right w:w="0" w:type="dxa"/>
          </w:tblCellMar>
        </w:tblPrEx>
        <w:trPr>
          <w:trHeight w:val="1562"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ascii="黑体" w:hAnsi="黑体" w:eastAsia="黑体"/>
                <w:color w:val="auto"/>
                <w:sz w:val="18"/>
              </w:rPr>
            </w:pPr>
            <w:r>
              <w:rPr>
                <w:rFonts w:hint="eastAsia" w:ascii="黑体" w:hAnsi="黑体" w:eastAsia="黑体"/>
                <w:color w:val="auto"/>
                <w:sz w:val="18"/>
              </w:rPr>
              <w:t>11</w:t>
            </w:r>
          </w:p>
        </w:tc>
        <w:tc>
          <w:tcPr>
            <w:tcW w:w="1016"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ind w:left="108" w:right="180"/>
              <w:jc w:val="center"/>
              <w:textAlignment w:val="baseline"/>
              <w:rPr>
                <w:rFonts w:ascii="黑体" w:hAnsi="黑体" w:eastAsia="黑体"/>
                <w:color w:val="auto"/>
                <w:spacing w:val="-3"/>
                <w:sz w:val="18"/>
                <w:lang w:val="zh-CN"/>
              </w:rPr>
            </w:pPr>
            <w:r>
              <w:rPr>
                <w:rFonts w:ascii="黑体" w:hAnsi="黑体" w:eastAsia="黑体"/>
                <w:color w:val="auto"/>
                <w:spacing w:val="-3"/>
                <w:sz w:val="18"/>
                <w:lang w:val="zh-CN"/>
              </w:rPr>
              <w:t>产品规格</w:t>
            </w:r>
          </w:p>
        </w:tc>
        <w:tc>
          <w:tcPr>
            <w:tcW w:w="1016" w:type="dxa"/>
            <w:vMerge w:val="restart"/>
            <w:tcBorders>
              <w:top w:val="single" w:color="auto" w:sz="4" w:space="0"/>
              <w:left w:val="single" w:color="auto" w:sz="4" w:space="0"/>
              <w:right w:val="single" w:color="auto" w:sz="4" w:space="0"/>
            </w:tcBorders>
            <w:vAlign w:val="center"/>
          </w:tcPr>
          <w:p>
            <w:pPr>
              <w:widowControl/>
              <w:spacing w:line="240" w:lineRule="exact"/>
              <w:jc w:val="center"/>
              <w:rPr>
                <w:color w:val="auto"/>
              </w:rPr>
            </w:pPr>
            <w:r>
              <w:rPr>
                <w:rFonts w:hint="eastAsia"/>
                <w:color w:val="auto"/>
                <w:sz w:val="18"/>
                <w:szCs w:val="18"/>
              </w:rPr>
              <w:t>★</w:t>
            </w:r>
            <w:r>
              <w:rPr>
                <w:rFonts w:hint="eastAsia" w:ascii="黑体" w:hAnsi="黑体" w:eastAsia="黑体"/>
                <w:color w:val="auto"/>
                <w:spacing w:val="14"/>
                <w:sz w:val="18"/>
                <w:szCs w:val="18"/>
                <w:lang w:val="zh-CN"/>
              </w:rPr>
              <w:t>整机基础规格</w:t>
            </w: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right="252"/>
              <w:jc w:val="center"/>
              <w:textAlignment w:val="baseline"/>
              <w:rPr>
                <w:rFonts w:ascii="黑体" w:hAnsi="黑体" w:eastAsia="黑体"/>
                <w:color w:val="auto"/>
                <w:spacing w:val="-12"/>
                <w:sz w:val="18"/>
                <w:lang w:val="zh-CN"/>
              </w:rPr>
            </w:pPr>
            <w:r>
              <w:rPr>
                <w:rFonts w:hint="eastAsia"/>
                <w:color w:val="auto"/>
              </w:rPr>
              <w:t>★</w:t>
            </w:r>
            <w:r>
              <w:rPr>
                <w:rFonts w:ascii="黑体" w:hAnsi="黑体" w:eastAsia="黑体"/>
                <w:color w:val="auto"/>
                <w:sz w:val="18"/>
                <w:lang w:val="zh-CN"/>
              </w:rPr>
              <w:t>整机散热</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right="324"/>
              <w:textAlignment w:val="baseline"/>
              <w:rPr>
                <w:rFonts w:ascii="黑体" w:hAnsi="黑体" w:eastAsia="黑体"/>
                <w:color w:val="auto"/>
                <w:sz w:val="18"/>
                <w:lang w:val="zh-CN"/>
              </w:rPr>
            </w:pPr>
            <w:r>
              <w:rPr>
                <w:rFonts w:ascii="黑体" w:hAnsi="黑体" w:eastAsia="黑体"/>
                <w:color w:val="auto"/>
                <w:spacing w:val="-8"/>
                <w:sz w:val="18"/>
                <w:lang w:val="zh-CN"/>
              </w:rPr>
              <w:t>在环境温度 25℃及处理器满载情况下</w:t>
            </w:r>
            <w:r>
              <w:rPr>
                <w:rFonts w:hint="eastAsia" w:ascii="黑体" w:hAnsi="黑体" w:eastAsia="黑体"/>
                <w:color w:val="auto"/>
                <w:spacing w:val="-8"/>
                <w:sz w:val="18"/>
                <w:lang w:val="zh-CN"/>
              </w:rPr>
              <w:t>，</w:t>
            </w:r>
            <w:r>
              <w:rPr>
                <w:rFonts w:ascii="黑体" w:hAnsi="黑体" w:eastAsia="黑体"/>
                <w:color w:val="auto"/>
                <w:spacing w:val="-8"/>
                <w:sz w:val="18"/>
                <w:lang w:val="zh-CN"/>
              </w:rPr>
              <w:t>产品表面温度应符合如下要求:</w:t>
            </w:r>
            <w:r>
              <w:rPr>
                <w:rFonts w:ascii="黑体" w:hAnsi="黑体" w:eastAsia="黑体"/>
                <w:color w:val="auto"/>
                <w:sz w:val="18"/>
                <w:lang w:val="zh-CN"/>
              </w:rPr>
              <w:t>显示器表面温度:显示屏不高于 38℃</w:t>
            </w:r>
            <w:r>
              <w:rPr>
                <w:rFonts w:hint="eastAsia" w:ascii="黑体" w:hAnsi="黑体" w:eastAsia="黑体"/>
                <w:color w:val="auto"/>
                <w:sz w:val="18"/>
                <w:lang w:val="zh-CN"/>
              </w:rPr>
              <w:t>，</w:t>
            </w:r>
            <w:r>
              <w:rPr>
                <w:rFonts w:ascii="黑体" w:hAnsi="黑体" w:eastAsia="黑体"/>
                <w:color w:val="auto"/>
                <w:sz w:val="18"/>
                <w:lang w:val="zh-CN"/>
              </w:rPr>
              <w:t>显示屏上下灯带位置温度(如涉及)不高于 40℃</w:t>
            </w:r>
            <w:r>
              <w:rPr>
                <w:rFonts w:hint="eastAsia" w:ascii="黑体" w:hAnsi="黑体" w:eastAsia="黑体"/>
                <w:color w:val="auto"/>
                <w:sz w:val="18"/>
                <w:lang w:val="zh-CN"/>
              </w:rPr>
              <w:t>，</w:t>
            </w:r>
            <w:r>
              <w:rPr>
                <w:rFonts w:ascii="黑体" w:hAnsi="黑体" w:eastAsia="黑体"/>
                <w:color w:val="auto"/>
                <w:sz w:val="18"/>
                <w:lang w:val="zh-CN"/>
              </w:rPr>
              <w:t>出风口温度不高于 45℃</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6"/>
              <w:jc w:val="center"/>
              <w:textAlignment w:val="baseline"/>
              <w:rPr>
                <w:rFonts w:ascii="黑体" w:hAnsi="黑体" w:eastAsia="黑体"/>
                <w:color w:val="auto"/>
                <w:spacing w:val="-3"/>
                <w:sz w:val="18"/>
                <w:lang w:val="zh-CN"/>
              </w:rPr>
            </w:pPr>
          </w:p>
        </w:tc>
      </w:tr>
      <w:tr>
        <w:tblPrEx>
          <w:tblCellMar>
            <w:top w:w="0" w:type="dxa"/>
            <w:left w:w="0" w:type="dxa"/>
            <w:bottom w:w="0" w:type="dxa"/>
            <w:right w:w="0" w:type="dxa"/>
          </w:tblCellMar>
        </w:tblPrEx>
        <w:trPr>
          <w:trHeight w:val="1562"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hint="default" w:ascii="黑体" w:hAnsi="黑体" w:eastAsia="黑体"/>
                <w:color w:val="auto"/>
                <w:sz w:val="18"/>
                <w:lang w:val="en-US" w:eastAsia="zh-CN"/>
              </w:rPr>
            </w:pPr>
            <w:r>
              <w:rPr>
                <w:rFonts w:hint="eastAsia" w:ascii="黑体" w:hAnsi="黑体" w:eastAsia="黑体"/>
                <w:color w:val="auto"/>
                <w:sz w:val="18"/>
                <w:szCs w:val="18"/>
                <w:lang w:val="en-US" w:eastAsia="zh-CN"/>
              </w:rPr>
              <w:t>12</w:t>
            </w:r>
          </w:p>
        </w:tc>
        <w:tc>
          <w:tcPr>
            <w:tcW w:w="1016"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ind w:left="108" w:leftChars="0" w:right="180" w:rightChars="0"/>
              <w:jc w:val="center"/>
              <w:textAlignment w:val="baseline"/>
              <w:rPr>
                <w:rFonts w:ascii="黑体" w:hAnsi="黑体" w:eastAsia="黑体"/>
                <w:color w:val="auto"/>
                <w:spacing w:val="-3"/>
                <w:sz w:val="18"/>
                <w:lang w:val="zh-CN"/>
              </w:rPr>
            </w:pPr>
            <w:r>
              <w:rPr>
                <w:rFonts w:hint="eastAsia" w:ascii="黑体" w:hAnsi="黑体" w:eastAsia="黑体"/>
                <w:color w:val="auto"/>
                <w:spacing w:val="-3"/>
                <w:sz w:val="18"/>
                <w:szCs w:val="18"/>
                <w:lang w:val="zh-CN"/>
              </w:rPr>
              <w:t>产品规格</w:t>
            </w:r>
          </w:p>
        </w:tc>
        <w:tc>
          <w:tcPr>
            <w:tcW w:w="1016" w:type="dxa"/>
            <w:vMerge w:val="continue"/>
            <w:tcBorders>
              <w:left w:val="single" w:color="auto" w:sz="4" w:space="0"/>
              <w:bottom w:val="single" w:color="auto" w:sz="4" w:space="0"/>
              <w:right w:val="single" w:color="auto" w:sz="4" w:space="0"/>
            </w:tcBorders>
            <w:vAlign w:val="center"/>
          </w:tcPr>
          <w:p>
            <w:pPr>
              <w:widowControl/>
              <w:spacing w:line="240" w:lineRule="exact"/>
              <w:ind w:left="108" w:leftChars="0"/>
              <w:jc w:val="center"/>
              <w:textAlignment w:val="baseline"/>
              <w:rPr>
                <w:rFonts w:hint="eastAsia"/>
                <w:color w:val="auto"/>
                <w:sz w:val="18"/>
                <w:szCs w:val="18"/>
              </w:rPr>
            </w:pP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leftChars="0" w:right="180" w:rightChars="0"/>
              <w:jc w:val="center"/>
              <w:textAlignment w:val="baseline"/>
              <w:rPr>
                <w:rFonts w:hint="eastAsia"/>
                <w:color w:val="auto"/>
              </w:rPr>
            </w:pPr>
            <w:r>
              <w:rPr>
                <w:rFonts w:hint="eastAsia"/>
                <w:color w:val="auto"/>
                <w:sz w:val="18"/>
                <w:szCs w:val="18"/>
              </w:rPr>
              <w:t>★</w:t>
            </w:r>
            <w:r>
              <w:rPr>
                <w:rFonts w:hint="eastAsia" w:ascii="黑体" w:hAnsi="黑体" w:eastAsia="黑体"/>
                <w:color w:val="auto"/>
                <w:spacing w:val="14"/>
                <w:sz w:val="18"/>
                <w:szCs w:val="18"/>
                <w:lang w:val="zh-CN"/>
              </w:rPr>
              <w:t>整机能效限定值</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both"/>
              <w:textAlignment w:val="baseline"/>
              <w:rPr>
                <w:rFonts w:ascii="黑体" w:hAnsi="黑体" w:eastAsia="黑体"/>
                <w:color w:val="auto"/>
                <w:sz w:val="18"/>
                <w:szCs w:val="18"/>
                <w:lang w:val="zh-CN"/>
              </w:rPr>
            </w:pPr>
            <w:r>
              <w:rPr>
                <w:rFonts w:hint="eastAsia" w:ascii="黑体" w:hAnsi="黑体" w:eastAsia="黑体"/>
                <w:color w:val="auto"/>
                <w:sz w:val="18"/>
                <w:szCs w:val="18"/>
                <w:lang w:val="zh-CN"/>
              </w:rPr>
              <w:t>产品能效限定值应达到 GB28380-20</w:t>
            </w:r>
            <w:r>
              <w:rPr>
                <w:rFonts w:hint="eastAsia" w:ascii="黑体" w:hAnsi="黑体" w:eastAsia="黑体"/>
                <w:color w:val="auto"/>
                <w:sz w:val="18"/>
                <w:szCs w:val="18"/>
                <w:lang w:val="en-US" w:eastAsia="zh-CN"/>
              </w:rPr>
              <w:t>25</w:t>
            </w:r>
            <w:r>
              <w:rPr>
                <w:rFonts w:hint="eastAsia" w:ascii="黑体" w:hAnsi="黑体" w:eastAsia="黑体"/>
                <w:color w:val="auto"/>
                <w:sz w:val="18"/>
                <w:szCs w:val="18"/>
                <w:lang w:val="zh-CN"/>
              </w:rPr>
              <w:t>标准中能效等级2级及以上</w:t>
            </w:r>
          </w:p>
          <w:p>
            <w:pPr>
              <w:rPr>
                <w:rFonts w:ascii="黑体" w:hAnsi="黑体" w:eastAsia="黑体"/>
                <w:color w:val="auto"/>
                <w:spacing w:val="-8"/>
                <w:sz w:val="18"/>
                <w:lang w:val="zh-CN"/>
              </w:rPr>
            </w:pPr>
            <w:r>
              <w:rPr>
                <w:rFonts w:hint="eastAsia" w:ascii="宋体" w:hAnsi="宋体" w:cs="宋体"/>
                <w:b/>
                <w:bCs/>
                <w:color w:val="auto"/>
                <w:sz w:val="18"/>
                <w:szCs w:val="18"/>
              </w:rPr>
              <w:t>响应文件中必须提供该产品由国家确定的认证机构出具的处于有效期之内的节能产品认证证书并加盖供应商公章，否则视为无效响应文件。</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6"/>
              <w:jc w:val="center"/>
              <w:textAlignment w:val="baseline"/>
              <w:rPr>
                <w:rFonts w:ascii="黑体" w:hAnsi="黑体" w:eastAsia="黑体"/>
                <w:color w:val="auto"/>
                <w:spacing w:val="-3"/>
                <w:sz w:val="18"/>
                <w:lang w:val="zh-CN"/>
              </w:rPr>
            </w:pPr>
          </w:p>
        </w:tc>
      </w:tr>
      <w:tr>
        <w:tblPrEx>
          <w:tblCellMar>
            <w:top w:w="0" w:type="dxa"/>
            <w:left w:w="0" w:type="dxa"/>
            <w:bottom w:w="0" w:type="dxa"/>
            <w:right w:w="0" w:type="dxa"/>
          </w:tblCellMar>
        </w:tblPrEx>
        <w:trPr>
          <w:trHeight w:val="547"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hint="default" w:ascii="黑体" w:hAnsi="黑体" w:eastAsia="黑体"/>
                <w:color w:val="auto"/>
                <w:sz w:val="18"/>
                <w:lang w:val="en-US" w:eastAsia="zh-CN"/>
              </w:rPr>
            </w:pPr>
            <w:r>
              <w:rPr>
                <w:rFonts w:hint="eastAsia" w:ascii="黑体" w:hAnsi="黑体" w:eastAsia="黑体"/>
                <w:color w:val="auto"/>
                <w:sz w:val="18"/>
                <w:lang w:val="en-US" w:eastAsia="zh-CN"/>
              </w:rPr>
              <w:t>13</w:t>
            </w:r>
          </w:p>
        </w:tc>
        <w:tc>
          <w:tcPr>
            <w:tcW w:w="1016"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ind w:left="108" w:right="180"/>
              <w:jc w:val="center"/>
              <w:textAlignment w:val="baseline"/>
              <w:rPr>
                <w:rFonts w:ascii="黑体" w:hAnsi="黑体" w:eastAsia="黑体"/>
                <w:color w:val="auto"/>
                <w:spacing w:val="-3"/>
                <w:sz w:val="18"/>
                <w:lang w:val="zh-CN"/>
              </w:rPr>
            </w:pPr>
            <w:r>
              <w:rPr>
                <w:rFonts w:ascii="黑体" w:hAnsi="黑体" w:eastAsia="黑体"/>
                <w:color w:val="auto"/>
                <w:spacing w:val="-3"/>
                <w:sz w:val="18"/>
                <w:lang w:val="zh-CN"/>
              </w:rPr>
              <w:t>性能要求</w:t>
            </w:r>
          </w:p>
        </w:tc>
        <w:tc>
          <w:tcPr>
            <w:tcW w:w="1016"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ascii="黑体" w:hAnsi="黑体" w:eastAsia="黑体"/>
                <w:color w:val="auto"/>
                <w:spacing w:val="-3"/>
                <w:sz w:val="18"/>
                <w:lang w:val="zh-CN"/>
              </w:rPr>
            </w:pPr>
            <w:r>
              <w:rPr>
                <w:rFonts w:hint="eastAsia"/>
                <w:color w:val="auto"/>
              </w:rPr>
              <w:t>★</w:t>
            </w:r>
            <w:r>
              <w:rPr>
                <w:rFonts w:hint="eastAsia" w:ascii="黑体" w:hAnsi="黑体" w:eastAsia="黑体"/>
                <w:color w:val="auto"/>
                <w:spacing w:val="-3"/>
                <w:sz w:val="18"/>
                <w:lang w:val="en-US" w:eastAsia="zh-CN"/>
              </w:rPr>
              <w:t>显示设备性能</w:t>
            </w: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leftChars="0" w:right="180" w:rightChars="0"/>
              <w:jc w:val="center"/>
              <w:textAlignment w:val="baseline"/>
              <w:rPr>
                <w:rFonts w:hint="eastAsia" w:ascii="黑体" w:hAnsi="黑体" w:eastAsia="黑体"/>
                <w:color w:val="auto"/>
                <w:spacing w:val="14"/>
                <w:sz w:val="18"/>
                <w:szCs w:val="18"/>
                <w:lang w:val="zh-CN"/>
              </w:rPr>
            </w:pPr>
            <w:r>
              <w:rPr>
                <w:rFonts w:hint="eastAsia"/>
                <w:color w:val="auto"/>
              </w:rPr>
              <w:t>★</w:t>
            </w:r>
            <w:r>
              <w:rPr>
                <w:rFonts w:hint="eastAsia" w:ascii="黑体" w:hAnsi="黑体" w:eastAsia="黑体"/>
                <w:color w:val="auto"/>
                <w:spacing w:val="14"/>
                <w:sz w:val="18"/>
                <w:szCs w:val="18"/>
                <w:lang w:val="zh-CN"/>
              </w:rPr>
              <w:t>显示屏 刷新率</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8" w:leftChars="0" w:right="180" w:rightChars="0"/>
              <w:jc w:val="center"/>
              <w:textAlignment w:val="baseline"/>
              <w:rPr>
                <w:rFonts w:hint="eastAsia" w:ascii="黑体" w:hAnsi="黑体" w:eastAsia="黑体"/>
                <w:color w:val="auto"/>
                <w:spacing w:val="14"/>
                <w:sz w:val="18"/>
                <w:szCs w:val="18"/>
                <w:lang w:val="zh-CN"/>
              </w:rPr>
            </w:pPr>
            <w:r>
              <w:rPr>
                <w:rFonts w:hint="eastAsia" w:ascii="黑体" w:hAnsi="黑体" w:eastAsia="黑体"/>
                <w:color w:val="auto"/>
                <w:spacing w:val="14"/>
                <w:sz w:val="18"/>
                <w:szCs w:val="18"/>
                <w:lang w:val="zh-CN"/>
              </w:rPr>
              <w:t>≥75Hz</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6"/>
              <w:jc w:val="center"/>
              <w:textAlignment w:val="baseline"/>
              <w:rPr>
                <w:rFonts w:ascii="黑体" w:hAnsi="黑体" w:eastAsia="黑体"/>
                <w:color w:val="auto"/>
                <w:spacing w:val="-3"/>
                <w:sz w:val="18"/>
                <w:lang w:val="zh-CN"/>
              </w:rPr>
            </w:pPr>
          </w:p>
        </w:tc>
      </w:tr>
      <w:tr>
        <w:tblPrEx>
          <w:tblCellMar>
            <w:top w:w="0" w:type="dxa"/>
            <w:left w:w="0" w:type="dxa"/>
            <w:bottom w:w="0" w:type="dxa"/>
            <w:right w:w="0" w:type="dxa"/>
          </w:tblCellMar>
        </w:tblPrEx>
        <w:trPr>
          <w:trHeight w:val="547"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hint="default" w:ascii="黑体" w:hAnsi="黑体" w:eastAsia="黑体"/>
                <w:color w:val="auto"/>
                <w:sz w:val="18"/>
                <w:lang w:val="en-US" w:eastAsia="zh-CN"/>
              </w:rPr>
            </w:pPr>
            <w:r>
              <w:rPr>
                <w:rFonts w:hint="eastAsia" w:ascii="黑体" w:hAnsi="黑体" w:eastAsia="黑体"/>
                <w:color w:val="auto"/>
                <w:sz w:val="18"/>
                <w:lang w:val="en-US" w:eastAsia="zh-CN"/>
              </w:rPr>
              <w:t>14</w:t>
            </w:r>
          </w:p>
        </w:tc>
        <w:tc>
          <w:tcPr>
            <w:tcW w:w="1016"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ind w:left="108" w:right="180"/>
              <w:jc w:val="center"/>
              <w:textAlignment w:val="baseline"/>
              <w:rPr>
                <w:rFonts w:ascii="黑体" w:hAnsi="黑体" w:eastAsia="黑体"/>
                <w:color w:val="auto"/>
                <w:spacing w:val="-3"/>
                <w:sz w:val="18"/>
                <w:lang w:val="zh-CN"/>
              </w:rPr>
            </w:pPr>
            <w:r>
              <w:rPr>
                <w:rFonts w:ascii="黑体" w:hAnsi="黑体" w:eastAsia="黑体"/>
                <w:color w:val="auto"/>
                <w:spacing w:val="-3"/>
                <w:sz w:val="18"/>
                <w:lang w:val="zh-CN"/>
              </w:rPr>
              <w:t>性能要求</w:t>
            </w:r>
          </w:p>
        </w:tc>
        <w:tc>
          <w:tcPr>
            <w:tcW w:w="1016" w:type="dxa"/>
            <w:vMerge w:val="continue"/>
            <w:tcBorders>
              <w:left w:val="single" w:color="auto" w:sz="4" w:space="0"/>
              <w:right w:val="single" w:color="auto" w:sz="4" w:space="0"/>
            </w:tcBorders>
            <w:vAlign w:val="center"/>
          </w:tcPr>
          <w:p>
            <w:pPr>
              <w:widowControl/>
              <w:spacing w:line="240" w:lineRule="exact"/>
              <w:jc w:val="center"/>
              <w:rPr>
                <w:rFonts w:hint="eastAsia"/>
                <w:color w:val="auto"/>
                <w:sz w:val="18"/>
                <w:szCs w:val="18"/>
              </w:rPr>
            </w:pP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leftChars="0" w:right="180" w:rightChars="0"/>
              <w:jc w:val="center"/>
              <w:textAlignment w:val="baseline"/>
              <w:rPr>
                <w:rFonts w:hint="eastAsia" w:ascii="黑体" w:hAnsi="黑体" w:eastAsia="黑体"/>
                <w:color w:val="auto"/>
                <w:spacing w:val="14"/>
                <w:sz w:val="18"/>
                <w:szCs w:val="18"/>
                <w:lang w:val="zh-CN"/>
              </w:rPr>
            </w:pPr>
            <w:r>
              <w:rPr>
                <w:rFonts w:hint="eastAsia"/>
                <w:color w:val="auto"/>
              </w:rPr>
              <w:t>★</w:t>
            </w:r>
            <w:r>
              <w:rPr>
                <w:rFonts w:hint="eastAsia" w:ascii="黑体" w:hAnsi="黑体" w:eastAsia="黑体"/>
                <w:color w:val="auto"/>
                <w:spacing w:val="14"/>
                <w:sz w:val="18"/>
                <w:szCs w:val="18"/>
                <w:lang w:val="zh-CN"/>
              </w:rPr>
              <w:t>显示屏 位深</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8" w:leftChars="0" w:right="180" w:rightChars="0"/>
              <w:jc w:val="center"/>
              <w:textAlignment w:val="baseline"/>
              <w:rPr>
                <w:rFonts w:hint="eastAsia" w:ascii="黑体" w:hAnsi="黑体" w:eastAsia="黑体"/>
                <w:color w:val="auto"/>
                <w:spacing w:val="14"/>
                <w:sz w:val="18"/>
                <w:szCs w:val="18"/>
                <w:lang w:val="zh-CN"/>
              </w:rPr>
            </w:pPr>
            <w:r>
              <w:rPr>
                <w:rFonts w:hint="eastAsia" w:ascii="黑体" w:hAnsi="黑体" w:eastAsia="黑体"/>
                <w:color w:val="auto"/>
                <w:spacing w:val="14"/>
                <w:sz w:val="18"/>
                <w:szCs w:val="18"/>
                <w:lang w:val="zh-CN"/>
              </w:rPr>
              <w:t>≥8 位</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6"/>
              <w:jc w:val="center"/>
              <w:textAlignment w:val="baseline"/>
              <w:rPr>
                <w:rFonts w:ascii="黑体" w:hAnsi="黑体" w:eastAsia="黑体"/>
                <w:color w:val="auto"/>
                <w:spacing w:val="-3"/>
                <w:sz w:val="18"/>
                <w:lang w:val="zh-CN"/>
              </w:rPr>
            </w:pPr>
          </w:p>
        </w:tc>
      </w:tr>
      <w:tr>
        <w:tblPrEx>
          <w:tblCellMar>
            <w:top w:w="0" w:type="dxa"/>
            <w:left w:w="0" w:type="dxa"/>
            <w:bottom w:w="0" w:type="dxa"/>
            <w:right w:w="0" w:type="dxa"/>
          </w:tblCellMar>
        </w:tblPrEx>
        <w:trPr>
          <w:trHeight w:val="547"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hint="default" w:ascii="黑体" w:hAnsi="黑体" w:eastAsia="黑体"/>
                <w:color w:val="auto"/>
                <w:sz w:val="18"/>
                <w:lang w:val="en-US" w:eastAsia="zh-CN"/>
              </w:rPr>
            </w:pPr>
            <w:r>
              <w:rPr>
                <w:rFonts w:hint="eastAsia" w:ascii="黑体" w:hAnsi="黑体" w:eastAsia="黑体"/>
                <w:color w:val="auto"/>
                <w:sz w:val="18"/>
                <w:lang w:val="en-US" w:eastAsia="zh-CN"/>
              </w:rPr>
              <w:t>15</w:t>
            </w:r>
          </w:p>
        </w:tc>
        <w:tc>
          <w:tcPr>
            <w:tcW w:w="1016"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ind w:left="108" w:right="180"/>
              <w:jc w:val="center"/>
              <w:textAlignment w:val="baseline"/>
              <w:rPr>
                <w:rFonts w:ascii="黑体" w:hAnsi="黑体" w:eastAsia="黑体"/>
                <w:color w:val="auto"/>
                <w:spacing w:val="-3"/>
                <w:sz w:val="18"/>
                <w:lang w:val="zh-CN"/>
              </w:rPr>
            </w:pPr>
            <w:r>
              <w:rPr>
                <w:rFonts w:ascii="黑体" w:hAnsi="黑体" w:eastAsia="黑体"/>
                <w:color w:val="auto"/>
                <w:spacing w:val="-3"/>
                <w:sz w:val="18"/>
                <w:lang w:val="zh-CN"/>
              </w:rPr>
              <w:t>性能要求</w:t>
            </w:r>
          </w:p>
        </w:tc>
        <w:tc>
          <w:tcPr>
            <w:tcW w:w="1016" w:type="dxa"/>
            <w:vMerge w:val="continue"/>
            <w:tcBorders>
              <w:left w:val="single" w:color="auto" w:sz="4" w:space="0"/>
              <w:right w:val="single" w:color="auto" w:sz="4" w:space="0"/>
            </w:tcBorders>
            <w:vAlign w:val="center"/>
          </w:tcPr>
          <w:p>
            <w:pPr>
              <w:widowControl/>
              <w:spacing w:line="240" w:lineRule="exact"/>
              <w:jc w:val="center"/>
              <w:rPr>
                <w:rFonts w:hint="eastAsia"/>
                <w:color w:val="auto"/>
                <w:sz w:val="18"/>
                <w:szCs w:val="18"/>
              </w:rPr>
            </w:pP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leftChars="0" w:right="180" w:rightChars="0"/>
              <w:jc w:val="center"/>
              <w:textAlignment w:val="baseline"/>
              <w:rPr>
                <w:rFonts w:hint="eastAsia" w:ascii="黑体" w:hAnsi="黑体" w:eastAsia="黑体"/>
                <w:color w:val="auto"/>
                <w:spacing w:val="14"/>
                <w:sz w:val="18"/>
                <w:szCs w:val="18"/>
                <w:lang w:val="zh-CN"/>
              </w:rPr>
            </w:pPr>
            <w:r>
              <w:rPr>
                <w:rFonts w:hint="eastAsia"/>
                <w:color w:val="auto"/>
              </w:rPr>
              <w:t>★</w:t>
            </w:r>
            <w:r>
              <w:rPr>
                <w:rFonts w:hint="eastAsia" w:ascii="黑体" w:hAnsi="黑体" w:eastAsia="黑体"/>
                <w:color w:val="auto"/>
                <w:spacing w:val="14"/>
                <w:sz w:val="18"/>
                <w:szCs w:val="18"/>
                <w:lang w:val="zh-CN"/>
              </w:rPr>
              <w:t>显示屏 色域</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8" w:leftChars="0" w:right="180" w:rightChars="0"/>
              <w:jc w:val="center"/>
              <w:textAlignment w:val="baseline"/>
              <w:rPr>
                <w:rFonts w:hint="eastAsia" w:ascii="黑体" w:hAnsi="黑体" w:eastAsia="黑体"/>
                <w:color w:val="auto"/>
                <w:spacing w:val="14"/>
                <w:sz w:val="18"/>
                <w:szCs w:val="18"/>
                <w:lang w:val="zh-CN"/>
              </w:rPr>
            </w:pPr>
            <w:r>
              <w:rPr>
                <w:rFonts w:hint="eastAsia" w:ascii="黑体" w:hAnsi="黑体" w:eastAsia="黑体"/>
                <w:color w:val="auto"/>
                <w:spacing w:val="14"/>
                <w:sz w:val="18"/>
                <w:szCs w:val="18"/>
                <w:lang w:val="zh-CN"/>
              </w:rPr>
              <w:t>≥99% sRGB</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6"/>
              <w:jc w:val="center"/>
              <w:textAlignment w:val="baseline"/>
              <w:rPr>
                <w:rFonts w:ascii="黑体" w:hAnsi="黑体" w:eastAsia="黑体"/>
                <w:color w:val="auto"/>
                <w:spacing w:val="-3"/>
                <w:sz w:val="18"/>
                <w:lang w:val="zh-CN"/>
              </w:rPr>
            </w:pPr>
          </w:p>
        </w:tc>
      </w:tr>
      <w:tr>
        <w:tblPrEx>
          <w:tblCellMar>
            <w:top w:w="0" w:type="dxa"/>
            <w:left w:w="0" w:type="dxa"/>
            <w:bottom w:w="0" w:type="dxa"/>
            <w:right w:w="0" w:type="dxa"/>
          </w:tblCellMar>
        </w:tblPrEx>
        <w:trPr>
          <w:trHeight w:val="547"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hint="default" w:ascii="黑体" w:hAnsi="黑体" w:eastAsia="黑体"/>
                <w:color w:val="auto"/>
                <w:sz w:val="18"/>
                <w:lang w:val="en-US" w:eastAsia="zh-CN"/>
              </w:rPr>
            </w:pPr>
            <w:r>
              <w:rPr>
                <w:rFonts w:hint="eastAsia" w:ascii="黑体" w:hAnsi="黑体" w:eastAsia="黑体"/>
                <w:color w:val="auto"/>
                <w:sz w:val="18"/>
                <w:lang w:val="en-US" w:eastAsia="zh-CN"/>
              </w:rPr>
              <w:t>16</w:t>
            </w:r>
          </w:p>
        </w:tc>
        <w:tc>
          <w:tcPr>
            <w:tcW w:w="1016"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ind w:left="108" w:right="180"/>
              <w:jc w:val="center"/>
              <w:textAlignment w:val="baseline"/>
              <w:rPr>
                <w:rFonts w:ascii="黑体" w:hAnsi="黑体" w:eastAsia="黑体"/>
                <w:color w:val="auto"/>
                <w:spacing w:val="-3"/>
                <w:sz w:val="18"/>
                <w:lang w:val="zh-CN"/>
              </w:rPr>
            </w:pPr>
            <w:r>
              <w:rPr>
                <w:rFonts w:ascii="黑体" w:hAnsi="黑体" w:eastAsia="黑体"/>
                <w:color w:val="auto"/>
                <w:spacing w:val="-3"/>
                <w:sz w:val="18"/>
                <w:lang w:val="zh-CN"/>
              </w:rPr>
              <w:t>性能要求</w:t>
            </w:r>
          </w:p>
        </w:tc>
        <w:tc>
          <w:tcPr>
            <w:tcW w:w="1016" w:type="dxa"/>
            <w:vMerge w:val="continue"/>
            <w:tcBorders>
              <w:left w:val="single" w:color="auto" w:sz="4" w:space="0"/>
              <w:right w:val="single" w:color="auto" w:sz="4" w:space="0"/>
            </w:tcBorders>
            <w:vAlign w:val="center"/>
          </w:tcPr>
          <w:p>
            <w:pPr>
              <w:widowControl/>
              <w:spacing w:line="240" w:lineRule="exact"/>
              <w:jc w:val="center"/>
              <w:rPr>
                <w:rFonts w:hint="eastAsia"/>
                <w:color w:val="auto"/>
                <w:sz w:val="18"/>
                <w:szCs w:val="18"/>
              </w:rPr>
            </w:pP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leftChars="0" w:right="180" w:rightChars="0"/>
              <w:jc w:val="center"/>
              <w:textAlignment w:val="baseline"/>
              <w:rPr>
                <w:rFonts w:hint="eastAsia" w:ascii="黑体" w:hAnsi="黑体" w:eastAsia="黑体"/>
                <w:color w:val="auto"/>
                <w:spacing w:val="14"/>
                <w:sz w:val="18"/>
                <w:szCs w:val="18"/>
                <w:lang w:val="zh-CN"/>
              </w:rPr>
            </w:pPr>
            <w:r>
              <w:rPr>
                <w:rFonts w:hint="eastAsia"/>
                <w:color w:val="auto"/>
              </w:rPr>
              <w:t>★</w:t>
            </w:r>
            <w:r>
              <w:rPr>
                <w:rFonts w:hint="eastAsia" w:ascii="黑体" w:hAnsi="黑体" w:eastAsia="黑体"/>
                <w:color w:val="auto"/>
                <w:spacing w:val="14"/>
                <w:sz w:val="18"/>
                <w:szCs w:val="18"/>
                <w:lang w:val="zh-CN"/>
              </w:rPr>
              <w:t>显示屏 色准</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8" w:leftChars="0" w:right="180" w:rightChars="0"/>
              <w:jc w:val="center"/>
              <w:textAlignment w:val="baseline"/>
              <w:rPr>
                <w:rFonts w:hint="eastAsia" w:ascii="黑体" w:hAnsi="黑体" w:eastAsia="黑体"/>
                <w:color w:val="auto"/>
                <w:spacing w:val="14"/>
                <w:sz w:val="18"/>
                <w:szCs w:val="18"/>
                <w:lang w:val="zh-CN"/>
              </w:rPr>
            </w:pPr>
            <w:r>
              <w:rPr>
                <w:rFonts w:hint="eastAsia" w:ascii="黑体" w:hAnsi="黑体" w:eastAsia="黑体"/>
                <w:color w:val="auto"/>
                <w:spacing w:val="14"/>
                <w:sz w:val="18"/>
                <w:szCs w:val="18"/>
                <w:lang w:val="zh-CN"/>
              </w:rPr>
              <w:t>△E ≤ 4</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6"/>
              <w:jc w:val="center"/>
              <w:textAlignment w:val="baseline"/>
              <w:rPr>
                <w:rFonts w:ascii="黑体" w:hAnsi="黑体" w:eastAsia="黑体"/>
                <w:color w:val="auto"/>
                <w:spacing w:val="-3"/>
                <w:sz w:val="18"/>
                <w:lang w:val="zh-CN"/>
              </w:rPr>
            </w:pPr>
          </w:p>
        </w:tc>
      </w:tr>
      <w:tr>
        <w:tblPrEx>
          <w:tblCellMar>
            <w:top w:w="0" w:type="dxa"/>
            <w:left w:w="0" w:type="dxa"/>
            <w:bottom w:w="0" w:type="dxa"/>
            <w:right w:w="0" w:type="dxa"/>
          </w:tblCellMar>
        </w:tblPrEx>
        <w:trPr>
          <w:trHeight w:val="547"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hint="default" w:ascii="黑体" w:hAnsi="黑体" w:eastAsia="黑体"/>
                <w:color w:val="auto"/>
                <w:sz w:val="18"/>
                <w:lang w:val="en-US" w:eastAsia="zh-CN"/>
              </w:rPr>
            </w:pPr>
            <w:r>
              <w:rPr>
                <w:rFonts w:hint="eastAsia" w:ascii="黑体" w:hAnsi="黑体" w:eastAsia="黑体"/>
                <w:color w:val="auto"/>
                <w:sz w:val="18"/>
                <w:lang w:val="en-US" w:eastAsia="zh-CN"/>
              </w:rPr>
              <w:t>17</w:t>
            </w:r>
          </w:p>
        </w:tc>
        <w:tc>
          <w:tcPr>
            <w:tcW w:w="1016"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ind w:left="108" w:right="180"/>
              <w:jc w:val="center"/>
              <w:textAlignment w:val="baseline"/>
              <w:rPr>
                <w:rFonts w:ascii="黑体" w:hAnsi="黑体" w:eastAsia="黑体"/>
                <w:color w:val="auto"/>
                <w:spacing w:val="-3"/>
                <w:sz w:val="18"/>
                <w:lang w:val="zh-CN"/>
              </w:rPr>
            </w:pPr>
            <w:r>
              <w:rPr>
                <w:rFonts w:ascii="黑体" w:hAnsi="黑体" w:eastAsia="黑体"/>
                <w:color w:val="auto"/>
                <w:spacing w:val="-3"/>
                <w:sz w:val="18"/>
                <w:lang w:val="zh-CN"/>
              </w:rPr>
              <w:t>性能要求</w:t>
            </w:r>
          </w:p>
        </w:tc>
        <w:tc>
          <w:tcPr>
            <w:tcW w:w="1016" w:type="dxa"/>
            <w:vMerge w:val="continue"/>
            <w:tcBorders>
              <w:left w:val="single" w:color="auto" w:sz="4" w:space="0"/>
              <w:right w:val="single" w:color="auto" w:sz="4" w:space="0"/>
            </w:tcBorders>
            <w:vAlign w:val="center"/>
          </w:tcPr>
          <w:p>
            <w:pPr>
              <w:widowControl/>
              <w:spacing w:line="240" w:lineRule="exact"/>
              <w:jc w:val="center"/>
              <w:rPr>
                <w:rFonts w:hint="eastAsia"/>
                <w:color w:val="auto"/>
                <w:sz w:val="18"/>
                <w:szCs w:val="18"/>
              </w:rPr>
            </w:pP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leftChars="0" w:right="180" w:rightChars="0"/>
              <w:jc w:val="center"/>
              <w:textAlignment w:val="baseline"/>
              <w:rPr>
                <w:rFonts w:hint="eastAsia" w:ascii="黑体" w:hAnsi="黑体" w:eastAsia="黑体"/>
                <w:color w:val="auto"/>
                <w:spacing w:val="14"/>
                <w:sz w:val="18"/>
                <w:szCs w:val="18"/>
                <w:lang w:val="zh-CN"/>
              </w:rPr>
            </w:pPr>
            <w:r>
              <w:rPr>
                <w:rFonts w:hint="eastAsia"/>
                <w:color w:val="auto"/>
              </w:rPr>
              <w:t>★</w:t>
            </w:r>
            <w:r>
              <w:rPr>
                <w:rFonts w:hint="eastAsia" w:ascii="黑体" w:hAnsi="黑体" w:eastAsia="黑体"/>
                <w:color w:val="auto"/>
                <w:spacing w:val="14"/>
                <w:sz w:val="18"/>
                <w:szCs w:val="18"/>
                <w:lang w:val="zh-CN"/>
              </w:rPr>
              <w:t>显示屏 响应时间</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8" w:leftChars="0" w:right="180" w:rightChars="0"/>
              <w:jc w:val="center"/>
              <w:textAlignment w:val="baseline"/>
              <w:rPr>
                <w:rFonts w:hint="eastAsia" w:ascii="黑体" w:hAnsi="黑体" w:eastAsia="黑体"/>
                <w:color w:val="auto"/>
                <w:spacing w:val="14"/>
                <w:sz w:val="18"/>
                <w:szCs w:val="18"/>
                <w:lang w:val="zh-CN"/>
              </w:rPr>
            </w:pPr>
            <w:r>
              <w:rPr>
                <w:rFonts w:hint="eastAsia" w:ascii="黑体" w:hAnsi="黑体" w:eastAsia="黑体"/>
                <w:color w:val="auto"/>
                <w:spacing w:val="14"/>
                <w:sz w:val="18"/>
                <w:szCs w:val="18"/>
                <w:lang w:val="zh-CN"/>
              </w:rPr>
              <w:t>≤8ms</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6"/>
              <w:jc w:val="center"/>
              <w:textAlignment w:val="baseline"/>
              <w:rPr>
                <w:rFonts w:ascii="黑体" w:hAnsi="黑体" w:eastAsia="黑体"/>
                <w:color w:val="auto"/>
                <w:spacing w:val="-3"/>
                <w:sz w:val="18"/>
                <w:lang w:val="zh-CN"/>
              </w:rPr>
            </w:pPr>
          </w:p>
        </w:tc>
      </w:tr>
      <w:tr>
        <w:tblPrEx>
          <w:tblCellMar>
            <w:top w:w="0" w:type="dxa"/>
            <w:left w:w="0" w:type="dxa"/>
            <w:bottom w:w="0" w:type="dxa"/>
            <w:right w:w="0" w:type="dxa"/>
          </w:tblCellMar>
        </w:tblPrEx>
        <w:trPr>
          <w:trHeight w:val="547"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hint="default" w:ascii="黑体" w:hAnsi="黑体" w:eastAsia="黑体"/>
                <w:color w:val="auto"/>
                <w:sz w:val="18"/>
                <w:lang w:val="en-US" w:eastAsia="zh-CN"/>
              </w:rPr>
            </w:pPr>
            <w:r>
              <w:rPr>
                <w:rFonts w:hint="eastAsia" w:ascii="黑体" w:hAnsi="黑体" w:eastAsia="黑体"/>
                <w:color w:val="auto"/>
                <w:sz w:val="18"/>
                <w:lang w:val="en-US" w:eastAsia="zh-CN"/>
              </w:rPr>
              <w:t>18</w:t>
            </w:r>
          </w:p>
        </w:tc>
        <w:tc>
          <w:tcPr>
            <w:tcW w:w="1016"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ind w:left="108" w:right="180"/>
              <w:jc w:val="center"/>
              <w:textAlignment w:val="baseline"/>
              <w:rPr>
                <w:rFonts w:ascii="黑体" w:hAnsi="黑体" w:eastAsia="黑体"/>
                <w:color w:val="auto"/>
                <w:spacing w:val="-3"/>
                <w:sz w:val="18"/>
                <w:lang w:val="zh-CN"/>
              </w:rPr>
            </w:pPr>
            <w:r>
              <w:rPr>
                <w:rFonts w:ascii="黑体" w:hAnsi="黑体" w:eastAsia="黑体"/>
                <w:color w:val="auto"/>
                <w:spacing w:val="-3"/>
                <w:sz w:val="18"/>
                <w:lang w:val="zh-CN"/>
              </w:rPr>
              <w:t>性能要求</w:t>
            </w:r>
          </w:p>
        </w:tc>
        <w:tc>
          <w:tcPr>
            <w:tcW w:w="1016" w:type="dxa"/>
            <w:vMerge w:val="continue"/>
            <w:tcBorders>
              <w:left w:val="single" w:color="auto" w:sz="4" w:space="0"/>
              <w:right w:val="single" w:color="auto" w:sz="4" w:space="0"/>
            </w:tcBorders>
            <w:vAlign w:val="center"/>
          </w:tcPr>
          <w:p>
            <w:pPr>
              <w:widowControl/>
              <w:spacing w:line="240" w:lineRule="exact"/>
              <w:jc w:val="center"/>
              <w:rPr>
                <w:rFonts w:hint="eastAsia"/>
                <w:color w:val="auto"/>
                <w:sz w:val="18"/>
                <w:szCs w:val="18"/>
              </w:rPr>
            </w:pP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leftChars="0" w:right="180" w:rightChars="0"/>
              <w:jc w:val="center"/>
              <w:textAlignment w:val="baseline"/>
              <w:rPr>
                <w:rFonts w:hint="eastAsia" w:ascii="黑体" w:hAnsi="黑体" w:eastAsia="黑体"/>
                <w:color w:val="auto"/>
                <w:spacing w:val="14"/>
                <w:sz w:val="18"/>
                <w:szCs w:val="18"/>
                <w:lang w:val="zh-CN"/>
              </w:rPr>
            </w:pPr>
            <w:r>
              <w:rPr>
                <w:rFonts w:hint="eastAsia"/>
                <w:color w:val="auto"/>
              </w:rPr>
              <w:t>★</w:t>
            </w:r>
            <w:r>
              <w:rPr>
                <w:rFonts w:hint="eastAsia" w:ascii="黑体" w:hAnsi="黑体" w:eastAsia="黑体"/>
                <w:color w:val="auto"/>
                <w:spacing w:val="14"/>
                <w:sz w:val="18"/>
                <w:szCs w:val="18"/>
                <w:lang w:val="zh-CN"/>
              </w:rPr>
              <w:t>显示屏 亮度</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8" w:leftChars="0" w:right="180" w:rightChars="0"/>
              <w:jc w:val="center"/>
              <w:textAlignment w:val="baseline"/>
              <w:rPr>
                <w:rFonts w:hint="eastAsia" w:ascii="黑体" w:hAnsi="黑体" w:eastAsia="黑体"/>
                <w:color w:val="auto"/>
                <w:spacing w:val="14"/>
                <w:sz w:val="18"/>
                <w:szCs w:val="18"/>
                <w:lang w:val="zh-CN"/>
              </w:rPr>
            </w:pPr>
            <w:r>
              <w:rPr>
                <w:rFonts w:hint="eastAsia" w:ascii="黑体" w:hAnsi="黑体" w:eastAsia="黑体"/>
                <w:color w:val="auto"/>
                <w:spacing w:val="14"/>
                <w:sz w:val="18"/>
                <w:szCs w:val="18"/>
                <w:lang w:val="zh-CN"/>
              </w:rPr>
              <w:t>≥250 尼特</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6"/>
              <w:jc w:val="center"/>
              <w:textAlignment w:val="baseline"/>
              <w:rPr>
                <w:rFonts w:ascii="黑体" w:hAnsi="黑体" w:eastAsia="黑体"/>
                <w:color w:val="auto"/>
                <w:spacing w:val="-3"/>
                <w:sz w:val="18"/>
                <w:lang w:val="zh-CN"/>
              </w:rPr>
            </w:pPr>
          </w:p>
        </w:tc>
      </w:tr>
      <w:tr>
        <w:tblPrEx>
          <w:tblCellMar>
            <w:top w:w="0" w:type="dxa"/>
            <w:left w:w="0" w:type="dxa"/>
            <w:bottom w:w="0" w:type="dxa"/>
            <w:right w:w="0" w:type="dxa"/>
          </w:tblCellMar>
        </w:tblPrEx>
        <w:trPr>
          <w:trHeight w:val="547"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hint="default" w:ascii="黑体" w:hAnsi="黑体" w:eastAsia="黑体"/>
                <w:color w:val="auto"/>
                <w:sz w:val="18"/>
                <w:lang w:val="en-US" w:eastAsia="zh-CN"/>
              </w:rPr>
            </w:pPr>
            <w:r>
              <w:rPr>
                <w:rFonts w:hint="eastAsia" w:ascii="黑体" w:hAnsi="黑体" w:eastAsia="黑体"/>
                <w:color w:val="auto"/>
                <w:sz w:val="18"/>
                <w:lang w:val="en-US" w:eastAsia="zh-CN"/>
              </w:rPr>
              <w:t>19</w:t>
            </w:r>
          </w:p>
        </w:tc>
        <w:tc>
          <w:tcPr>
            <w:tcW w:w="1016"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ind w:left="108" w:right="180"/>
              <w:jc w:val="center"/>
              <w:textAlignment w:val="baseline"/>
              <w:rPr>
                <w:rFonts w:ascii="黑体" w:hAnsi="黑体" w:eastAsia="黑体"/>
                <w:color w:val="auto"/>
                <w:spacing w:val="-3"/>
                <w:sz w:val="18"/>
                <w:lang w:val="zh-CN"/>
              </w:rPr>
            </w:pPr>
            <w:r>
              <w:rPr>
                <w:rFonts w:ascii="黑体" w:hAnsi="黑体" w:eastAsia="黑体"/>
                <w:color w:val="auto"/>
                <w:spacing w:val="-3"/>
                <w:sz w:val="18"/>
                <w:lang w:val="zh-CN"/>
              </w:rPr>
              <w:t>性能要求</w:t>
            </w:r>
          </w:p>
        </w:tc>
        <w:tc>
          <w:tcPr>
            <w:tcW w:w="1016" w:type="dxa"/>
            <w:vMerge w:val="continue"/>
            <w:tcBorders>
              <w:left w:val="single" w:color="auto" w:sz="4" w:space="0"/>
              <w:right w:val="single" w:color="auto" w:sz="4" w:space="0"/>
            </w:tcBorders>
            <w:vAlign w:val="center"/>
          </w:tcPr>
          <w:p>
            <w:pPr>
              <w:widowControl/>
              <w:spacing w:line="240" w:lineRule="exact"/>
              <w:jc w:val="center"/>
              <w:rPr>
                <w:rFonts w:hint="eastAsia"/>
                <w:color w:val="auto"/>
                <w:sz w:val="18"/>
                <w:szCs w:val="18"/>
              </w:rPr>
            </w:pP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leftChars="0" w:right="180" w:rightChars="0"/>
              <w:jc w:val="center"/>
              <w:textAlignment w:val="baseline"/>
              <w:rPr>
                <w:rFonts w:hint="eastAsia" w:ascii="黑体" w:hAnsi="黑体" w:eastAsia="黑体"/>
                <w:color w:val="auto"/>
                <w:spacing w:val="14"/>
                <w:sz w:val="18"/>
                <w:szCs w:val="18"/>
                <w:lang w:val="zh-CN"/>
              </w:rPr>
            </w:pPr>
            <w:r>
              <w:rPr>
                <w:rFonts w:hint="eastAsia"/>
                <w:color w:val="auto"/>
              </w:rPr>
              <w:t>★</w:t>
            </w:r>
            <w:r>
              <w:rPr>
                <w:rFonts w:hint="eastAsia" w:ascii="黑体" w:hAnsi="黑体" w:eastAsia="黑体"/>
                <w:color w:val="auto"/>
                <w:spacing w:val="14"/>
                <w:sz w:val="18"/>
                <w:szCs w:val="18"/>
                <w:lang w:val="zh-CN"/>
              </w:rPr>
              <w:t>显示屏 亮度一致 性</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8" w:leftChars="0" w:right="180" w:rightChars="0"/>
              <w:jc w:val="center"/>
              <w:textAlignment w:val="baseline"/>
              <w:rPr>
                <w:rFonts w:hint="eastAsia" w:ascii="黑体" w:hAnsi="黑体" w:eastAsia="黑体"/>
                <w:color w:val="auto"/>
                <w:spacing w:val="14"/>
                <w:sz w:val="18"/>
                <w:szCs w:val="18"/>
                <w:lang w:val="zh-CN"/>
              </w:rPr>
            </w:pPr>
            <w:r>
              <w:rPr>
                <w:rFonts w:hint="eastAsia" w:ascii="黑体" w:hAnsi="黑体" w:eastAsia="黑体"/>
                <w:color w:val="auto"/>
                <w:spacing w:val="14"/>
                <w:sz w:val="18"/>
                <w:szCs w:val="18"/>
                <w:lang w:val="zh-CN"/>
              </w:rPr>
              <w:t>≥70%</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6"/>
              <w:jc w:val="center"/>
              <w:textAlignment w:val="baseline"/>
              <w:rPr>
                <w:rFonts w:ascii="黑体" w:hAnsi="黑体" w:eastAsia="黑体"/>
                <w:color w:val="auto"/>
                <w:spacing w:val="-3"/>
                <w:sz w:val="18"/>
                <w:lang w:val="zh-CN"/>
              </w:rPr>
            </w:pPr>
          </w:p>
        </w:tc>
      </w:tr>
      <w:tr>
        <w:tblPrEx>
          <w:tblCellMar>
            <w:top w:w="0" w:type="dxa"/>
            <w:left w:w="0" w:type="dxa"/>
            <w:bottom w:w="0" w:type="dxa"/>
            <w:right w:w="0" w:type="dxa"/>
          </w:tblCellMar>
        </w:tblPrEx>
        <w:trPr>
          <w:trHeight w:val="547"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hint="default" w:ascii="黑体" w:hAnsi="黑体" w:eastAsia="黑体"/>
                <w:color w:val="auto"/>
                <w:sz w:val="18"/>
                <w:lang w:val="en-US" w:eastAsia="zh-CN"/>
              </w:rPr>
            </w:pPr>
            <w:r>
              <w:rPr>
                <w:rFonts w:hint="eastAsia" w:ascii="黑体" w:hAnsi="黑体" w:eastAsia="黑体"/>
                <w:color w:val="auto"/>
                <w:sz w:val="18"/>
                <w:lang w:val="en-US" w:eastAsia="zh-CN"/>
              </w:rPr>
              <w:t>20</w:t>
            </w:r>
          </w:p>
        </w:tc>
        <w:tc>
          <w:tcPr>
            <w:tcW w:w="1016"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ind w:left="108" w:right="180"/>
              <w:jc w:val="center"/>
              <w:textAlignment w:val="baseline"/>
              <w:rPr>
                <w:rFonts w:ascii="黑体" w:hAnsi="黑体" w:eastAsia="黑体"/>
                <w:color w:val="auto"/>
                <w:spacing w:val="-3"/>
                <w:sz w:val="18"/>
                <w:lang w:val="zh-CN"/>
              </w:rPr>
            </w:pPr>
            <w:r>
              <w:rPr>
                <w:rFonts w:ascii="黑体" w:hAnsi="黑体" w:eastAsia="黑体"/>
                <w:color w:val="auto"/>
                <w:spacing w:val="-3"/>
                <w:sz w:val="18"/>
                <w:lang w:val="zh-CN"/>
              </w:rPr>
              <w:t>性能要求</w:t>
            </w:r>
          </w:p>
        </w:tc>
        <w:tc>
          <w:tcPr>
            <w:tcW w:w="1016" w:type="dxa"/>
            <w:vMerge w:val="continue"/>
            <w:tcBorders>
              <w:left w:val="single" w:color="auto" w:sz="4" w:space="0"/>
              <w:right w:val="single" w:color="auto" w:sz="4" w:space="0"/>
            </w:tcBorders>
            <w:vAlign w:val="center"/>
          </w:tcPr>
          <w:p>
            <w:pPr>
              <w:widowControl/>
              <w:spacing w:line="240" w:lineRule="exact"/>
              <w:jc w:val="center"/>
              <w:rPr>
                <w:rFonts w:hint="eastAsia"/>
                <w:color w:val="auto"/>
                <w:sz w:val="18"/>
                <w:szCs w:val="18"/>
              </w:rPr>
            </w:pP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leftChars="0" w:right="180" w:rightChars="0"/>
              <w:jc w:val="center"/>
              <w:textAlignment w:val="baseline"/>
              <w:rPr>
                <w:rFonts w:hint="eastAsia" w:ascii="黑体" w:hAnsi="黑体" w:eastAsia="黑体"/>
                <w:color w:val="auto"/>
                <w:spacing w:val="14"/>
                <w:sz w:val="18"/>
                <w:szCs w:val="18"/>
                <w:lang w:val="zh-CN"/>
              </w:rPr>
            </w:pPr>
            <w:r>
              <w:rPr>
                <w:rFonts w:hint="eastAsia" w:ascii="黑体" w:hAnsi="黑体" w:eastAsia="黑体"/>
                <w:color w:val="auto"/>
                <w:spacing w:val="14"/>
                <w:sz w:val="18"/>
                <w:szCs w:val="18"/>
                <w:lang w:val="zh-CN"/>
              </w:rPr>
              <w:t>*显示屏 对比度</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8" w:leftChars="0" w:right="180" w:rightChars="0"/>
              <w:jc w:val="center"/>
              <w:textAlignment w:val="baseline"/>
              <w:rPr>
                <w:rFonts w:hint="eastAsia" w:ascii="黑体" w:hAnsi="黑体" w:eastAsia="黑体"/>
                <w:color w:val="auto"/>
                <w:spacing w:val="14"/>
                <w:sz w:val="18"/>
                <w:szCs w:val="18"/>
                <w:lang w:val="zh-CN"/>
              </w:rPr>
            </w:pPr>
            <w:r>
              <w:rPr>
                <w:rFonts w:hint="eastAsia" w:ascii="黑体" w:hAnsi="黑体" w:eastAsia="黑体"/>
                <w:color w:val="auto"/>
                <w:spacing w:val="14"/>
                <w:sz w:val="18"/>
                <w:szCs w:val="18"/>
                <w:lang w:val="zh-CN"/>
              </w:rPr>
              <w:t>≥500：1</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6"/>
              <w:jc w:val="center"/>
              <w:textAlignment w:val="baseline"/>
              <w:rPr>
                <w:rFonts w:ascii="黑体" w:hAnsi="黑体" w:eastAsia="黑体"/>
                <w:color w:val="auto"/>
                <w:spacing w:val="-3"/>
                <w:sz w:val="18"/>
                <w:lang w:val="zh-CN"/>
              </w:rPr>
            </w:pPr>
          </w:p>
        </w:tc>
      </w:tr>
      <w:tr>
        <w:tblPrEx>
          <w:tblCellMar>
            <w:top w:w="0" w:type="dxa"/>
            <w:left w:w="0" w:type="dxa"/>
            <w:bottom w:w="0" w:type="dxa"/>
            <w:right w:w="0" w:type="dxa"/>
          </w:tblCellMar>
        </w:tblPrEx>
        <w:trPr>
          <w:trHeight w:val="529"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hint="default" w:ascii="黑体" w:hAnsi="黑体" w:eastAsia="黑体"/>
                <w:color w:val="auto"/>
                <w:sz w:val="18"/>
                <w:lang w:val="en-US" w:eastAsia="zh-CN"/>
              </w:rPr>
            </w:pPr>
            <w:r>
              <w:rPr>
                <w:rFonts w:hint="eastAsia" w:ascii="黑体" w:hAnsi="黑体" w:eastAsia="黑体"/>
                <w:color w:val="auto"/>
                <w:sz w:val="18"/>
                <w:lang w:val="en-US" w:eastAsia="zh-CN"/>
              </w:rPr>
              <w:t>21</w:t>
            </w:r>
          </w:p>
        </w:tc>
        <w:tc>
          <w:tcPr>
            <w:tcW w:w="1016" w:type="dxa"/>
            <w:tcBorders>
              <w:top w:val="single" w:color="000000" w:sz="4" w:space="0"/>
              <w:left w:val="single" w:color="000000" w:sz="4" w:space="0"/>
              <w:bottom w:val="single" w:color="auto" w:sz="4" w:space="0"/>
              <w:right w:val="single" w:color="auto" w:sz="4" w:space="0"/>
            </w:tcBorders>
            <w:vAlign w:val="center"/>
          </w:tcPr>
          <w:p>
            <w:pPr>
              <w:widowControl/>
              <w:spacing w:line="240" w:lineRule="exact"/>
              <w:ind w:left="108" w:right="180"/>
              <w:jc w:val="center"/>
              <w:textAlignment w:val="baseline"/>
              <w:rPr>
                <w:rFonts w:ascii="黑体" w:hAnsi="黑体" w:eastAsia="黑体"/>
                <w:color w:val="auto"/>
                <w:spacing w:val="-3"/>
                <w:sz w:val="18"/>
                <w:lang w:val="zh-CN"/>
              </w:rPr>
            </w:pPr>
            <w:r>
              <w:rPr>
                <w:rFonts w:ascii="黑体" w:hAnsi="黑体" w:eastAsia="黑体"/>
                <w:color w:val="auto"/>
                <w:spacing w:val="-3"/>
                <w:sz w:val="18"/>
                <w:lang w:val="zh-CN"/>
              </w:rPr>
              <w:t>性能要求</w:t>
            </w:r>
          </w:p>
        </w:tc>
        <w:tc>
          <w:tcPr>
            <w:tcW w:w="1016"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黑体" w:hAnsi="黑体" w:eastAsia="黑体"/>
                <w:color w:val="auto"/>
                <w:spacing w:val="-3"/>
                <w:sz w:val="18"/>
                <w:lang w:val="zh-CN"/>
              </w:rPr>
            </w:pP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right="180"/>
              <w:jc w:val="center"/>
              <w:textAlignment w:val="baseline"/>
              <w:rPr>
                <w:rFonts w:ascii="黑体" w:hAnsi="黑体" w:eastAsia="黑体"/>
                <w:color w:val="auto"/>
                <w:spacing w:val="-4"/>
                <w:sz w:val="18"/>
                <w:lang w:val="zh-CN"/>
              </w:rPr>
            </w:pPr>
            <w:r>
              <w:rPr>
                <w:rFonts w:hint="eastAsia"/>
                <w:color w:val="auto"/>
              </w:rPr>
              <w:t>★</w:t>
            </w:r>
            <w:r>
              <w:rPr>
                <w:rFonts w:ascii="黑体" w:hAnsi="黑体" w:eastAsia="黑体"/>
                <w:color w:val="auto"/>
                <w:spacing w:val="-4"/>
                <w:sz w:val="18"/>
                <w:lang w:val="zh-CN"/>
              </w:rPr>
              <w:t>显示屏其他参数</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8"/>
              <w:jc w:val="center"/>
              <w:textAlignment w:val="baseline"/>
              <w:rPr>
                <w:rFonts w:ascii="黑体" w:hAnsi="黑体" w:eastAsia="黑体"/>
                <w:color w:val="auto"/>
                <w:spacing w:val="-3"/>
                <w:sz w:val="18"/>
                <w:lang w:val="zh-CN"/>
              </w:rPr>
            </w:pPr>
            <w:r>
              <w:rPr>
                <w:rFonts w:ascii="黑体" w:hAnsi="黑体" w:eastAsia="黑体"/>
                <w:color w:val="auto"/>
                <w:spacing w:val="-3"/>
                <w:sz w:val="18"/>
                <w:lang w:val="zh-CN"/>
              </w:rPr>
              <w:t xml:space="preserve">其它参数应符合 </w:t>
            </w:r>
            <w:r>
              <w:rPr>
                <w:rFonts w:ascii="黑体" w:hAnsi="黑体" w:eastAsia="黑体"/>
                <w:color w:val="auto"/>
                <w:spacing w:val="-3"/>
                <w:sz w:val="19"/>
              </w:rPr>
              <w:t xml:space="preserve">SJ/T 11292 </w:t>
            </w:r>
            <w:r>
              <w:rPr>
                <w:rFonts w:ascii="黑体" w:hAnsi="黑体" w:eastAsia="黑体"/>
                <w:color w:val="auto"/>
                <w:spacing w:val="-3"/>
                <w:sz w:val="18"/>
                <w:lang w:val="zh-CN"/>
              </w:rPr>
              <w:t>的相关规定</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6"/>
              <w:jc w:val="center"/>
              <w:textAlignment w:val="baseline"/>
              <w:rPr>
                <w:rFonts w:ascii="黑体" w:hAnsi="黑体" w:eastAsia="黑体"/>
                <w:color w:val="auto"/>
                <w:sz w:val="18"/>
                <w:lang w:val="zh-CN"/>
              </w:rPr>
            </w:pPr>
          </w:p>
        </w:tc>
      </w:tr>
      <w:tr>
        <w:tblPrEx>
          <w:tblCellMar>
            <w:top w:w="0" w:type="dxa"/>
            <w:left w:w="0" w:type="dxa"/>
            <w:bottom w:w="0" w:type="dxa"/>
            <w:right w:w="0" w:type="dxa"/>
          </w:tblCellMar>
        </w:tblPrEx>
        <w:trPr>
          <w:trHeight w:val="616"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hint="default" w:ascii="黑体" w:hAnsi="黑体" w:eastAsia="黑体"/>
                <w:color w:val="auto"/>
                <w:sz w:val="18"/>
                <w:lang w:val="en-US" w:eastAsia="zh-CN"/>
              </w:rPr>
            </w:pPr>
            <w:r>
              <w:rPr>
                <w:rFonts w:hint="eastAsia" w:ascii="黑体" w:hAnsi="黑体" w:eastAsia="黑体"/>
                <w:color w:val="auto"/>
                <w:sz w:val="18"/>
                <w:lang w:val="en-US" w:eastAsia="zh-CN"/>
              </w:rPr>
              <w:t>22</w:t>
            </w:r>
          </w:p>
        </w:tc>
        <w:tc>
          <w:tcPr>
            <w:tcW w:w="1016" w:type="dxa"/>
            <w:tcBorders>
              <w:top w:val="single" w:color="auto" w:sz="4" w:space="0"/>
              <w:left w:val="single" w:color="000000" w:sz="4" w:space="0"/>
              <w:bottom w:val="single" w:color="000000" w:sz="4" w:space="0"/>
              <w:right w:val="single" w:color="auto" w:sz="4" w:space="0"/>
            </w:tcBorders>
            <w:vAlign w:val="center"/>
          </w:tcPr>
          <w:p>
            <w:pPr>
              <w:widowControl/>
              <w:spacing w:line="240" w:lineRule="exact"/>
              <w:ind w:left="108" w:right="180"/>
              <w:jc w:val="center"/>
              <w:textAlignment w:val="baseline"/>
              <w:rPr>
                <w:rFonts w:ascii="黑体" w:hAnsi="黑体" w:eastAsia="黑体"/>
                <w:color w:val="auto"/>
                <w:spacing w:val="-3"/>
                <w:sz w:val="18"/>
                <w:lang w:val="zh-CN"/>
              </w:rPr>
            </w:pPr>
            <w:r>
              <w:rPr>
                <w:rFonts w:ascii="黑体" w:hAnsi="黑体" w:eastAsia="黑体"/>
                <w:color w:val="auto"/>
                <w:spacing w:val="-3"/>
                <w:sz w:val="18"/>
                <w:lang w:val="zh-CN"/>
              </w:rPr>
              <w:t>功能要求</w:t>
            </w:r>
          </w:p>
        </w:tc>
        <w:tc>
          <w:tcPr>
            <w:tcW w:w="1016" w:type="dxa"/>
            <w:vMerge w:val="restart"/>
            <w:tcBorders>
              <w:top w:val="single" w:color="auto" w:sz="4" w:space="0"/>
              <w:left w:val="single" w:color="auto" w:sz="4" w:space="0"/>
              <w:right w:val="single" w:color="auto" w:sz="4" w:space="0"/>
            </w:tcBorders>
            <w:vAlign w:val="center"/>
          </w:tcPr>
          <w:p>
            <w:pPr>
              <w:widowControl/>
              <w:spacing w:line="240" w:lineRule="exact"/>
              <w:jc w:val="center"/>
              <w:rPr>
                <w:rFonts w:hint="default" w:ascii="黑体" w:hAnsi="黑体" w:eastAsia="黑体"/>
                <w:color w:val="auto"/>
                <w:spacing w:val="-3"/>
                <w:sz w:val="18"/>
                <w:lang w:val="en-US" w:eastAsia="zh-CN"/>
              </w:rPr>
            </w:pPr>
            <w:r>
              <w:rPr>
                <w:rFonts w:hint="eastAsia"/>
                <w:color w:val="auto"/>
              </w:rPr>
              <w:t>★</w:t>
            </w:r>
            <w:r>
              <w:rPr>
                <w:rFonts w:hint="eastAsia" w:ascii="黑体" w:hAnsi="黑体" w:eastAsia="黑体"/>
                <w:color w:val="auto"/>
                <w:spacing w:val="-3"/>
                <w:sz w:val="18"/>
                <w:lang w:val="en-US" w:eastAsia="zh-CN"/>
              </w:rPr>
              <w:t>显示设备功能</w:t>
            </w: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right="252"/>
              <w:jc w:val="center"/>
              <w:textAlignment w:val="baseline"/>
              <w:rPr>
                <w:rFonts w:ascii="黑体" w:hAnsi="黑体" w:eastAsia="黑体"/>
                <w:color w:val="auto"/>
                <w:spacing w:val="-4"/>
                <w:sz w:val="18"/>
                <w:lang w:val="zh-CN"/>
              </w:rPr>
            </w:pPr>
            <w:r>
              <w:rPr>
                <w:rFonts w:hint="eastAsia"/>
                <w:color w:val="auto"/>
              </w:rPr>
              <w:t>★</w:t>
            </w:r>
            <w:r>
              <w:rPr>
                <w:rFonts w:ascii="黑体" w:hAnsi="黑体" w:eastAsia="黑体"/>
                <w:color w:val="auto"/>
                <w:spacing w:val="-3"/>
                <w:sz w:val="18"/>
                <w:lang w:val="zh-CN"/>
              </w:rPr>
              <w:t>显示器接口</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5"/>
              <w:textAlignment w:val="baseline"/>
              <w:rPr>
                <w:rFonts w:ascii="黑体" w:hAnsi="黑体" w:eastAsia="黑体"/>
                <w:color w:val="auto"/>
                <w:spacing w:val="-3"/>
                <w:sz w:val="18"/>
                <w:lang w:val="zh-CN"/>
              </w:rPr>
            </w:pPr>
            <w:r>
              <w:rPr>
                <w:rFonts w:ascii="黑体" w:hAnsi="黑体" w:eastAsia="黑体"/>
                <w:color w:val="auto"/>
                <w:sz w:val="18"/>
                <w:lang w:val="zh-CN"/>
              </w:rPr>
              <w:t>显示器应与显卡外接显示接口匹配</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6"/>
              <w:jc w:val="center"/>
              <w:textAlignment w:val="baseline"/>
              <w:rPr>
                <w:rFonts w:ascii="黑体" w:hAnsi="黑体" w:eastAsia="黑体"/>
                <w:color w:val="auto"/>
                <w:sz w:val="18"/>
                <w:lang w:val="zh-CN"/>
              </w:rPr>
            </w:pPr>
          </w:p>
        </w:tc>
      </w:tr>
      <w:tr>
        <w:tblPrEx>
          <w:tblCellMar>
            <w:top w:w="0" w:type="dxa"/>
            <w:left w:w="0" w:type="dxa"/>
            <w:bottom w:w="0" w:type="dxa"/>
            <w:right w:w="0" w:type="dxa"/>
          </w:tblCellMar>
        </w:tblPrEx>
        <w:trPr>
          <w:trHeight w:val="721"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hint="default" w:ascii="黑体" w:hAnsi="黑体" w:eastAsia="黑体"/>
                <w:color w:val="auto"/>
                <w:sz w:val="18"/>
                <w:lang w:val="en-US" w:eastAsia="zh-CN"/>
              </w:rPr>
            </w:pPr>
            <w:r>
              <w:rPr>
                <w:rFonts w:hint="eastAsia" w:ascii="黑体" w:hAnsi="黑体" w:eastAsia="黑体"/>
                <w:color w:val="auto"/>
                <w:sz w:val="18"/>
                <w:lang w:val="en-US" w:eastAsia="zh-CN"/>
              </w:rPr>
              <w:t>23</w:t>
            </w:r>
          </w:p>
        </w:tc>
        <w:tc>
          <w:tcPr>
            <w:tcW w:w="1016"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ind w:left="108" w:right="180"/>
              <w:jc w:val="center"/>
              <w:textAlignment w:val="baseline"/>
              <w:rPr>
                <w:rFonts w:ascii="黑体" w:hAnsi="黑体" w:eastAsia="黑体"/>
                <w:color w:val="auto"/>
                <w:spacing w:val="-3"/>
                <w:sz w:val="18"/>
                <w:lang w:val="zh-CN"/>
              </w:rPr>
            </w:pPr>
            <w:r>
              <w:rPr>
                <w:rFonts w:ascii="黑体" w:hAnsi="黑体" w:eastAsia="黑体"/>
                <w:color w:val="auto"/>
                <w:spacing w:val="-3"/>
                <w:sz w:val="18"/>
                <w:lang w:val="zh-CN"/>
              </w:rPr>
              <w:t>功能要求</w:t>
            </w:r>
          </w:p>
        </w:tc>
        <w:tc>
          <w:tcPr>
            <w:tcW w:w="1016" w:type="dxa"/>
            <w:vMerge w:val="continue"/>
            <w:tcBorders>
              <w:left w:val="single" w:color="auto" w:sz="4" w:space="0"/>
              <w:right w:val="single" w:color="auto" w:sz="4" w:space="0"/>
            </w:tcBorders>
            <w:vAlign w:val="center"/>
          </w:tcPr>
          <w:p>
            <w:pPr>
              <w:widowControl/>
              <w:spacing w:line="240" w:lineRule="exact"/>
              <w:jc w:val="center"/>
              <w:rPr>
                <w:rFonts w:ascii="黑体" w:hAnsi="黑体" w:eastAsia="黑体"/>
                <w:color w:val="auto"/>
                <w:spacing w:val="-3"/>
                <w:sz w:val="18"/>
                <w:lang w:val="zh-CN"/>
              </w:rPr>
            </w:pP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right="252"/>
              <w:jc w:val="center"/>
              <w:textAlignment w:val="baseline"/>
              <w:rPr>
                <w:rFonts w:ascii="黑体" w:hAnsi="黑体" w:eastAsia="黑体"/>
                <w:color w:val="auto"/>
                <w:spacing w:val="-4"/>
                <w:sz w:val="18"/>
                <w:lang w:val="zh-CN"/>
              </w:rPr>
            </w:pPr>
            <w:r>
              <w:rPr>
                <w:rFonts w:hint="eastAsia"/>
                <w:color w:val="auto"/>
              </w:rPr>
              <w:t>★</w:t>
            </w:r>
            <w:r>
              <w:rPr>
                <w:rFonts w:ascii="黑体" w:hAnsi="黑体" w:eastAsia="黑体"/>
                <w:color w:val="auto"/>
                <w:spacing w:val="-3"/>
                <w:sz w:val="18"/>
                <w:lang w:val="zh-CN"/>
              </w:rPr>
              <w:t>显示器支架</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8" w:right="216"/>
              <w:textAlignment w:val="baseline"/>
              <w:rPr>
                <w:rFonts w:ascii="黑体" w:hAnsi="黑体" w:eastAsia="黑体"/>
                <w:color w:val="auto"/>
                <w:spacing w:val="-3"/>
                <w:sz w:val="18"/>
                <w:lang w:val="zh-CN"/>
              </w:rPr>
            </w:pPr>
            <w:r>
              <w:rPr>
                <w:rFonts w:ascii="黑体" w:hAnsi="黑体" w:eastAsia="黑体"/>
                <w:color w:val="auto"/>
                <w:spacing w:val="-3"/>
                <w:sz w:val="18"/>
                <w:lang w:val="zh-CN"/>
              </w:rPr>
              <w:t>显示器应提供显示器支架</w:t>
            </w:r>
            <w:r>
              <w:rPr>
                <w:rFonts w:hint="eastAsia" w:ascii="黑体" w:hAnsi="黑体" w:eastAsia="黑体"/>
                <w:color w:val="auto"/>
                <w:spacing w:val="-3"/>
                <w:sz w:val="18"/>
                <w:lang w:val="zh-CN"/>
              </w:rPr>
              <w:t>，</w:t>
            </w:r>
            <w:r>
              <w:rPr>
                <w:rFonts w:ascii="黑体" w:hAnsi="黑体" w:eastAsia="黑体"/>
                <w:color w:val="auto"/>
                <w:spacing w:val="-3"/>
                <w:sz w:val="18"/>
                <w:lang w:val="zh-CN"/>
              </w:rPr>
              <w:t>根据采购人需求支持屏幕旋转、升降等</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6"/>
              <w:jc w:val="center"/>
              <w:textAlignment w:val="baseline"/>
              <w:rPr>
                <w:rFonts w:ascii="黑体" w:hAnsi="黑体" w:eastAsia="黑体"/>
                <w:color w:val="auto"/>
                <w:sz w:val="18"/>
                <w:lang w:val="zh-CN"/>
              </w:rPr>
            </w:pPr>
          </w:p>
        </w:tc>
      </w:tr>
      <w:tr>
        <w:tblPrEx>
          <w:tblCellMar>
            <w:top w:w="0" w:type="dxa"/>
            <w:left w:w="0" w:type="dxa"/>
            <w:bottom w:w="0" w:type="dxa"/>
            <w:right w:w="0" w:type="dxa"/>
          </w:tblCellMar>
        </w:tblPrEx>
        <w:trPr>
          <w:trHeight w:val="902"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hint="default" w:ascii="黑体" w:hAnsi="黑体" w:eastAsia="黑体"/>
                <w:color w:val="auto"/>
                <w:sz w:val="18"/>
                <w:lang w:val="en-US" w:eastAsia="zh-CN"/>
              </w:rPr>
            </w:pPr>
            <w:r>
              <w:rPr>
                <w:rFonts w:hint="eastAsia" w:ascii="黑体" w:hAnsi="黑体" w:eastAsia="黑体"/>
                <w:color w:val="auto"/>
                <w:sz w:val="18"/>
                <w:lang w:val="en-US" w:eastAsia="zh-CN"/>
              </w:rPr>
              <w:t>24</w:t>
            </w:r>
          </w:p>
        </w:tc>
        <w:tc>
          <w:tcPr>
            <w:tcW w:w="1016"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ind w:left="108" w:right="180"/>
              <w:jc w:val="center"/>
              <w:textAlignment w:val="baseline"/>
              <w:rPr>
                <w:rFonts w:ascii="黑体" w:hAnsi="黑体" w:eastAsia="黑体"/>
                <w:color w:val="auto"/>
                <w:spacing w:val="-3"/>
                <w:sz w:val="18"/>
                <w:lang w:val="zh-CN"/>
              </w:rPr>
            </w:pPr>
            <w:r>
              <w:rPr>
                <w:rFonts w:ascii="黑体" w:hAnsi="黑体" w:eastAsia="黑体"/>
                <w:color w:val="auto"/>
                <w:spacing w:val="-3"/>
                <w:sz w:val="18"/>
                <w:lang w:val="zh-CN"/>
              </w:rPr>
              <w:t>功能要求</w:t>
            </w:r>
          </w:p>
        </w:tc>
        <w:tc>
          <w:tcPr>
            <w:tcW w:w="1016" w:type="dxa"/>
            <w:vMerge w:val="continue"/>
            <w:tcBorders>
              <w:left w:val="single" w:color="auto" w:sz="4" w:space="0"/>
              <w:bottom w:val="single" w:color="auto" w:sz="4" w:space="0"/>
              <w:right w:val="single" w:color="auto" w:sz="4" w:space="0"/>
            </w:tcBorders>
            <w:vAlign w:val="center"/>
          </w:tcPr>
          <w:p>
            <w:pPr>
              <w:widowControl/>
              <w:spacing w:line="240" w:lineRule="exact"/>
              <w:jc w:val="center"/>
              <w:rPr>
                <w:rFonts w:ascii="黑体" w:hAnsi="黑体" w:eastAsia="黑体"/>
                <w:color w:val="auto"/>
                <w:spacing w:val="-3"/>
                <w:sz w:val="18"/>
                <w:lang w:val="zh-CN"/>
              </w:rPr>
            </w:pP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right="180"/>
              <w:jc w:val="center"/>
              <w:textAlignment w:val="baseline"/>
              <w:rPr>
                <w:rFonts w:ascii="黑体" w:hAnsi="黑体" w:eastAsia="黑体"/>
                <w:color w:val="auto"/>
                <w:spacing w:val="-4"/>
                <w:sz w:val="18"/>
                <w:lang w:val="zh-CN"/>
              </w:rPr>
            </w:pPr>
            <w:r>
              <w:rPr>
                <w:rFonts w:hint="eastAsia"/>
                <w:color w:val="auto"/>
              </w:rPr>
              <w:t>★</w:t>
            </w:r>
            <w:r>
              <w:rPr>
                <w:rFonts w:ascii="黑体" w:hAnsi="黑体" w:eastAsia="黑体"/>
                <w:color w:val="auto"/>
                <w:spacing w:val="-4"/>
                <w:sz w:val="18"/>
                <w:lang w:val="zh-CN"/>
              </w:rPr>
              <w:t>显示器参数调节</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72"/>
              <w:textAlignment w:val="baseline"/>
              <w:rPr>
                <w:rFonts w:ascii="黑体" w:hAnsi="黑体" w:eastAsia="黑体"/>
                <w:color w:val="auto"/>
                <w:sz w:val="18"/>
              </w:rPr>
            </w:pPr>
            <w:r>
              <w:rPr>
                <w:rFonts w:ascii="黑体" w:hAnsi="黑体" w:eastAsia="黑体"/>
                <w:color w:val="auto"/>
                <w:sz w:val="18"/>
              </w:rPr>
              <w:t>a)</w:t>
            </w:r>
            <w:r>
              <w:rPr>
                <w:rFonts w:ascii="黑体" w:hAnsi="黑体" w:eastAsia="黑体"/>
                <w:color w:val="auto"/>
                <w:sz w:val="18"/>
                <w:lang w:val="zh-CN"/>
              </w:rPr>
              <w:t xml:space="preserve">提供 </w:t>
            </w:r>
            <w:r>
              <w:rPr>
                <w:rFonts w:ascii="黑体" w:hAnsi="黑体" w:eastAsia="黑体"/>
                <w:color w:val="auto"/>
                <w:sz w:val="18"/>
              </w:rPr>
              <w:t xml:space="preserve">OSD </w:t>
            </w:r>
            <w:r>
              <w:rPr>
                <w:rFonts w:ascii="黑体" w:hAnsi="黑体" w:eastAsia="黑体"/>
                <w:color w:val="auto"/>
                <w:sz w:val="18"/>
                <w:lang w:val="zh-CN"/>
              </w:rPr>
              <w:t>选单按钮用于调节色彩、</w:t>
            </w:r>
          </w:p>
          <w:p>
            <w:pPr>
              <w:widowControl/>
              <w:spacing w:line="240" w:lineRule="exact"/>
              <w:ind w:left="72"/>
              <w:textAlignment w:val="baseline"/>
              <w:rPr>
                <w:rFonts w:ascii="黑体" w:hAnsi="黑体" w:eastAsia="黑体"/>
                <w:color w:val="auto"/>
                <w:sz w:val="18"/>
                <w:lang w:val="zh-CN"/>
              </w:rPr>
            </w:pPr>
            <w:r>
              <w:rPr>
                <w:rFonts w:ascii="黑体" w:hAnsi="黑体" w:eastAsia="黑体"/>
                <w:color w:val="auto"/>
                <w:sz w:val="18"/>
                <w:lang w:val="zh-CN"/>
              </w:rPr>
              <w:t>模式等</w:t>
            </w:r>
            <w:r>
              <w:rPr>
                <w:rFonts w:hint="eastAsia" w:ascii="黑体" w:hAnsi="黑体" w:eastAsia="黑体"/>
                <w:color w:val="auto"/>
                <w:sz w:val="18"/>
                <w:lang w:val="zh-CN"/>
              </w:rPr>
              <w:t>；</w:t>
            </w:r>
          </w:p>
          <w:p>
            <w:pPr>
              <w:widowControl/>
              <w:spacing w:line="240" w:lineRule="exact"/>
              <w:ind w:left="72"/>
              <w:textAlignment w:val="baseline"/>
              <w:rPr>
                <w:rFonts w:ascii="黑体" w:hAnsi="黑体" w:eastAsia="黑体"/>
                <w:color w:val="auto"/>
                <w:spacing w:val="-3"/>
                <w:sz w:val="18"/>
                <w:lang w:val="zh-CN"/>
              </w:rPr>
            </w:pPr>
            <w:r>
              <w:rPr>
                <w:rFonts w:ascii="黑体" w:hAnsi="黑体" w:eastAsia="黑体"/>
                <w:color w:val="auto"/>
                <w:sz w:val="18"/>
              </w:rPr>
              <w:t>b)</w:t>
            </w:r>
            <w:r>
              <w:rPr>
                <w:rFonts w:ascii="黑体" w:hAnsi="黑体" w:eastAsia="黑体"/>
                <w:color w:val="auto"/>
                <w:sz w:val="18"/>
                <w:lang w:val="zh-CN"/>
              </w:rPr>
              <w:t>支持色温、亮度、对比度调节</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6"/>
              <w:jc w:val="center"/>
              <w:textAlignment w:val="baseline"/>
              <w:rPr>
                <w:rFonts w:ascii="黑体" w:hAnsi="黑体" w:eastAsia="黑体"/>
                <w:color w:val="auto"/>
                <w:sz w:val="18"/>
                <w:lang w:val="zh-CN"/>
              </w:rPr>
            </w:pPr>
          </w:p>
        </w:tc>
      </w:tr>
      <w:tr>
        <w:tblPrEx>
          <w:tblCellMar>
            <w:top w:w="0" w:type="dxa"/>
            <w:left w:w="0" w:type="dxa"/>
            <w:bottom w:w="0" w:type="dxa"/>
            <w:right w:w="0" w:type="dxa"/>
          </w:tblCellMar>
        </w:tblPrEx>
        <w:trPr>
          <w:trHeight w:val="680" w:hRule="exact"/>
        </w:trPr>
        <w:tc>
          <w:tcPr>
            <w:tcW w:w="572"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jc w:val="center"/>
              <w:textAlignment w:val="baseline"/>
              <w:rPr>
                <w:rFonts w:hint="default" w:ascii="黑体" w:hAnsi="黑体" w:eastAsia="黑体"/>
                <w:color w:val="auto"/>
                <w:sz w:val="18"/>
                <w:lang w:val="en-US" w:eastAsia="zh-CN"/>
              </w:rPr>
            </w:pPr>
            <w:r>
              <w:rPr>
                <w:rFonts w:hint="eastAsia" w:ascii="黑体" w:hAnsi="黑体" w:eastAsia="黑体"/>
                <w:color w:val="auto"/>
                <w:sz w:val="18"/>
                <w:lang w:val="en-US" w:eastAsia="zh-CN"/>
              </w:rPr>
              <w:t>25</w:t>
            </w:r>
          </w:p>
        </w:tc>
        <w:tc>
          <w:tcPr>
            <w:tcW w:w="1016" w:type="dxa"/>
            <w:tcBorders>
              <w:top w:val="single" w:color="000000" w:sz="4" w:space="0"/>
              <w:left w:val="single" w:color="000000" w:sz="4" w:space="0"/>
              <w:bottom w:val="single" w:color="000000" w:sz="4" w:space="0"/>
              <w:right w:val="single" w:color="auto" w:sz="4" w:space="0"/>
            </w:tcBorders>
            <w:vAlign w:val="center"/>
          </w:tcPr>
          <w:p>
            <w:pPr>
              <w:widowControl/>
              <w:spacing w:line="240" w:lineRule="exact"/>
              <w:ind w:left="108" w:right="180"/>
              <w:jc w:val="center"/>
              <w:textAlignment w:val="baseline"/>
              <w:rPr>
                <w:rFonts w:ascii="黑体" w:hAnsi="黑体" w:eastAsia="黑体"/>
                <w:color w:val="auto"/>
                <w:spacing w:val="-3"/>
                <w:sz w:val="18"/>
                <w:lang w:val="zh-CN"/>
              </w:rPr>
            </w:pPr>
            <w:r>
              <w:rPr>
                <w:rFonts w:ascii="黑体" w:hAnsi="黑体" w:eastAsia="黑体"/>
                <w:color w:val="auto"/>
                <w:spacing w:val="-3"/>
                <w:sz w:val="18"/>
                <w:lang w:val="zh-CN"/>
              </w:rPr>
              <w:t>可靠性要求</w:t>
            </w:r>
          </w:p>
        </w:tc>
        <w:tc>
          <w:tcPr>
            <w:tcW w:w="101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ind w:left="108"/>
              <w:jc w:val="center"/>
              <w:textAlignment w:val="baseline"/>
              <w:rPr>
                <w:rFonts w:hint="default"/>
                <w:color w:val="auto"/>
                <w:lang w:val="en-US"/>
              </w:rPr>
            </w:pPr>
            <w:r>
              <w:rPr>
                <w:rFonts w:hint="eastAsia"/>
                <w:color w:val="auto"/>
              </w:rPr>
              <w:t>★</w:t>
            </w:r>
            <w:r>
              <w:rPr>
                <w:rFonts w:hint="eastAsia" w:ascii="黑体" w:hAnsi="黑体" w:eastAsia="黑体"/>
                <w:color w:val="auto"/>
                <w:spacing w:val="-3"/>
                <w:sz w:val="18"/>
                <w:lang w:val="en-US" w:eastAsia="zh-CN"/>
              </w:rPr>
              <w:t>显示设备可靠性</w:t>
            </w:r>
          </w:p>
        </w:tc>
        <w:tc>
          <w:tcPr>
            <w:tcW w:w="1232" w:type="dxa"/>
            <w:tcBorders>
              <w:top w:val="single" w:color="000000" w:sz="4" w:space="0"/>
              <w:left w:val="single" w:color="auto" w:sz="4" w:space="0"/>
              <w:bottom w:val="single" w:color="000000" w:sz="4" w:space="0"/>
              <w:right w:val="single" w:color="000000" w:sz="4" w:space="0"/>
            </w:tcBorders>
            <w:vAlign w:val="center"/>
          </w:tcPr>
          <w:p>
            <w:pPr>
              <w:widowControl/>
              <w:spacing w:line="240" w:lineRule="exact"/>
              <w:ind w:left="108" w:right="180"/>
              <w:jc w:val="center"/>
              <w:textAlignment w:val="baseline"/>
              <w:rPr>
                <w:rFonts w:ascii="黑体" w:hAnsi="黑体" w:eastAsia="黑体"/>
                <w:color w:val="auto"/>
                <w:spacing w:val="-4"/>
                <w:sz w:val="18"/>
                <w:lang w:val="zh-CN"/>
              </w:rPr>
            </w:pPr>
            <w:r>
              <w:rPr>
                <w:rFonts w:hint="eastAsia"/>
                <w:color w:val="auto"/>
              </w:rPr>
              <w:t>★</w:t>
            </w:r>
            <w:r>
              <w:rPr>
                <w:rFonts w:ascii="黑体" w:hAnsi="黑体" w:eastAsia="黑体"/>
                <w:color w:val="auto"/>
                <w:spacing w:val="-4"/>
                <w:sz w:val="18"/>
                <w:lang w:val="zh-CN"/>
              </w:rPr>
              <w:t>显示屏屏幕失效点</w:t>
            </w:r>
          </w:p>
        </w:tc>
        <w:tc>
          <w:tcPr>
            <w:tcW w:w="4023"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10"/>
              <w:jc w:val="center"/>
              <w:textAlignment w:val="baseline"/>
              <w:rPr>
                <w:rFonts w:ascii="黑体" w:hAnsi="黑体" w:eastAsia="黑体"/>
                <w:color w:val="auto"/>
                <w:sz w:val="18"/>
                <w:lang w:val="zh-CN"/>
              </w:rPr>
            </w:pPr>
            <w:r>
              <w:rPr>
                <w:rFonts w:ascii="黑体" w:hAnsi="黑体" w:eastAsia="黑体"/>
                <w:color w:val="auto"/>
                <w:sz w:val="18"/>
                <w:lang w:val="zh-CN"/>
              </w:rPr>
              <w:t xml:space="preserve">符合 </w:t>
            </w:r>
            <w:r>
              <w:rPr>
                <w:rFonts w:ascii="黑体" w:hAnsi="黑体" w:eastAsia="黑体"/>
                <w:color w:val="auto"/>
                <w:sz w:val="18"/>
              </w:rPr>
              <w:t xml:space="preserve">GB/T 9813.2 </w:t>
            </w:r>
            <w:r>
              <w:rPr>
                <w:rFonts w:ascii="黑体" w:hAnsi="黑体" w:eastAsia="黑体"/>
                <w:color w:val="auto"/>
                <w:sz w:val="18"/>
                <w:lang w:val="zh-CN"/>
              </w:rPr>
              <w:t>的要求</w:t>
            </w:r>
          </w:p>
        </w:tc>
        <w:tc>
          <w:tcPr>
            <w:tcW w:w="1478" w:type="dxa"/>
            <w:tcBorders>
              <w:top w:val="single" w:color="000000" w:sz="4" w:space="0"/>
              <w:left w:val="single" w:color="000000" w:sz="4" w:space="0"/>
              <w:bottom w:val="single" w:color="000000" w:sz="4" w:space="0"/>
              <w:right w:val="single" w:color="000000" w:sz="4" w:space="0"/>
            </w:tcBorders>
            <w:vAlign w:val="center"/>
          </w:tcPr>
          <w:p>
            <w:pPr>
              <w:widowControl/>
              <w:spacing w:line="240" w:lineRule="exact"/>
              <w:ind w:left="108" w:right="108"/>
              <w:jc w:val="center"/>
              <w:textAlignment w:val="baseline"/>
              <w:rPr>
                <w:rFonts w:ascii="黑体" w:hAnsi="黑体" w:eastAsia="黑体"/>
                <w:color w:val="auto"/>
                <w:sz w:val="18"/>
                <w:lang w:val="zh-CN"/>
              </w:rPr>
            </w:pPr>
          </w:p>
        </w:tc>
      </w:tr>
    </w:tbl>
    <w:p>
      <w:pPr>
        <w:widowControl/>
        <w:jc w:val="left"/>
        <w:rPr>
          <w:rFonts w:ascii="宋体" w:hAnsi="宋体"/>
          <w:color w:val="auto"/>
          <w:szCs w:val="21"/>
        </w:rPr>
      </w:pPr>
    </w:p>
    <w:p>
      <w:pPr>
        <w:keepNext w:val="0"/>
        <w:keepLines w:val="0"/>
        <w:pageBreakBefore/>
        <w:widowControl/>
        <w:kinsoku/>
        <w:wordWrap/>
        <w:overflowPunct/>
        <w:topLinePunct w:val="0"/>
        <w:autoSpaceDE/>
        <w:autoSpaceDN/>
        <w:bidi w:val="0"/>
        <w:adjustRightInd/>
        <w:snapToGrid/>
        <w:jc w:val="left"/>
        <w:textAlignment w:val="auto"/>
        <w:rPr>
          <w:rFonts w:hint="eastAsia" w:ascii="宋体" w:hAnsi="宋体" w:cs="宋体"/>
          <w:b/>
          <w:bCs/>
          <w:kern w:val="0"/>
          <w:szCs w:val="21"/>
          <w:lang w:bidi="ar"/>
        </w:rPr>
      </w:pPr>
      <w:bookmarkStart w:id="48" w:name="OLE_LINK8"/>
      <w:r>
        <w:rPr>
          <w:rFonts w:hint="eastAsia" w:ascii="宋体" w:hAnsi="宋体" w:cs="宋体"/>
          <w:b/>
          <w:bCs/>
          <w:kern w:val="0"/>
          <w:szCs w:val="21"/>
          <w:lang w:bidi="ar"/>
        </w:rPr>
        <w:t>附件</w:t>
      </w:r>
      <w:r>
        <w:rPr>
          <w:rFonts w:hint="eastAsia" w:ascii="宋体" w:hAnsi="宋体" w:cs="宋体"/>
          <w:b/>
          <w:bCs/>
          <w:kern w:val="0"/>
          <w:szCs w:val="21"/>
          <w:lang w:val="en-US" w:eastAsia="zh-CN" w:bidi="ar"/>
        </w:rPr>
        <w:t>三</w:t>
      </w:r>
      <w:r>
        <w:rPr>
          <w:rFonts w:hint="eastAsia" w:ascii="宋体" w:hAnsi="宋体" w:cs="宋体"/>
          <w:b/>
          <w:bCs/>
          <w:kern w:val="0"/>
          <w:szCs w:val="21"/>
          <w:lang w:bidi="ar"/>
        </w:rPr>
        <w:t>《操作系统采购需求》</w:t>
      </w:r>
    </w:p>
    <w:bookmarkEnd w:id="48"/>
    <w:tbl>
      <w:tblPr>
        <w:tblStyle w:val="170"/>
        <w:tblW w:w="5072"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02"/>
        <w:gridCol w:w="828"/>
        <w:gridCol w:w="1521"/>
        <w:gridCol w:w="1945"/>
        <w:gridCol w:w="3070"/>
        <w:gridCol w:w="56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jc w:val="center"/>
        </w:trPr>
        <w:tc>
          <w:tcPr>
            <w:tcW w:w="297" w:type="pct"/>
            <w:vAlign w:val="top"/>
          </w:tcPr>
          <w:p>
            <w:pPr>
              <w:pStyle w:val="169"/>
              <w:spacing w:before="147" w:line="237" w:lineRule="auto"/>
              <w:jc w:val="center"/>
              <w:rPr>
                <w:b/>
                <w:bCs/>
                <w:spacing w:val="-3"/>
              </w:rPr>
            </w:pPr>
            <w:r>
              <w:rPr>
                <w:b/>
                <w:bCs/>
                <w:spacing w:val="-3"/>
              </w:rPr>
              <w:t>序号</w:t>
            </w:r>
          </w:p>
        </w:tc>
        <w:tc>
          <w:tcPr>
            <w:tcW w:w="490" w:type="pct"/>
            <w:vAlign w:val="top"/>
          </w:tcPr>
          <w:p>
            <w:pPr>
              <w:pStyle w:val="169"/>
              <w:spacing w:before="147" w:line="237" w:lineRule="auto"/>
              <w:jc w:val="center"/>
              <w:rPr>
                <w:b/>
                <w:bCs/>
                <w:spacing w:val="-3"/>
              </w:rPr>
            </w:pPr>
            <w:r>
              <w:rPr>
                <w:b/>
                <w:bCs/>
                <w:spacing w:val="-3"/>
              </w:rPr>
              <w:t>指标分类</w:t>
            </w:r>
          </w:p>
        </w:tc>
        <w:tc>
          <w:tcPr>
            <w:tcW w:w="901" w:type="pct"/>
            <w:vAlign w:val="top"/>
          </w:tcPr>
          <w:p>
            <w:pPr>
              <w:pStyle w:val="169"/>
              <w:spacing w:before="147" w:line="237" w:lineRule="auto"/>
              <w:jc w:val="center"/>
              <w:rPr>
                <w:sz w:val="8"/>
                <w:szCs w:val="8"/>
              </w:rPr>
            </w:pPr>
            <w:r>
              <w:rPr>
                <w:b/>
                <w:bCs/>
                <w:spacing w:val="-3"/>
              </w:rPr>
              <w:t>一级指标</w:t>
            </w:r>
          </w:p>
        </w:tc>
        <w:tc>
          <w:tcPr>
            <w:tcW w:w="1153" w:type="pct"/>
            <w:vAlign w:val="top"/>
          </w:tcPr>
          <w:p>
            <w:pPr>
              <w:pStyle w:val="169"/>
              <w:spacing w:before="150" w:line="234" w:lineRule="auto"/>
              <w:jc w:val="center"/>
              <w:rPr>
                <w:sz w:val="8"/>
                <w:szCs w:val="8"/>
              </w:rPr>
            </w:pPr>
            <w:r>
              <w:rPr>
                <w:b/>
                <w:bCs/>
                <w:spacing w:val="-4"/>
              </w:rPr>
              <w:t>二级指标</w:t>
            </w:r>
          </w:p>
        </w:tc>
        <w:tc>
          <w:tcPr>
            <w:tcW w:w="1820" w:type="pct"/>
            <w:vAlign w:val="top"/>
          </w:tcPr>
          <w:p>
            <w:pPr>
              <w:pStyle w:val="169"/>
              <w:spacing w:before="163" w:line="222" w:lineRule="auto"/>
              <w:jc w:val="center"/>
            </w:pPr>
            <w:r>
              <w:rPr>
                <w:b/>
                <w:bCs/>
                <w:spacing w:val="-3"/>
              </w:rPr>
              <w:t>指标要求</w:t>
            </w:r>
          </w:p>
        </w:tc>
        <w:tc>
          <w:tcPr>
            <w:tcW w:w="335" w:type="pct"/>
            <w:vAlign w:val="top"/>
          </w:tcPr>
          <w:p>
            <w:pPr>
              <w:pStyle w:val="169"/>
              <w:spacing w:before="163" w:line="222" w:lineRule="auto"/>
              <w:jc w:val="center"/>
              <w:rPr>
                <w:rFonts w:hint="eastAsia" w:eastAsia="黑体"/>
                <w:b/>
                <w:bCs/>
                <w:spacing w:val="-3"/>
                <w:lang w:val="en-US" w:eastAsia="zh-CN"/>
              </w:rPr>
            </w:pPr>
            <w:r>
              <w:rPr>
                <w:rFonts w:hint="eastAsia"/>
                <w:b/>
                <w:bCs/>
                <w:spacing w:val="-3"/>
                <w:lang w:val="en-US" w:eastAsia="zh-CN"/>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6"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Align w:val="center"/>
          </w:tcPr>
          <w:p>
            <w:pPr>
              <w:widowControl/>
              <w:kinsoku/>
              <w:autoSpaceDE/>
              <w:autoSpaceDN/>
              <w:adjustRightInd/>
              <w:snapToGrid/>
              <w:spacing w:line="240" w:lineRule="exact"/>
              <w:jc w:val="left"/>
              <w:textAlignment w:val="baseline"/>
              <w:rPr>
                <w:color w:val="auto"/>
              </w:rPr>
            </w:pPr>
            <w:r>
              <w:rPr>
                <w:rFonts w:hint="eastAsia"/>
                <w:color w:val="auto"/>
                <w:sz w:val="18"/>
                <w:szCs w:val="18"/>
              </w:rPr>
              <w:t>★</w:t>
            </w:r>
            <w:r>
              <w:rPr>
                <w:rFonts w:hint="eastAsia" w:ascii="黑体" w:hAnsi="黑体" w:eastAsia="黑体" w:cs="Times New Roman"/>
                <w:snapToGrid/>
                <w:color w:val="auto"/>
                <w:kern w:val="2"/>
                <w:sz w:val="18"/>
                <w:szCs w:val="24"/>
                <w:lang w:eastAsia="zh-CN"/>
              </w:rPr>
              <w:t>操作系统支持多 CPU 架构</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同源兼容多CPU 平台架构</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操作系统同源兼容 ARM、LoongArch、 MIPS、SW64、x86 等平台架构的 CPU</w:t>
            </w:r>
          </w:p>
        </w:tc>
        <w:tc>
          <w:tcPr>
            <w:tcW w:w="335" w:type="pct"/>
            <w:vAlign w:val="top"/>
          </w:tcPr>
          <w:p>
            <w:pPr>
              <w:pStyle w:val="169"/>
              <w:spacing w:before="159" w:line="248" w:lineRule="auto"/>
              <w:ind w:left="112" w:right="250"/>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6"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2</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restart"/>
            <w:tcBorders>
              <w:bottom w:val="nil"/>
            </w:tcBorders>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操作系统支持CPU 内置功能</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多核支持</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操作系统支持双核及多核处理器，支持核间负载均衡、线程绑定，并提供系统多核访问及调度接口</w:t>
            </w:r>
          </w:p>
        </w:tc>
        <w:tc>
          <w:tcPr>
            <w:tcW w:w="335" w:type="pct"/>
            <w:vAlign w:val="top"/>
          </w:tcPr>
          <w:p>
            <w:pPr>
              <w:pStyle w:val="169"/>
              <w:spacing w:before="38" w:line="231" w:lineRule="auto"/>
              <w:ind w:left="111" w:right="102" w:firstLine="1"/>
              <w:jc w:val="both"/>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3</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CPU 虚拟化支持</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 CPU 虚拟化技术</w:t>
            </w:r>
          </w:p>
        </w:tc>
        <w:tc>
          <w:tcPr>
            <w:tcW w:w="335" w:type="pct"/>
            <w:vAlign w:val="top"/>
          </w:tcPr>
          <w:p>
            <w:pPr>
              <w:pStyle w:val="169"/>
              <w:spacing w:before="162" w:line="221" w:lineRule="auto"/>
              <w:ind w:left="113"/>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4</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动态调节 CPU运行频率</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操作系统根据负载情况，自动调节 CPU的运行频率</w:t>
            </w:r>
          </w:p>
        </w:tc>
        <w:tc>
          <w:tcPr>
            <w:tcW w:w="335" w:type="pct"/>
            <w:vAlign w:val="top"/>
          </w:tcPr>
          <w:p>
            <w:pPr>
              <w:pStyle w:val="169"/>
              <w:spacing w:before="42" w:line="222" w:lineRule="auto"/>
              <w:ind w:left="122" w:right="130" w:hanging="9"/>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5</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支持 CPU 运行时低功耗状态切换</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操作系统根据负载的情况，自动切换CPU 的低功耗状态</w:t>
            </w:r>
          </w:p>
        </w:tc>
        <w:tc>
          <w:tcPr>
            <w:tcW w:w="335" w:type="pct"/>
            <w:vAlign w:val="top"/>
          </w:tcPr>
          <w:p>
            <w:pPr>
              <w:pStyle w:val="169"/>
              <w:spacing w:before="161" w:line="248" w:lineRule="auto"/>
              <w:ind w:left="112" w:right="263"/>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6</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tcBorders>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支持 CPU 内置安全功能</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 CPU 硬件密码运算与随机数生成等功能，并提供标准接口供应用程序调用</w:t>
            </w:r>
          </w:p>
        </w:tc>
        <w:tc>
          <w:tcPr>
            <w:tcW w:w="335" w:type="pct"/>
            <w:vAlign w:val="top"/>
          </w:tcPr>
          <w:p>
            <w:pPr>
              <w:pStyle w:val="169"/>
              <w:spacing w:before="42" w:line="230" w:lineRule="auto"/>
              <w:ind w:left="112" w:right="102"/>
              <w:jc w:val="both"/>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7</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restart"/>
            <w:tcBorders>
              <w:bottom w:val="nil"/>
            </w:tcBorders>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安装部署</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安装方式</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操作系统支持光盘、USB 闪存盘和网络等安装方式</w:t>
            </w:r>
          </w:p>
        </w:tc>
        <w:tc>
          <w:tcPr>
            <w:tcW w:w="335" w:type="pct"/>
            <w:vAlign w:val="top"/>
          </w:tcPr>
          <w:p>
            <w:pPr>
              <w:pStyle w:val="169"/>
              <w:spacing w:before="161" w:line="247" w:lineRule="auto"/>
              <w:ind w:left="111" w:right="102" w:firstLine="1"/>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8</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安装过程配置</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操作系统支持安装界面文种设置，默认为简化汉字方式显示，提供时区设置、计算机名设置等</w:t>
            </w:r>
          </w:p>
        </w:tc>
        <w:tc>
          <w:tcPr>
            <w:tcW w:w="335" w:type="pct"/>
            <w:vAlign w:val="top"/>
          </w:tcPr>
          <w:p>
            <w:pPr>
              <w:pStyle w:val="169"/>
              <w:spacing w:before="39" w:line="231" w:lineRule="auto"/>
              <w:ind w:left="113" w:right="102"/>
              <w:jc w:val="both"/>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9</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硬盘分区</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操作系统支持整个硬盘自动分区、自定义分区，支持逻辑分区配置（如 LVM），支持创建备份分区；自定义分区时能自动检测分区设置的合规性，删除已有分区或格式化硬盘提示告警信息</w:t>
            </w:r>
          </w:p>
        </w:tc>
        <w:tc>
          <w:tcPr>
            <w:tcW w:w="335" w:type="pct"/>
            <w:vAlign w:val="top"/>
          </w:tcPr>
          <w:p>
            <w:pPr>
              <w:pStyle w:val="169"/>
              <w:spacing w:before="43" w:line="236" w:lineRule="auto"/>
              <w:ind w:left="113" w:right="59"/>
              <w:jc w:val="both"/>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10</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双硬盘安装</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当计算机同时存在固态硬盘和机械硬 盘时，自动分区优先将系统盘（或分区）设置在固态硬盘，优先将数据盘（或分区）设置在机械硬盘</w:t>
            </w:r>
          </w:p>
        </w:tc>
        <w:tc>
          <w:tcPr>
            <w:tcW w:w="335" w:type="pct"/>
            <w:vAlign w:val="top"/>
          </w:tcPr>
          <w:p>
            <w:pPr>
              <w:pStyle w:val="169"/>
              <w:spacing w:before="41" w:line="234" w:lineRule="auto"/>
              <w:ind w:left="111" w:right="37" w:firstLine="13"/>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11</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多系统安装</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操作系统能够识别已安装的其他系统，可自动复用引导分区等，并实现多系统引导</w:t>
            </w:r>
          </w:p>
        </w:tc>
        <w:tc>
          <w:tcPr>
            <w:tcW w:w="335" w:type="pct"/>
            <w:vAlign w:val="top"/>
          </w:tcPr>
          <w:p>
            <w:pPr>
              <w:pStyle w:val="169"/>
              <w:spacing w:before="42" w:line="230" w:lineRule="auto"/>
              <w:ind w:left="115" w:right="102" w:hanging="2"/>
              <w:jc w:val="both"/>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12</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加密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操作系统应提供基于分区的用户数据加密功能，保护用户存储区数据安全</w:t>
            </w:r>
          </w:p>
        </w:tc>
        <w:tc>
          <w:tcPr>
            <w:tcW w:w="335" w:type="pct"/>
            <w:vAlign w:val="top"/>
          </w:tcPr>
          <w:p>
            <w:pPr>
              <w:pStyle w:val="169"/>
              <w:spacing w:before="42" w:line="222" w:lineRule="auto"/>
              <w:ind w:left="113" w:right="263"/>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13</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初始化备份</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操作系统应提供用户备份初始系统环境的功能</w:t>
            </w:r>
          </w:p>
        </w:tc>
        <w:tc>
          <w:tcPr>
            <w:tcW w:w="335" w:type="pct"/>
            <w:vAlign w:val="top"/>
          </w:tcPr>
          <w:p>
            <w:pPr>
              <w:pStyle w:val="169"/>
              <w:spacing w:before="42" w:line="222" w:lineRule="auto"/>
              <w:ind w:left="113" w:right="263"/>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jc w:val="center"/>
        </w:trPr>
        <w:tc>
          <w:tcPr>
            <w:tcW w:w="297" w:type="pct"/>
            <w:tcBorders>
              <w:bottom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14</w:t>
            </w:r>
          </w:p>
        </w:tc>
        <w:tc>
          <w:tcPr>
            <w:tcW w:w="490" w:type="pct"/>
            <w:tcBorders>
              <w:bottom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single" w:color="auto" w:sz="4" w:space="0"/>
            </w:tcBorders>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tcBorders>
              <w:bottom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保留用户数据</w:t>
            </w:r>
          </w:p>
        </w:tc>
        <w:tc>
          <w:tcPr>
            <w:tcW w:w="1820" w:type="pct"/>
            <w:tcBorders>
              <w:bottom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用户重装操作系统时提供保留用户数据的功能</w:t>
            </w:r>
          </w:p>
        </w:tc>
        <w:tc>
          <w:tcPr>
            <w:tcW w:w="335" w:type="pct"/>
            <w:vAlign w:val="top"/>
          </w:tcPr>
          <w:p>
            <w:pPr>
              <w:pStyle w:val="169"/>
              <w:spacing w:before="162" w:line="248" w:lineRule="auto"/>
              <w:ind w:left="114" w:right="263" w:firstLine="2"/>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4" w:hRule="atLeast"/>
          <w:jc w:val="center"/>
        </w:trPr>
        <w:tc>
          <w:tcPr>
            <w:tcW w:w="297"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15</w:t>
            </w:r>
          </w:p>
        </w:tc>
        <w:tc>
          <w:tcPr>
            <w:tcW w:w="490"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restart"/>
            <w:tcBorders>
              <w:top w:val="single" w:color="auto" w:sz="4" w:space="0"/>
              <w:left w:val="single" w:color="auto" w:sz="4" w:space="0"/>
              <w:bottom w:val="single" w:color="auto" w:sz="4" w:space="0"/>
              <w:right w:val="single" w:color="auto" w:sz="4" w:space="0"/>
            </w:tcBorders>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系统引导</w:t>
            </w:r>
          </w:p>
        </w:tc>
        <w:tc>
          <w:tcPr>
            <w:tcW w:w="1153"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引导模式</w:t>
            </w:r>
          </w:p>
        </w:tc>
        <w:tc>
          <w:tcPr>
            <w:tcW w:w="1820"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操作系统应支持UEFI2.0 及以上规范固件引导：</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a）当计算机以 UEFI模式启动安装时，安装程序应分配 ESP，并在 ESP 中放置启动引导文件，使操作系统能以UEFI模式引导；</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b)当计算机固件不支持UEFI模式时，</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安装程序根据计算机固件提供的引导方式，安装系统引导代码或配置系统引导选单，使安装完的系统可以正常引导</w:t>
            </w:r>
          </w:p>
        </w:tc>
        <w:tc>
          <w:tcPr>
            <w:tcW w:w="335" w:type="pct"/>
            <w:tcBorders>
              <w:left w:val="single" w:color="auto" w:sz="4" w:space="0"/>
            </w:tcBorders>
            <w:vAlign w:val="top"/>
          </w:tcPr>
          <w:p>
            <w:pPr>
              <w:pStyle w:val="169"/>
              <w:spacing w:before="34" w:line="232" w:lineRule="auto"/>
              <w:ind w:left="116" w:right="102" w:firstLine="4"/>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97"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16</w:t>
            </w:r>
          </w:p>
        </w:tc>
        <w:tc>
          <w:tcPr>
            <w:tcW w:w="490"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single" w:color="auto" w:sz="4" w:space="0"/>
              <w:left w:val="single" w:color="auto" w:sz="4" w:space="0"/>
              <w:bottom w:val="single" w:color="auto" w:sz="4" w:space="0"/>
              <w:right w:val="single" w:color="auto" w:sz="4" w:space="0"/>
            </w:tcBorders>
            <w:vAlign w:val="top"/>
          </w:tcPr>
          <w:p>
            <w:pPr>
              <w:rPr>
                <w:rFonts w:ascii="Arial"/>
                <w:color w:val="auto"/>
                <w:sz w:val="21"/>
              </w:rPr>
            </w:pPr>
          </w:p>
        </w:tc>
        <w:tc>
          <w:tcPr>
            <w:tcW w:w="1153"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引导修复</w:t>
            </w:r>
          </w:p>
        </w:tc>
        <w:tc>
          <w:tcPr>
            <w:tcW w:w="1820"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安装程序提供系统引导修复功能，当已安装的操作系统引导被破坏时，可重建系统引导</w:t>
            </w:r>
          </w:p>
        </w:tc>
        <w:tc>
          <w:tcPr>
            <w:tcW w:w="335" w:type="pct"/>
            <w:tcBorders>
              <w:left w:val="single" w:color="auto" w:sz="4" w:space="0"/>
            </w:tcBorders>
            <w:vAlign w:val="top"/>
          </w:tcPr>
          <w:p>
            <w:pPr>
              <w:pStyle w:val="169"/>
              <w:spacing w:before="39" w:line="233" w:lineRule="auto"/>
              <w:ind w:left="117" w:right="102" w:firstLine="3"/>
              <w:jc w:val="both"/>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297" w:type="pct"/>
            <w:tcBorders>
              <w:top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17</w:t>
            </w:r>
          </w:p>
        </w:tc>
        <w:tc>
          <w:tcPr>
            <w:tcW w:w="490" w:type="pct"/>
            <w:tcBorders>
              <w:top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restart"/>
            <w:tcBorders>
              <w:top w:val="single" w:color="auto" w:sz="4" w:space="0"/>
              <w:bottom w:val="nil"/>
            </w:tcBorders>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其他安装要求</w:t>
            </w:r>
          </w:p>
        </w:tc>
        <w:tc>
          <w:tcPr>
            <w:tcW w:w="1153" w:type="pct"/>
            <w:tcBorders>
              <w:top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图形化显示</w:t>
            </w:r>
          </w:p>
        </w:tc>
        <w:tc>
          <w:tcPr>
            <w:tcW w:w="1820" w:type="pct"/>
            <w:tcBorders>
              <w:top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操作系统应提供安装过程图形化显示</w:t>
            </w:r>
          </w:p>
        </w:tc>
        <w:tc>
          <w:tcPr>
            <w:tcW w:w="335" w:type="pct"/>
            <w:vAlign w:val="top"/>
          </w:tcPr>
          <w:p>
            <w:pPr>
              <w:pStyle w:val="169"/>
              <w:spacing w:before="159" w:line="221" w:lineRule="auto"/>
              <w:ind w:left="113"/>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8"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18</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安装提示</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操作系统在安装执行前明确提示用户可能会删除已有数据，并提供退出或取消功能；</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当用户取消安装时，不改变硬盘上已有数据；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如用户自定义的某些配置可能会影响后续的正常使用，予以明确提示</w:t>
            </w:r>
          </w:p>
        </w:tc>
        <w:tc>
          <w:tcPr>
            <w:tcW w:w="335" w:type="pct"/>
            <w:vAlign w:val="top"/>
          </w:tcPr>
          <w:p>
            <w:pPr>
              <w:pStyle w:val="169"/>
              <w:spacing w:before="8" w:line="224" w:lineRule="auto"/>
              <w:ind w:left="112" w:right="263"/>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19</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tcBorders>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分辨率自适应</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操作系统安装完成后自动适配显示器最佳分辨率</w:t>
            </w:r>
          </w:p>
        </w:tc>
        <w:tc>
          <w:tcPr>
            <w:tcW w:w="335" w:type="pct"/>
            <w:vAlign w:val="top"/>
          </w:tcPr>
          <w:p>
            <w:pPr>
              <w:pStyle w:val="169"/>
              <w:spacing w:before="42" w:line="224" w:lineRule="auto"/>
              <w:ind w:left="117" w:right="263" w:hanging="4"/>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0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20</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系统内核</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内核要求</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a)若操作系统是基于 Linux 内核的微型计算机操作系统应兼容 5.4 版内核主要功能，包括进程管理、内存管理、任务调度、中断处理、并发与同步处理等；</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b)若操作系统属于其他类型内核不做要求</w:t>
            </w:r>
          </w:p>
        </w:tc>
        <w:tc>
          <w:tcPr>
            <w:tcW w:w="335" w:type="pct"/>
            <w:vAlign w:val="top"/>
          </w:tcPr>
          <w:p>
            <w:pPr>
              <w:pStyle w:val="169"/>
              <w:spacing w:before="5" w:line="248" w:lineRule="auto"/>
              <w:ind w:left="111" w:right="263" w:firstLine="2"/>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21</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restart"/>
            <w:tcBorders>
              <w:bottom w:val="nil"/>
            </w:tcBorders>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进程管理</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进程调度</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操作系统支持进程创建、分组、删除及进程信息获取</w:t>
            </w:r>
          </w:p>
        </w:tc>
        <w:tc>
          <w:tcPr>
            <w:tcW w:w="335" w:type="pct"/>
            <w:vAlign w:val="top"/>
          </w:tcPr>
          <w:p>
            <w:pPr>
              <w:pStyle w:val="169"/>
              <w:spacing w:before="44" w:line="223" w:lineRule="auto"/>
              <w:ind w:left="111" w:right="102" w:firstLine="1"/>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22</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优先级设置</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操作系统支持进程优先级设置，包括优先级范围设置、优先级调度策略设置等</w:t>
            </w:r>
          </w:p>
        </w:tc>
        <w:tc>
          <w:tcPr>
            <w:tcW w:w="335" w:type="pct"/>
            <w:vAlign w:val="top"/>
          </w:tcPr>
          <w:p>
            <w:pPr>
              <w:pStyle w:val="169"/>
              <w:spacing w:before="44" w:line="223" w:lineRule="auto"/>
              <w:ind w:left="115" w:right="102" w:hanging="2"/>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23</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tcBorders>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地址映射</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操作系统支持进程内存地址的正向映射和反向映射</w:t>
            </w:r>
          </w:p>
        </w:tc>
        <w:tc>
          <w:tcPr>
            <w:tcW w:w="335" w:type="pct"/>
            <w:vAlign w:val="top"/>
          </w:tcPr>
          <w:p>
            <w:pPr>
              <w:pStyle w:val="169"/>
              <w:spacing w:before="44" w:line="223" w:lineRule="auto"/>
              <w:ind w:left="112" w:right="263"/>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24</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restar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内存管理</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内存地址管理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操作系统支持基础连续虚拟地址、连续物理地址的申请、回收和释放</w:t>
            </w:r>
          </w:p>
        </w:tc>
        <w:tc>
          <w:tcPr>
            <w:tcW w:w="335" w:type="pct"/>
            <w:vAlign w:val="top"/>
          </w:tcPr>
          <w:p>
            <w:pPr>
              <w:pStyle w:val="169"/>
              <w:spacing w:before="44" w:line="223" w:lineRule="auto"/>
              <w:ind w:left="112" w:right="102"/>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25</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内存管理单元</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操作系统支持内存管理单元，通过页表映射实现虚拟地址和物理地址的映射关系</w:t>
            </w:r>
          </w:p>
        </w:tc>
        <w:tc>
          <w:tcPr>
            <w:tcW w:w="335" w:type="pct"/>
            <w:vAlign w:val="top"/>
          </w:tcPr>
          <w:p>
            <w:pPr>
              <w:pStyle w:val="169"/>
              <w:spacing w:before="42" w:line="232" w:lineRule="auto"/>
              <w:ind w:left="115" w:right="102" w:hanging="2"/>
              <w:jc w:val="both"/>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1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26</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buddy 分配器</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a)若操作系统基于Linux 内核，支持 buddy 分配器，支持 slob、slub 或 slab分配器；</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b)若操作系统属于其他类型内核不做要求</w:t>
            </w:r>
          </w:p>
        </w:tc>
        <w:tc>
          <w:tcPr>
            <w:tcW w:w="335" w:type="pct"/>
            <w:vAlign w:val="top"/>
          </w:tcPr>
          <w:p>
            <w:pPr>
              <w:pStyle w:val="169"/>
              <w:spacing w:before="6" w:line="222" w:lineRule="auto"/>
              <w:ind w:left="111" w:right="263" w:firstLine="2"/>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27</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DMA 内存</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 DMA 内存的申请和释放，包括流式 DMA、一致性 DMA 以及大内存DMA</w:t>
            </w:r>
          </w:p>
        </w:tc>
        <w:tc>
          <w:tcPr>
            <w:tcW w:w="335" w:type="pct"/>
            <w:vAlign w:val="top"/>
          </w:tcPr>
          <w:p>
            <w:pPr>
              <w:pStyle w:val="169"/>
              <w:spacing w:before="42" w:line="232" w:lineRule="auto"/>
              <w:ind w:left="111" w:right="128" w:firstLine="1"/>
              <w:jc w:val="both"/>
              <w:rPr>
                <w:color w:val="auto"/>
                <w:spacing w:val="-5"/>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28</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内存 zone 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a)若操作系统基于Linux 内核，操作系统支持内存 zone 管理；</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b)若操作系统属于其他类型内核不做要求</w:t>
            </w:r>
          </w:p>
        </w:tc>
        <w:tc>
          <w:tcPr>
            <w:tcW w:w="335" w:type="pct"/>
            <w:vAlign w:val="top"/>
          </w:tcPr>
          <w:p>
            <w:pPr>
              <w:pStyle w:val="169"/>
              <w:spacing w:before="5" w:line="222" w:lineRule="auto"/>
              <w:ind w:left="111" w:right="102" w:firstLine="2"/>
              <w:rPr>
                <w:color w:val="auto"/>
                <w:spacing w:val="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29</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内存分配方式</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操作系统支持不交换硬盘的内存分配方式</w:t>
            </w:r>
          </w:p>
        </w:tc>
        <w:tc>
          <w:tcPr>
            <w:tcW w:w="335" w:type="pct"/>
            <w:vAlign w:val="top"/>
          </w:tcPr>
          <w:p>
            <w:pPr>
              <w:pStyle w:val="169"/>
              <w:spacing w:before="38" w:line="224" w:lineRule="auto"/>
              <w:ind w:left="116" w:right="102" w:hanging="3"/>
              <w:rPr>
                <w:color w:val="auto"/>
                <w:spacing w:val="9"/>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30</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调用接口</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操作系统提供非文件形式的内存动态函数库调用接口，以满足敏感内存动态库的非文件形式调用需求</w:t>
            </w:r>
          </w:p>
        </w:tc>
        <w:tc>
          <w:tcPr>
            <w:tcW w:w="335" w:type="pct"/>
            <w:vAlign w:val="top"/>
          </w:tcPr>
          <w:p>
            <w:pPr>
              <w:pStyle w:val="169"/>
              <w:spacing w:before="39" w:line="231" w:lineRule="auto"/>
              <w:ind w:left="113" w:right="102"/>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31</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restart"/>
            <w:tcBorders>
              <w:bottom w:val="nil"/>
            </w:tcBorders>
            <w:vAlign w:val="top"/>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任务调度</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上下文切换</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操作系统支持进程上下文切换</w:t>
            </w:r>
          </w:p>
        </w:tc>
        <w:tc>
          <w:tcPr>
            <w:tcW w:w="335" w:type="pct"/>
            <w:vAlign w:val="top"/>
          </w:tcPr>
          <w:p>
            <w:pPr>
              <w:pStyle w:val="169"/>
              <w:spacing w:before="160" w:line="221" w:lineRule="auto"/>
              <w:ind w:left="113"/>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32</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进程负载均衡</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操作系统支持进程负载均衡调度方式</w:t>
            </w:r>
          </w:p>
        </w:tc>
        <w:tc>
          <w:tcPr>
            <w:tcW w:w="335" w:type="pct"/>
            <w:vAlign w:val="top"/>
          </w:tcPr>
          <w:p>
            <w:pPr>
              <w:pStyle w:val="169"/>
              <w:spacing w:before="159" w:line="221" w:lineRule="auto"/>
              <w:ind w:left="113"/>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33</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调度方式</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操作系统支持进程基于时间片的调度方式</w:t>
            </w:r>
          </w:p>
        </w:tc>
        <w:tc>
          <w:tcPr>
            <w:tcW w:w="335" w:type="pct"/>
            <w:vAlign w:val="top"/>
          </w:tcPr>
          <w:p>
            <w:pPr>
              <w:pStyle w:val="169"/>
              <w:spacing w:before="40" w:line="223" w:lineRule="auto"/>
              <w:ind w:left="116" w:right="102" w:hanging="3"/>
              <w:rPr>
                <w:color w:val="auto"/>
                <w:spacing w:val="9"/>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34</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抢占调度方式</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操作系统支持进程抢占调度方式</w:t>
            </w:r>
          </w:p>
        </w:tc>
        <w:tc>
          <w:tcPr>
            <w:tcW w:w="335" w:type="pct"/>
            <w:vAlign w:val="top"/>
          </w:tcPr>
          <w:p>
            <w:pPr>
              <w:pStyle w:val="169"/>
              <w:spacing w:before="158" w:line="221" w:lineRule="auto"/>
              <w:ind w:left="113"/>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35</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中断处理</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中断处理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操作系统支持硬件中断号和软件中断号的映射、注册和处理；支持高精度时钟中断、类软中断和类tasklet 下半部中断处理；支持中断使能、屏蔽、亲和力处理以及中断抢占；支持中断工作队列处理，包括工作队列创建、初始化、调度和回收等</w:t>
            </w:r>
          </w:p>
        </w:tc>
        <w:tc>
          <w:tcPr>
            <w:tcW w:w="335" w:type="pct"/>
            <w:vAlign w:val="top"/>
          </w:tcPr>
          <w:p>
            <w:pPr>
              <w:pStyle w:val="169"/>
              <w:spacing w:before="36"/>
              <w:ind w:left="112" w:right="102"/>
              <w:jc w:val="both"/>
              <w:rPr>
                <w:color w:val="auto"/>
                <w:spacing w:val="9"/>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36</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并发与同步处理</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并发同步处理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操作系统支持自旋锁、信号量、互斥体等原子操作；支持读写锁、类 RCU 原子操作；支持内存屏障操作</w:t>
            </w:r>
          </w:p>
        </w:tc>
        <w:tc>
          <w:tcPr>
            <w:tcW w:w="335" w:type="pct"/>
            <w:vAlign w:val="top"/>
          </w:tcPr>
          <w:p>
            <w:pPr>
              <w:pStyle w:val="169"/>
              <w:spacing w:before="39" w:line="231" w:lineRule="auto"/>
              <w:ind w:left="111" w:right="102" w:firstLine="1"/>
              <w:jc w:val="both"/>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37</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restart"/>
            <w:tcBorders>
              <w:bottom w:val="nil"/>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中文支持要求</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字符编码</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操作系统符合 GB 18030 的要求</w:t>
            </w:r>
          </w:p>
        </w:tc>
        <w:tc>
          <w:tcPr>
            <w:tcW w:w="335" w:type="pct"/>
            <w:vAlign w:val="top"/>
          </w:tcPr>
          <w:p>
            <w:pPr>
              <w:pStyle w:val="169"/>
              <w:spacing w:before="161" w:line="221" w:lineRule="auto"/>
              <w:ind w:left="113"/>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38</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字库</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操作系统提供符合 GB 18030 标准的字库，至少包括宋体、仿宋体、黑体、楷体及小标宋体在内的 5 种字库；</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支持曲线字库，可无级放缩字形大小，以适应不同分辨率的输出设备，输出字形应字形正确，字体规范；</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支持用户扩展安装字库</w:t>
            </w:r>
          </w:p>
        </w:tc>
        <w:tc>
          <w:tcPr>
            <w:tcW w:w="335" w:type="pct"/>
            <w:vAlign w:val="top"/>
          </w:tcPr>
          <w:p>
            <w:pPr>
              <w:pStyle w:val="169"/>
              <w:spacing w:before="5" w:line="198" w:lineRule="auto"/>
              <w:ind w:left="119"/>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39</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输入法</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操作系统应内置输入法框架；</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至少提供一种音码和一种型码输入法；支持 GB 18030 中已编码的语言文字输入法的安装使用</w:t>
            </w:r>
          </w:p>
        </w:tc>
        <w:tc>
          <w:tcPr>
            <w:tcW w:w="335" w:type="pct"/>
            <w:vAlign w:val="top"/>
          </w:tcPr>
          <w:p>
            <w:pPr>
              <w:pStyle w:val="169"/>
              <w:spacing w:before="32" w:line="230" w:lineRule="auto"/>
              <w:ind w:left="112" w:right="102" w:firstLine="6"/>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40</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输入法标准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操作系统提供的通用键盘输入法应符合 GB/T 19246—2003 要求；</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如提供手写输入法，应符合 GB/T 18790 —2010 要求；</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如提供语音输入法，应符合 GB/T21023 —2007 要求</w:t>
            </w:r>
          </w:p>
        </w:tc>
        <w:tc>
          <w:tcPr>
            <w:tcW w:w="335" w:type="pct"/>
            <w:vAlign w:val="top"/>
          </w:tcPr>
          <w:p>
            <w:pPr>
              <w:pStyle w:val="169"/>
              <w:spacing w:before="4" w:line="222" w:lineRule="auto"/>
              <w:ind w:left="106" w:right="106" w:firstLine="6"/>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41</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互联网输入法</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操作系统支持主流互联网输入法，支持输入法词库在线更新</w:t>
            </w:r>
          </w:p>
        </w:tc>
        <w:tc>
          <w:tcPr>
            <w:tcW w:w="335" w:type="pct"/>
            <w:vAlign w:val="top"/>
          </w:tcPr>
          <w:p>
            <w:pPr>
              <w:pStyle w:val="169"/>
              <w:spacing w:before="42" w:line="222" w:lineRule="auto"/>
              <w:ind w:left="112" w:right="102"/>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42</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输出</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系统配置的字库能被工具或软件正常调用打印和显示</w:t>
            </w:r>
          </w:p>
        </w:tc>
        <w:tc>
          <w:tcPr>
            <w:tcW w:w="335" w:type="pct"/>
            <w:vAlign w:val="top"/>
          </w:tcPr>
          <w:p>
            <w:pPr>
              <w:pStyle w:val="169"/>
              <w:spacing w:before="42" w:line="222" w:lineRule="auto"/>
              <w:ind w:left="114" w:right="102" w:firstLine="2"/>
              <w:rPr>
                <w:color w:val="auto"/>
                <w:spacing w:val="9"/>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43</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表示</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操作系统提供中文界面显示，提供符合要求的日期、星期、上下午、时间、货币、数字等显示及表示方式</w:t>
            </w:r>
          </w:p>
        </w:tc>
        <w:tc>
          <w:tcPr>
            <w:tcW w:w="335" w:type="pct"/>
            <w:vAlign w:val="top"/>
          </w:tcPr>
          <w:p>
            <w:pPr>
              <w:pStyle w:val="169"/>
              <w:spacing w:before="45" w:line="229" w:lineRule="auto"/>
              <w:ind w:left="111" w:right="102" w:firstLine="1"/>
              <w:jc w:val="both"/>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44</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restart"/>
            <w:tcBorders>
              <w:bottom w:val="nil"/>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系统管理要求</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系统信息</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操作系统提供系统信息查看工具，支持用户查看系统版本、内核版本、内存容量、CPU 型号等信息</w:t>
            </w:r>
          </w:p>
        </w:tc>
        <w:tc>
          <w:tcPr>
            <w:tcW w:w="335" w:type="pct"/>
            <w:vAlign w:val="top"/>
          </w:tcPr>
          <w:p>
            <w:pPr>
              <w:pStyle w:val="169"/>
              <w:spacing w:before="45" w:line="229" w:lineRule="auto"/>
              <w:ind w:left="115" w:right="102" w:hanging="2"/>
              <w:jc w:val="both"/>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45</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系统资源管理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操作系统提供系统资源管理工具并图形化显示进程信息、资源信息、文件资源信息等</w:t>
            </w:r>
          </w:p>
        </w:tc>
        <w:tc>
          <w:tcPr>
            <w:tcW w:w="335" w:type="pct"/>
            <w:vAlign w:val="top"/>
          </w:tcPr>
          <w:p>
            <w:pPr>
              <w:pStyle w:val="169"/>
              <w:spacing w:before="42" w:line="230" w:lineRule="auto"/>
              <w:ind w:left="113" w:right="102"/>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7"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46</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硬盘管理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操作系统提供硬盘管理工具，显示硬盘容量及硬盘信息，支持新建和删除硬盘</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分区，分区支持 EXT3、EXT4、FAT32、 NTFS、XFS、exFAT、Btrfs 等文件系统格式</w:t>
            </w:r>
          </w:p>
        </w:tc>
        <w:tc>
          <w:tcPr>
            <w:tcW w:w="335" w:type="pct"/>
            <w:vAlign w:val="top"/>
          </w:tcPr>
          <w:p>
            <w:pPr>
              <w:pStyle w:val="169"/>
              <w:spacing w:before="36" w:line="232" w:lineRule="auto"/>
              <w:ind w:left="113" w:right="129" w:firstLine="4"/>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47</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设备信息</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操作系统提供设备信息工具，显示 CPU、内存、主板、存储、网卡、声卡、电源、 USB、蓝牙等参数信息，显示硬件信息、计算机型号和操作系统信息、设备驱动状态（启用或禁用），并支持设备启用、禁用状态设置</w:t>
            </w:r>
          </w:p>
        </w:tc>
        <w:tc>
          <w:tcPr>
            <w:tcW w:w="335" w:type="pct"/>
            <w:vAlign w:val="top"/>
          </w:tcPr>
          <w:p>
            <w:pPr>
              <w:pStyle w:val="169"/>
              <w:spacing w:before="35" w:line="239" w:lineRule="auto"/>
              <w:ind w:left="113" w:right="43"/>
              <w:jc w:val="both"/>
              <w:rPr>
                <w:color w:val="auto"/>
                <w:spacing w:val="-6"/>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297" w:type="pct"/>
            <w:shd w:val="clear" w:color="auto" w:fill="auto"/>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val="en-US" w:eastAsia="en-US"/>
              </w:rPr>
            </w:pPr>
            <w:r>
              <w:rPr>
                <w:rFonts w:hint="eastAsia" w:ascii="黑体" w:hAnsi="黑体" w:eastAsia="黑体" w:cs="Times New Roman"/>
                <w:snapToGrid/>
                <w:color w:val="auto"/>
                <w:kern w:val="2"/>
                <w:sz w:val="18"/>
                <w:szCs w:val="24"/>
                <w:lang w:eastAsia="zh-CN"/>
              </w:rPr>
              <w:t>48</w:t>
            </w:r>
          </w:p>
        </w:tc>
        <w:tc>
          <w:tcPr>
            <w:tcW w:w="490" w:type="pct"/>
            <w:shd w:val="clear" w:color="auto" w:fill="auto"/>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val="en-US" w:eastAsia="en-US"/>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shd w:val="clear" w:color="auto" w:fill="auto"/>
            <w:vAlign w:val="top"/>
          </w:tcPr>
          <w:p>
            <w:pPr>
              <w:rPr>
                <w:rFonts w:ascii="Arial" w:hAnsi="Arial" w:eastAsia="Arial" w:cs="Arial"/>
                <w:snapToGrid w:val="0"/>
                <w:color w:val="auto"/>
                <w:kern w:val="0"/>
                <w:sz w:val="21"/>
                <w:szCs w:val="21"/>
                <w:lang w:val="en-US" w:eastAsia="en-US" w:bidi="ar-SA"/>
              </w:rPr>
            </w:pPr>
          </w:p>
        </w:tc>
        <w:tc>
          <w:tcPr>
            <w:tcW w:w="1153" w:type="pct"/>
            <w:shd w:val="clear" w:color="auto" w:fill="auto"/>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val="en-US" w:eastAsia="en-US"/>
              </w:rPr>
            </w:pPr>
            <w:r>
              <w:rPr>
                <w:rFonts w:hint="eastAsia"/>
                <w:color w:val="auto"/>
                <w:sz w:val="18"/>
                <w:szCs w:val="18"/>
              </w:rPr>
              <w:t>★</w:t>
            </w:r>
            <w:r>
              <w:rPr>
                <w:rFonts w:hint="eastAsia" w:ascii="黑体" w:hAnsi="黑体" w:eastAsia="黑体" w:cs="Times New Roman"/>
                <w:snapToGrid/>
                <w:color w:val="auto"/>
                <w:kern w:val="2"/>
                <w:sz w:val="18"/>
                <w:szCs w:val="24"/>
                <w:lang w:eastAsia="zh-CN"/>
              </w:rPr>
              <w:t>文件管理器</w:t>
            </w:r>
          </w:p>
        </w:tc>
        <w:tc>
          <w:tcPr>
            <w:tcW w:w="1820" w:type="pct"/>
            <w:shd w:val="clear" w:color="auto" w:fill="auto"/>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操作系统支持按文件名、文件类型、文件修改时间、文件大小排序显示文件；支持文本文件、图片文件和视频文件首帧的预览；</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显示当前用户的主目录、桌面、文档、下载、回收站等文件资源；</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支持对光驱、闪存盘的访问；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支持对网络资源的访问，包括 SMB、FTP、 NFS 等协议下的网络资源；</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支持通过地址栏输入绝对路径定位文件夹；</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支持文件按照列表显示或网格图标显示；</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支持新建文件、文件夹和快捷方式，并支持扩展新建的文件类型；</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支持全选当前文件夹所有文件，支持文件多选、反选；</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支持复制、粘贴、删除、剪切、重命名、压缩等文件操作；</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val="en-US" w:eastAsia="en-US"/>
              </w:rPr>
            </w:pPr>
            <w:r>
              <w:rPr>
                <w:rFonts w:hint="eastAsia" w:ascii="黑体" w:hAnsi="黑体" w:eastAsia="黑体" w:cs="Times New Roman"/>
                <w:snapToGrid/>
                <w:color w:val="auto"/>
                <w:kern w:val="2"/>
                <w:sz w:val="18"/>
                <w:szCs w:val="24"/>
                <w:lang w:eastAsia="zh-CN"/>
              </w:rPr>
              <w:t>支持选择文件打开方式，可以使用默认用程序打开，并支持修改默认用程序；支持按文件名、修改时间、文件大小等搜索</w:t>
            </w:r>
          </w:p>
        </w:tc>
        <w:tc>
          <w:tcPr>
            <w:tcW w:w="335" w:type="pct"/>
            <w:shd w:val="clear" w:color="auto" w:fill="auto"/>
            <w:vAlign w:val="top"/>
          </w:tcPr>
          <w:p>
            <w:pPr>
              <w:pStyle w:val="169"/>
              <w:spacing w:before="6" w:line="234" w:lineRule="auto"/>
              <w:ind w:left="113" w:leftChars="0" w:right="102" w:rightChars="0" w:firstLine="5" w:firstLineChars="0"/>
              <w:rPr>
                <w:rFonts w:ascii="黑体" w:hAnsi="黑体" w:eastAsia="黑体" w:cs="黑体"/>
                <w:snapToGrid w:val="0"/>
                <w:color w:val="auto"/>
                <w:spacing w:val="-2"/>
                <w:kern w:val="0"/>
                <w:sz w:val="18"/>
                <w:szCs w:val="18"/>
                <w:lang w:val="en-US" w:eastAsia="en-US" w:bidi="ar-SA"/>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49</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全文搜索</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操作系统支持全文搜索，文件类型包括OFD、UOF、PDF、OOXML、纯文本、网页、 XML、sh 脚本等</w:t>
            </w:r>
          </w:p>
        </w:tc>
        <w:tc>
          <w:tcPr>
            <w:tcW w:w="335" w:type="pct"/>
            <w:vAlign w:val="top"/>
          </w:tcPr>
          <w:p>
            <w:pPr>
              <w:pStyle w:val="169"/>
              <w:spacing w:before="42" w:line="230" w:lineRule="auto"/>
              <w:ind w:left="109" w:right="43" w:firstLine="4"/>
              <w:jc w:val="both"/>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50</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本地帐户管理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操作系统提供图形管理界面，支持帐户和用户组管理，支持口令、头像、权限设置，支持口令修改，支持重设管理帐户口令</w:t>
            </w:r>
          </w:p>
        </w:tc>
        <w:tc>
          <w:tcPr>
            <w:tcW w:w="335" w:type="pct"/>
            <w:vAlign w:val="top"/>
          </w:tcPr>
          <w:p>
            <w:pPr>
              <w:pStyle w:val="169"/>
              <w:spacing w:before="42" w:line="234" w:lineRule="auto"/>
              <w:ind w:left="113" w:right="102"/>
              <w:jc w:val="both"/>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3"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51</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登录管理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操作系统支持本地帐户、LDAP 帐户鉴别登录，提供口令、指纹、人脸、U-Key等多种鉴别方式登录，支持本地帐户免口令登录和自动登录</w:t>
            </w:r>
          </w:p>
        </w:tc>
        <w:tc>
          <w:tcPr>
            <w:tcW w:w="335" w:type="pct"/>
            <w:vAlign w:val="top"/>
          </w:tcPr>
          <w:p>
            <w:pPr>
              <w:pStyle w:val="169"/>
              <w:spacing w:before="58" w:line="246" w:lineRule="auto"/>
              <w:ind w:left="111" w:right="102" w:firstLine="1"/>
              <w:jc w:val="both"/>
              <w:rPr>
                <w:color w:val="auto"/>
                <w:spacing w:val="-5"/>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52</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鼠标管理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操作系统提供图形化鼠标管理工具；</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支持鼠标灵敏度、滚轮方向的设置与测试；</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支持左右手习惯设置；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对于带触控板的微型计算机，应具有触控板管理功能，包括启动与禁止及相应的防误触等功能</w:t>
            </w:r>
          </w:p>
        </w:tc>
        <w:tc>
          <w:tcPr>
            <w:tcW w:w="335" w:type="pct"/>
            <w:vAlign w:val="top"/>
          </w:tcPr>
          <w:p>
            <w:pPr>
              <w:pStyle w:val="169"/>
              <w:spacing w:before="31" w:line="230" w:lineRule="auto"/>
              <w:ind w:left="111" w:right="102"/>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53</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键盘管理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操作系统提供键盘图形化管理工具；支持重复键延时及速度设置；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支持数字键盘、大写锁定提示</w:t>
            </w:r>
          </w:p>
        </w:tc>
        <w:tc>
          <w:tcPr>
            <w:tcW w:w="335" w:type="pct"/>
            <w:vAlign w:val="top"/>
          </w:tcPr>
          <w:p>
            <w:pPr>
              <w:pStyle w:val="169"/>
              <w:spacing w:before="5" w:line="197" w:lineRule="auto"/>
              <w:ind w:left="119"/>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54</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tcBorders>
            <w:vAlign w:val="top"/>
          </w:tcPr>
          <w:p>
            <w:pPr>
              <w:keepNext w:val="0"/>
              <w:keepLines/>
              <w:pageBreakBefore w:val="0"/>
              <w:widowControl/>
              <w:kinsoku w:val="0"/>
              <w:wordWrap/>
              <w:overflowPunct/>
              <w:topLinePunct w:val="0"/>
              <w:autoSpaceDE w:val="0"/>
              <w:autoSpaceDN w:val="0"/>
              <w:bidi w:val="0"/>
              <w:adjustRightInd w:val="0"/>
              <w:snapToGrid w:val="0"/>
              <w:textAlignment w:val="baseline"/>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显示管理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操作系统支持屏幕分辨率设置；支持屏幕刷新率设置；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支持屏幕亮度设置；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支持屏幕显示冷暖色温手动、自动调节；</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支持多个屏幕以复制、扩展、单独方式输出显示，支持多个屏幕显示位置设置，支持各屏幕显示方向独立设置；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 4K 高分辨率屏幕显示，支持手动和自适应匹配设置窗口等比缩放显示；支持超宽屏显示，如：21:9、32:9 的显示器；</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支持触屏功能，包括选择、点击、双击、滚动等操作；</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支持登录界面、锁屏界面、系统桌面的背景图片设置；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支持屏幕保护定时设置和帐户口令鉴权恢复</w:t>
            </w:r>
          </w:p>
        </w:tc>
        <w:tc>
          <w:tcPr>
            <w:tcW w:w="335" w:type="pct"/>
            <w:vAlign w:val="top"/>
          </w:tcPr>
          <w:p>
            <w:pPr>
              <w:pStyle w:val="169"/>
              <w:keepNext w:val="0"/>
              <w:keepLines/>
              <w:pageBreakBefore w:val="0"/>
              <w:widowControl/>
              <w:kinsoku w:val="0"/>
              <w:wordWrap/>
              <w:overflowPunct/>
              <w:topLinePunct w:val="0"/>
              <w:autoSpaceDE w:val="0"/>
              <w:autoSpaceDN w:val="0"/>
              <w:bidi w:val="0"/>
              <w:adjustRightInd w:val="0"/>
              <w:snapToGrid w:val="0"/>
              <w:spacing w:before="6" w:line="223" w:lineRule="auto"/>
              <w:ind w:left="111" w:right="263" w:firstLine="7"/>
              <w:textAlignment w:val="baseline"/>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55</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声音管理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操作系统支持输出音量大小设置、静音设置；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支持系统默认音效配置；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支持输入输出设备配置；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支持输入噪音抑制开关设置；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支持输出音量增强开关设置；支持输出声道左右平衡设置</w:t>
            </w:r>
          </w:p>
        </w:tc>
        <w:tc>
          <w:tcPr>
            <w:tcW w:w="335" w:type="pct"/>
            <w:vAlign w:val="top"/>
          </w:tcPr>
          <w:p>
            <w:pPr>
              <w:pStyle w:val="169"/>
              <w:spacing w:before="32" w:line="223" w:lineRule="auto"/>
              <w:ind w:left="119" w:right="841"/>
              <w:rPr>
                <w:color w:val="auto"/>
                <w:spacing w:val="-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56</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快捷键管理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操作系统支持预先定义系统快捷键；支持自定义快捷键</w:t>
            </w:r>
          </w:p>
        </w:tc>
        <w:tc>
          <w:tcPr>
            <w:tcW w:w="335" w:type="pct"/>
            <w:vAlign w:val="top"/>
          </w:tcPr>
          <w:p>
            <w:pPr>
              <w:pStyle w:val="169"/>
              <w:spacing w:before="42" w:line="222" w:lineRule="auto"/>
              <w:ind w:left="118" w:right="301" w:hanging="5"/>
              <w:rPr>
                <w:color w:val="auto"/>
                <w:spacing w:val="-3"/>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57</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时间日期管理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操作系统支持图形化显示；支持系统日期、时间设置；支持时区设置；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支持网络时钟同步设置</w:t>
            </w:r>
          </w:p>
        </w:tc>
        <w:tc>
          <w:tcPr>
            <w:tcW w:w="335" w:type="pct"/>
            <w:vAlign w:val="top"/>
          </w:tcPr>
          <w:p>
            <w:pPr>
              <w:pStyle w:val="169"/>
              <w:spacing w:before="5" w:line="198" w:lineRule="auto"/>
              <w:ind w:left="119"/>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58</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电源管理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操作系统支持空闲时显示器转入待机的时间设置；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支持空闲时计算机转入屏幕保护的时间设置；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支持屏幕显示亮度设置；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便携式计算机使用时支持高性能、平衡、节能等模式设置</w:t>
            </w:r>
          </w:p>
        </w:tc>
        <w:tc>
          <w:tcPr>
            <w:tcW w:w="335" w:type="pct"/>
            <w:vAlign w:val="top"/>
          </w:tcPr>
          <w:p>
            <w:pPr>
              <w:pStyle w:val="169"/>
              <w:spacing w:before="32" w:line="222" w:lineRule="auto"/>
              <w:ind w:left="111" w:right="263"/>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59</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输入法管理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操作系统支持添加和删除输入法；</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支持快捷键设置，包括输入法启动、输入法激活/非激活切换、顺序切换等；</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支持多种输入法共存</w:t>
            </w:r>
          </w:p>
        </w:tc>
        <w:tc>
          <w:tcPr>
            <w:tcW w:w="335" w:type="pct"/>
            <w:vAlign w:val="top"/>
          </w:tcPr>
          <w:p>
            <w:pPr>
              <w:pStyle w:val="169"/>
              <w:spacing w:before="5" w:line="198" w:lineRule="auto"/>
              <w:ind w:left="119"/>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60</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默认登录语言</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按照安装时选择的文种类型作为初次登录系统文种</w:t>
            </w:r>
          </w:p>
        </w:tc>
        <w:tc>
          <w:tcPr>
            <w:tcW w:w="335" w:type="pct"/>
            <w:vAlign w:val="top"/>
          </w:tcPr>
          <w:p>
            <w:pPr>
              <w:pStyle w:val="169"/>
              <w:spacing w:before="42" w:line="222" w:lineRule="auto"/>
              <w:ind w:left="113" w:right="263" w:hanging="2"/>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61</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多语言图形界面</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 GB18030 规定的文种的语言环境，支持已安装文种切换显示设置</w:t>
            </w:r>
          </w:p>
        </w:tc>
        <w:tc>
          <w:tcPr>
            <w:tcW w:w="335" w:type="pct"/>
            <w:vAlign w:val="top"/>
          </w:tcPr>
          <w:p>
            <w:pPr>
              <w:pStyle w:val="169"/>
              <w:spacing w:before="161" w:line="243" w:lineRule="auto"/>
              <w:ind w:left="120" w:right="102" w:hanging="7"/>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62</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打印机管理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操作系统支持添加和删除打印机；</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支持添加本地打印机、网络打印机及共享打印机；</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支持打印机共享；</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支持查看打印机列表；</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支持任务队列管理，包括取消、暂停、挂起；</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支持页面设置；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提供接口查询打印机打印状态，包括指定文件打印成功的页数、份数、页码及打印失败的文件名和页码等信息</w:t>
            </w:r>
          </w:p>
        </w:tc>
        <w:tc>
          <w:tcPr>
            <w:tcW w:w="335" w:type="pct"/>
            <w:vAlign w:val="top"/>
          </w:tcPr>
          <w:p>
            <w:pPr>
              <w:pStyle w:val="169"/>
              <w:spacing w:before="33" w:line="229" w:lineRule="auto"/>
              <w:ind w:left="111" w:right="102"/>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7"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63</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外设管控</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操作系统支持动态显示未授权设备信息；</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支持接口控制、设备控制、权限控制等</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（接口包括 USB、蓝牙、网络接口等；设备包括打印机、摄录设备、USB 存储设备等；权限包括读、写、执行等）；支持按设备类型、设备 ID、接口等配置设备接入黑白名单策略；</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提供完整的连接记录，记录可追溯</w:t>
            </w:r>
          </w:p>
        </w:tc>
        <w:tc>
          <w:tcPr>
            <w:tcW w:w="335" w:type="pct"/>
            <w:vAlign w:val="top"/>
          </w:tcPr>
          <w:p>
            <w:pPr>
              <w:pStyle w:val="169"/>
              <w:spacing w:before="6" w:line="201" w:lineRule="auto"/>
              <w:ind w:left="111"/>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64</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隐私文件保护</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操作系统提供基于独立口令和密钥保护的文件保险箱；</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支持口令和透明加解密鉴权访问文件保险箱内的文件和文件夹；</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支持手动上锁文件保险箱；支持通过密钥找回口令</w:t>
            </w:r>
          </w:p>
        </w:tc>
        <w:tc>
          <w:tcPr>
            <w:tcW w:w="335" w:type="pct"/>
            <w:vAlign w:val="top"/>
          </w:tcPr>
          <w:p>
            <w:pPr>
              <w:pStyle w:val="169"/>
              <w:spacing w:before="6" w:line="223" w:lineRule="auto"/>
              <w:ind w:left="119" w:right="1021"/>
              <w:rPr>
                <w:color w:val="auto"/>
                <w:spacing w:val="-5"/>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65</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网络管理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支持图形化显示；</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 DNS 设置；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 IPV4/IPV6 地址配置；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支持自动获取网络地址；</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支持网关设置；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支持手动/自动设置网络代理服务器，</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 xml:space="preserve">支持 </w:t>
            </w:r>
            <w:r>
              <w:rPr>
                <w:rFonts w:hint="eastAsia" w:ascii="黑体" w:hAnsi="黑体" w:eastAsia="黑体" w:cs="Times New Roman"/>
                <w:snapToGrid/>
                <w:color w:val="auto"/>
                <w:kern w:val="2"/>
                <w:sz w:val="18"/>
                <w:szCs w:val="24"/>
                <w:lang w:eastAsia="zh-CN"/>
              </w:rPr>
              <w:fldChar w:fldCharType="begin"/>
            </w:r>
            <w:r>
              <w:rPr>
                <w:rFonts w:hint="eastAsia" w:ascii="黑体" w:hAnsi="黑体" w:eastAsia="黑体" w:cs="Times New Roman"/>
                <w:snapToGrid/>
                <w:color w:val="auto"/>
                <w:kern w:val="2"/>
                <w:sz w:val="18"/>
                <w:szCs w:val="24"/>
                <w:lang w:eastAsia="zh-CN"/>
              </w:rPr>
              <w:instrText xml:space="preserve"> HYPERLINK "HTTP" </w:instrText>
            </w:r>
            <w:r>
              <w:rPr>
                <w:rFonts w:hint="eastAsia" w:ascii="黑体" w:hAnsi="黑体" w:eastAsia="黑体" w:cs="Times New Roman"/>
                <w:snapToGrid/>
                <w:color w:val="auto"/>
                <w:kern w:val="2"/>
                <w:sz w:val="18"/>
                <w:szCs w:val="24"/>
                <w:lang w:eastAsia="zh-CN"/>
              </w:rPr>
              <w:fldChar w:fldCharType="separate"/>
            </w:r>
            <w:r>
              <w:rPr>
                <w:rFonts w:hint="eastAsia" w:ascii="黑体" w:hAnsi="黑体" w:eastAsia="黑体" w:cs="Times New Roman"/>
                <w:snapToGrid/>
                <w:color w:val="auto"/>
                <w:kern w:val="2"/>
                <w:sz w:val="18"/>
                <w:szCs w:val="24"/>
                <w:lang w:eastAsia="zh-CN"/>
              </w:rPr>
              <w:t>HTTP</w:t>
            </w:r>
            <w:r>
              <w:rPr>
                <w:rFonts w:hint="eastAsia" w:ascii="黑体" w:hAnsi="黑体" w:eastAsia="黑体" w:cs="Times New Roman"/>
                <w:snapToGrid/>
                <w:color w:val="auto"/>
                <w:kern w:val="2"/>
                <w:sz w:val="18"/>
                <w:szCs w:val="24"/>
                <w:lang w:eastAsia="zh-CN"/>
              </w:rPr>
              <w:fldChar w:fldCharType="end"/>
            </w:r>
            <w:r>
              <w:rPr>
                <w:rFonts w:hint="eastAsia" w:ascii="黑体" w:hAnsi="黑体" w:eastAsia="黑体" w:cs="Times New Roman"/>
                <w:snapToGrid/>
                <w:color w:val="auto"/>
                <w:kern w:val="2"/>
                <w:sz w:val="18"/>
                <w:szCs w:val="24"/>
                <w:lang w:eastAsia="zh-CN"/>
              </w:rPr>
              <w:t>、</w:t>
            </w:r>
            <w:r>
              <w:rPr>
                <w:rFonts w:hint="eastAsia" w:ascii="黑体" w:hAnsi="黑体" w:eastAsia="黑体" w:cs="Times New Roman"/>
                <w:snapToGrid/>
                <w:color w:val="auto"/>
                <w:kern w:val="2"/>
                <w:sz w:val="18"/>
                <w:szCs w:val="24"/>
                <w:lang w:eastAsia="zh-CN"/>
              </w:rPr>
              <w:fldChar w:fldCharType="begin"/>
            </w:r>
            <w:r>
              <w:rPr>
                <w:rFonts w:hint="eastAsia" w:ascii="黑体" w:hAnsi="黑体" w:eastAsia="黑体" w:cs="Times New Roman"/>
                <w:snapToGrid/>
                <w:color w:val="auto"/>
                <w:kern w:val="2"/>
                <w:sz w:val="18"/>
                <w:szCs w:val="24"/>
                <w:lang w:eastAsia="zh-CN"/>
              </w:rPr>
              <w:instrText xml:space="preserve"> HYPERLINK "HTTPS" </w:instrText>
            </w:r>
            <w:r>
              <w:rPr>
                <w:rFonts w:hint="eastAsia" w:ascii="黑体" w:hAnsi="黑体" w:eastAsia="黑体" w:cs="Times New Roman"/>
                <w:snapToGrid/>
                <w:color w:val="auto"/>
                <w:kern w:val="2"/>
                <w:sz w:val="18"/>
                <w:szCs w:val="24"/>
                <w:lang w:eastAsia="zh-CN"/>
              </w:rPr>
              <w:fldChar w:fldCharType="separate"/>
            </w:r>
            <w:r>
              <w:rPr>
                <w:rFonts w:hint="eastAsia" w:ascii="黑体" w:hAnsi="黑体" w:eastAsia="黑体" w:cs="Times New Roman"/>
                <w:snapToGrid/>
                <w:color w:val="auto"/>
                <w:kern w:val="2"/>
                <w:sz w:val="18"/>
                <w:szCs w:val="24"/>
                <w:lang w:eastAsia="zh-CN"/>
              </w:rPr>
              <w:t>HTTPS</w:t>
            </w:r>
            <w:r>
              <w:rPr>
                <w:rFonts w:hint="eastAsia" w:ascii="黑体" w:hAnsi="黑体" w:eastAsia="黑体" w:cs="Times New Roman"/>
                <w:snapToGrid/>
                <w:color w:val="auto"/>
                <w:kern w:val="2"/>
                <w:sz w:val="18"/>
                <w:szCs w:val="24"/>
                <w:lang w:eastAsia="zh-CN"/>
              </w:rPr>
              <w:fldChar w:fldCharType="end"/>
            </w:r>
            <w:r>
              <w:rPr>
                <w:rFonts w:hint="eastAsia" w:ascii="黑体" w:hAnsi="黑体" w:eastAsia="黑体" w:cs="Times New Roman"/>
                <w:snapToGrid/>
                <w:color w:val="auto"/>
                <w:kern w:val="2"/>
                <w:sz w:val="18"/>
                <w:szCs w:val="24"/>
                <w:lang w:eastAsia="zh-CN"/>
              </w:rPr>
              <w:t>、FTP、SOCKS 等多种协议；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支持无线网络管理，包括连接或断开网络、配置口令、手动刷新无线热点列表等；</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支持个人热点共享，包括有线、无线网络生成的网络热点；</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 L2TP、PPTP、OpenVPN、StrongSwan类型的 VPN 连接，支持新增、导入、编辑和删除连接配置，支持启用或禁用 VPN 自动连接</w:t>
            </w:r>
          </w:p>
        </w:tc>
        <w:tc>
          <w:tcPr>
            <w:tcW w:w="335" w:type="pct"/>
            <w:vAlign w:val="top"/>
          </w:tcPr>
          <w:p>
            <w:pPr>
              <w:pStyle w:val="169"/>
              <w:spacing w:before="5" w:line="234" w:lineRule="auto"/>
              <w:ind w:left="107" w:right="102" w:firstLine="11"/>
              <w:rPr>
                <w:color w:val="auto"/>
                <w:spacing w:val="-6"/>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66</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默认应用程序管理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操作系统提供默认用程序管理工具，支持预先定义和修改指定用类型的默认 程序，包括图片、文本、音视频、网页、邮件</w:t>
            </w:r>
          </w:p>
        </w:tc>
        <w:tc>
          <w:tcPr>
            <w:tcW w:w="335" w:type="pct"/>
            <w:vAlign w:val="top"/>
          </w:tcPr>
          <w:p>
            <w:pPr>
              <w:pStyle w:val="169"/>
              <w:spacing w:before="42" w:line="234" w:lineRule="auto"/>
              <w:ind w:left="112" w:right="43"/>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67</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应用商店</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支持应用软件可视化管理；</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支持按日常办公、网络应用、多媒体、安全软件、应用开发、游戏娱乐等分类显示；</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支持应用软件搜索功能；</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支持应用软件推荐、下载、安装、卸载和升级</w:t>
            </w:r>
          </w:p>
        </w:tc>
        <w:tc>
          <w:tcPr>
            <w:tcW w:w="335" w:type="pct"/>
            <w:vAlign w:val="top"/>
          </w:tcPr>
          <w:p>
            <w:pPr>
              <w:pStyle w:val="169"/>
              <w:spacing w:before="32" w:line="222" w:lineRule="auto"/>
              <w:ind w:left="114" w:right="102" w:firstLine="4"/>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68</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通知管理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操作系统任务栏提供通知中心图标，并显示消息提醒；</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系统和应用使用通知接口发送通知消息；</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支持对通知消息的管理，包括显示、删除、清理等</w:t>
            </w:r>
          </w:p>
        </w:tc>
        <w:tc>
          <w:tcPr>
            <w:tcW w:w="335" w:type="pct"/>
            <w:vAlign w:val="top"/>
          </w:tcPr>
          <w:p>
            <w:pPr>
              <w:pStyle w:val="169"/>
              <w:spacing w:before="4" w:line="222" w:lineRule="auto"/>
              <w:ind w:left="121" w:right="102" w:hanging="2"/>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69</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主题管理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操作系统提供图形化主题管理工具；</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支持以深色、浅色和昼夜切换自动配色方式显示系统图形化界面；</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支持系统主题颜色设置；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支持系统图标主题设置；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支持系统光标主题设置</w:t>
            </w:r>
          </w:p>
        </w:tc>
        <w:tc>
          <w:tcPr>
            <w:tcW w:w="335" w:type="pct"/>
            <w:vAlign w:val="top"/>
          </w:tcPr>
          <w:p>
            <w:pPr>
              <w:pStyle w:val="169"/>
              <w:spacing w:before="33" w:line="196" w:lineRule="auto"/>
              <w:ind w:left="119"/>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70</w:t>
            </w:r>
          </w:p>
        </w:tc>
        <w:tc>
          <w:tcPr>
            <w:tcW w:w="490" w:type="pct"/>
            <w:tcBorders>
              <w:bottom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single" w:color="auto" w:sz="4" w:space="0"/>
            </w:tcBorders>
            <w:vAlign w:val="top"/>
          </w:tcPr>
          <w:p>
            <w:pPr>
              <w:rPr>
                <w:rFonts w:ascii="Arial"/>
                <w:color w:val="auto"/>
                <w:sz w:val="21"/>
              </w:rPr>
            </w:pPr>
          </w:p>
        </w:tc>
        <w:tc>
          <w:tcPr>
            <w:tcW w:w="1153" w:type="pct"/>
            <w:tcBorders>
              <w:bottom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产品许可机制</w:t>
            </w:r>
          </w:p>
        </w:tc>
        <w:tc>
          <w:tcPr>
            <w:tcW w:w="1820" w:type="pct"/>
            <w:tcBorders>
              <w:bottom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a)操作系统支持序列号授权、批量激活服务、场地授权等未激活期间，系统不得频繁提示干扰用户正常使用；未激活系统不得影响用户数据安全与完整性；</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b)免激活的系统不适用</w:t>
            </w:r>
          </w:p>
        </w:tc>
        <w:tc>
          <w:tcPr>
            <w:tcW w:w="335" w:type="pct"/>
            <w:tcBorders>
              <w:bottom w:val="single" w:color="auto" w:sz="4" w:space="0"/>
            </w:tcBorders>
            <w:vAlign w:val="top"/>
          </w:tcPr>
          <w:p>
            <w:pPr>
              <w:pStyle w:val="169"/>
              <w:spacing w:before="5" w:line="197" w:lineRule="auto"/>
              <w:ind w:left="114"/>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 w:hRule="atLeast"/>
          <w:jc w:val="center"/>
        </w:trPr>
        <w:tc>
          <w:tcPr>
            <w:tcW w:w="297" w:type="pct"/>
            <w:tcBorders>
              <w:right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71</w:t>
            </w:r>
          </w:p>
        </w:tc>
        <w:tc>
          <w:tcPr>
            <w:tcW w:w="490"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tcBorders>
              <w:top w:val="single" w:color="auto" w:sz="4" w:space="0"/>
              <w:left w:val="single" w:color="auto" w:sz="4" w:space="0"/>
              <w:bottom w:val="single" w:color="auto" w:sz="4" w:space="0"/>
              <w:right w:val="single" w:color="auto" w:sz="4" w:space="0"/>
            </w:tcBorders>
            <w:vAlign w:val="top"/>
          </w:tcPr>
          <w:p>
            <w:pPr>
              <w:pStyle w:val="169"/>
              <w:spacing w:before="44" w:line="198" w:lineRule="auto"/>
              <w:rPr>
                <w:color w:val="auto"/>
              </w:rPr>
            </w:pPr>
            <w:r>
              <w:rPr>
                <w:rFonts w:hint="eastAsia"/>
                <w:color w:val="auto"/>
                <w:sz w:val="18"/>
                <w:szCs w:val="18"/>
              </w:rPr>
              <w:t>★</w:t>
            </w:r>
            <w:r>
              <w:rPr>
                <w:color w:val="auto"/>
                <w:spacing w:val="-1"/>
              </w:rPr>
              <w:t>图形化要求</w:t>
            </w:r>
          </w:p>
        </w:tc>
        <w:tc>
          <w:tcPr>
            <w:tcW w:w="1153"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用户操作界面</w:t>
            </w:r>
          </w:p>
        </w:tc>
        <w:tc>
          <w:tcPr>
            <w:tcW w:w="1820"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操作系统提供图形化操作界面</w:t>
            </w:r>
          </w:p>
        </w:tc>
        <w:tc>
          <w:tcPr>
            <w:tcW w:w="335" w:type="pct"/>
            <w:tcBorders>
              <w:top w:val="single" w:color="auto" w:sz="4" w:space="0"/>
              <w:left w:val="single" w:color="auto" w:sz="4" w:space="0"/>
              <w:bottom w:val="single" w:color="auto" w:sz="4" w:space="0"/>
              <w:right w:val="single" w:color="auto" w:sz="4" w:space="0"/>
            </w:tcBorders>
            <w:vAlign w:val="top"/>
          </w:tcPr>
          <w:p>
            <w:pPr>
              <w:pStyle w:val="169"/>
              <w:spacing w:before="44" w:line="198" w:lineRule="auto"/>
              <w:ind w:left="113"/>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72</w:t>
            </w:r>
          </w:p>
        </w:tc>
        <w:tc>
          <w:tcPr>
            <w:tcW w:w="490" w:type="pct"/>
            <w:tcBorders>
              <w:top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restart"/>
            <w:tcBorders>
              <w:top w:val="single" w:color="auto" w:sz="4" w:space="0"/>
            </w:tcBorders>
            <w:vAlign w:val="top"/>
          </w:tcPr>
          <w:p>
            <w:pPr>
              <w:rPr>
                <w:rFonts w:ascii="Arial"/>
                <w:color w:val="auto"/>
                <w:sz w:val="21"/>
              </w:rPr>
            </w:pPr>
          </w:p>
        </w:tc>
        <w:tc>
          <w:tcPr>
            <w:tcW w:w="1153" w:type="pct"/>
            <w:tcBorders>
              <w:top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桌面图标</w:t>
            </w:r>
          </w:p>
        </w:tc>
        <w:tc>
          <w:tcPr>
            <w:tcW w:w="1820" w:type="pct"/>
            <w:tcBorders>
              <w:top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操作系统默认提供我的系统、个人文档、回收站等图标</w:t>
            </w:r>
          </w:p>
        </w:tc>
        <w:tc>
          <w:tcPr>
            <w:tcW w:w="335" w:type="pct"/>
            <w:tcBorders>
              <w:top w:val="single" w:color="auto" w:sz="4" w:space="0"/>
            </w:tcBorders>
            <w:vAlign w:val="top"/>
          </w:tcPr>
          <w:p>
            <w:pPr>
              <w:pStyle w:val="169"/>
              <w:spacing w:before="36" w:line="225" w:lineRule="auto"/>
              <w:ind w:left="111" w:right="263" w:firstLine="1"/>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73</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桌面图标管理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操作系统提供回收站工具，可收集要删除的文件和文件夹，并支持右键清空操作；</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支持应用程序快捷方式与文件共存；</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支持右键选单进行复制、剪切和粘贴文件操作；</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支持文件图标拖拽、摆放；</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支持图标名称修改；</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支持按照文件类别显示文件图标</w:t>
            </w:r>
          </w:p>
        </w:tc>
        <w:tc>
          <w:tcPr>
            <w:tcW w:w="335" w:type="pct"/>
            <w:vAlign w:val="top"/>
          </w:tcPr>
          <w:p>
            <w:pPr>
              <w:pStyle w:val="169"/>
              <w:spacing w:before="32" w:line="200" w:lineRule="auto"/>
              <w:ind w:left="119"/>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74</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桌面快捷选单</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操作系统支持桌面图标按照网格排列；支持右键选单新建纯文本；</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支持右键选单新建文件夹；</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支持右键选单选择图标排列顺序，排序可按名称、类型、修改时间、文件大小</w:t>
            </w:r>
          </w:p>
        </w:tc>
        <w:tc>
          <w:tcPr>
            <w:tcW w:w="335" w:type="pct"/>
            <w:vAlign w:val="top"/>
          </w:tcPr>
          <w:p>
            <w:pPr>
              <w:pStyle w:val="169"/>
              <w:spacing w:before="31" w:line="223" w:lineRule="auto"/>
              <w:ind w:left="116" w:right="102" w:firstLine="2"/>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75</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起始选单</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操作系统支持分类显示系统已安装应用；</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支持创建应用的快捷方式到桌面；</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支持添加应用访问快捷方式到任务栏；支持多种方式搜索内容，支持拼音搜索、模糊搜索快捷查找系统应用；</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支持新安装应用与应用列表中其他应用以明显方式区分，包括突出显示、增加标识或单独分类；</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包含电源操作按钮，并可触发系统退出界面；</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包含直接进入控制系统或配置系统的功能入口或应用图标</w:t>
            </w:r>
          </w:p>
        </w:tc>
        <w:tc>
          <w:tcPr>
            <w:tcW w:w="335" w:type="pct"/>
            <w:vAlign w:val="top"/>
          </w:tcPr>
          <w:p>
            <w:pPr>
              <w:pStyle w:val="169"/>
              <w:spacing w:before="6" w:line="222" w:lineRule="auto"/>
              <w:ind w:left="113" w:right="263" w:hanging="2"/>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97" w:type="pct"/>
            <w:shd w:val="clear" w:color="auto" w:fill="auto"/>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val="en-US" w:eastAsia="en-US"/>
              </w:rPr>
            </w:pPr>
            <w:r>
              <w:rPr>
                <w:rFonts w:hint="eastAsia" w:ascii="黑体" w:hAnsi="黑体" w:eastAsia="黑体" w:cs="Times New Roman"/>
                <w:snapToGrid/>
                <w:color w:val="auto"/>
                <w:kern w:val="2"/>
                <w:sz w:val="18"/>
                <w:szCs w:val="24"/>
                <w:lang w:eastAsia="zh-CN"/>
              </w:rPr>
              <w:t>76</w:t>
            </w:r>
          </w:p>
        </w:tc>
        <w:tc>
          <w:tcPr>
            <w:tcW w:w="490" w:type="pct"/>
            <w:shd w:val="clear" w:color="auto" w:fill="auto"/>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val="en-US" w:eastAsia="en-US"/>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shd w:val="clear" w:color="auto" w:fill="auto"/>
            <w:vAlign w:val="top"/>
          </w:tcPr>
          <w:p>
            <w:pPr>
              <w:rPr>
                <w:rFonts w:ascii="Arial" w:hAnsi="Arial" w:eastAsia="Arial" w:cs="Arial"/>
                <w:snapToGrid w:val="0"/>
                <w:color w:val="auto"/>
                <w:kern w:val="0"/>
                <w:sz w:val="21"/>
                <w:szCs w:val="21"/>
                <w:lang w:val="en-US" w:eastAsia="en-US" w:bidi="ar-SA"/>
              </w:rPr>
            </w:pPr>
          </w:p>
        </w:tc>
        <w:tc>
          <w:tcPr>
            <w:tcW w:w="1153" w:type="pct"/>
            <w:shd w:val="clear" w:color="auto" w:fill="auto"/>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val="en-US" w:eastAsia="en-US"/>
              </w:rPr>
            </w:pPr>
            <w:r>
              <w:rPr>
                <w:rFonts w:hint="eastAsia"/>
                <w:color w:val="auto"/>
                <w:sz w:val="18"/>
                <w:szCs w:val="18"/>
              </w:rPr>
              <w:t>★</w:t>
            </w:r>
            <w:r>
              <w:rPr>
                <w:rFonts w:hint="eastAsia" w:ascii="黑体" w:hAnsi="黑体" w:eastAsia="黑体" w:cs="Times New Roman"/>
                <w:snapToGrid/>
                <w:color w:val="auto"/>
                <w:kern w:val="2"/>
                <w:sz w:val="18"/>
                <w:szCs w:val="24"/>
                <w:lang w:eastAsia="zh-CN"/>
              </w:rPr>
              <w:t>任务栏</w:t>
            </w:r>
          </w:p>
        </w:tc>
        <w:tc>
          <w:tcPr>
            <w:tcW w:w="1820" w:type="pct"/>
            <w:shd w:val="clear" w:color="auto" w:fill="auto"/>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操作系统应提供图形化任务管理工具栏，任务栏中应该包括快速启动栏、通知栏；</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提供快速启动应用程序区，可以添加或删除应用启动快捷方式；</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提供系统通知栏，显示网络、声音、电源、USB 设备等，支持应用程序（如输入法等）的状态信息；</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提供显示桌面功能，支持最小化当前所有窗口，在有活动窗口的情况下快速切换成只显示用户桌面；对已切换成只显示用户桌面的状态，可以快速切换回活动窗口状态；</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直观区分任务栏应用运行与未运行的状态；</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支持任务栏隐藏；</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val="en-US" w:eastAsia="en-US"/>
              </w:rPr>
            </w:pPr>
            <w:r>
              <w:rPr>
                <w:rFonts w:hint="eastAsia" w:ascii="黑体" w:hAnsi="黑体" w:eastAsia="黑体" w:cs="Times New Roman"/>
                <w:snapToGrid/>
                <w:color w:val="auto"/>
                <w:kern w:val="2"/>
                <w:sz w:val="18"/>
                <w:szCs w:val="24"/>
                <w:lang w:eastAsia="zh-CN"/>
              </w:rPr>
              <w:t>支持任务栏位置调整</w:t>
            </w:r>
          </w:p>
        </w:tc>
        <w:tc>
          <w:tcPr>
            <w:tcW w:w="335" w:type="pct"/>
            <w:vAlign w:val="top"/>
          </w:tcPr>
          <w:p>
            <w:pPr>
              <w:pStyle w:val="169"/>
              <w:spacing w:before="6" w:line="222" w:lineRule="auto"/>
              <w:ind w:left="113" w:right="263" w:hanging="2"/>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77</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桌面工作区</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操作系统支持多工作区，支持应用跨工作区移动；</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可配置工作区数量；</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可通过快捷键切换工作区</w:t>
            </w:r>
          </w:p>
        </w:tc>
        <w:tc>
          <w:tcPr>
            <w:tcW w:w="335" w:type="pct"/>
            <w:vAlign w:val="top"/>
          </w:tcPr>
          <w:p>
            <w:pPr>
              <w:pStyle w:val="169"/>
              <w:spacing w:before="32" w:line="197" w:lineRule="auto"/>
              <w:ind w:left="116"/>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tcBorders>
              <w:bottom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78</w:t>
            </w:r>
          </w:p>
        </w:tc>
        <w:tc>
          <w:tcPr>
            <w:tcW w:w="490" w:type="pct"/>
            <w:tcBorders>
              <w:bottom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single" w:color="auto" w:sz="4" w:space="0"/>
            </w:tcBorders>
            <w:vAlign w:val="top"/>
          </w:tcPr>
          <w:p>
            <w:pPr>
              <w:rPr>
                <w:rFonts w:ascii="Arial"/>
                <w:color w:val="auto"/>
                <w:sz w:val="21"/>
              </w:rPr>
            </w:pPr>
          </w:p>
        </w:tc>
        <w:tc>
          <w:tcPr>
            <w:tcW w:w="1153" w:type="pct"/>
            <w:tcBorders>
              <w:bottom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系统退出</w:t>
            </w:r>
          </w:p>
        </w:tc>
        <w:tc>
          <w:tcPr>
            <w:tcW w:w="1820" w:type="pct"/>
            <w:tcBorders>
              <w:bottom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操作系统退出界面应为模态或全屏界 面，提供选择关机、重启、锁定、注销、休眠、待机等六种操作</w:t>
            </w:r>
          </w:p>
        </w:tc>
        <w:tc>
          <w:tcPr>
            <w:tcW w:w="335" w:type="pct"/>
            <w:tcBorders>
              <w:bottom w:val="single" w:color="auto" w:sz="4" w:space="0"/>
            </w:tcBorders>
            <w:vAlign w:val="top"/>
          </w:tcPr>
          <w:p>
            <w:pPr>
              <w:pStyle w:val="169"/>
              <w:spacing w:before="42" w:line="230" w:lineRule="auto"/>
              <w:ind w:left="112" w:right="43"/>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jc w:val="center"/>
        </w:trPr>
        <w:tc>
          <w:tcPr>
            <w:tcW w:w="297"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79</w:t>
            </w:r>
          </w:p>
        </w:tc>
        <w:tc>
          <w:tcPr>
            <w:tcW w:w="490"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single" w:color="auto" w:sz="4" w:space="0"/>
              <w:left w:val="single" w:color="auto" w:sz="4" w:space="0"/>
              <w:bottom w:val="single" w:color="auto" w:sz="4" w:space="0"/>
              <w:right w:val="single" w:color="auto" w:sz="4" w:space="0"/>
            </w:tcBorders>
            <w:vAlign w:val="top"/>
          </w:tcPr>
          <w:p>
            <w:pPr>
              <w:rPr>
                <w:rFonts w:ascii="Arial"/>
                <w:color w:val="auto"/>
                <w:sz w:val="21"/>
              </w:rPr>
            </w:pPr>
          </w:p>
        </w:tc>
        <w:tc>
          <w:tcPr>
            <w:tcW w:w="1153"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窗口管理器</w:t>
            </w:r>
          </w:p>
        </w:tc>
        <w:tc>
          <w:tcPr>
            <w:tcW w:w="1820"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操作系统支持对窗口的操作，如最小化、最大化、移动、改变大小、总是置顶或在最前端、关闭；</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提供窗口显示最小化、最大化和关闭按</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提供窗口标题，显示窗口名称，并区别显示选中和未选中窗口；</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窗口可以在不同工作区中移动；</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提供窗口防呆功能，防止窗口完全移出桌面范围内；</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提供窗口切换功能，通过快捷键可在打开的窗口中按一定顺序进行快速切换；提供多任务视图功能，可以预览当前工作区内已打开的所有窗口；</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支持一键操作移开桌面所有窗口，显示桌面；</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提供多窗口分屏功能，支持屏幕分割显示各窗口，支持同时调整窗口尺寸</w:t>
            </w:r>
          </w:p>
        </w:tc>
        <w:tc>
          <w:tcPr>
            <w:tcW w:w="335" w:type="pct"/>
            <w:tcBorders>
              <w:top w:val="single" w:color="auto" w:sz="4" w:space="0"/>
              <w:left w:val="single" w:color="auto" w:sz="4" w:space="0"/>
              <w:bottom w:val="single" w:color="auto" w:sz="4" w:space="0"/>
              <w:right w:val="single" w:color="auto" w:sz="4" w:space="0"/>
            </w:tcBorders>
            <w:vAlign w:val="top"/>
          </w:tcPr>
          <w:p>
            <w:pPr>
              <w:pStyle w:val="169"/>
              <w:spacing w:before="5" w:line="224" w:lineRule="auto"/>
              <w:ind w:left="119" w:right="102" w:hanging="8"/>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jc w:val="center"/>
        </w:trPr>
        <w:tc>
          <w:tcPr>
            <w:tcW w:w="297" w:type="pct"/>
            <w:tcBorders>
              <w:top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80</w:t>
            </w:r>
          </w:p>
        </w:tc>
        <w:tc>
          <w:tcPr>
            <w:tcW w:w="490" w:type="pct"/>
            <w:tcBorders>
              <w:top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single" w:color="auto" w:sz="4" w:space="0"/>
            </w:tcBorders>
            <w:vAlign w:val="top"/>
          </w:tcPr>
          <w:p>
            <w:pPr>
              <w:rPr>
                <w:rFonts w:ascii="Arial"/>
                <w:color w:val="auto"/>
                <w:sz w:val="21"/>
              </w:rPr>
            </w:pPr>
          </w:p>
        </w:tc>
        <w:tc>
          <w:tcPr>
            <w:tcW w:w="1153" w:type="pct"/>
            <w:tcBorders>
              <w:top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图形特效</w:t>
            </w:r>
          </w:p>
        </w:tc>
        <w:tc>
          <w:tcPr>
            <w:tcW w:w="1820" w:type="pct"/>
            <w:tcBorders>
              <w:top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操作系统窗口显示支持模糊透明特效，当支持透明效果的窗口与其他窗口重叠时，前置窗口颜色能随背景窗口颜色的融合发生变化；</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提供窗口外观装饰效果设置，如边框、阴影、模糊、透明度、圆角等，且透明度可调节</w:t>
            </w:r>
          </w:p>
        </w:tc>
        <w:tc>
          <w:tcPr>
            <w:tcW w:w="335" w:type="pct"/>
            <w:tcBorders>
              <w:top w:val="single" w:color="auto" w:sz="4" w:space="0"/>
            </w:tcBorders>
            <w:vAlign w:val="top"/>
          </w:tcPr>
          <w:p>
            <w:pPr>
              <w:pStyle w:val="169"/>
              <w:spacing w:before="5" w:line="231" w:lineRule="auto"/>
              <w:ind w:left="112" w:right="102" w:hanging="1"/>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81</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restart"/>
            <w:tcBorders>
              <w:bottom w:val="nil"/>
            </w:tcBorders>
            <w:vAlign w:val="top"/>
          </w:tcPr>
          <w:p>
            <w:pPr>
              <w:spacing w:line="253" w:lineRule="auto"/>
              <w:rPr>
                <w:rFonts w:ascii="Arial"/>
                <w:color w:val="auto"/>
                <w:sz w:val="21"/>
              </w:rPr>
            </w:pPr>
          </w:p>
          <w:p>
            <w:pPr>
              <w:spacing w:line="253" w:lineRule="auto"/>
              <w:rPr>
                <w:rFonts w:ascii="Arial"/>
                <w:color w:val="auto"/>
                <w:sz w:val="21"/>
              </w:rPr>
            </w:pPr>
          </w:p>
          <w:p>
            <w:pPr>
              <w:spacing w:line="253" w:lineRule="auto"/>
              <w:rPr>
                <w:rFonts w:ascii="Arial"/>
                <w:color w:val="auto"/>
                <w:sz w:val="21"/>
              </w:rPr>
            </w:pPr>
          </w:p>
          <w:p>
            <w:pPr>
              <w:spacing w:line="253" w:lineRule="auto"/>
              <w:rPr>
                <w:rFonts w:ascii="Arial"/>
                <w:color w:val="auto"/>
                <w:sz w:val="21"/>
              </w:rPr>
            </w:pPr>
          </w:p>
          <w:p>
            <w:pPr>
              <w:spacing w:line="253" w:lineRule="auto"/>
              <w:rPr>
                <w:rFonts w:ascii="Arial"/>
                <w:color w:val="auto"/>
                <w:sz w:val="21"/>
              </w:rPr>
            </w:pPr>
          </w:p>
          <w:p>
            <w:pPr>
              <w:spacing w:line="253" w:lineRule="auto"/>
              <w:rPr>
                <w:rFonts w:ascii="Arial"/>
                <w:color w:val="auto"/>
                <w:sz w:val="21"/>
              </w:rPr>
            </w:pPr>
          </w:p>
          <w:p>
            <w:pPr>
              <w:spacing w:line="253" w:lineRule="auto"/>
              <w:rPr>
                <w:rFonts w:ascii="Arial"/>
                <w:color w:val="auto"/>
                <w:sz w:val="21"/>
              </w:rPr>
            </w:pPr>
          </w:p>
          <w:p>
            <w:pPr>
              <w:spacing w:line="253" w:lineRule="auto"/>
              <w:rPr>
                <w:rFonts w:ascii="Arial"/>
                <w:color w:val="auto"/>
                <w:sz w:val="21"/>
              </w:rPr>
            </w:pPr>
          </w:p>
          <w:p>
            <w:pPr>
              <w:spacing w:line="253" w:lineRule="auto"/>
              <w:rPr>
                <w:rFonts w:ascii="Arial"/>
                <w:color w:val="auto"/>
                <w:sz w:val="21"/>
              </w:rPr>
            </w:pPr>
          </w:p>
          <w:p>
            <w:pPr>
              <w:spacing w:line="253" w:lineRule="auto"/>
              <w:rPr>
                <w:rFonts w:ascii="Arial"/>
                <w:color w:val="auto"/>
                <w:sz w:val="21"/>
              </w:rPr>
            </w:pPr>
          </w:p>
          <w:p>
            <w:pPr>
              <w:spacing w:line="253" w:lineRule="auto"/>
              <w:rPr>
                <w:rFonts w:ascii="Arial"/>
                <w:color w:val="auto"/>
                <w:sz w:val="21"/>
              </w:rPr>
            </w:pPr>
          </w:p>
          <w:p>
            <w:pPr>
              <w:spacing w:line="253" w:lineRule="auto"/>
              <w:rPr>
                <w:rFonts w:ascii="Arial"/>
                <w:color w:val="auto"/>
                <w:sz w:val="21"/>
              </w:rPr>
            </w:pPr>
          </w:p>
          <w:p>
            <w:pPr>
              <w:spacing w:line="253" w:lineRule="auto"/>
              <w:rPr>
                <w:rFonts w:ascii="Arial"/>
                <w:color w:val="auto"/>
                <w:sz w:val="21"/>
              </w:rPr>
            </w:pPr>
          </w:p>
          <w:p>
            <w:pPr>
              <w:spacing w:line="254" w:lineRule="auto"/>
              <w:rPr>
                <w:rFonts w:ascii="Arial"/>
                <w:color w:val="auto"/>
                <w:sz w:val="21"/>
              </w:rPr>
            </w:pPr>
          </w:p>
          <w:p>
            <w:pPr>
              <w:spacing w:line="254" w:lineRule="auto"/>
              <w:rPr>
                <w:rFonts w:ascii="Arial"/>
                <w:color w:val="auto"/>
                <w:sz w:val="21"/>
              </w:rPr>
            </w:pPr>
          </w:p>
          <w:p>
            <w:pPr>
              <w:spacing w:line="254" w:lineRule="auto"/>
              <w:rPr>
                <w:rFonts w:ascii="Arial"/>
                <w:color w:val="auto"/>
                <w:sz w:val="21"/>
              </w:rPr>
            </w:pPr>
          </w:p>
          <w:p>
            <w:pPr>
              <w:spacing w:line="254" w:lineRule="auto"/>
              <w:rPr>
                <w:rFonts w:ascii="Arial"/>
                <w:color w:val="auto"/>
                <w:sz w:val="21"/>
              </w:rPr>
            </w:pPr>
          </w:p>
          <w:p>
            <w:pPr>
              <w:pStyle w:val="169"/>
              <w:spacing w:before="58" w:line="222" w:lineRule="auto"/>
              <w:rPr>
                <w:color w:val="auto"/>
              </w:rPr>
            </w:pPr>
            <w:r>
              <w:rPr>
                <w:rFonts w:hint="eastAsia"/>
                <w:color w:val="auto"/>
                <w:sz w:val="18"/>
                <w:szCs w:val="18"/>
              </w:rPr>
              <w:t>★</w:t>
            </w:r>
            <w:r>
              <w:rPr>
                <w:color w:val="auto"/>
                <w:spacing w:val="-1"/>
              </w:rPr>
              <w:t>常用软件支持</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应用软件安全要求</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操作系统预装应用软件应进行签名认证，确保应用软件的安全性、稳定性、可靠性</w:t>
            </w:r>
          </w:p>
        </w:tc>
        <w:tc>
          <w:tcPr>
            <w:tcW w:w="335" w:type="pct"/>
            <w:vAlign w:val="top"/>
          </w:tcPr>
          <w:p>
            <w:pPr>
              <w:pStyle w:val="169"/>
              <w:spacing w:before="42" w:line="230" w:lineRule="auto"/>
              <w:ind w:left="112" w:right="113"/>
              <w:jc w:val="both"/>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82</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压缩工具</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操作系统提供压缩解压缩工具，支持 zip、7z、tar、tar.7z、</w:t>
            </w:r>
            <w:r>
              <w:rPr>
                <w:rFonts w:hint="eastAsia" w:ascii="黑体" w:hAnsi="黑体" w:eastAsia="黑体" w:cs="Times New Roman"/>
                <w:snapToGrid/>
                <w:color w:val="auto"/>
                <w:kern w:val="2"/>
                <w:sz w:val="18"/>
                <w:szCs w:val="24"/>
                <w:lang w:eastAsia="zh-CN"/>
              </w:rPr>
              <w:fldChar w:fldCharType="begin"/>
            </w:r>
            <w:r>
              <w:rPr>
                <w:rFonts w:hint="eastAsia" w:ascii="黑体" w:hAnsi="黑体" w:eastAsia="黑体" w:cs="Times New Roman"/>
                <w:snapToGrid/>
                <w:color w:val="auto"/>
                <w:kern w:val="2"/>
                <w:sz w:val="18"/>
                <w:szCs w:val="24"/>
                <w:lang w:eastAsia="zh-CN"/>
              </w:rPr>
              <w:instrText xml:space="preserve"> HYPERLINK "tar.bz2" </w:instrText>
            </w:r>
            <w:r>
              <w:rPr>
                <w:rFonts w:hint="eastAsia" w:ascii="黑体" w:hAnsi="黑体" w:eastAsia="黑体" w:cs="Times New Roman"/>
                <w:snapToGrid/>
                <w:color w:val="auto"/>
                <w:kern w:val="2"/>
                <w:sz w:val="18"/>
                <w:szCs w:val="24"/>
                <w:lang w:eastAsia="zh-CN"/>
              </w:rPr>
              <w:fldChar w:fldCharType="separate"/>
            </w:r>
            <w:r>
              <w:rPr>
                <w:rFonts w:hint="eastAsia" w:ascii="黑体" w:hAnsi="黑体" w:eastAsia="黑体" w:cs="Times New Roman"/>
                <w:snapToGrid/>
                <w:color w:val="auto"/>
                <w:kern w:val="2"/>
                <w:sz w:val="18"/>
                <w:szCs w:val="24"/>
                <w:lang w:eastAsia="zh-CN"/>
              </w:rPr>
              <w:t>tar.bz2</w:t>
            </w:r>
            <w:r>
              <w:rPr>
                <w:rFonts w:hint="eastAsia" w:ascii="黑体" w:hAnsi="黑体" w:eastAsia="黑体" w:cs="Times New Roman"/>
                <w:snapToGrid/>
                <w:color w:val="auto"/>
                <w:kern w:val="2"/>
                <w:sz w:val="18"/>
                <w:szCs w:val="24"/>
                <w:lang w:eastAsia="zh-CN"/>
              </w:rPr>
              <w:fldChar w:fldCharType="end"/>
            </w:r>
            <w:r>
              <w:rPr>
                <w:rFonts w:hint="eastAsia" w:ascii="黑体" w:hAnsi="黑体" w:eastAsia="黑体" w:cs="Times New Roman"/>
                <w:snapToGrid/>
                <w:color w:val="auto"/>
                <w:kern w:val="2"/>
                <w:sz w:val="18"/>
                <w:szCs w:val="24"/>
                <w:lang w:eastAsia="zh-CN"/>
              </w:rPr>
              <w:t>、tar.gz等压缩格式新建、打开、解压操作，以及对压缩文件中所含文件进行添加、删除、重命名等操作；</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支持解压 rar 格式文件；支持对压缩包进行加解密</w:t>
            </w:r>
          </w:p>
        </w:tc>
        <w:tc>
          <w:tcPr>
            <w:tcW w:w="335" w:type="pct"/>
            <w:vAlign w:val="top"/>
          </w:tcPr>
          <w:p>
            <w:pPr>
              <w:pStyle w:val="169"/>
              <w:spacing w:before="5" w:line="222" w:lineRule="auto"/>
              <w:ind w:left="119" w:right="1163"/>
              <w:rPr>
                <w:color w:val="auto"/>
                <w:spacing w:val="-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83</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音频播放工具</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操作系统提供音频播放工具，支持MP3、 OGG、WAV 等音频格式文件；</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支持播放本地音频文件；</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支持本地音乐文件搜索功能；</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支持播放控制，可设置播放模式</w:t>
            </w:r>
          </w:p>
        </w:tc>
        <w:tc>
          <w:tcPr>
            <w:tcW w:w="335" w:type="pct"/>
            <w:vAlign w:val="top"/>
          </w:tcPr>
          <w:p>
            <w:pPr>
              <w:pStyle w:val="169"/>
              <w:spacing w:before="32" w:line="199" w:lineRule="auto"/>
              <w:ind w:left="119"/>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84</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音频录制工具</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操作系统提供音频录制工具，支持系统播放和传声器输入的音频录制为文件；支持录制音频过程中的录制、暂停、续录和停止等操作</w:t>
            </w:r>
          </w:p>
        </w:tc>
        <w:tc>
          <w:tcPr>
            <w:tcW w:w="335" w:type="pct"/>
            <w:vAlign w:val="top"/>
          </w:tcPr>
          <w:p>
            <w:pPr>
              <w:pStyle w:val="169"/>
              <w:spacing w:before="42" w:line="234" w:lineRule="auto"/>
              <w:ind w:left="112" w:right="102"/>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85</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视频播放工具</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操作系统提供视频播放工具，支持 MKV、 OGG 等封装格式的视频文件；</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支持播放本地视频文件；</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支持自动加载本地字幕；</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支持播放控制功能；</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提供软件解码与硬件编解码切换选项，如硬件支持编解码，应优先使用</w:t>
            </w:r>
          </w:p>
        </w:tc>
        <w:tc>
          <w:tcPr>
            <w:tcW w:w="335" w:type="pct"/>
            <w:vAlign w:val="top"/>
          </w:tcPr>
          <w:p>
            <w:pPr>
              <w:pStyle w:val="169"/>
              <w:spacing w:before="32" w:line="222" w:lineRule="auto"/>
              <w:ind w:left="111" w:right="128"/>
              <w:rPr>
                <w:color w:val="auto"/>
                <w:spacing w:val="-3"/>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86</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视频录制工具</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操作系统提供视频录制工具，支持通过摄像头等设备拍摄图片和录制音视频文件；</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拍摄照片时，支持设置构图网格、快门音效、多张连拍、延时拍摄、镜像拍摄和图像分辨率；</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录制音视频时，支持延时录制</w:t>
            </w:r>
          </w:p>
        </w:tc>
        <w:tc>
          <w:tcPr>
            <w:tcW w:w="335" w:type="pct"/>
            <w:vAlign w:val="top"/>
          </w:tcPr>
          <w:p>
            <w:pPr>
              <w:pStyle w:val="169"/>
              <w:spacing w:before="5" w:line="198" w:lineRule="auto"/>
              <w:ind w:left="114"/>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87</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光盘刻录管理工具</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操作系统提供光盘刻录管理工具，支持CD-R、CD-RW、DVD-R、DVD-RW、DVD+R、 DVD+RW 格式的光盘；</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支持将光盘复制为镜像文件保存到另</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一张光盘；</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支持将光盘镜像文件刻录到光盘；</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 ISO9660、UDF 格式光盘挂载、读取；</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 ISO9660 格式光盘追加刻录；支持检查光盘数据完整性</w:t>
            </w:r>
          </w:p>
        </w:tc>
        <w:tc>
          <w:tcPr>
            <w:tcW w:w="335" w:type="pct"/>
            <w:vAlign w:val="top"/>
          </w:tcPr>
          <w:p>
            <w:pPr>
              <w:pStyle w:val="169"/>
              <w:keepNext w:val="0"/>
              <w:keepLines w:val="0"/>
              <w:pageBreakBefore w:val="0"/>
              <w:widowControl/>
              <w:kinsoku w:val="0"/>
              <w:wordWrap/>
              <w:overflowPunct/>
              <w:topLinePunct w:val="0"/>
              <w:autoSpaceDE w:val="0"/>
              <w:autoSpaceDN w:val="0"/>
              <w:bidi w:val="0"/>
              <w:adjustRightInd w:val="0"/>
              <w:snapToGrid w:val="0"/>
              <w:spacing w:before="5" w:line="224" w:lineRule="auto"/>
              <w:ind w:left="119" w:right="481"/>
              <w:textAlignment w:val="baseline"/>
              <w:rPr>
                <w:color w:val="auto"/>
                <w:spacing w:val="-6"/>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297" w:type="pct"/>
            <w:shd w:val="clear" w:color="auto" w:fill="auto"/>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val="en-US" w:eastAsia="en-US"/>
              </w:rPr>
            </w:pPr>
            <w:r>
              <w:rPr>
                <w:rFonts w:hint="eastAsia" w:ascii="黑体" w:hAnsi="黑体" w:eastAsia="黑体" w:cs="Times New Roman"/>
                <w:snapToGrid/>
                <w:color w:val="auto"/>
                <w:kern w:val="2"/>
                <w:sz w:val="18"/>
                <w:szCs w:val="24"/>
                <w:lang w:eastAsia="zh-CN"/>
              </w:rPr>
              <w:t>88</w:t>
            </w:r>
          </w:p>
        </w:tc>
        <w:tc>
          <w:tcPr>
            <w:tcW w:w="490" w:type="pct"/>
            <w:shd w:val="clear" w:color="auto" w:fill="auto"/>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val="en-US" w:eastAsia="en-US"/>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tcBorders>
            <w:vAlign w:val="top"/>
          </w:tcPr>
          <w:p>
            <w:pPr>
              <w:rPr>
                <w:rFonts w:ascii="Arial"/>
                <w:color w:val="auto"/>
                <w:sz w:val="21"/>
              </w:rPr>
            </w:pPr>
          </w:p>
        </w:tc>
        <w:tc>
          <w:tcPr>
            <w:tcW w:w="1153" w:type="pct"/>
            <w:shd w:val="clear" w:color="auto" w:fill="auto"/>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val="en-US" w:eastAsia="en-US"/>
              </w:rPr>
            </w:pPr>
            <w:r>
              <w:rPr>
                <w:rFonts w:hint="eastAsia"/>
                <w:color w:val="auto"/>
                <w:sz w:val="18"/>
                <w:szCs w:val="18"/>
              </w:rPr>
              <w:t>★</w:t>
            </w:r>
            <w:r>
              <w:rPr>
                <w:rFonts w:hint="eastAsia" w:ascii="黑体" w:hAnsi="黑体" w:eastAsia="黑体" w:cs="Times New Roman"/>
                <w:snapToGrid/>
                <w:color w:val="auto"/>
                <w:kern w:val="2"/>
                <w:sz w:val="18"/>
                <w:szCs w:val="24"/>
                <w:lang w:eastAsia="zh-CN"/>
              </w:rPr>
              <w:t>截图录屏</w:t>
            </w:r>
          </w:p>
        </w:tc>
        <w:tc>
          <w:tcPr>
            <w:tcW w:w="1820" w:type="pct"/>
            <w:shd w:val="clear" w:color="auto" w:fill="auto"/>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操作系统提供截图录屏工具，支持系统截图和录屏；</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支持延时捕捉屏幕图像设置；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支持录制光标移动、鼠标点击、键盘操作痕迹、系统音频、传声器输入、摄像头画中画内容；</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支持多种截图区域，包括全屏、程序窗口和自选区域；</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支持多种保存选项，包括保存到系统默认文件夹、桌面、指定存储路径、剪贴板；</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val="en-US" w:eastAsia="en-US"/>
              </w:rPr>
            </w:pPr>
            <w:r>
              <w:rPr>
                <w:rFonts w:hint="eastAsia" w:ascii="黑体" w:hAnsi="黑体" w:eastAsia="黑体" w:cs="Times New Roman"/>
                <w:snapToGrid/>
                <w:color w:val="auto"/>
                <w:kern w:val="2"/>
                <w:sz w:val="18"/>
                <w:szCs w:val="24"/>
                <w:lang w:eastAsia="zh-CN"/>
              </w:rPr>
              <w:t>系统截图支持保存为 PNG、JPG、BMP 等格式，录屏支持保存为 GIF、MP4、MKV等格式</w:t>
            </w:r>
          </w:p>
        </w:tc>
        <w:tc>
          <w:tcPr>
            <w:tcW w:w="335" w:type="pct"/>
            <w:shd w:val="clear" w:color="auto" w:fill="auto"/>
            <w:vAlign w:val="top"/>
          </w:tcPr>
          <w:p>
            <w:pPr>
              <w:pStyle w:val="169"/>
              <w:keepNext w:val="0"/>
              <w:keepLines w:val="0"/>
              <w:pageBreakBefore w:val="0"/>
              <w:widowControl/>
              <w:kinsoku w:val="0"/>
              <w:wordWrap/>
              <w:overflowPunct/>
              <w:topLinePunct w:val="0"/>
              <w:autoSpaceDE w:val="0"/>
              <w:autoSpaceDN w:val="0"/>
              <w:bidi w:val="0"/>
              <w:adjustRightInd w:val="0"/>
              <w:snapToGrid w:val="0"/>
              <w:spacing w:before="5" w:line="231" w:lineRule="auto"/>
              <w:ind w:left="111" w:leftChars="0" w:right="102" w:rightChars="0" w:firstLine="5" w:firstLineChars="0"/>
              <w:textAlignment w:val="baseline"/>
              <w:rPr>
                <w:color w:val="auto"/>
                <w:spacing w:val="-3"/>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89</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图像查看工具</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操作系统提供图像查看工具，支持查看图像文件，支持 PNG、JPEG、TIFF、GIF、 BMP 等图像格式；</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支持显示图像文件的基本信息，包括文件大小、图像格式、宽度和高度等；</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支持对图像文件的操作，包括放大、缩小、旋转、打印等</w:t>
            </w:r>
          </w:p>
        </w:tc>
        <w:tc>
          <w:tcPr>
            <w:tcW w:w="335" w:type="pct"/>
            <w:vAlign w:val="top"/>
          </w:tcPr>
          <w:p>
            <w:pPr>
              <w:pStyle w:val="169"/>
              <w:spacing w:before="5" w:line="222" w:lineRule="auto"/>
              <w:ind w:left="120" w:right="102" w:hanging="1"/>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90</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文件扫描工具</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操作系统提供文件扫描工具，支持扫描文件类型设置，包括 PNG、JPEG、TIFF、 BMP、PDF 等；</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支持扫描颜色设置，包括彩色、灰度；支持扫描分辨率、幅面设置</w:t>
            </w:r>
          </w:p>
        </w:tc>
        <w:tc>
          <w:tcPr>
            <w:tcW w:w="335" w:type="pct"/>
            <w:vAlign w:val="top"/>
          </w:tcPr>
          <w:p>
            <w:pPr>
              <w:pStyle w:val="169"/>
              <w:spacing w:before="4" w:line="222" w:lineRule="auto"/>
              <w:ind w:left="119" w:right="121"/>
              <w:rPr>
                <w:color w:val="auto"/>
                <w:spacing w:val="-3"/>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91</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浏览器</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操作系统提供浏览器，支持HTML4、 HTML5、ECMAScript、CSS 等标准；</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支持符合国家密码管理要求的商用密码算法；</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支持国家电子认证根 CA 签发的符合相关要求的CA 机构证书；</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支持符合 GB/T 38636—2020 的 TLCP</w:t>
            </w:r>
          </w:p>
        </w:tc>
        <w:tc>
          <w:tcPr>
            <w:tcW w:w="335" w:type="pct"/>
            <w:vAlign w:val="top"/>
          </w:tcPr>
          <w:p>
            <w:pPr>
              <w:pStyle w:val="169"/>
              <w:spacing w:before="5" w:line="197" w:lineRule="auto"/>
              <w:ind w:left="119"/>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92</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远程协助工具</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操作系统提供远程协助工具，支持本地桌面被远程控制和对远程桌面的控制</w:t>
            </w:r>
          </w:p>
        </w:tc>
        <w:tc>
          <w:tcPr>
            <w:tcW w:w="335" w:type="pct"/>
            <w:vAlign w:val="top"/>
          </w:tcPr>
          <w:p>
            <w:pPr>
              <w:pStyle w:val="169"/>
              <w:spacing w:before="42" w:line="222" w:lineRule="auto"/>
              <w:ind w:left="117" w:right="102" w:hanging="4"/>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93</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文件共享</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操作系统提供文件共享工具，支持按用户身份进行读写权限设置</w:t>
            </w:r>
          </w:p>
        </w:tc>
        <w:tc>
          <w:tcPr>
            <w:tcW w:w="335" w:type="pct"/>
            <w:vAlign w:val="top"/>
          </w:tcPr>
          <w:p>
            <w:pPr>
              <w:pStyle w:val="169"/>
              <w:spacing w:before="42" w:line="222" w:lineRule="auto"/>
              <w:ind w:left="113" w:right="102"/>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94</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远程桌面支持</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操作系统提供支持 SSH、SFTP 的网络客户端工具</w:t>
            </w:r>
          </w:p>
        </w:tc>
        <w:tc>
          <w:tcPr>
            <w:tcW w:w="335" w:type="pct"/>
            <w:vAlign w:val="top"/>
          </w:tcPr>
          <w:p>
            <w:pPr>
              <w:pStyle w:val="169"/>
              <w:spacing w:before="42" w:line="222" w:lineRule="auto"/>
              <w:ind w:left="113" w:right="102"/>
              <w:rPr>
                <w:color w:val="auto"/>
                <w:spacing w:val="-3"/>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95</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restart"/>
            <w:tcBorders>
              <w:bottom w:val="nil"/>
            </w:tcBorders>
            <w:vAlign w:val="top"/>
          </w:tcPr>
          <w:p>
            <w:pPr>
              <w:spacing w:line="286" w:lineRule="auto"/>
              <w:rPr>
                <w:rFonts w:ascii="Arial"/>
                <w:color w:val="auto"/>
                <w:sz w:val="21"/>
              </w:rPr>
            </w:pPr>
          </w:p>
          <w:p>
            <w:pPr>
              <w:spacing w:line="286" w:lineRule="auto"/>
              <w:rPr>
                <w:rFonts w:ascii="Arial"/>
                <w:color w:val="auto"/>
                <w:sz w:val="21"/>
              </w:rPr>
            </w:pPr>
          </w:p>
          <w:p>
            <w:pPr>
              <w:spacing w:line="286" w:lineRule="auto"/>
              <w:rPr>
                <w:rFonts w:ascii="Arial"/>
                <w:color w:val="auto"/>
                <w:sz w:val="21"/>
              </w:rPr>
            </w:pPr>
          </w:p>
          <w:p>
            <w:pPr>
              <w:spacing w:line="286" w:lineRule="auto"/>
              <w:rPr>
                <w:rFonts w:ascii="Arial"/>
                <w:color w:val="auto"/>
                <w:sz w:val="21"/>
              </w:rPr>
            </w:pPr>
          </w:p>
          <w:p>
            <w:pPr>
              <w:spacing w:line="287" w:lineRule="auto"/>
              <w:rPr>
                <w:rFonts w:ascii="Arial"/>
                <w:color w:val="auto"/>
                <w:sz w:val="21"/>
              </w:rPr>
            </w:pPr>
          </w:p>
          <w:p>
            <w:pPr>
              <w:pStyle w:val="169"/>
              <w:spacing w:before="58" w:line="221" w:lineRule="auto"/>
              <w:rPr>
                <w:color w:val="auto"/>
              </w:rPr>
            </w:pPr>
            <w:r>
              <w:rPr>
                <w:rFonts w:hint="eastAsia"/>
                <w:color w:val="auto"/>
                <w:sz w:val="18"/>
                <w:szCs w:val="18"/>
              </w:rPr>
              <w:t>★</w:t>
            </w:r>
            <w:r>
              <w:rPr>
                <w:color w:val="auto"/>
                <w:spacing w:val="-1"/>
              </w:rPr>
              <w:t>开发环境</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开发环境</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操作系统通过内置、软件仓库或附加光盘等方式提供如 Qt、Eclipse、VSCode等集成开发环境</w:t>
            </w:r>
          </w:p>
        </w:tc>
        <w:tc>
          <w:tcPr>
            <w:tcW w:w="335" w:type="pct"/>
            <w:vAlign w:val="top"/>
          </w:tcPr>
          <w:p>
            <w:pPr>
              <w:pStyle w:val="169"/>
              <w:spacing w:before="45" w:line="229" w:lineRule="auto"/>
              <w:ind w:left="111" w:right="102" w:firstLine="1"/>
              <w:jc w:val="both"/>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96</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开发库</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操作系统通过内置、软件仓库或附加光盘等方式提供如 GNU C、GNU C++、Java、 Qt 、Gtk+、Cairo、OpenGL、Per l、</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Python、Ruby、Rust、Go lang、JS 等开发库</w:t>
            </w:r>
          </w:p>
        </w:tc>
        <w:tc>
          <w:tcPr>
            <w:tcW w:w="335" w:type="pct"/>
            <w:vAlign w:val="top"/>
          </w:tcPr>
          <w:p>
            <w:pPr>
              <w:pStyle w:val="169"/>
              <w:spacing w:before="1" w:line="220" w:lineRule="auto"/>
              <w:ind w:left="114" w:right="102"/>
              <w:rPr>
                <w:color w:val="auto"/>
                <w:spacing w:val="-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97</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编译开发工具</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操作系统通过内置、软件仓库或附加光盘等方式提供如 GCC、G++、Binutils、 GDB、Make、CMake 等语言编译器</w:t>
            </w:r>
          </w:p>
        </w:tc>
        <w:tc>
          <w:tcPr>
            <w:tcW w:w="335" w:type="pct"/>
            <w:vAlign w:val="top"/>
          </w:tcPr>
          <w:p>
            <w:pPr>
              <w:pStyle w:val="169"/>
              <w:spacing w:before="45" w:line="229" w:lineRule="auto"/>
              <w:ind w:left="111" w:right="70" w:firstLine="1"/>
              <w:jc w:val="both"/>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98</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Merge w:val="continue"/>
            <w:tcBorders>
              <w:top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文本编辑工具</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操作系统通过内置、软件仓库或附加光盘等方式提供如 Emacs、Vim 等。</w:t>
            </w:r>
          </w:p>
        </w:tc>
        <w:tc>
          <w:tcPr>
            <w:tcW w:w="335" w:type="pct"/>
            <w:vAlign w:val="top"/>
          </w:tcPr>
          <w:p>
            <w:pPr>
              <w:pStyle w:val="169"/>
              <w:spacing w:before="43" w:line="223" w:lineRule="auto"/>
              <w:ind w:left="111" w:right="102" w:firstLine="1"/>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99</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功能要求</w:t>
            </w:r>
          </w:p>
        </w:tc>
        <w:tc>
          <w:tcPr>
            <w:tcW w:w="901" w:type="pct"/>
            <w:vAlign w:val="top"/>
          </w:tcPr>
          <w:p>
            <w:pPr>
              <w:spacing w:line="288" w:lineRule="auto"/>
              <w:rPr>
                <w:rFonts w:ascii="Arial"/>
                <w:color w:val="auto"/>
                <w:sz w:val="21"/>
              </w:rPr>
            </w:pPr>
          </w:p>
          <w:p>
            <w:pPr>
              <w:spacing w:line="288" w:lineRule="auto"/>
              <w:rPr>
                <w:rFonts w:ascii="Arial"/>
                <w:color w:val="auto"/>
                <w:sz w:val="21"/>
              </w:rPr>
            </w:pPr>
          </w:p>
          <w:p>
            <w:pPr>
              <w:pStyle w:val="169"/>
              <w:spacing w:before="58" w:line="221" w:lineRule="auto"/>
              <w:rPr>
                <w:color w:val="auto"/>
              </w:rPr>
            </w:pPr>
            <w:r>
              <w:rPr>
                <w:rFonts w:hint="eastAsia"/>
                <w:color w:val="auto"/>
                <w:sz w:val="18"/>
                <w:szCs w:val="18"/>
              </w:rPr>
              <w:t>★</w:t>
            </w:r>
            <w:r>
              <w:rPr>
                <w:color w:val="auto"/>
                <w:spacing w:val="-1"/>
              </w:rPr>
              <w:t>开发支持</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开发文档</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操作系统应内置或通过官方网站、社区等提供中文开发文档，包括：</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软件开发参考文档；</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驱动开发参考文档；</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应用移植开发文档；</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API 文档</w:t>
            </w:r>
          </w:p>
        </w:tc>
        <w:tc>
          <w:tcPr>
            <w:tcW w:w="335" w:type="pct"/>
            <w:vAlign w:val="top"/>
          </w:tcPr>
          <w:p>
            <w:pPr>
              <w:pStyle w:val="169"/>
              <w:spacing w:before="32" w:line="200" w:lineRule="auto"/>
              <w:ind w:left="108"/>
              <w:rPr>
                <w:color w:val="auto"/>
                <w:spacing w:val="-3"/>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40"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100</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restart"/>
            <w:tcBorders>
              <w:bottom w:val="nil"/>
            </w:tcBorders>
            <w:vAlign w:val="top"/>
          </w:tcPr>
          <w:p>
            <w:pPr>
              <w:rPr>
                <w:rFonts w:ascii="Arial"/>
                <w:color w:val="auto"/>
                <w:sz w:val="21"/>
              </w:rPr>
            </w:pPr>
          </w:p>
          <w:p>
            <w:pPr>
              <w:rPr>
                <w:rFonts w:ascii="Arial"/>
                <w:color w:val="auto"/>
                <w:sz w:val="21"/>
              </w:rPr>
            </w:pPr>
          </w:p>
          <w:p>
            <w:pPr>
              <w:rPr>
                <w:rFonts w:ascii="Arial"/>
                <w:color w:val="auto"/>
                <w:sz w:val="21"/>
              </w:rPr>
            </w:pPr>
          </w:p>
          <w:p>
            <w:pPr>
              <w:rPr>
                <w:rFonts w:ascii="Arial"/>
                <w:color w:val="auto"/>
                <w:sz w:val="21"/>
              </w:rPr>
            </w:pPr>
          </w:p>
          <w:p>
            <w:pPr>
              <w:rPr>
                <w:rFonts w:ascii="Arial"/>
                <w:color w:val="auto"/>
                <w:sz w:val="21"/>
              </w:rPr>
            </w:pPr>
          </w:p>
          <w:p>
            <w:pPr>
              <w:rPr>
                <w:rFonts w:ascii="Arial"/>
                <w:color w:val="auto"/>
                <w:sz w:val="21"/>
              </w:rPr>
            </w:pPr>
          </w:p>
          <w:p>
            <w:pPr>
              <w:spacing w:line="241" w:lineRule="auto"/>
              <w:rPr>
                <w:rFonts w:ascii="Arial"/>
                <w:color w:val="auto"/>
                <w:sz w:val="21"/>
              </w:rPr>
            </w:pPr>
          </w:p>
          <w:p>
            <w:pPr>
              <w:spacing w:line="241" w:lineRule="auto"/>
              <w:rPr>
                <w:rFonts w:ascii="Arial"/>
                <w:color w:val="auto"/>
                <w:sz w:val="21"/>
              </w:rPr>
            </w:pPr>
          </w:p>
          <w:p>
            <w:pPr>
              <w:pStyle w:val="169"/>
              <w:spacing w:before="58" w:line="222" w:lineRule="auto"/>
              <w:rPr>
                <w:color w:val="auto"/>
              </w:rPr>
            </w:pPr>
            <w:r>
              <w:rPr>
                <w:rFonts w:hint="eastAsia"/>
                <w:color w:val="auto"/>
                <w:sz w:val="18"/>
                <w:szCs w:val="18"/>
              </w:rPr>
              <w:t>★</w:t>
            </w:r>
            <w:r>
              <w:rPr>
                <w:color w:val="auto"/>
                <w:spacing w:val="-1"/>
              </w:rPr>
              <w:t>运行环境兼容</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版本兼容</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操作系统基础运行库或开发环境向后（向下）兼容，即系统版本升级后，能兼容上一版本所运行的软件与设备；</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系统主版本兼容维护时间自发布之日 起不低于 5 年，包括但不限于安全修复、功能升级、新硬件支持等；</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支持以增量升级包的方式实现版本更新</w:t>
            </w:r>
          </w:p>
        </w:tc>
        <w:tc>
          <w:tcPr>
            <w:tcW w:w="335" w:type="pct"/>
            <w:vAlign w:val="top"/>
          </w:tcPr>
          <w:p>
            <w:pPr>
              <w:pStyle w:val="169"/>
              <w:spacing w:before="5" w:line="224" w:lineRule="auto"/>
              <w:ind w:left="112" w:right="263" w:firstLine="6"/>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101</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文件系统层次结构</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供应商应给出长期兼容支持的文件系统层次结构</w:t>
            </w:r>
          </w:p>
        </w:tc>
        <w:tc>
          <w:tcPr>
            <w:tcW w:w="335" w:type="pct"/>
            <w:vAlign w:val="top"/>
          </w:tcPr>
          <w:p>
            <w:pPr>
              <w:pStyle w:val="169"/>
              <w:spacing w:before="162" w:line="250" w:lineRule="auto"/>
              <w:ind w:left="111" w:right="263"/>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102</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运行库</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供应商应给出长期兼容支持的运行库</w:t>
            </w:r>
          </w:p>
        </w:tc>
        <w:tc>
          <w:tcPr>
            <w:tcW w:w="335" w:type="pct"/>
            <w:vAlign w:val="top"/>
          </w:tcPr>
          <w:p>
            <w:pPr>
              <w:pStyle w:val="169"/>
              <w:spacing w:before="283" w:line="222" w:lineRule="auto"/>
              <w:ind w:left="112"/>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103</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命令</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供应商应给出长期兼容支持的常用命令</w:t>
            </w:r>
          </w:p>
        </w:tc>
        <w:tc>
          <w:tcPr>
            <w:tcW w:w="335" w:type="pct"/>
            <w:vAlign w:val="top"/>
          </w:tcPr>
          <w:p>
            <w:pPr>
              <w:pStyle w:val="169"/>
              <w:spacing w:before="161" w:line="249" w:lineRule="auto"/>
              <w:ind w:left="111" w:right="263"/>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6"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104</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restart"/>
            <w:tcBorders>
              <w:bottom w:val="nil"/>
            </w:tcBorders>
            <w:vAlign w:val="top"/>
          </w:tcPr>
          <w:p>
            <w:pPr>
              <w:spacing w:line="273" w:lineRule="auto"/>
              <w:rPr>
                <w:rFonts w:ascii="Arial"/>
                <w:color w:val="auto"/>
                <w:sz w:val="21"/>
              </w:rPr>
            </w:pPr>
          </w:p>
          <w:p>
            <w:pPr>
              <w:spacing w:line="273" w:lineRule="auto"/>
              <w:rPr>
                <w:rFonts w:ascii="Arial"/>
                <w:color w:val="auto"/>
                <w:sz w:val="21"/>
              </w:rPr>
            </w:pPr>
          </w:p>
          <w:p>
            <w:pPr>
              <w:spacing w:line="273" w:lineRule="auto"/>
              <w:rPr>
                <w:rFonts w:ascii="Arial"/>
                <w:color w:val="auto"/>
                <w:sz w:val="21"/>
              </w:rPr>
            </w:pPr>
          </w:p>
          <w:p>
            <w:pPr>
              <w:spacing w:line="273" w:lineRule="auto"/>
              <w:rPr>
                <w:rFonts w:ascii="Arial"/>
                <w:color w:val="auto"/>
                <w:sz w:val="21"/>
              </w:rPr>
            </w:pPr>
          </w:p>
          <w:p>
            <w:pPr>
              <w:spacing w:line="273" w:lineRule="auto"/>
              <w:rPr>
                <w:rFonts w:ascii="Arial"/>
                <w:color w:val="auto"/>
                <w:sz w:val="21"/>
              </w:rPr>
            </w:pPr>
          </w:p>
          <w:p>
            <w:pPr>
              <w:spacing w:line="273" w:lineRule="auto"/>
              <w:rPr>
                <w:rFonts w:ascii="Arial"/>
                <w:color w:val="auto"/>
                <w:sz w:val="21"/>
              </w:rPr>
            </w:pPr>
          </w:p>
          <w:p>
            <w:pPr>
              <w:spacing w:line="274" w:lineRule="auto"/>
              <w:rPr>
                <w:rFonts w:ascii="Arial"/>
                <w:color w:val="auto"/>
                <w:sz w:val="21"/>
              </w:rPr>
            </w:pPr>
          </w:p>
          <w:p>
            <w:pPr>
              <w:pStyle w:val="169"/>
              <w:spacing w:before="58" w:line="222" w:lineRule="auto"/>
              <w:rPr>
                <w:color w:val="auto"/>
              </w:rPr>
            </w:pPr>
            <w:r>
              <w:rPr>
                <w:rFonts w:hint="eastAsia"/>
                <w:color w:val="auto"/>
                <w:sz w:val="18"/>
                <w:szCs w:val="18"/>
              </w:rPr>
              <w:t>★</w:t>
            </w:r>
            <w:r>
              <w:rPr>
                <w:color w:val="auto"/>
                <w:spacing w:val="-1"/>
              </w:rPr>
              <w:t>软件包</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软件包格式</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操作系统是Linux 内核的操作系统时，支持安装 RPM 与 DEB 格式的软件包，当系统默认不支持 RPM 或 DEB 格式的软件包时，提供工具对软件包格式进行转换，软件包格式转换不影响软件对环境依赖关系</w:t>
            </w:r>
          </w:p>
        </w:tc>
        <w:tc>
          <w:tcPr>
            <w:tcW w:w="335" w:type="pct"/>
            <w:vAlign w:val="top"/>
          </w:tcPr>
          <w:p>
            <w:pPr>
              <w:pStyle w:val="169"/>
              <w:spacing w:before="41"/>
              <w:ind w:left="111" w:right="102" w:firstLine="1"/>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6"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105</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软件包管理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操作系统支持图形化方式下载、安装和卸载软件包；</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显示已安装软件包的描述和包含的文件；</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支持安装时优先自动进行缺失依赖软件包的下载和安装；</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自动检测本地安装包，当发现安装包未经签名认证时自动告警；</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在连接软件仓库/应用商店时（含局域网、广域网）能自动搜索并下载依赖的软件包</w:t>
            </w:r>
          </w:p>
        </w:tc>
        <w:tc>
          <w:tcPr>
            <w:tcW w:w="335" w:type="pct"/>
            <w:vAlign w:val="top"/>
          </w:tcPr>
          <w:p>
            <w:pPr>
              <w:pStyle w:val="169"/>
              <w:spacing w:before="5" w:line="231" w:lineRule="auto"/>
              <w:ind w:left="113" w:right="102" w:hanging="2"/>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106</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restart"/>
            <w:tcBorders>
              <w:bottom w:val="nil"/>
            </w:tcBorders>
            <w:vAlign w:val="top"/>
          </w:tcPr>
          <w:p>
            <w:pPr>
              <w:spacing w:line="472" w:lineRule="auto"/>
              <w:rPr>
                <w:rFonts w:ascii="Arial"/>
                <w:color w:val="auto"/>
                <w:sz w:val="21"/>
              </w:rPr>
            </w:pPr>
          </w:p>
          <w:p>
            <w:pPr>
              <w:pStyle w:val="169"/>
              <w:spacing w:before="58" w:line="222" w:lineRule="auto"/>
              <w:rPr>
                <w:color w:val="auto"/>
              </w:rPr>
            </w:pPr>
            <w:r>
              <w:rPr>
                <w:rFonts w:hint="eastAsia"/>
                <w:color w:val="auto"/>
                <w:sz w:val="18"/>
                <w:szCs w:val="18"/>
              </w:rPr>
              <w:t>★</w:t>
            </w:r>
            <w:r>
              <w:rPr>
                <w:color w:val="auto"/>
                <w:spacing w:val="-1"/>
              </w:rPr>
              <w:t>硬件兼容（整</w:t>
            </w:r>
            <w:r>
              <w:rPr>
                <w:color w:val="auto"/>
                <w:spacing w:val="-3"/>
              </w:rPr>
              <w:t>机）</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微型计算机兼容清单</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供应商提供兼容的台式微型计算机品牌及型号清单，且至少兼容一款产品</w:t>
            </w:r>
          </w:p>
        </w:tc>
        <w:tc>
          <w:tcPr>
            <w:tcW w:w="335" w:type="pct"/>
            <w:vAlign w:val="top"/>
          </w:tcPr>
          <w:p>
            <w:pPr>
              <w:pStyle w:val="169"/>
              <w:spacing w:before="166" w:line="243" w:lineRule="auto"/>
              <w:ind w:left="112" w:right="263"/>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107</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便携式微型计算机兼容清单</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供应商提供兼容的便携式微型计算机品牌及型号清单，且至少兼容一款产品</w:t>
            </w:r>
          </w:p>
        </w:tc>
        <w:tc>
          <w:tcPr>
            <w:tcW w:w="335" w:type="pct"/>
            <w:vAlign w:val="top"/>
          </w:tcPr>
          <w:p>
            <w:pPr>
              <w:pStyle w:val="169"/>
              <w:spacing w:before="164" w:line="246" w:lineRule="auto"/>
              <w:ind w:left="121" w:right="102" w:hanging="9"/>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108</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restart"/>
            <w:tcBorders>
              <w:bottom w:val="nil"/>
            </w:tcBorders>
            <w:vAlign w:val="top"/>
          </w:tcPr>
          <w:p>
            <w:pPr>
              <w:spacing w:line="271" w:lineRule="auto"/>
              <w:rPr>
                <w:rFonts w:ascii="Arial"/>
                <w:color w:val="auto"/>
                <w:sz w:val="21"/>
              </w:rPr>
            </w:pPr>
          </w:p>
          <w:p>
            <w:pPr>
              <w:spacing w:line="271" w:lineRule="auto"/>
              <w:rPr>
                <w:rFonts w:ascii="Arial"/>
                <w:color w:val="auto"/>
                <w:sz w:val="21"/>
              </w:rPr>
            </w:pPr>
          </w:p>
          <w:p>
            <w:pPr>
              <w:spacing w:line="271" w:lineRule="auto"/>
              <w:rPr>
                <w:rFonts w:ascii="Arial"/>
                <w:color w:val="auto"/>
                <w:sz w:val="21"/>
              </w:rPr>
            </w:pPr>
          </w:p>
          <w:p>
            <w:pPr>
              <w:spacing w:line="271" w:lineRule="auto"/>
              <w:rPr>
                <w:rFonts w:ascii="Arial"/>
                <w:color w:val="auto"/>
                <w:sz w:val="21"/>
              </w:rPr>
            </w:pPr>
          </w:p>
          <w:p>
            <w:pPr>
              <w:pStyle w:val="169"/>
              <w:spacing w:before="58" w:line="222" w:lineRule="auto"/>
              <w:ind w:left="111"/>
              <w:rPr>
                <w:color w:val="auto"/>
              </w:rPr>
            </w:pPr>
            <w:r>
              <w:rPr>
                <w:rFonts w:hint="eastAsia"/>
                <w:color w:val="auto"/>
                <w:sz w:val="18"/>
                <w:szCs w:val="18"/>
              </w:rPr>
              <w:t>★</w:t>
            </w:r>
            <w:r>
              <w:rPr>
                <w:color w:val="auto"/>
                <w:spacing w:val="-1"/>
              </w:rPr>
              <w:t>硬件兼容（部</w:t>
            </w:r>
            <w:r>
              <w:rPr>
                <w:color w:val="auto"/>
                <w:spacing w:val="-3"/>
              </w:rPr>
              <w:t>件）</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固件</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供应商提供兼容的固件品牌及型号清单，且至少兼容一款产品</w:t>
            </w:r>
          </w:p>
        </w:tc>
        <w:tc>
          <w:tcPr>
            <w:tcW w:w="335" w:type="pct"/>
            <w:vAlign w:val="top"/>
          </w:tcPr>
          <w:p>
            <w:pPr>
              <w:pStyle w:val="169"/>
              <w:spacing w:before="164" w:line="246" w:lineRule="auto"/>
              <w:ind w:left="117" w:right="263" w:hanging="5"/>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109</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显卡</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供应商提供兼容的显卡品牌及型号清单，且至少兼容一款产品</w:t>
            </w:r>
          </w:p>
        </w:tc>
        <w:tc>
          <w:tcPr>
            <w:tcW w:w="335" w:type="pct"/>
            <w:vAlign w:val="top"/>
          </w:tcPr>
          <w:p>
            <w:pPr>
              <w:pStyle w:val="169"/>
              <w:spacing w:before="166" w:line="243" w:lineRule="auto"/>
              <w:ind w:left="117" w:right="263" w:hanging="5"/>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110</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网卡</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供应商提供兼容的有线、无线网卡品牌及型号清单，且至少兼容一款产品</w:t>
            </w:r>
          </w:p>
        </w:tc>
        <w:tc>
          <w:tcPr>
            <w:tcW w:w="335" w:type="pct"/>
            <w:vAlign w:val="top"/>
          </w:tcPr>
          <w:p>
            <w:pPr>
              <w:pStyle w:val="169"/>
              <w:spacing w:before="164" w:line="246" w:lineRule="auto"/>
              <w:ind w:left="112" w:right="102"/>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111</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蓝牙</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供应商提供兼容的蓝牙设备品牌及型号清单，且至少兼容一款产品</w:t>
            </w:r>
          </w:p>
        </w:tc>
        <w:tc>
          <w:tcPr>
            <w:tcW w:w="335" w:type="pct"/>
            <w:vAlign w:val="top"/>
          </w:tcPr>
          <w:p>
            <w:pPr>
              <w:pStyle w:val="169"/>
              <w:spacing w:before="46" w:line="223" w:lineRule="auto"/>
              <w:ind w:left="116" w:right="263" w:hanging="4"/>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112</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显示设备</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供应商提供兼容的显示设备品牌及型号清单，且至少兼容一款产品</w:t>
            </w:r>
          </w:p>
        </w:tc>
        <w:tc>
          <w:tcPr>
            <w:tcW w:w="335" w:type="pct"/>
            <w:vAlign w:val="top"/>
          </w:tcPr>
          <w:p>
            <w:pPr>
              <w:pStyle w:val="169"/>
              <w:spacing w:before="160" w:line="246" w:lineRule="auto"/>
              <w:ind w:left="116" w:right="263" w:hanging="4"/>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113</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生物特征</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供应商提供兼容的生物识别设备（指纹、人脸）品牌及型号清单，且至少兼容一款产品</w:t>
            </w:r>
          </w:p>
        </w:tc>
        <w:tc>
          <w:tcPr>
            <w:tcW w:w="335" w:type="pct"/>
            <w:vAlign w:val="top"/>
          </w:tcPr>
          <w:p>
            <w:pPr>
              <w:pStyle w:val="169"/>
              <w:spacing w:before="41" w:line="232" w:lineRule="auto"/>
              <w:ind w:left="112" w:right="102"/>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114</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restart"/>
            <w:tcBorders>
              <w:bottom w:val="nil"/>
            </w:tcBorders>
            <w:vAlign w:val="top"/>
          </w:tcPr>
          <w:p>
            <w:pPr>
              <w:spacing w:line="241" w:lineRule="auto"/>
              <w:rPr>
                <w:rFonts w:ascii="Arial"/>
                <w:color w:val="auto"/>
                <w:sz w:val="21"/>
              </w:rPr>
            </w:pPr>
          </w:p>
          <w:p>
            <w:pPr>
              <w:spacing w:line="241" w:lineRule="auto"/>
              <w:rPr>
                <w:rFonts w:ascii="Arial"/>
                <w:color w:val="auto"/>
                <w:sz w:val="21"/>
              </w:rPr>
            </w:pPr>
          </w:p>
          <w:p>
            <w:pPr>
              <w:spacing w:line="241" w:lineRule="auto"/>
              <w:rPr>
                <w:rFonts w:ascii="Arial"/>
                <w:color w:val="auto"/>
                <w:sz w:val="21"/>
              </w:rPr>
            </w:pPr>
          </w:p>
          <w:p>
            <w:pPr>
              <w:spacing w:line="241" w:lineRule="auto"/>
              <w:rPr>
                <w:rFonts w:ascii="Arial"/>
                <w:color w:val="auto"/>
                <w:sz w:val="21"/>
              </w:rPr>
            </w:pPr>
          </w:p>
          <w:p>
            <w:pPr>
              <w:spacing w:line="242" w:lineRule="auto"/>
              <w:rPr>
                <w:rFonts w:ascii="Arial"/>
                <w:color w:val="auto"/>
                <w:sz w:val="21"/>
              </w:rPr>
            </w:pPr>
          </w:p>
          <w:p>
            <w:pPr>
              <w:spacing w:line="242" w:lineRule="auto"/>
              <w:rPr>
                <w:rFonts w:ascii="Arial"/>
                <w:color w:val="auto"/>
                <w:sz w:val="21"/>
              </w:rPr>
            </w:pPr>
          </w:p>
          <w:p>
            <w:pPr>
              <w:spacing w:line="242" w:lineRule="auto"/>
              <w:rPr>
                <w:rFonts w:ascii="Arial"/>
                <w:color w:val="auto"/>
                <w:sz w:val="21"/>
              </w:rPr>
            </w:pPr>
          </w:p>
          <w:p>
            <w:pPr>
              <w:spacing w:line="242" w:lineRule="auto"/>
              <w:rPr>
                <w:rFonts w:ascii="Arial"/>
                <w:color w:val="auto"/>
                <w:sz w:val="21"/>
              </w:rPr>
            </w:pPr>
          </w:p>
          <w:p>
            <w:pPr>
              <w:pStyle w:val="169"/>
              <w:spacing w:before="59" w:line="222" w:lineRule="auto"/>
              <w:rPr>
                <w:color w:val="auto"/>
              </w:rPr>
            </w:pPr>
            <w:r>
              <w:rPr>
                <w:rFonts w:hint="eastAsia"/>
                <w:color w:val="auto"/>
                <w:sz w:val="18"/>
                <w:szCs w:val="18"/>
              </w:rPr>
              <w:t>★</w:t>
            </w:r>
            <w:r>
              <w:rPr>
                <w:color w:val="auto"/>
                <w:spacing w:val="-1"/>
              </w:rPr>
              <w:t>硬件兼容（外</w:t>
            </w:r>
            <w:r>
              <w:rPr>
                <w:color w:val="auto"/>
                <w:spacing w:val="-4"/>
              </w:rPr>
              <w:t>设）</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打印机</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供应商提供兼容的打印机品牌及型号清单，且至少兼容一款产品</w:t>
            </w:r>
          </w:p>
        </w:tc>
        <w:tc>
          <w:tcPr>
            <w:tcW w:w="335" w:type="pct"/>
            <w:vAlign w:val="top"/>
          </w:tcPr>
          <w:p>
            <w:pPr>
              <w:pStyle w:val="169"/>
              <w:spacing w:before="161" w:line="246" w:lineRule="auto"/>
              <w:ind w:left="114" w:right="263" w:hanging="2"/>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115</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扫描仪</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供应商提供兼容的扫描仪品牌及型号清单，且至少兼容一款产品</w:t>
            </w:r>
          </w:p>
        </w:tc>
        <w:tc>
          <w:tcPr>
            <w:tcW w:w="335" w:type="pct"/>
            <w:vAlign w:val="top"/>
          </w:tcPr>
          <w:p>
            <w:pPr>
              <w:pStyle w:val="169"/>
              <w:spacing w:before="163" w:line="246" w:lineRule="auto"/>
              <w:ind w:left="114" w:right="263" w:hanging="2"/>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116</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摄录设备</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供应商提供兼容的摄录设备品牌及型号清单，且至少兼容一款产品</w:t>
            </w:r>
          </w:p>
        </w:tc>
        <w:tc>
          <w:tcPr>
            <w:tcW w:w="335" w:type="pct"/>
            <w:vAlign w:val="top"/>
          </w:tcPr>
          <w:p>
            <w:pPr>
              <w:pStyle w:val="169"/>
              <w:spacing w:before="164" w:line="246" w:lineRule="auto"/>
              <w:ind w:left="116" w:right="263" w:hanging="4"/>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117</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存储设备</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 USB2.0，3.0，3.1 的 U盘和移动硬盘品牌及型号清单，且至少兼容一款产品</w:t>
            </w:r>
          </w:p>
        </w:tc>
        <w:tc>
          <w:tcPr>
            <w:tcW w:w="335" w:type="pct"/>
            <w:vAlign w:val="top"/>
          </w:tcPr>
          <w:p>
            <w:pPr>
              <w:pStyle w:val="169"/>
              <w:spacing w:before="42" w:line="232" w:lineRule="auto"/>
              <w:ind w:left="111" w:right="102"/>
              <w:jc w:val="both"/>
              <w:rPr>
                <w:color w:val="auto"/>
                <w:spacing w:val="-5"/>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118</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主流蓝牙设备</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供应商提供兼容的蓝牙鼠标、键盘、音响等品牌及型号清单，且至少兼容一款产品</w:t>
            </w:r>
          </w:p>
        </w:tc>
        <w:tc>
          <w:tcPr>
            <w:tcW w:w="335" w:type="pct"/>
            <w:vAlign w:val="top"/>
          </w:tcPr>
          <w:p>
            <w:pPr>
              <w:pStyle w:val="169"/>
              <w:spacing w:before="45" w:line="231" w:lineRule="auto"/>
              <w:ind w:left="111" w:right="102"/>
              <w:jc w:val="both"/>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119</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主流 USB 外设</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供应商提供兼容的USB 设备，如 USB 鼠标、键盘、音响、网卡等品牌及型号清单，且至少兼容一款产品</w:t>
            </w:r>
          </w:p>
        </w:tc>
        <w:tc>
          <w:tcPr>
            <w:tcW w:w="335" w:type="pct"/>
            <w:vAlign w:val="top"/>
          </w:tcPr>
          <w:p>
            <w:pPr>
              <w:pStyle w:val="169"/>
              <w:spacing w:before="42" w:line="232" w:lineRule="auto"/>
              <w:ind w:left="110" w:right="102" w:firstLine="2"/>
              <w:jc w:val="both"/>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120</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restart"/>
            <w:tcBorders>
              <w:bottom w:val="nil"/>
            </w:tcBorders>
            <w:vAlign w:val="top"/>
          </w:tcPr>
          <w:p>
            <w:pPr>
              <w:spacing w:line="278" w:lineRule="auto"/>
              <w:rPr>
                <w:rFonts w:ascii="Arial"/>
                <w:color w:val="auto"/>
                <w:sz w:val="21"/>
              </w:rPr>
            </w:pPr>
          </w:p>
          <w:p>
            <w:pPr>
              <w:spacing w:line="279" w:lineRule="auto"/>
              <w:rPr>
                <w:rFonts w:ascii="Arial"/>
                <w:color w:val="auto"/>
                <w:sz w:val="21"/>
              </w:rPr>
            </w:pPr>
          </w:p>
          <w:p>
            <w:pPr>
              <w:spacing w:line="279" w:lineRule="auto"/>
              <w:rPr>
                <w:rFonts w:ascii="Arial"/>
                <w:color w:val="auto"/>
                <w:sz w:val="21"/>
              </w:rPr>
            </w:pPr>
          </w:p>
          <w:p>
            <w:pPr>
              <w:pStyle w:val="169"/>
              <w:spacing w:before="59" w:line="222" w:lineRule="auto"/>
              <w:rPr>
                <w:color w:val="auto"/>
              </w:rPr>
            </w:pPr>
            <w:r>
              <w:rPr>
                <w:rFonts w:hint="eastAsia"/>
                <w:color w:val="auto"/>
                <w:sz w:val="18"/>
                <w:szCs w:val="18"/>
              </w:rPr>
              <w:t>★</w:t>
            </w:r>
            <w:r>
              <w:rPr>
                <w:color w:val="auto"/>
                <w:spacing w:val="-1"/>
              </w:rPr>
              <w:t>软件兼容（日</w:t>
            </w:r>
            <w:r>
              <w:rPr>
                <w:color w:val="auto"/>
                <w:spacing w:val="-4"/>
              </w:rPr>
              <w:t>常办公）</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办公软件</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供应商提供兼容的办公软件品牌及版本清单，且至少兼容一款产品</w:t>
            </w:r>
          </w:p>
        </w:tc>
        <w:tc>
          <w:tcPr>
            <w:tcW w:w="335" w:type="pct"/>
            <w:vAlign w:val="top"/>
          </w:tcPr>
          <w:p>
            <w:pPr>
              <w:pStyle w:val="169"/>
              <w:spacing w:before="162" w:line="246" w:lineRule="auto"/>
              <w:ind w:left="113" w:right="263" w:hanging="1"/>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121</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版式软件</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供应商提供兼容的版式软件品牌及版本清单，且至少兼容一款产品</w:t>
            </w:r>
          </w:p>
        </w:tc>
        <w:tc>
          <w:tcPr>
            <w:tcW w:w="335" w:type="pct"/>
            <w:vAlign w:val="top"/>
          </w:tcPr>
          <w:p>
            <w:pPr>
              <w:pStyle w:val="169"/>
              <w:spacing w:before="163" w:line="246" w:lineRule="auto"/>
              <w:ind w:left="113" w:right="263" w:hanging="1"/>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122</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签名软件</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供应商提供兼容的电子签名、电子签章、云签章、key 签署等签名软件的品牌及版本清单，且至少兼容一款产品</w:t>
            </w:r>
          </w:p>
        </w:tc>
        <w:tc>
          <w:tcPr>
            <w:tcW w:w="335" w:type="pct"/>
            <w:vAlign w:val="top"/>
          </w:tcPr>
          <w:p>
            <w:pPr>
              <w:pStyle w:val="169"/>
              <w:spacing w:before="42" w:line="232" w:lineRule="auto"/>
              <w:ind w:left="112" w:right="129"/>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123</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restart"/>
            <w:tcBorders>
              <w:bottom w:val="nil"/>
            </w:tcBorders>
            <w:vAlign w:val="top"/>
          </w:tcPr>
          <w:p>
            <w:pPr>
              <w:spacing w:line="264" w:lineRule="auto"/>
              <w:rPr>
                <w:rFonts w:ascii="Arial"/>
                <w:color w:val="auto"/>
                <w:sz w:val="21"/>
              </w:rPr>
            </w:pPr>
          </w:p>
          <w:p>
            <w:pPr>
              <w:spacing w:line="264" w:lineRule="auto"/>
              <w:rPr>
                <w:rFonts w:ascii="Arial"/>
                <w:color w:val="auto"/>
                <w:sz w:val="21"/>
              </w:rPr>
            </w:pPr>
          </w:p>
          <w:p>
            <w:pPr>
              <w:spacing w:line="265" w:lineRule="auto"/>
              <w:rPr>
                <w:rFonts w:ascii="Arial"/>
                <w:color w:val="auto"/>
                <w:sz w:val="21"/>
              </w:rPr>
            </w:pPr>
          </w:p>
          <w:p>
            <w:pPr>
              <w:spacing w:line="265" w:lineRule="auto"/>
              <w:rPr>
                <w:rFonts w:ascii="Arial"/>
                <w:color w:val="auto"/>
                <w:sz w:val="21"/>
              </w:rPr>
            </w:pPr>
          </w:p>
          <w:p>
            <w:pPr>
              <w:spacing w:line="265" w:lineRule="auto"/>
              <w:rPr>
                <w:rFonts w:ascii="Arial"/>
                <w:color w:val="auto"/>
                <w:sz w:val="21"/>
              </w:rPr>
            </w:pPr>
          </w:p>
          <w:p>
            <w:pPr>
              <w:pStyle w:val="169"/>
              <w:spacing w:before="58" w:line="222" w:lineRule="auto"/>
              <w:rPr>
                <w:color w:val="auto"/>
              </w:rPr>
            </w:pPr>
            <w:r>
              <w:rPr>
                <w:rFonts w:hint="eastAsia"/>
                <w:color w:val="auto"/>
                <w:sz w:val="18"/>
                <w:szCs w:val="18"/>
              </w:rPr>
              <w:t>★</w:t>
            </w:r>
            <w:r>
              <w:rPr>
                <w:color w:val="auto"/>
                <w:spacing w:val="-1"/>
              </w:rPr>
              <w:t>软件兼容（安</w:t>
            </w:r>
            <w:r>
              <w:rPr>
                <w:color w:val="auto"/>
                <w:spacing w:val="-3"/>
              </w:rPr>
              <w:t>全防护）</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杀毒软件</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供应商提供兼容的杀毒软件的品牌及版本清单，且至少兼容一款产品</w:t>
            </w:r>
          </w:p>
        </w:tc>
        <w:tc>
          <w:tcPr>
            <w:tcW w:w="335" w:type="pct"/>
            <w:vAlign w:val="top"/>
          </w:tcPr>
          <w:p>
            <w:pPr>
              <w:pStyle w:val="169"/>
              <w:spacing w:before="162" w:line="246" w:lineRule="auto"/>
              <w:ind w:left="114" w:right="263" w:hanging="2"/>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2"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124</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身份鉴别系统</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供应商提供兼容的通过指纹、人脸识别、Ukey 等方式对使用者身份进行验证的系统品牌及版本清单，且至少兼容一款产品</w:t>
            </w:r>
          </w:p>
        </w:tc>
        <w:tc>
          <w:tcPr>
            <w:tcW w:w="335" w:type="pct"/>
            <w:vAlign w:val="top"/>
          </w:tcPr>
          <w:p>
            <w:pPr>
              <w:pStyle w:val="169"/>
              <w:spacing w:before="45" w:line="235" w:lineRule="auto"/>
              <w:ind w:left="112" w:right="102"/>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125</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日志管理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供应商提供兼容的日志管理软件品牌及版本清单，且至少兼容一款产品</w:t>
            </w:r>
          </w:p>
        </w:tc>
        <w:tc>
          <w:tcPr>
            <w:tcW w:w="335" w:type="pct"/>
            <w:vAlign w:val="top"/>
          </w:tcPr>
          <w:p>
            <w:pPr>
              <w:pStyle w:val="169"/>
              <w:spacing w:before="166" w:line="243" w:lineRule="auto"/>
              <w:ind w:left="112" w:right="263"/>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126</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防火墙</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供应商提供兼容的网络防护、安全管理等软件的品牌及版本清单，且至少兼容一款产品</w:t>
            </w:r>
          </w:p>
        </w:tc>
        <w:tc>
          <w:tcPr>
            <w:tcW w:w="335" w:type="pct"/>
            <w:vAlign w:val="top"/>
          </w:tcPr>
          <w:p>
            <w:pPr>
              <w:pStyle w:val="169"/>
              <w:spacing w:before="45" w:line="231" w:lineRule="auto"/>
              <w:ind w:left="111" w:right="102"/>
              <w:jc w:val="both"/>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127</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restart"/>
            <w:tcBorders>
              <w:bottom w:val="nil"/>
            </w:tcBorders>
            <w:vAlign w:val="top"/>
          </w:tcPr>
          <w:p>
            <w:pPr>
              <w:spacing w:line="306" w:lineRule="auto"/>
              <w:rPr>
                <w:rFonts w:ascii="Arial"/>
                <w:color w:val="auto"/>
                <w:sz w:val="21"/>
              </w:rPr>
            </w:pPr>
          </w:p>
          <w:p>
            <w:pPr>
              <w:spacing w:line="306" w:lineRule="auto"/>
              <w:rPr>
                <w:rFonts w:ascii="Arial"/>
                <w:color w:val="auto"/>
                <w:sz w:val="21"/>
              </w:rPr>
            </w:pPr>
          </w:p>
          <w:p>
            <w:pPr>
              <w:spacing w:line="307" w:lineRule="auto"/>
              <w:rPr>
                <w:rFonts w:ascii="Arial"/>
                <w:color w:val="auto"/>
                <w:sz w:val="21"/>
              </w:rPr>
            </w:pPr>
          </w:p>
          <w:p>
            <w:pPr>
              <w:pStyle w:val="169"/>
              <w:spacing w:before="59" w:line="222" w:lineRule="auto"/>
              <w:rPr>
                <w:color w:val="auto"/>
              </w:rPr>
            </w:pPr>
            <w:r>
              <w:rPr>
                <w:rFonts w:hint="eastAsia"/>
                <w:color w:val="auto"/>
                <w:sz w:val="18"/>
                <w:szCs w:val="18"/>
              </w:rPr>
              <w:t>★</w:t>
            </w:r>
            <w:r>
              <w:rPr>
                <w:color w:val="auto"/>
                <w:spacing w:val="-1"/>
              </w:rPr>
              <w:t>软件兼容（网</w:t>
            </w:r>
            <w:r>
              <w:rPr>
                <w:color w:val="auto"/>
                <w:spacing w:val="-2"/>
              </w:rPr>
              <w:t>络应用）</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网络会议</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供应商提供兼容的网络会议软件的品牌及版本清单，且至少兼容一款产品</w:t>
            </w:r>
          </w:p>
        </w:tc>
        <w:tc>
          <w:tcPr>
            <w:tcW w:w="335" w:type="pct"/>
            <w:vAlign w:val="top"/>
          </w:tcPr>
          <w:p>
            <w:pPr>
              <w:pStyle w:val="169"/>
              <w:spacing w:before="148" w:line="236" w:lineRule="auto"/>
              <w:ind w:left="112" w:right="263"/>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128</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浏览器</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供应商提供兼容的浏览器的品牌及版本清单，且至少兼容一款产品</w:t>
            </w:r>
          </w:p>
        </w:tc>
        <w:tc>
          <w:tcPr>
            <w:tcW w:w="335" w:type="pct"/>
            <w:vAlign w:val="top"/>
          </w:tcPr>
          <w:p>
            <w:pPr>
              <w:pStyle w:val="169"/>
              <w:spacing w:before="148" w:line="236" w:lineRule="auto"/>
              <w:ind w:left="113" w:right="263" w:hanging="1"/>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129</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新闻信息</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供应商提供兼容的新闻信息类软件的品牌及版本清单，且至少兼容一款产品</w:t>
            </w:r>
          </w:p>
        </w:tc>
        <w:tc>
          <w:tcPr>
            <w:tcW w:w="335" w:type="pct"/>
            <w:vAlign w:val="top"/>
          </w:tcPr>
          <w:p>
            <w:pPr>
              <w:pStyle w:val="169"/>
              <w:spacing w:before="148" w:line="236" w:lineRule="auto"/>
              <w:ind w:left="121" w:right="102" w:hanging="9"/>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1"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130</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社交软件</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供应商提供兼容的社交软件的品牌及</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版本清单，且至少兼容一款产品</w:t>
            </w:r>
          </w:p>
        </w:tc>
        <w:tc>
          <w:tcPr>
            <w:tcW w:w="335" w:type="pct"/>
            <w:vAlign w:val="top"/>
          </w:tcPr>
          <w:p>
            <w:pPr>
              <w:pStyle w:val="169"/>
              <w:spacing w:before="28" w:line="213" w:lineRule="auto"/>
              <w:ind w:left="114"/>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131</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restart"/>
            <w:tcBorders>
              <w:bottom w:val="nil"/>
            </w:tcBorders>
            <w:vAlign w:val="top"/>
          </w:tcPr>
          <w:p>
            <w:pPr>
              <w:spacing w:line="274" w:lineRule="auto"/>
              <w:rPr>
                <w:rFonts w:ascii="Arial"/>
                <w:color w:val="auto"/>
                <w:sz w:val="21"/>
              </w:rPr>
            </w:pPr>
          </w:p>
          <w:p>
            <w:pPr>
              <w:spacing w:line="275" w:lineRule="auto"/>
              <w:rPr>
                <w:rFonts w:ascii="Arial"/>
                <w:color w:val="auto"/>
                <w:sz w:val="21"/>
              </w:rPr>
            </w:pPr>
          </w:p>
          <w:p>
            <w:pPr>
              <w:spacing w:line="275" w:lineRule="auto"/>
              <w:rPr>
                <w:rFonts w:ascii="Arial"/>
                <w:color w:val="auto"/>
                <w:sz w:val="21"/>
              </w:rPr>
            </w:pPr>
          </w:p>
          <w:p>
            <w:pPr>
              <w:pStyle w:val="169"/>
              <w:spacing w:before="59" w:line="222" w:lineRule="auto"/>
              <w:rPr>
                <w:color w:val="auto"/>
              </w:rPr>
            </w:pPr>
            <w:r>
              <w:rPr>
                <w:rFonts w:hint="eastAsia"/>
                <w:color w:val="auto"/>
                <w:sz w:val="18"/>
                <w:szCs w:val="18"/>
              </w:rPr>
              <w:t>★</w:t>
            </w:r>
            <w:r>
              <w:rPr>
                <w:color w:val="auto"/>
                <w:spacing w:val="-1"/>
              </w:rPr>
              <w:t>软件兼容（多</w:t>
            </w:r>
            <w:r>
              <w:rPr>
                <w:color w:val="auto"/>
                <w:spacing w:val="-3"/>
              </w:rPr>
              <w:t>媒体）</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图形图像</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供应商提供兼容的图像查看、图像编辑的品牌及版本清单，且至少兼容一款产品</w:t>
            </w:r>
          </w:p>
        </w:tc>
        <w:tc>
          <w:tcPr>
            <w:tcW w:w="335" w:type="pct"/>
            <w:vAlign w:val="top"/>
          </w:tcPr>
          <w:p>
            <w:pPr>
              <w:pStyle w:val="169"/>
              <w:spacing w:before="39" w:line="231" w:lineRule="auto"/>
              <w:ind w:left="121" w:right="102" w:hanging="9"/>
              <w:jc w:val="both"/>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132</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媒体播放</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供应商提供兼容的媒体播放类软件品牌及版本清单，且至少兼容一款产品</w:t>
            </w:r>
          </w:p>
        </w:tc>
        <w:tc>
          <w:tcPr>
            <w:tcW w:w="335" w:type="pct"/>
            <w:vAlign w:val="top"/>
          </w:tcPr>
          <w:p>
            <w:pPr>
              <w:pStyle w:val="169"/>
              <w:spacing w:before="159" w:line="243" w:lineRule="auto"/>
              <w:ind w:left="112" w:right="263"/>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tcBorders>
              <w:bottom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133</w:t>
            </w:r>
          </w:p>
        </w:tc>
        <w:tc>
          <w:tcPr>
            <w:tcW w:w="490" w:type="pct"/>
            <w:tcBorders>
              <w:bottom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兼容性要求</w:t>
            </w:r>
          </w:p>
        </w:tc>
        <w:tc>
          <w:tcPr>
            <w:tcW w:w="901" w:type="pct"/>
            <w:vMerge w:val="continue"/>
            <w:tcBorders>
              <w:top w:val="nil"/>
              <w:bottom w:val="single" w:color="auto" w:sz="4" w:space="0"/>
            </w:tcBorders>
            <w:vAlign w:val="top"/>
          </w:tcPr>
          <w:p>
            <w:pPr>
              <w:rPr>
                <w:rFonts w:ascii="Arial"/>
                <w:color w:val="auto"/>
                <w:sz w:val="21"/>
              </w:rPr>
            </w:pPr>
          </w:p>
        </w:tc>
        <w:tc>
          <w:tcPr>
            <w:tcW w:w="1153" w:type="pct"/>
            <w:tcBorders>
              <w:bottom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音乐电台</w:t>
            </w:r>
          </w:p>
        </w:tc>
        <w:tc>
          <w:tcPr>
            <w:tcW w:w="1820" w:type="pct"/>
            <w:tcBorders>
              <w:bottom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供应商提供兼容的多媒体类软件品牌及版本清单，且至少兼容一款产品</w:t>
            </w:r>
          </w:p>
        </w:tc>
        <w:tc>
          <w:tcPr>
            <w:tcW w:w="335" w:type="pct"/>
            <w:tcBorders>
              <w:bottom w:val="single" w:color="auto" w:sz="4" w:space="0"/>
            </w:tcBorders>
            <w:vAlign w:val="top"/>
          </w:tcPr>
          <w:p>
            <w:pPr>
              <w:pStyle w:val="169"/>
              <w:spacing w:before="158" w:line="243" w:lineRule="auto"/>
              <w:ind w:left="112" w:right="263"/>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jc w:val="center"/>
        </w:trPr>
        <w:tc>
          <w:tcPr>
            <w:tcW w:w="297"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134</w:t>
            </w:r>
          </w:p>
        </w:tc>
        <w:tc>
          <w:tcPr>
            <w:tcW w:w="490"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易用性要求</w:t>
            </w:r>
          </w:p>
        </w:tc>
        <w:tc>
          <w:tcPr>
            <w:tcW w:w="901" w:type="pct"/>
            <w:vMerge w:val="restart"/>
            <w:tcBorders>
              <w:top w:val="single" w:color="auto" w:sz="4" w:space="0"/>
              <w:left w:val="single" w:color="auto" w:sz="4" w:space="0"/>
              <w:bottom w:val="single" w:color="auto" w:sz="4" w:space="0"/>
              <w:right w:val="single" w:color="auto" w:sz="4" w:space="0"/>
            </w:tcBorders>
            <w:vAlign w:val="top"/>
          </w:tcPr>
          <w:p>
            <w:pPr>
              <w:spacing w:line="244" w:lineRule="auto"/>
              <w:rPr>
                <w:rFonts w:ascii="Arial"/>
                <w:color w:val="auto"/>
                <w:sz w:val="21"/>
              </w:rPr>
            </w:pPr>
          </w:p>
          <w:p>
            <w:pPr>
              <w:spacing w:line="244" w:lineRule="auto"/>
              <w:rPr>
                <w:rFonts w:ascii="Arial"/>
                <w:color w:val="auto"/>
                <w:sz w:val="21"/>
              </w:rPr>
            </w:pPr>
          </w:p>
          <w:p>
            <w:pPr>
              <w:spacing w:line="245" w:lineRule="auto"/>
              <w:rPr>
                <w:rFonts w:ascii="Arial"/>
                <w:color w:val="auto"/>
                <w:sz w:val="21"/>
              </w:rPr>
            </w:pPr>
          </w:p>
          <w:p>
            <w:pPr>
              <w:spacing w:line="245" w:lineRule="auto"/>
              <w:rPr>
                <w:rFonts w:ascii="Arial"/>
                <w:color w:val="auto"/>
                <w:sz w:val="21"/>
              </w:rPr>
            </w:pPr>
          </w:p>
          <w:p>
            <w:pPr>
              <w:spacing w:line="245" w:lineRule="auto"/>
              <w:rPr>
                <w:rFonts w:ascii="Arial"/>
                <w:color w:val="auto"/>
                <w:sz w:val="21"/>
              </w:rPr>
            </w:pPr>
          </w:p>
          <w:p>
            <w:pPr>
              <w:spacing w:line="245" w:lineRule="auto"/>
              <w:rPr>
                <w:rFonts w:ascii="Arial"/>
                <w:color w:val="auto"/>
                <w:sz w:val="21"/>
              </w:rPr>
            </w:pPr>
          </w:p>
          <w:p>
            <w:pPr>
              <w:spacing w:line="245" w:lineRule="auto"/>
              <w:rPr>
                <w:rFonts w:ascii="Arial"/>
                <w:color w:val="auto"/>
                <w:sz w:val="21"/>
              </w:rPr>
            </w:pPr>
          </w:p>
          <w:p>
            <w:pPr>
              <w:spacing w:line="245" w:lineRule="auto"/>
              <w:rPr>
                <w:rFonts w:ascii="Arial"/>
                <w:color w:val="auto"/>
                <w:sz w:val="21"/>
              </w:rPr>
            </w:pPr>
          </w:p>
          <w:p>
            <w:pPr>
              <w:spacing w:line="245" w:lineRule="auto"/>
              <w:rPr>
                <w:rFonts w:ascii="Arial"/>
                <w:color w:val="auto"/>
                <w:sz w:val="21"/>
              </w:rPr>
            </w:pPr>
          </w:p>
          <w:p>
            <w:pPr>
              <w:spacing w:line="245" w:lineRule="auto"/>
              <w:rPr>
                <w:rFonts w:ascii="Arial"/>
                <w:color w:val="auto"/>
                <w:sz w:val="21"/>
              </w:rPr>
            </w:pPr>
          </w:p>
          <w:p>
            <w:pPr>
              <w:spacing w:line="245" w:lineRule="auto"/>
              <w:rPr>
                <w:rFonts w:ascii="Arial"/>
                <w:color w:val="auto"/>
                <w:sz w:val="21"/>
              </w:rPr>
            </w:pPr>
          </w:p>
          <w:p>
            <w:pPr>
              <w:spacing w:line="245" w:lineRule="auto"/>
              <w:rPr>
                <w:rFonts w:ascii="Arial"/>
                <w:color w:val="auto"/>
                <w:sz w:val="21"/>
              </w:rPr>
            </w:pPr>
          </w:p>
          <w:p>
            <w:pPr>
              <w:spacing w:line="245" w:lineRule="auto"/>
              <w:rPr>
                <w:rFonts w:ascii="Arial"/>
                <w:color w:val="auto"/>
                <w:sz w:val="21"/>
              </w:rPr>
            </w:pPr>
          </w:p>
          <w:p>
            <w:pPr>
              <w:spacing w:line="245" w:lineRule="auto"/>
              <w:rPr>
                <w:rFonts w:ascii="Arial"/>
                <w:color w:val="auto"/>
                <w:sz w:val="21"/>
              </w:rPr>
            </w:pPr>
          </w:p>
          <w:p>
            <w:pPr>
              <w:spacing w:line="245" w:lineRule="auto"/>
              <w:rPr>
                <w:rFonts w:ascii="Arial"/>
                <w:color w:val="auto"/>
                <w:sz w:val="21"/>
              </w:rPr>
            </w:pPr>
          </w:p>
          <w:p>
            <w:pPr>
              <w:spacing w:line="245" w:lineRule="auto"/>
              <w:rPr>
                <w:rFonts w:ascii="Arial"/>
                <w:color w:val="auto"/>
                <w:sz w:val="21"/>
              </w:rPr>
            </w:pPr>
          </w:p>
          <w:p>
            <w:pPr>
              <w:spacing w:line="245" w:lineRule="auto"/>
              <w:rPr>
                <w:rFonts w:ascii="Arial"/>
                <w:color w:val="auto"/>
                <w:sz w:val="21"/>
              </w:rPr>
            </w:pPr>
          </w:p>
          <w:p>
            <w:pPr>
              <w:pStyle w:val="169"/>
              <w:spacing w:before="58" w:line="221" w:lineRule="auto"/>
              <w:rPr>
                <w:color w:val="auto"/>
              </w:rPr>
            </w:pPr>
            <w:r>
              <w:rPr>
                <w:rFonts w:hint="eastAsia"/>
                <w:color w:val="auto"/>
                <w:sz w:val="18"/>
                <w:szCs w:val="18"/>
              </w:rPr>
              <w:t>★</w:t>
            </w:r>
            <w:r>
              <w:rPr>
                <w:color w:val="auto"/>
                <w:spacing w:val="-1"/>
              </w:rPr>
              <w:t>便捷使用</w:t>
            </w:r>
          </w:p>
        </w:tc>
        <w:tc>
          <w:tcPr>
            <w:tcW w:w="1153"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帮助提示</w:t>
            </w:r>
          </w:p>
        </w:tc>
        <w:tc>
          <w:tcPr>
            <w:tcW w:w="1820"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操作系统提供内置系统和应用中文图文用户手册，包括使用说明、示例、常见故障处理等；</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对需要补充解释的部分，以合适方式提供中文提示</w:t>
            </w:r>
          </w:p>
        </w:tc>
        <w:tc>
          <w:tcPr>
            <w:tcW w:w="335" w:type="pct"/>
            <w:tcBorders>
              <w:top w:val="single" w:color="auto" w:sz="4" w:space="0"/>
              <w:left w:val="single" w:color="auto" w:sz="4" w:space="0"/>
              <w:bottom w:val="single" w:color="auto" w:sz="4" w:space="0"/>
              <w:right w:val="single" w:color="auto" w:sz="4" w:space="0"/>
            </w:tcBorders>
            <w:vAlign w:val="top"/>
          </w:tcPr>
          <w:p>
            <w:pPr>
              <w:pStyle w:val="169"/>
              <w:spacing w:before="4" w:line="224" w:lineRule="auto"/>
              <w:ind w:left="111" w:right="102"/>
              <w:jc w:val="both"/>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jc w:val="center"/>
        </w:trPr>
        <w:tc>
          <w:tcPr>
            <w:tcW w:w="297"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val="en-US" w:eastAsia="en-US"/>
              </w:rPr>
            </w:pPr>
            <w:r>
              <w:rPr>
                <w:rFonts w:hint="eastAsia" w:ascii="黑体" w:hAnsi="黑体" w:eastAsia="黑体" w:cs="Times New Roman"/>
                <w:snapToGrid/>
                <w:color w:val="auto"/>
                <w:kern w:val="2"/>
                <w:sz w:val="18"/>
                <w:szCs w:val="24"/>
                <w:lang w:eastAsia="zh-CN"/>
              </w:rPr>
              <w:t>135</w:t>
            </w:r>
          </w:p>
        </w:tc>
        <w:tc>
          <w:tcPr>
            <w:tcW w:w="49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val="en-US" w:eastAsia="en-US"/>
              </w:rPr>
            </w:pPr>
            <w:r>
              <w:rPr>
                <w:rFonts w:hint="eastAsia" w:ascii="黑体" w:hAnsi="黑体" w:eastAsia="黑体" w:cs="Times New Roman"/>
                <w:snapToGrid/>
                <w:color w:val="auto"/>
                <w:kern w:val="2"/>
                <w:sz w:val="18"/>
                <w:szCs w:val="24"/>
                <w:lang w:eastAsia="zh-CN"/>
              </w:rPr>
              <w:t>易用性要求</w:t>
            </w:r>
          </w:p>
        </w:tc>
        <w:tc>
          <w:tcPr>
            <w:tcW w:w="901" w:type="pct"/>
            <w:vMerge w:val="continue"/>
            <w:tcBorders>
              <w:left w:val="single" w:color="auto" w:sz="4" w:space="0"/>
              <w:right w:val="single" w:color="auto" w:sz="4" w:space="0"/>
            </w:tcBorders>
            <w:vAlign w:val="top"/>
          </w:tcPr>
          <w:p>
            <w:pPr>
              <w:pStyle w:val="169"/>
              <w:spacing w:before="58" w:line="221" w:lineRule="auto"/>
              <w:ind w:left="291"/>
              <w:rPr>
                <w:color w:val="auto"/>
                <w:spacing w:val="-1"/>
              </w:rPr>
            </w:pPr>
          </w:p>
        </w:tc>
        <w:tc>
          <w:tcPr>
            <w:tcW w:w="115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val="en-US" w:eastAsia="en-US"/>
              </w:rPr>
            </w:pPr>
            <w:r>
              <w:rPr>
                <w:rFonts w:hint="eastAsia"/>
                <w:color w:val="auto"/>
                <w:sz w:val="18"/>
                <w:szCs w:val="18"/>
              </w:rPr>
              <w:t>★</w:t>
            </w:r>
            <w:r>
              <w:rPr>
                <w:rFonts w:hint="eastAsia" w:ascii="黑体" w:hAnsi="黑体" w:eastAsia="黑体" w:cs="Times New Roman"/>
                <w:snapToGrid/>
                <w:color w:val="auto"/>
                <w:kern w:val="2"/>
                <w:sz w:val="18"/>
                <w:szCs w:val="24"/>
                <w:lang w:eastAsia="zh-CN"/>
              </w:rPr>
              <w:t>快捷键</w:t>
            </w:r>
          </w:p>
        </w:tc>
        <w:tc>
          <w:tcPr>
            <w:tcW w:w="18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操作系统支持以下快捷键： &lt;Super&gt; 开始选单</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&lt;Alt&gt;+&lt;Tab&gt; 遍历窗口</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&lt;Shift&gt;+&lt;Alt&gt;+&lt;Tab&gt; 反向遍历窗口&lt;Alt&gt;+&lt;F4&gt; 关闭当前窗口</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&lt;Ctrl&gt;+&lt;A&gt; 全选</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&lt;Ctrl&gt;+&lt;X&gt; 剪切</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&lt;Ctrl&gt;+&lt;C&gt; 复制</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&lt;Ctrl&gt;+&lt;V&gt; 粘贴</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&lt;Ctrl&gt;+&lt;Space&gt; 开启/关闭输入法</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&lt;Ctrl&gt;+&lt;Shift&gt; 切换输入法&lt;Super&gt;+&lt;L&gt; 桌面锁定</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&lt;Super&gt;+&lt;D&gt; 显示桌面</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&lt;Super&gt;+&lt;E&gt; 打开文件管理器</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val="en-US" w:eastAsia="en-US"/>
              </w:rPr>
            </w:pPr>
            <w:r>
              <w:rPr>
                <w:rFonts w:hint="eastAsia" w:ascii="黑体" w:hAnsi="黑体" w:eastAsia="黑体" w:cs="Times New Roman"/>
                <w:snapToGrid/>
                <w:color w:val="auto"/>
                <w:kern w:val="2"/>
                <w:sz w:val="18"/>
                <w:szCs w:val="24"/>
                <w:lang w:eastAsia="zh-CN"/>
              </w:rPr>
              <w:t>&lt;Ctrl&gt;+&lt;Alt&gt;+&lt;Delete&gt; 退出界面</w:t>
            </w:r>
          </w:p>
        </w:tc>
        <w:tc>
          <w:tcPr>
            <w:tcW w:w="335" w:type="pct"/>
            <w:tcBorders>
              <w:top w:val="single" w:color="auto" w:sz="4" w:space="0"/>
              <w:left w:val="single" w:color="auto" w:sz="4" w:space="0"/>
              <w:bottom w:val="single" w:color="auto" w:sz="4" w:space="0"/>
              <w:right w:val="single" w:color="auto" w:sz="4" w:space="0"/>
            </w:tcBorders>
            <w:shd w:val="clear" w:color="auto" w:fill="auto"/>
            <w:vAlign w:val="top"/>
          </w:tcPr>
          <w:p>
            <w:pPr>
              <w:pStyle w:val="169"/>
              <w:spacing w:before="28" w:line="200" w:lineRule="auto"/>
              <w:ind w:left="111" w:leftChars="0"/>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3"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136</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易用性要求</w:t>
            </w:r>
          </w:p>
        </w:tc>
        <w:tc>
          <w:tcPr>
            <w:tcW w:w="901" w:type="pct"/>
            <w:vMerge w:val="continue"/>
            <w:tcBorders>
              <w:top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语音助手</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语音助手工具支持开启关闭系统应用，如应用商店、音视频播放、记事本、计算器等；</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支持显示控制，如调高调低屏幕亮度、开启关闭投影仪等；</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支持网络控制，如开启关闭无线局域网、开启关闭蓝牙等；</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支持语音播报，以语音方式播报当前窗口所显示的文字内容；</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支持语音听写，使用语音方式通过输入设备，以文字内容显示在当前可编辑窗口；</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支持语音翻译，支持语音方式通过输入设备，将内容进行中英文互译；</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支持音乐播放控制，如上一首、下一首、快进等</w:t>
            </w:r>
          </w:p>
        </w:tc>
        <w:tc>
          <w:tcPr>
            <w:tcW w:w="335" w:type="pct"/>
            <w:vAlign w:val="top"/>
          </w:tcPr>
          <w:p>
            <w:pPr>
              <w:pStyle w:val="169"/>
              <w:spacing w:before="6" w:line="222" w:lineRule="auto"/>
              <w:ind w:left="112" w:right="43" w:firstLine="6"/>
              <w:rPr>
                <w:color w:val="auto"/>
                <w:spacing w:val="-9"/>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137</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可靠性要求</w:t>
            </w:r>
          </w:p>
        </w:tc>
        <w:tc>
          <w:tcPr>
            <w:tcW w:w="901" w:type="pct"/>
            <w:vAlign w:val="top"/>
          </w:tcPr>
          <w:p>
            <w:pPr>
              <w:pStyle w:val="169"/>
              <w:spacing w:before="283" w:line="221" w:lineRule="auto"/>
              <w:rPr>
                <w:color w:val="auto"/>
              </w:rPr>
            </w:pPr>
            <w:r>
              <w:rPr>
                <w:rFonts w:hint="eastAsia"/>
                <w:color w:val="auto"/>
                <w:sz w:val="18"/>
                <w:szCs w:val="18"/>
              </w:rPr>
              <w:t>★</w:t>
            </w:r>
            <w:r>
              <w:rPr>
                <w:color w:val="auto"/>
                <w:spacing w:val="-1"/>
              </w:rPr>
              <w:t>系统稳定性</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操作系统连续运行72 小时</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操作系统在 CPU 占用大于等于80%，或内存占用大于等于 80%压力情况下，连续运行72 小时无故障</w:t>
            </w:r>
          </w:p>
        </w:tc>
        <w:tc>
          <w:tcPr>
            <w:tcW w:w="335" w:type="pct"/>
            <w:vAlign w:val="top"/>
          </w:tcPr>
          <w:p>
            <w:pPr>
              <w:pStyle w:val="169"/>
              <w:spacing w:before="42" w:line="230" w:lineRule="auto"/>
              <w:ind w:left="111" w:right="129" w:firstLine="1"/>
              <w:jc w:val="both"/>
              <w:rPr>
                <w:color w:val="auto"/>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138</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可靠性要求</w:t>
            </w:r>
          </w:p>
        </w:tc>
        <w:tc>
          <w:tcPr>
            <w:tcW w:w="901" w:type="pct"/>
            <w:vAlign w:val="top"/>
          </w:tcPr>
          <w:p>
            <w:pPr>
              <w:pStyle w:val="169"/>
              <w:spacing w:before="282" w:line="222" w:lineRule="auto"/>
              <w:rPr>
                <w:color w:val="auto"/>
              </w:rPr>
            </w:pPr>
            <w:r>
              <w:rPr>
                <w:rFonts w:hint="eastAsia"/>
                <w:color w:val="auto"/>
                <w:sz w:val="18"/>
                <w:szCs w:val="18"/>
              </w:rPr>
              <w:t>★</w:t>
            </w:r>
            <w:r>
              <w:rPr>
                <w:color w:val="auto"/>
                <w:spacing w:val="-1"/>
              </w:rPr>
              <w:t>检查修复</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系统修复</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操作系统提供文件系统检查与修复功能，能自动修复文件系统错误或以显式方式提示用户进行手动文件系统修复</w:t>
            </w:r>
          </w:p>
        </w:tc>
        <w:tc>
          <w:tcPr>
            <w:tcW w:w="335" w:type="pct"/>
            <w:vAlign w:val="top"/>
          </w:tcPr>
          <w:p>
            <w:pPr>
              <w:pStyle w:val="169"/>
              <w:spacing w:before="42" w:line="230" w:lineRule="auto"/>
              <w:ind w:left="116" w:right="102" w:hanging="3"/>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6"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139</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可靠性要求</w:t>
            </w:r>
          </w:p>
        </w:tc>
        <w:tc>
          <w:tcPr>
            <w:tcW w:w="901" w:type="pct"/>
            <w:vAlign w:val="center"/>
          </w:tcPr>
          <w:p>
            <w:pPr>
              <w:pStyle w:val="169"/>
              <w:spacing w:before="59" w:line="222" w:lineRule="auto"/>
              <w:rPr>
                <w:color w:val="auto"/>
              </w:rPr>
            </w:pPr>
            <w:r>
              <w:rPr>
                <w:rFonts w:hint="eastAsia"/>
                <w:color w:val="auto"/>
                <w:sz w:val="18"/>
                <w:szCs w:val="18"/>
              </w:rPr>
              <w:t>★</w:t>
            </w:r>
            <w:r>
              <w:rPr>
                <w:color w:val="auto"/>
                <w:spacing w:val="-1"/>
              </w:rPr>
              <w:t>备份恢复</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备份还原</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操作系统提供备份还原功能：</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支持系统的备份和还原；</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支持全盘备份到外部存储设备；支持还原到指定备份点；</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支持保留用户数据的系统还原；</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支持系统无法正常进入状态时，可对系统进行还原</w:t>
            </w:r>
          </w:p>
        </w:tc>
        <w:tc>
          <w:tcPr>
            <w:tcW w:w="335" w:type="pct"/>
            <w:vAlign w:val="top"/>
          </w:tcPr>
          <w:p>
            <w:pPr>
              <w:pStyle w:val="169"/>
              <w:spacing w:before="38" w:line="224" w:lineRule="auto"/>
              <w:ind w:left="111" w:right="102" w:firstLine="7"/>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140</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可维护性要求</w:t>
            </w:r>
          </w:p>
        </w:tc>
        <w:tc>
          <w:tcPr>
            <w:tcW w:w="901" w:type="pct"/>
            <w:vMerge w:val="restart"/>
            <w:tcBorders>
              <w:bottom w:val="nil"/>
            </w:tcBorders>
            <w:vAlign w:val="top"/>
          </w:tcPr>
          <w:p>
            <w:pPr>
              <w:spacing w:line="276" w:lineRule="auto"/>
              <w:rPr>
                <w:rFonts w:ascii="Arial"/>
                <w:color w:val="auto"/>
                <w:sz w:val="21"/>
              </w:rPr>
            </w:pPr>
          </w:p>
          <w:p>
            <w:pPr>
              <w:spacing w:line="276" w:lineRule="auto"/>
              <w:rPr>
                <w:rFonts w:ascii="Arial"/>
                <w:color w:val="auto"/>
                <w:sz w:val="21"/>
              </w:rPr>
            </w:pPr>
          </w:p>
          <w:p>
            <w:pPr>
              <w:spacing w:line="276" w:lineRule="auto"/>
              <w:rPr>
                <w:rFonts w:ascii="Arial"/>
                <w:color w:val="auto"/>
                <w:sz w:val="21"/>
              </w:rPr>
            </w:pPr>
          </w:p>
          <w:p>
            <w:pPr>
              <w:spacing w:line="276" w:lineRule="auto"/>
              <w:rPr>
                <w:rFonts w:ascii="Arial"/>
                <w:color w:val="auto"/>
                <w:sz w:val="21"/>
              </w:rPr>
            </w:pPr>
          </w:p>
          <w:p>
            <w:pPr>
              <w:spacing w:line="276" w:lineRule="auto"/>
              <w:rPr>
                <w:rFonts w:ascii="Arial"/>
                <w:color w:val="auto"/>
                <w:sz w:val="21"/>
              </w:rPr>
            </w:pPr>
          </w:p>
          <w:p>
            <w:pPr>
              <w:spacing w:line="276" w:lineRule="auto"/>
              <w:rPr>
                <w:rFonts w:ascii="Arial"/>
                <w:color w:val="auto"/>
                <w:sz w:val="21"/>
              </w:rPr>
            </w:pPr>
          </w:p>
          <w:p>
            <w:pPr>
              <w:pStyle w:val="169"/>
              <w:spacing w:before="59" w:line="221" w:lineRule="auto"/>
              <w:rPr>
                <w:color w:val="auto"/>
              </w:rPr>
            </w:pPr>
            <w:r>
              <w:rPr>
                <w:rFonts w:hint="eastAsia"/>
                <w:color w:val="auto"/>
                <w:sz w:val="18"/>
                <w:szCs w:val="18"/>
              </w:rPr>
              <w:t>★</w:t>
            </w:r>
            <w:r>
              <w:rPr>
                <w:color w:val="auto"/>
                <w:spacing w:val="-1"/>
              </w:rPr>
              <w:t>系统维护</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 xml:space="preserve"> </w:t>
            </w:r>
            <w:r>
              <w:rPr>
                <w:rFonts w:hint="eastAsia"/>
                <w:color w:val="auto"/>
                <w:sz w:val="18"/>
                <w:szCs w:val="18"/>
              </w:rPr>
              <w:t>★</w:t>
            </w:r>
            <w:r>
              <w:rPr>
                <w:rFonts w:hint="eastAsia" w:ascii="黑体" w:hAnsi="黑体" w:eastAsia="黑体" w:cs="Times New Roman"/>
                <w:snapToGrid/>
                <w:color w:val="auto"/>
                <w:kern w:val="2"/>
                <w:sz w:val="18"/>
                <w:szCs w:val="24"/>
                <w:lang w:eastAsia="zh-CN"/>
              </w:rPr>
              <w:t>日志管理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操作系统提供日志管理工具：</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支持图形化显示；</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支持对系统日志信息的显示和刷新；支持对日志文件的查找和导出；</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支持对特定时间段内的日志进行筛选；支持系统日志定期清除功能</w:t>
            </w:r>
          </w:p>
        </w:tc>
        <w:tc>
          <w:tcPr>
            <w:tcW w:w="335" w:type="pct"/>
            <w:vAlign w:val="top"/>
          </w:tcPr>
          <w:p>
            <w:pPr>
              <w:pStyle w:val="169"/>
              <w:spacing w:before="6" w:line="223" w:lineRule="auto"/>
              <w:ind w:left="119" w:right="121"/>
              <w:rPr>
                <w:color w:val="auto"/>
                <w:spacing w:val="-3"/>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141</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可维护性要求</w:t>
            </w:r>
          </w:p>
        </w:tc>
        <w:tc>
          <w:tcPr>
            <w:tcW w:w="901" w:type="pct"/>
            <w:vMerge w:val="continue"/>
            <w:tcBorders>
              <w:top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系统升级</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操作系统支持系统增量升级功能，对系统部件、安全补丁等升级；</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支持在线升级和离线升级；</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升级不得修改破坏用户数据；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升级不得影响原有软硬件兼容性；</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提供升级回退机制，能卸载已升级的软件包，恢复系统原有状态；</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如升级为不可回退，则系统升级前以显式的提示告知用户</w:t>
            </w:r>
          </w:p>
        </w:tc>
        <w:tc>
          <w:tcPr>
            <w:tcW w:w="335" w:type="pct"/>
            <w:vAlign w:val="top"/>
          </w:tcPr>
          <w:p>
            <w:pPr>
              <w:pStyle w:val="169"/>
              <w:spacing w:before="6" w:line="222" w:lineRule="auto"/>
              <w:ind w:left="115" w:right="102" w:hanging="3"/>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142</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服务要求</w:t>
            </w:r>
          </w:p>
        </w:tc>
        <w:tc>
          <w:tcPr>
            <w:tcW w:w="901" w:type="pct"/>
            <w:vAlign w:val="top"/>
          </w:tcPr>
          <w:p>
            <w:pPr>
              <w:pStyle w:val="169"/>
              <w:spacing w:before="281" w:line="221" w:lineRule="auto"/>
              <w:rPr>
                <w:color w:val="auto"/>
              </w:rPr>
            </w:pPr>
            <w:r>
              <w:rPr>
                <w:rFonts w:hint="eastAsia"/>
                <w:color w:val="auto"/>
                <w:sz w:val="18"/>
                <w:szCs w:val="18"/>
              </w:rPr>
              <w:t>★</w:t>
            </w:r>
            <w:r>
              <w:rPr>
                <w:color w:val="auto"/>
                <w:spacing w:val="-1"/>
              </w:rPr>
              <w:t>交付方式</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交付方式</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操作系统支持光盘、USB 闪存盘、镜像文件（下载）等交付方式</w:t>
            </w:r>
          </w:p>
        </w:tc>
        <w:tc>
          <w:tcPr>
            <w:tcW w:w="335" w:type="pct"/>
            <w:vAlign w:val="top"/>
          </w:tcPr>
          <w:p>
            <w:pPr>
              <w:pStyle w:val="169"/>
              <w:spacing w:before="162" w:line="247" w:lineRule="auto"/>
              <w:ind w:left="115" w:right="129" w:hanging="2"/>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143</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服务要求</w:t>
            </w:r>
          </w:p>
        </w:tc>
        <w:tc>
          <w:tcPr>
            <w:tcW w:w="901" w:type="pct"/>
            <w:vMerge w:val="restart"/>
            <w:tcBorders>
              <w:bottom w:val="nil"/>
            </w:tcBorders>
            <w:vAlign w:val="center"/>
          </w:tcPr>
          <w:p>
            <w:pPr>
              <w:pStyle w:val="169"/>
              <w:spacing w:before="58" w:line="248" w:lineRule="auto"/>
              <w:ind w:right="112"/>
              <w:rPr>
                <w:color w:val="auto"/>
              </w:rPr>
            </w:pPr>
            <w:r>
              <w:rPr>
                <w:rFonts w:hint="eastAsia"/>
                <w:color w:val="auto"/>
                <w:sz w:val="18"/>
                <w:szCs w:val="18"/>
              </w:rPr>
              <w:t>★</w:t>
            </w:r>
            <w:r>
              <w:rPr>
                <w:color w:val="auto"/>
                <w:spacing w:val="-1"/>
              </w:rPr>
              <w:t>产品维护服务</w:t>
            </w:r>
            <w:r>
              <w:rPr>
                <w:color w:val="auto"/>
                <w:spacing w:val="-4"/>
              </w:rPr>
              <w:t>周期</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产品维护周期</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产品自发布之日起至产品停止功能升级（包含不限于新特性、新硬件支持、问题修复、安全补丁等）之日止≥5 年</w:t>
            </w:r>
          </w:p>
        </w:tc>
        <w:tc>
          <w:tcPr>
            <w:tcW w:w="335" w:type="pct"/>
            <w:vAlign w:val="top"/>
          </w:tcPr>
          <w:p>
            <w:pPr>
              <w:pStyle w:val="169"/>
              <w:spacing w:before="42" w:line="230" w:lineRule="auto"/>
              <w:ind w:left="113" w:right="113" w:hanging="2"/>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144</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服务要求</w:t>
            </w:r>
          </w:p>
        </w:tc>
        <w:tc>
          <w:tcPr>
            <w:tcW w:w="901" w:type="pct"/>
            <w:vMerge w:val="continue"/>
            <w:tcBorders>
              <w:top w:val="nil"/>
              <w:bottom w:val="nil"/>
            </w:tcBorders>
            <w:vAlign w:val="center"/>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产品延伸服务周期</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产品停止功能升级之日起至产品停止 功能维护（包括问题修复、安全补丁等）之日止≥4 年</w:t>
            </w:r>
          </w:p>
        </w:tc>
        <w:tc>
          <w:tcPr>
            <w:tcW w:w="335" w:type="pct"/>
            <w:vAlign w:val="top"/>
          </w:tcPr>
          <w:p>
            <w:pPr>
              <w:pStyle w:val="169"/>
              <w:spacing w:before="159" w:line="248" w:lineRule="auto"/>
              <w:ind w:left="113" w:right="37" w:hanging="2"/>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145</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服务要求</w:t>
            </w:r>
          </w:p>
        </w:tc>
        <w:tc>
          <w:tcPr>
            <w:tcW w:w="901" w:type="pct"/>
            <w:vMerge w:val="continue"/>
            <w:tcBorders>
              <w:top w:val="nil"/>
              <w:bottom w:val="nil"/>
            </w:tcBorders>
            <w:vAlign w:val="center"/>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产品延伸安全服务周期</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产品功能维护停止之日起至产品停止安全维护（包括中高风险漏洞修复）之日止≥2 年</w:t>
            </w:r>
          </w:p>
        </w:tc>
        <w:tc>
          <w:tcPr>
            <w:tcW w:w="335" w:type="pct"/>
            <w:vAlign w:val="top"/>
          </w:tcPr>
          <w:p>
            <w:pPr>
              <w:pStyle w:val="169"/>
              <w:spacing w:before="160" w:line="248" w:lineRule="auto"/>
              <w:ind w:left="119" w:right="102" w:hanging="8"/>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146</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服务要求</w:t>
            </w:r>
          </w:p>
        </w:tc>
        <w:tc>
          <w:tcPr>
            <w:tcW w:w="901" w:type="pct"/>
            <w:vMerge w:val="continue"/>
            <w:tcBorders>
              <w:top w:val="nil"/>
            </w:tcBorders>
            <w:vAlign w:val="center"/>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产品售后服务周期</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≥6 年</w:t>
            </w:r>
          </w:p>
        </w:tc>
        <w:tc>
          <w:tcPr>
            <w:tcW w:w="335" w:type="pct"/>
            <w:vAlign w:val="top"/>
          </w:tcPr>
          <w:p>
            <w:pPr>
              <w:pStyle w:val="169"/>
              <w:spacing w:before="59" w:line="223" w:lineRule="auto"/>
              <w:ind w:left="131"/>
              <w:rPr>
                <w:color w:val="auto"/>
                <w:spacing w:val="-9"/>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147</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服务要求</w:t>
            </w:r>
          </w:p>
        </w:tc>
        <w:tc>
          <w:tcPr>
            <w:tcW w:w="901" w:type="pct"/>
            <w:vMerge w:val="restart"/>
            <w:tcBorders>
              <w:bottom w:val="nil"/>
            </w:tcBorders>
            <w:vAlign w:val="center"/>
          </w:tcPr>
          <w:p>
            <w:pPr>
              <w:spacing w:line="251" w:lineRule="auto"/>
              <w:rPr>
                <w:rFonts w:ascii="Arial"/>
                <w:color w:val="auto"/>
                <w:sz w:val="21"/>
              </w:rPr>
            </w:pPr>
          </w:p>
          <w:p>
            <w:pPr>
              <w:pStyle w:val="169"/>
              <w:spacing w:before="58" w:line="221" w:lineRule="auto"/>
              <w:rPr>
                <w:color w:val="auto"/>
              </w:rPr>
            </w:pPr>
            <w:r>
              <w:rPr>
                <w:rFonts w:hint="eastAsia"/>
                <w:color w:val="auto"/>
                <w:sz w:val="18"/>
                <w:szCs w:val="18"/>
              </w:rPr>
              <w:t>★</w:t>
            </w:r>
            <w:r>
              <w:rPr>
                <w:color w:val="auto"/>
                <w:spacing w:val="-1"/>
              </w:rPr>
              <w:t>售后服务</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原厂服务</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服务由操作系统厂商的正式员工提供，不由代理商提供</w:t>
            </w:r>
          </w:p>
        </w:tc>
        <w:tc>
          <w:tcPr>
            <w:tcW w:w="335" w:type="pct"/>
            <w:vAlign w:val="top"/>
          </w:tcPr>
          <w:p>
            <w:pPr>
              <w:pStyle w:val="169"/>
              <w:spacing w:before="44" w:line="221" w:lineRule="auto"/>
              <w:ind w:left="114" w:right="128" w:hanging="2"/>
              <w:rPr>
                <w:color w:val="auto"/>
                <w:spacing w:val="-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148</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服务要求</w:t>
            </w:r>
          </w:p>
        </w:tc>
        <w:tc>
          <w:tcPr>
            <w:tcW w:w="901" w:type="pct"/>
            <w:vMerge w:val="continue"/>
            <w:tcBorders>
              <w:top w:val="nil"/>
              <w:bottom w:val="nil"/>
            </w:tcBorders>
            <w:vAlign w:val="center"/>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服务热线电话</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操作系统厂商为最终用户提供工作日 每日不少于8h（应覆盖一般工作时间，具体时间由企业标准给出）中文技术服务热线</w:t>
            </w:r>
          </w:p>
        </w:tc>
        <w:tc>
          <w:tcPr>
            <w:tcW w:w="335" w:type="pct"/>
            <w:vAlign w:val="top"/>
          </w:tcPr>
          <w:p>
            <w:pPr>
              <w:pStyle w:val="169"/>
              <w:spacing w:before="41" w:line="234" w:lineRule="auto"/>
              <w:ind w:left="115" w:right="85" w:hanging="2"/>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149</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服务要求</w:t>
            </w:r>
          </w:p>
        </w:tc>
        <w:tc>
          <w:tcPr>
            <w:tcW w:w="901" w:type="pct"/>
            <w:vMerge w:val="continue"/>
            <w:tcBorders>
              <w:top w:val="nil"/>
              <w:bottom w:val="nil"/>
            </w:tcBorders>
            <w:vAlign w:val="center"/>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技术服务标准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操作系统厂商提供工作日每日不少于8h 技术支持服务</w:t>
            </w:r>
          </w:p>
        </w:tc>
        <w:tc>
          <w:tcPr>
            <w:tcW w:w="335" w:type="pct"/>
            <w:vAlign w:val="top"/>
          </w:tcPr>
          <w:p>
            <w:pPr>
              <w:pStyle w:val="169"/>
              <w:spacing w:before="163" w:line="247" w:lineRule="auto"/>
              <w:ind w:left="111" w:right="263" w:firstLine="2"/>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150</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服务要求</w:t>
            </w:r>
          </w:p>
        </w:tc>
        <w:tc>
          <w:tcPr>
            <w:tcW w:w="901" w:type="pct"/>
            <w:vMerge w:val="continue"/>
            <w:tcBorders>
              <w:top w:val="nil"/>
              <w:bottom w:val="nil"/>
            </w:tcBorders>
            <w:vAlign w:val="center"/>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定制优化增值服务</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操作系统厂商提供代码级定制优化服务</w:t>
            </w:r>
          </w:p>
        </w:tc>
        <w:tc>
          <w:tcPr>
            <w:tcW w:w="335" w:type="pct"/>
            <w:vAlign w:val="top"/>
          </w:tcPr>
          <w:p>
            <w:pPr>
              <w:pStyle w:val="169"/>
              <w:spacing w:before="58" w:line="247" w:lineRule="auto"/>
              <w:ind w:left="115" w:right="263" w:hanging="2"/>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151</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服务要求</w:t>
            </w:r>
          </w:p>
        </w:tc>
        <w:tc>
          <w:tcPr>
            <w:tcW w:w="901" w:type="pct"/>
            <w:vMerge w:val="continue"/>
            <w:tcBorders>
              <w:top w:val="nil"/>
              <w:bottom w:val="nil"/>
            </w:tcBorders>
            <w:vAlign w:val="center"/>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技术服务时效</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操作系统厂商满足同城 4h、异地 12h 响应要求，两个工作日解决问题，对于未能解决的问题和故障提供可行的升级方案</w:t>
            </w:r>
          </w:p>
        </w:tc>
        <w:tc>
          <w:tcPr>
            <w:tcW w:w="335" w:type="pct"/>
            <w:vAlign w:val="top"/>
          </w:tcPr>
          <w:p>
            <w:pPr>
              <w:pStyle w:val="169"/>
              <w:spacing w:before="42" w:line="234" w:lineRule="auto"/>
              <w:ind w:left="114" w:right="102" w:hanging="1"/>
              <w:rPr>
                <w:color w:val="auto"/>
                <w:spacing w:val="-6"/>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152</w:t>
            </w:r>
          </w:p>
        </w:tc>
        <w:tc>
          <w:tcPr>
            <w:tcW w:w="490" w:type="pct"/>
            <w:tcBorders>
              <w:bottom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服务要求</w:t>
            </w:r>
          </w:p>
        </w:tc>
        <w:tc>
          <w:tcPr>
            <w:tcW w:w="901" w:type="pct"/>
            <w:vMerge w:val="continue"/>
            <w:tcBorders>
              <w:top w:val="nil"/>
              <w:bottom w:val="single" w:color="auto" w:sz="4" w:space="0"/>
            </w:tcBorders>
            <w:vAlign w:val="center"/>
          </w:tcPr>
          <w:p>
            <w:pPr>
              <w:rPr>
                <w:rFonts w:ascii="Arial"/>
                <w:color w:val="auto"/>
                <w:sz w:val="21"/>
              </w:rPr>
            </w:pPr>
          </w:p>
        </w:tc>
        <w:tc>
          <w:tcPr>
            <w:tcW w:w="1153" w:type="pct"/>
            <w:tcBorders>
              <w:bottom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技术服务保障</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发生非人为因素故障，在七日内由操作系统厂商原厂人员免费对产品进行补充或更换</w:t>
            </w:r>
          </w:p>
        </w:tc>
        <w:tc>
          <w:tcPr>
            <w:tcW w:w="335" w:type="pct"/>
            <w:vAlign w:val="top"/>
          </w:tcPr>
          <w:p>
            <w:pPr>
              <w:pStyle w:val="169"/>
              <w:spacing w:before="42" w:line="230" w:lineRule="auto"/>
              <w:ind w:left="116" w:right="102" w:hanging="2"/>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 w:hRule="atLeast"/>
          <w:jc w:val="center"/>
        </w:trPr>
        <w:tc>
          <w:tcPr>
            <w:tcW w:w="297" w:type="pct"/>
            <w:tcBorders>
              <w:right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153</w:t>
            </w:r>
          </w:p>
        </w:tc>
        <w:tc>
          <w:tcPr>
            <w:tcW w:w="490"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服务要求</w:t>
            </w:r>
          </w:p>
        </w:tc>
        <w:tc>
          <w:tcPr>
            <w:tcW w:w="901" w:type="pct"/>
            <w:tcBorders>
              <w:top w:val="single" w:color="auto" w:sz="4" w:space="0"/>
              <w:left w:val="single" w:color="auto" w:sz="4" w:space="0"/>
              <w:bottom w:val="single" w:color="auto" w:sz="4" w:space="0"/>
              <w:right w:val="single" w:color="auto" w:sz="4" w:space="0"/>
            </w:tcBorders>
            <w:vAlign w:val="center"/>
          </w:tcPr>
          <w:p>
            <w:pPr>
              <w:pStyle w:val="169"/>
              <w:spacing w:before="44" w:line="198" w:lineRule="auto"/>
              <w:rPr>
                <w:color w:val="auto"/>
              </w:rPr>
            </w:pPr>
            <w:r>
              <w:rPr>
                <w:rFonts w:hint="eastAsia"/>
                <w:color w:val="auto"/>
                <w:sz w:val="18"/>
                <w:szCs w:val="18"/>
              </w:rPr>
              <w:t>★</w:t>
            </w:r>
            <w:r>
              <w:rPr>
                <w:color w:val="auto"/>
                <w:spacing w:val="-1"/>
              </w:rPr>
              <w:t>交付与安装调</w:t>
            </w:r>
            <w:r>
              <w:rPr>
                <w:color w:val="auto"/>
              </w:rPr>
              <w:t>试</w:t>
            </w:r>
          </w:p>
        </w:tc>
        <w:tc>
          <w:tcPr>
            <w:tcW w:w="1153"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现场服务</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单次采购 500 套及以上时提供原厂团队</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驻场服务</w:t>
            </w:r>
          </w:p>
        </w:tc>
        <w:tc>
          <w:tcPr>
            <w:tcW w:w="335" w:type="pct"/>
            <w:vAlign w:val="top"/>
          </w:tcPr>
          <w:p>
            <w:pPr>
              <w:pStyle w:val="169"/>
              <w:spacing w:before="38" w:line="221" w:lineRule="auto"/>
              <w:ind w:left="111"/>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154</w:t>
            </w:r>
          </w:p>
        </w:tc>
        <w:tc>
          <w:tcPr>
            <w:tcW w:w="490" w:type="pct"/>
            <w:tcBorders>
              <w:top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服务要求</w:t>
            </w:r>
          </w:p>
        </w:tc>
        <w:tc>
          <w:tcPr>
            <w:tcW w:w="901" w:type="pct"/>
            <w:tcBorders>
              <w:top w:val="single" w:color="auto" w:sz="4" w:space="0"/>
            </w:tcBorders>
            <w:vAlign w:val="top"/>
          </w:tcPr>
          <w:p>
            <w:pPr>
              <w:rPr>
                <w:rFonts w:ascii="Arial"/>
                <w:color w:val="auto"/>
                <w:sz w:val="21"/>
              </w:rPr>
            </w:pPr>
          </w:p>
        </w:tc>
        <w:tc>
          <w:tcPr>
            <w:tcW w:w="1153" w:type="pct"/>
            <w:tcBorders>
              <w:top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配套资料</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操作系统厂商交付产品时提供配套的 技术资料，包括但不限于系统说明文 件、用户手册（用户安装、操作、维护、故障排除）等</w:t>
            </w:r>
          </w:p>
        </w:tc>
        <w:tc>
          <w:tcPr>
            <w:tcW w:w="335" w:type="pct"/>
            <w:vAlign w:val="top"/>
          </w:tcPr>
          <w:p>
            <w:pPr>
              <w:pStyle w:val="169"/>
              <w:spacing w:before="38" w:line="235" w:lineRule="auto"/>
              <w:ind w:left="111" w:right="43" w:firstLine="1"/>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155</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服务要求</w:t>
            </w:r>
          </w:p>
        </w:tc>
        <w:tc>
          <w:tcPr>
            <w:tcW w:w="901" w:type="pct"/>
            <w:vAlign w:val="top"/>
          </w:tcPr>
          <w:p>
            <w:pPr>
              <w:spacing w:line="288" w:lineRule="auto"/>
              <w:rPr>
                <w:rFonts w:ascii="Arial"/>
                <w:color w:val="auto"/>
                <w:sz w:val="21"/>
              </w:rPr>
            </w:pPr>
          </w:p>
          <w:p>
            <w:pPr>
              <w:pStyle w:val="169"/>
              <w:spacing w:before="59" w:line="221" w:lineRule="auto"/>
              <w:rPr>
                <w:color w:val="auto"/>
              </w:rPr>
            </w:pPr>
            <w:r>
              <w:rPr>
                <w:rFonts w:hint="eastAsia"/>
                <w:color w:val="auto"/>
                <w:sz w:val="18"/>
                <w:szCs w:val="18"/>
              </w:rPr>
              <w:t>★</w:t>
            </w:r>
            <w:r>
              <w:rPr>
                <w:color w:val="auto"/>
                <w:spacing w:val="-1"/>
              </w:rPr>
              <w:t>系统更换</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系统更换</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服务期内，操作系统厂商支持版本免费更换（注：更换后不延长服务期）</w:t>
            </w:r>
          </w:p>
        </w:tc>
        <w:tc>
          <w:tcPr>
            <w:tcW w:w="335" w:type="pct"/>
            <w:vAlign w:val="top"/>
          </w:tcPr>
          <w:p>
            <w:pPr>
              <w:pStyle w:val="169"/>
              <w:spacing w:before="58" w:line="247" w:lineRule="auto"/>
              <w:ind w:left="115" w:right="102" w:hanging="3"/>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156</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服务要求</w:t>
            </w:r>
          </w:p>
        </w:tc>
        <w:tc>
          <w:tcPr>
            <w:tcW w:w="901" w:type="pct"/>
            <w:vAlign w:val="top"/>
          </w:tcPr>
          <w:p>
            <w:pPr>
              <w:pStyle w:val="169"/>
              <w:spacing w:before="280" w:line="222" w:lineRule="auto"/>
              <w:rPr>
                <w:color w:val="auto"/>
              </w:rPr>
            </w:pPr>
            <w:r>
              <w:rPr>
                <w:rFonts w:hint="eastAsia"/>
                <w:color w:val="auto"/>
                <w:sz w:val="18"/>
                <w:szCs w:val="18"/>
              </w:rPr>
              <w:t>★</w:t>
            </w:r>
            <w:r>
              <w:rPr>
                <w:color w:val="auto"/>
                <w:spacing w:val="-1"/>
              </w:rPr>
              <w:t>厂商能力要求</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服务团队</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操作系统厂商建立全国技术服务体系和服务团队，为客户提供专业的原厂中文服务</w:t>
            </w:r>
          </w:p>
        </w:tc>
        <w:tc>
          <w:tcPr>
            <w:tcW w:w="335" w:type="pct"/>
            <w:vAlign w:val="top"/>
          </w:tcPr>
          <w:p>
            <w:pPr>
              <w:pStyle w:val="169"/>
              <w:spacing w:before="39" w:line="231" w:lineRule="auto"/>
              <w:ind w:left="113" w:right="102"/>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157</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供应保障要求</w:t>
            </w:r>
          </w:p>
        </w:tc>
        <w:tc>
          <w:tcPr>
            <w:tcW w:w="901" w:type="pct"/>
            <w:shd w:val="clear" w:color="auto" w:fill="auto"/>
            <w:vAlign w:val="top"/>
          </w:tcPr>
          <w:p>
            <w:pPr>
              <w:pStyle w:val="169"/>
              <w:spacing w:before="280" w:line="222" w:lineRule="auto"/>
              <w:rPr>
                <w:rFonts w:hint="default" w:ascii="黑体" w:hAnsi="黑体" w:eastAsia="黑体" w:cs="黑体"/>
                <w:snapToGrid w:val="0"/>
                <w:color w:val="auto"/>
                <w:kern w:val="0"/>
                <w:sz w:val="18"/>
                <w:szCs w:val="18"/>
                <w:lang w:val="en-US" w:eastAsia="zh-CN" w:bidi="ar-SA"/>
              </w:rPr>
            </w:pPr>
            <w:r>
              <w:rPr>
                <w:rFonts w:hint="eastAsia"/>
                <w:color w:val="auto"/>
                <w:sz w:val="18"/>
                <w:szCs w:val="18"/>
              </w:rPr>
              <w:t>★</w:t>
            </w:r>
            <w:r>
              <w:rPr>
                <w:rFonts w:hint="eastAsia"/>
                <w:color w:val="auto"/>
                <w:spacing w:val="-1"/>
                <w:lang w:val="en-US" w:eastAsia="zh-CN"/>
              </w:rPr>
              <w:t>数据上行安全保障</w:t>
            </w:r>
          </w:p>
        </w:tc>
        <w:tc>
          <w:tcPr>
            <w:tcW w:w="1153" w:type="pct"/>
            <w:shd w:val="clear" w:color="auto" w:fill="auto"/>
            <w:vAlign w:val="center"/>
          </w:tcPr>
          <w:p>
            <w:pPr>
              <w:widowControl/>
              <w:kinsoku/>
              <w:autoSpaceDE/>
              <w:autoSpaceDN/>
              <w:adjustRightInd/>
              <w:snapToGrid/>
              <w:spacing w:line="240" w:lineRule="exact"/>
              <w:jc w:val="left"/>
              <w:textAlignment w:val="baseline"/>
              <w:rPr>
                <w:rFonts w:hint="default" w:ascii="黑体" w:hAnsi="黑体" w:eastAsia="黑体" w:cs="Times New Roman"/>
                <w:snapToGrid/>
                <w:color w:val="auto"/>
                <w:kern w:val="2"/>
                <w:sz w:val="18"/>
                <w:szCs w:val="24"/>
                <w:lang w:val="en-US" w:eastAsia="zh-CN" w:bidi="ar-SA"/>
              </w:rPr>
            </w:pPr>
            <w:r>
              <w:rPr>
                <w:rFonts w:hint="eastAsia"/>
                <w:color w:val="auto"/>
                <w:sz w:val="18"/>
                <w:szCs w:val="18"/>
              </w:rPr>
              <w:t>★</w:t>
            </w:r>
            <w:r>
              <w:rPr>
                <w:rFonts w:hint="eastAsia" w:ascii="黑体" w:hAnsi="黑体" w:eastAsia="黑体" w:cs="Times New Roman"/>
                <w:snapToGrid/>
                <w:color w:val="auto"/>
                <w:kern w:val="2"/>
                <w:sz w:val="18"/>
                <w:szCs w:val="24"/>
                <w:lang w:val="en-US" w:eastAsia="zh-CN"/>
              </w:rPr>
              <w:t>数据收集安全保障</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除用户授权采集的信息外不采集其他数据，相关信息采集无安全风险，相关数据存储在大陆境内</w:t>
            </w:r>
          </w:p>
        </w:tc>
        <w:tc>
          <w:tcPr>
            <w:tcW w:w="335" w:type="pct"/>
            <w:vAlign w:val="top"/>
          </w:tcPr>
          <w:p>
            <w:pPr>
              <w:pStyle w:val="169"/>
              <w:spacing w:before="39" w:line="231" w:lineRule="auto"/>
              <w:ind w:left="114" w:right="102" w:firstLine="7"/>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158</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供应保障要求</w:t>
            </w:r>
          </w:p>
        </w:tc>
        <w:tc>
          <w:tcPr>
            <w:tcW w:w="901" w:type="pct"/>
            <w:shd w:val="clear" w:color="auto" w:fill="auto"/>
            <w:vAlign w:val="top"/>
          </w:tcPr>
          <w:p>
            <w:pPr>
              <w:pStyle w:val="169"/>
              <w:spacing w:before="280" w:line="222" w:lineRule="auto"/>
              <w:rPr>
                <w:rFonts w:hint="default" w:ascii="黑体" w:hAnsi="黑体" w:eastAsia="黑体" w:cs="黑体"/>
                <w:snapToGrid w:val="0"/>
                <w:color w:val="auto"/>
                <w:kern w:val="0"/>
                <w:sz w:val="18"/>
                <w:szCs w:val="18"/>
                <w:lang w:val="en-US" w:eastAsia="zh-CN" w:bidi="ar-SA"/>
              </w:rPr>
            </w:pPr>
            <w:r>
              <w:rPr>
                <w:rFonts w:hint="eastAsia"/>
                <w:color w:val="auto"/>
                <w:sz w:val="18"/>
                <w:szCs w:val="18"/>
              </w:rPr>
              <w:t>★</w:t>
            </w:r>
            <w:r>
              <w:rPr>
                <w:rFonts w:hint="eastAsia"/>
                <w:color w:val="auto"/>
                <w:spacing w:val="-1"/>
                <w:lang w:val="en-US" w:eastAsia="zh-CN"/>
              </w:rPr>
              <w:t>数据下行安全保障</w:t>
            </w:r>
          </w:p>
        </w:tc>
        <w:tc>
          <w:tcPr>
            <w:tcW w:w="1153" w:type="pct"/>
            <w:shd w:val="clear" w:color="auto" w:fill="auto"/>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val="en-US" w:eastAsia="zh-CN" w:bidi="ar-SA"/>
              </w:rPr>
            </w:pPr>
            <w:r>
              <w:rPr>
                <w:rFonts w:hint="eastAsia"/>
                <w:color w:val="auto"/>
                <w:sz w:val="18"/>
                <w:szCs w:val="18"/>
              </w:rPr>
              <w:t>★</w:t>
            </w:r>
            <w:r>
              <w:rPr>
                <w:rFonts w:hint="eastAsia" w:ascii="黑体" w:hAnsi="黑体" w:eastAsia="黑体" w:cs="Times New Roman"/>
                <w:snapToGrid/>
                <w:color w:val="auto"/>
                <w:kern w:val="2"/>
                <w:sz w:val="18"/>
                <w:szCs w:val="24"/>
                <w:lang w:val="en-US" w:eastAsia="zh-CN"/>
              </w:rPr>
              <w:t>数据供给安全保障</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数据供给安全保障：涉及数据下载的线上服务物理服务器不出境，包括代码仓库、系统补丁、安全补丁、服务网站等</w:t>
            </w:r>
          </w:p>
        </w:tc>
        <w:tc>
          <w:tcPr>
            <w:tcW w:w="335" w:type="pct"/>
            <w:vAlign w:val="top"/>
          </w:tcPr>
          <w:p>
            <w:pPr>
              <w:pStyle w:val="169"/>
              <w:spacing w:before="39" w:line="231" w:lineRule="auto"/>
              <w:ind w:left="113" w:right="102"/>
              <w:jc w:val="both"/>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159</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供应保障要求</w:t>
            </w:r>
          </w:p>
        </w:tc>
        <w:tc>
          <w:tcPr>
            <w:tcW w:w="901" w:type="pct"/>
            <w:vAlign w:val="top"/>
          </w:tcPr>
          <w:p>
            <w:pPr>
              <w:spacing w:line="338" w:lineRule="auto"/>
              <w:rPr>
                <w:rFonts w:ascii="Arial"/>
                <w:color w:val="auto"/>
                <w:sz w:val="21"/>
              </w:rPr>
            </w:pPr>
          </w:p>
          <w:p>
            <w:pPr>
              <w:pStyle w:val="169"/>
              <w:spacing w:before="59" w:line="222" w:lineRule="auto"/>
              <w:rPr>
                <w:color w:val="auto"/>
              </w:rPr>
            </w:pPr>
            <w:r>
              <w:rPr>
                <w:rFonts w:hint="eastAsia"/>
                <w:color w:val="auto"/>
                <w:sz w:val="18"/>
                <w:szCs w:val="18"/>
              </w:rPr>
              <w:t>★</w:t>
            </w:r>
            <w:r>
              <w:rPr>
                <w:color w:val="auto"/>
                <w:spacing w:val="-1"/>
              </w:rPr>
              <w:t>代码无风险</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代码无风险</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操作系统厂商可提供源代码，源代码可供第三方机构审查，开源许可合规，代码知识产权无风险，无恶意安全漏洞或后门，代码可追溯、可重构</w:t>
            </w:r>
          </w:p>
        </w:tc>
        <w:tc>
          <w:tcPr>
            <w:tcW w:w="335" w:type="pct"/>
            <w:vAlign w:val="top"/>
          </w:tcPr>
          <w:p>
            <w:pPr>
              <w:pStyle w:val="169"/>
              <w:spacing w:before="41" w:line="234" w:lineRule="auto"/>
              <w:ind w:left="111" w:right="102" w:firstLine="1"/>
              <w:jc w:val="both"/>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160</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安全要求</w:t>
            </w:r>
          </w:p>
        </w:tc>
        <w:tc>
          <w:tcPr>
            <w:tcW w:w="901" w:type="pct"/>
            <w:vAlign w:val="top"/>
          </w:tcPr>
          <w:p>
            <w:pPr>
              <w:spacing w:line="459" w:lineRule="auto"/>
              <w:rPr>
                <w:rFonts w:ascii="Arial"/>
                <w:color w:val="auto"/>
                <w:sz w:val="21"/>
              </w:rPr>
            </w:pPr>
          </w:p>
          <w:p>
            <w:pPr>
              <w:pStyle w:val="169"/>
              <w:spacing w:before="58" w:line="222" w:lineRule="auto"/>
              <w:rPr>
                <w:color w:val="auto"/>
              </w:rPr>
            </w:pPr>
            <w:r>
              <w:rPr>
                <w:rFonts w:hint="eastAsia"/>
                <w:color w:val="auto"/>
                <w:sz w:val="18"/>
                <w:szCs w:val="18"/>
              </w:rPr>
              <w:t>★</w:t>
            </w:r>
            <w:r>
              <w:rPr>
                <w:color w:val="auto"/>
                <w:spacing w:val="-1"/>
              </w:rPr>
              <w:t>基本要求</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基本要求3</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操作系统应当符合安全可靠测评要求</w:t>
            </w:r>
          </w:p>
        </w:tc>
        <w:tc>
          <w:tcPr>
            <w:tcW w:w="335" w:type="pct"/>
            <w:vAlign w:val="top"/>
          </w:tcPr>
          <w:p>
            <w:pPr>
              <w:pStyle w:val="169"/>
              <w:spacing w:before="59" w:line="221" w:lineRule="auto"/>
              <w:ind w:left="113"/>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161</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安全要求</w:t>
            </w:r>
          </w:p>
        </w:tc>
        <w:tc>
          <w:tcPr>
            <w:tcW w:w="901" w:type="pct"/>
            <w:vMerge w:val="restart"/>
            <w:tcBorders>
              <w:bottom w:val="nil"/>
            </w:tcBorders>
            <w:vAlign w:val="top"/>
          </w:tcPr>
          <w:p>
            <w:pPr>
              <w:spacing w:line="262" w:lineRule="auto"/>
              <w:rPr>
                <w:rFonts w:ascii="Arial"/>
                <w:color w:val="auto"/>
                <w:sz w:val="21"/>
              </w:rPr>
            </w:pPr>
          </w:p>
          <w:p>
            <w:pPr>
              <w:spacing w:line="262" w:lineRule="auto"/>
              <w:rPr>
                <w:rFonts w:ascii="Arial"/>
                <w:color w:val="auto"/>
                <w:sz w:val="21"/>
              </w:rPr>
            </w:pPr>
          </w:p>
          <w:p>
            <w:pPr>
              <w:spacing w:line="262" w:lineRule="auto"/>
              <w:rPr>
                <w:rFonts w:ascii="Arial"/>
                <w:color w:val="auto"/>
                <w:sz w:val="21"/>
              </w:rPr>
            </w:pPr>
          </w:p>
          <w:p>
            <w:pPr>
              <w:spacing w:line="262" w:lineRule="auto"/>
              <w:rPr>
                <w:rFonts w:ascii="Arial"/>
                <w:color w:val="auto"/>
                <w:sz w:val="21"/>
              </w:rPr>
            </w:pPr>
          </w:p>
          <w:p>
            <w:pPr>
              <w:spacing w:line="262" w:lineRule="auto"/>
              <w:rPr>
                <w:rFonts w:ascii="Arial"/>
                <w:color w:val="auto"/>
                <w:sz w:val="21"/>
              </w:rPr>
            </w:pPr>
          </w:p>
          <w:p>
            <w:pPr>
              <w:pStyle w:val="169"/>
              <w:spacing w:before="59" w:line="221" w:lineRule="auto"/>
              <w:rPr>
                <w:color w:val="auto"/>
              </w:rPr>
            </w:pPr>
            <w:r>
              <w:rPr>
                <w:rFonts w:hint="eastAsia"/>
                <w:color w:val="auto"/>
                <w:sz w:val="18"/>
                <w:szCs w:val="18"/>
              </w:rPr>
              <w:t>★</w:t>
            </w:r>
            <w:r>
              <w:rPr>
                <w:color w:val="auto"/>
                <w:spacing w:val="-1"/>
              </w:rPr>
              <w:t>密码算法支持</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密码算法实现</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 GM/T 0002 、GM/T 0003和 GM/T 0004 规定的密码算法运算</w:t>
            </w:r>
          </w:p>
        </w:tc>
        <w:tc>
          <w:tcPr>
            <w:tcW w:w="335" w:type="pct"/>
            <w:vAlign w:val="top"/>
          </w:tcPr>
          <w:p>
            <w:pPr>
              <w:pStyle w:val="169"/>
              <w:spacing w:before="163" w:line="247" w:lineRule="auto"/>
              <w:ind w:left="113" w:right="104"/>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162</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安全要求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随机数生成</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随机数质量符合GM/T 0005《随机性检测规范》或 GB/T32915《信息安全技术二元序列随机性检测方法》</w:t>
            </w:r>
          </w:p>
        </w:tc>
        <w:tc>
          <w:tcPr>
            <w:tcW w:w="335" w:type="pct"/>
            <w:vAlign w:val="top"/>
          </w:tcPr>
          <w:p>
            <w:pPr>
              <w:pStyle w:val="169"/>
              <w:spacing w:before="42" w:line="230" w:lineRule="auto"/>
              <w:ind w:left="111" w:right="129" w:firstLine="5"/>
              <w:jc w:val="both"/>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163</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安全要求</w:t>
            </w:r>
          </w:p>
        </w:tc>
        <w:tc>
          <w:tcPr>
            <w:tcW w:w="901" w:type="pct"/>
            <w:vMerge w:val="continue"/>
            <w:tcBorders>
              <w:top w:val="nil"/>
              <w:bottom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内置数字证书</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操作系统内置国家电子认证根 CA 的根证书</w:t>
            </w:r>
          </w:p>
        </w:tc>
        <w:tc>
          <w:tcPr>
            <w:tcW w:w="335" w:type="pct"/>
            <w:vAlign w:val="top"/>
          </w:tcPr>
          <w:p>
            <w:pPr>
              <w:pStyle w:val="169"/>
              <w:spacing w:before="162" w:line="249" w:lineRule="auto"/>
              <w:ind w:left="112" w:right="102"/>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164</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安全要求</w:t>
            </w:r>
          </w:p>
        </w:tc>
        <w:tc>
          <w:tcPr>
            <w:tcW w:w="901" w:type="pct"/>
            <w:vMerge w:val="continue"/>
            <w:tcBorders>
              <w:top w:val="nil"/>
            </w:tcBorders>
            <w:vAlign w:val="top"/>
          </w:tcPr>
          <w:p>
            <w:pPr>
              <w:rPr>
                <w:rFonts w:ascii="Arial"/>
                <w:color w:val="auto"/>
                <w:sz w:val="21"/>
              </w:rPr>
            </w:pP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密码协议实现</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操作系统支持符合 GB/T 38636—2020的 TLCP</w:t>
            </w:r>
          </w:p>
        </w:tc>
        <w:tc>
          <w:tcPr>
            <w:tcW w:w="335" w:type="pct"/>
            <w:vAlign w:val="top"/>
          </w:tcPr>
          <w:p>
            <w:pPr>
              <w:pStyle w:val="169"/>
              <w:spacing w:before="162" w:line="248" w:lineRule="auto"/>
              <w:ind w:left="122" w:right="104" w:hanging="9"/>
              <w:rPr>
                <w:color w:val="auto"/>
                <w:spacing w:val="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165</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安全要求</w:t>
            </w:r>
          </w:p>
        </w:tc>
        <w:tc>
          <w:tcPr>
            <w:tcW w:w="901" w:type="pct"/>
            <w:vAlign w:val="top"/>
          </w:tcPr>
          <w:p>
            <w:pPr>
              <w:pStyle w:val="169"/>
              <w:spacing w:before="281" w:line="223" w:lineRule="auto"/>
              <w:rPr>
                <w:color w:val="auto"/>
              </w:rPr>
            </w:pPr>
            <w:r>
              <w:rPr>
                <w:rFonts w:hint="eastAsia"/>
                <w:color w:val="auto"/>
                <w:sz w:val="18"/>
                <w:szCs w:val="18"/>
              </w:rPr>
              <w:t>★</w:t>
            </w:r>
            <w:r>
              <w:rPr>
                <w:color w:val="auto"/>
                <w:spacing w:val="-1"/>
              </w:rPr>
              <w:t>安全管理工具</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安全管理工具</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操作系统提供安全管理工具，包括帐户安全、网络防护、病毒防护、应用程序执行控制</w:t>
            </w:r>
          </w:p>
        </w:tc>
        <w:tc>
          <w:tcPr>
            <w:tcW w:w="335" w:type="pct"/>
            <w:vAlign w:val="top"/>
          </w:tcPr>
          <w:p>
            <w:pPr>
              <w:pStyle w:val="169"/>
              <w:spacing w:before="42" w:line="230" w:lineRule="auto"/>
              <w:ind w:left="112" w:right="102"/>
              <w:jc w:val="both"/>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166</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安全要求</w:t>
            </w:r>
          </w:p>
        </w:tc>
        <w:tc>
          <w:tcPr>
            <w:tcW w:w="901" w:type="pct"/>
            <w:vMerge w:val="restart"/>
            <w:tcBorders>
              <w:bottom w:val="nil"/>
            </w:tcBorders>
            <w:vAlign w:val="top"/>
          </w:tcPr>
          <w:p>
            <w:pPr>
              <w:spacing w:line="295" w:lineRule="auto"/>
              <w:rPr>
                <w:rFonts w:ascii="Arial"/>
                <w:color w:val="auto"/>
                <w:sz w:val="21"/>
              </w:rPr>
            </w:pPr>
          </w:p>
          <w:p>
            <w:pPr>
              <w:spacing w:line="295" w:lineRule="auto"/>
              <w:rPr>
                <w:rFonts w:ascii="Arial"/>
                <w:color w:val="auto"/>
                <w:sz w:val="21"/>
              </w:rPr>
            </w:pPr>
          </w:p>
          <w:p>
            <w:pPr>
              <w:spacing w:line="296" w:lineRule="auto"/>
              <w:rPr>
                <w:rFonts w:ascii="Arial"/>
                <w:color w:val="auto"/>
                <w:sz w:val="21"/>
              </w:rPr>
            </w:pPr>
          </w:p>
          <w:p>
            <w:pPr>
              <w:spacing w:line="296" w:lineRule="auto"/>
              <w:rPr>
                <w:rFonts w:ascii="Arial"/>
                <w:color w:val="auto"/>
                <w:sz w:val="21"/>
              </w:rPr>
            </w:pPr>
          </w:p>
          <w:p>
            <w:pPr>
              <w:pStyle w:val="169"/>
              <w:spacing w:before="58" w:line="221" w:lineRule="auto"/>
              <w:rPr>
                <w:color w:val="auto"/>
                <w:spacing w:val="-1"/>
              </w:rPr>
            </w:pPr>
          </w:p>
          <w:p>
            <w:pPr>
              <w:pStyle w:val="169"/>
              <w:spacing w:before="58" w:line="221" w:lineRule="auto"/>
              <w:rPr>
                <w:color w:val="auto"/>
                <w:spacing w:val="-1"/>
              </w:rPr>
            </w:pPr>
          </w:p>
          <w:p>
            <w:pPr>
              <w:pStyle w:val="169"/>
              <w:spacing w:before="58" w:line="221" w:lineRule="auto"/>
              <w:rPr>
                <w:color w:val="auto"/>
              </w:rPr>
            </w:pPr>
            <w:r>
              <w:rPr>
                <w:rFonts w:hint="eastAsia"/>
                <w:color w:val="auto"/>
                <w:sz w:val="18"/>
                <w:szCs w:val="18"/>
              </w:rPr>
              <w:t>★</w:t>
            </w:r>
            <w:r>
              <w:rPr>
                <w:color w:val="auto"/>
                <w:spacing w:val="-1"/>
              </w:rPr>
              <w:t>身份鉴别</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生物特征识别管理</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操作系统支持两种及以上的生物特征类型鉴别，如指纹、人脸；</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支持使用生物特征进行命令行、图形化提权操作的身份鉴别；</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支持使用生物特征进行系统登录操作的身份鉴别；</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支持用户管理自己的生物特征信息</w:t>
            </w:r>
          </w:p>
        </w:tc>
        <w:tc>
          <w:tcPr>
            <w:tcW w:w="335" w:type="pct"/>
            <w:vAlign w:val="top"/>
          </w:tcPr>
          <w:p>
            <w:pPr>
              <w:pStyle w:val="169"/>
              <w:spacing w:before="5" w:line="198" w:lineRule="auto"/>
              <w:ind w:left="119"/>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7"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167</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安全要求</w:t>
            </w:r>
          </w:p>
        </w:tc>
        <w:tc>
          <w:tcPr>
            <w:tcW w:w="901" w:type="pct"/>
            <w:vMerge w:val="continue"/>
            <w:tcBorders>
              <w:top w:val="nil"/>
              <w:bottom w:val="single" w:color="auto" w:sz="4" w:space="0"/>
            </w:tcBorders>
            <w:vAlign w:val="top"/>
          </w:tcPr>
          <w:p>
            <w:pPr>
              <w:rPr>
                <w:rFonts w:ascii="Arial"/>
                <w:color w:val="auto"/>
                <w:sz w:val="21"/>
              </w:rPr>
            </w:pPr>
          </w:p>
        </w:tc>
        <w:tc>
          <w:tcPr>
            <w:tcW w:w="1153" w:type="pct"/>
            <w:tcBorders>
              <w:bottom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身份鉴别服务</w:t>
            </w:r>
          </w:p>
        </w:tc>
        <w:tc>
          <w:tcPr>
            <w:tcW w:w="1820" w:type="pct"/>
            <w:tcBorders>
              <w:bottom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操作系统用户标识使用帐户名和帐户ID，在操作系统的整个生存周期内帐户标识具有唯一性；</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支持配置帐户口令复杂度校验及强口</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令管理；</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支持帐户口令有效期配置；</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支持口令鉴别失败控制；</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支持口令加密算法配置，帐户口令进行加密后以不可逆的密文形式保存；</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支持禁止根帐户(root)远程登录设置</w:t>
            </w:r>
          </w:p>
        </w:tc>
        <w:tc>
          <w:tcPr>
            <w:tcW w:w="335" w:type="pct"/>
            <w:vAlign w:val="top"/>
          </w:tcPr>
          <w:p>
            <w:pPr>
              <w:pStyle w:val="169"/>
              <w:spacing w:before="6" w:line="201" w:lineRule="auto"/>
              <w:ind w:left="119"/>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9" w:hRule="atLeast"/>
          <w:jc w:val="center"/>
        </w:trPr>
        <w:tc>
          <w:tcPr>
            <w:tcW w:w="297" w:type="pct"/>
            <w:shd w:val="clear" w:color="auto" w:fill="auto"/>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val="en-US" w:eastAsia="zh-CN"/>
              </w:rPr>
            </w:pPr>
            <w:r>
              <w:rPr>
                <w:rFonts w:hint="eastAsia" w:ascii="黑体" w:hAnsi="黑体" w:eastAsia="黑体" w:cs="Times New Roman"/>
                <w:snapToGrid/>
                <w:color w:val="auto"/>
                <w:kern w:val="2"/>
                <w:sz w:val="18"/>
                <w:szCs w:val="24"/>
                <w:lang w:eastAsia="zh-CN"/>
              </w:rPr>
              <w:t>168</w:t>
            </w:r>
          </w:p>
        </w:tc>
        <w:tc>
          <w:tcPr>
            <w:tcW w:w="490" w:type="pct"/>
            <w:tcBorders>
              <w:right w:val="single" w:color="auto" w:sz="4" w:space="0"/>
            </w:tcBorders>
            <w:shd w:val="clear" w:color="auto" w:fill="auto"/>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val="en-US" w:eastAsia="zh-CN"/>
              </w:rPr>
            </w:pPr>
            <w:r>
              <w:rPr>
                <w:rFonts w:hint="eastAsia" w:ascii="黑体" w:hAnsi="黑体" w:eastAsia="黑体" w:cs="Times New Roman"/>
                <w:snapToGrid/>
                <w:color w:val="auto"/>
                <w:kern w:val="2"/>
                <w:sz w:val="18"/>
                <w:szCs w:val="24"/>
                <w:lang w:eastAsia="zh-CN"/>
              </w:rPr>
              <w:t>安全要求</w:t>
            </w:r>
          </w:p>
        </w:tc>
        <w:tc>
          <w:tcPr>
            <w:tcW w:w="901" w:type="pct"/>
            <w:vMerge w:val="restart"/>
            <w:tcBorders>
              <w:top w:val="single" w:color="auto" w:sz="4" w:space="0"/>
              <w:left w:val="single" w:color="auto" w:sz="4" w:space="0"/>
              <w:right w:val="single" w:color="auto" w:sz="4" w:space="0"/>
            </w:tcBorders>
            <w:shd w:val="clear" w:color="auto" w:fill="auto"/>
            <w:vAlign w:val="center"/>
          </w:tcPr>
          <w:p>
            <w:pPr>
              <w:spacing w:line="249" w:lineRule="auto"/>
              <w:rPr>
                <w:rFonts w:ascii="Arial"/>
                <w:color w:val="auto"/>
                <w:sz w:val="21"/>
              </w:rPr>
            </w:pPr>
          </w:p>
          <w:p>
            <w:pPr>
              <w:spacing w:line="249" w:lineRule="auto"/>
              <w:rPr>
                <w:rFonts w:ascii="Arial"/>
                <w:color w:val="auto"/>
                <w:sz w:val="21"/>
              </w:rPr>
            </w:pPr>
          </w:p>
          <w:p>
            <w:pPr>
              <w:spacing w:line="249" w:lineRule="auto"/>
              <w:rPr>
                <w:rFonts w:ascii="Arial"/>
                <w:color w:val="auto"/>
                <w:sz w:val="21"/>
              </w:rPr>
            </w:pPr>
          </w:p>
          <w:p>
            <w:pPr>
              <w:pStyle w:val="169"/>
              <w:spacing w:before="58" w:line="223" w:lineRule="auto"/>
              <w:rPr>
                <w:rFonts w:ascii="黑体" w:hAnsi="黑体" w:eastAsia="黑体" w:cs="黑体"/>
                <w:snapToGrid w:val="0"/>
                <w:color w:val="auto"/>
                <w:kern w:val="0"/>
                <w:sz w:val="18"/>
                <w:szCs w:val="18"/>
                <w:lang w:val="en-US" w:eastAsia="en-US" w:bidi="ar-SA"/>
              </w:rPr>
            </w:pPr>
            <w:r>
              <w:rPr>
                <w:rFonts w:hint="eastAsia"/>
                <w:color w:val="auto"/>
                <w:sz w:val="18"/>
                <w:szCs w:val="18"/>
              </w:rPr>
              <w:t>★</w:t>
            </w:r>
            <w:r>
              <w:rPr>
                <w:color w:val="auto"/>
                <w:spacing w:val="-1"/>
              </w:rPr>
              <w:t>访问控制</w:t>
            </w:r>
          </w:p>
        </w:tc>
        <w:tc>
          <w:tcPr>
            <w:tcW w:w="1153"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val="en-US"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自主访问控制</w:t>
            </w:r>
          </w:p>
        </w:tc>
        <w:tc>
          <w:tcPr>
            <w:tcW w:w="18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允许客体拥有者以普通帐户决定并控制对客体的访问，并阻止非授权帐户对客体的访问普通用户缺省拥有新建、读写和删除私有目录下文件的权限；</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val="en-US" w:eastAsia="zh-CN"/>
              </w:rPr>
            </w:pPr>
            <w:r>
              <w:rPr>
                <w:rFonts w:hint="eastAsia" w:ascii="黑体" w:hAnsi="黑体" w:eastAsia="黑体" w:cs="Times New Roman"/>
                <w:snapToGrid/>
                <w:color w:val="auto"/>
                <w:kern w:val="2"/>
                <w:sz w:val="18"/>
                <w:szCs w:val="24"/>
                <w:lang w:eastAsia="zh-CN"/>
              </w:rPr>
              <w:t>支持细粒度的自主访问控制，将访问控制的粒度控制在指定帐户，对系统中的每一个客体，实现由客体拥有者以指定帐户方式确定其对该客体的访问权限，而其他同组帐户或非同组的帐户和用户组对该客体的访问权则由客体拥有者授予</w:t>
            </w:r>
          </w:p>
        </w:tc>
        <w:tc>
          <w:tcPr>
            <w:tcW w:w="335" w:type="pct"/>
            <w:tcBorders>
              <w:left w:val="single" w:color="auto" w:sz="4" w:space="0"/>
            </w:tcBorders>
            <w:vAlign w:val="top"/>
          </w:tcPr>
          <w:p>
            <w:pPr>
              <w:pStyle w:val="169"/>
              <w:spacing w:before="6" w:line="201" w:lineRule="auto"/>
              <w:ind w:left="119"/>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169</w:t>
            </w:r>
          </w:p>
        </w:tc>
        <w:tc>
          <w:tcPr>
            <w:tcW w:w="490" w:type="pct"/>
            <w:tcBorders>
              <w:right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安全要求</w:t>
            </w:r>
          </w:p>
        </w:tc>
        <w:tc>
          <w:tcPr>
            <w:tcW w:w="901" w:type="pct"/>
            <w:vMerge w:val="continue"/>
            <w:tcBorders>
              <w:left w:val="single" w:color="auto" w:sz="4" w:space="0"/>
              <w:right w:val="single" w:color="auto" w:sz="4" w:space="0"/>
            </w:tcBorders>
            <w:vAlign w:val="top"/>
          </w:tcPr>
          <w:p>
            <w:pPr>
              <w:rPr>
                <w:rFonts w:ascii="Arial"/>
                <w:color w:val="auto"/>
                <w:sz w:val="21"/>
              </w:rPr>
            </w:pPr>
          </w:p>
        </w:tc>
        <w:tc>
          <w:tcPr>
            <w:tcW w:w="1153"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强制访问控制</w:t>
            </w:r>
          </w:p>
        </w:tc>
        <w:tc>
          <w:tcPr>
            <w:tcW w:w="1820"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操作系统支持对应用程序的访问控制与资源限制，包括对文件、网络等客体的访问控制；</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支持应用安装控制、应用执行控制</w:t>
            </w:r>
          </w:p>
        </w:tc>
        <w:tc>
          <w:tcPr>
            <w:tcW w:w="335" w:type="pct"/>
            <w:tcBorders>
              <w:left w:val="single" w:color="auto" w:sz="4" w:space="0"/>
            </w:tcBorders>
            <w:vAlign w:val="top"/>
          </w:tcPr>
          <w:p>
            <w:pPr>
              <w:pStyle w:val="169"/>
              <w:spacing w:before="5" w:line="198" w:lineRule="auto"/>
              <w:ind w:left="119"/>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84"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170</w:t>
            </w:r>
          </w:p>
        </w:tc>
        <w:tc>
          <w:tcPr>
            <w:tcW w:w="490" w:type="pct"/>
            <w:tcBorders>
              <w:bottom w:val="single" w:color="auto" w:sz="4" w:space="0"/>
              <w:right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安全要求</w:t>
            </w:r>
          </w:p>
        </w:tc>
        <w:tc>
          <w:tcPr>
            <w:tcW w:w="901" w:type="pct"/>
            <w:vMerge w:val="continue"/>
            <w:tcBorders>
              <w:left w:val="single" w:color="auto" w:sz="4" w:space="0"/>
              <w:bottom w:val="single" w:color="auto" w:sz="4" w:space="0"/>
              <w:right w:val="single" w:color="auto" w:sz="4" w:space="0"/>
            </w:tcBorders>
            <w:vAlign w:val="top"/>
          </w:tcPr>
          <w:p>
            <w:pPr>
              <w:rPr>
                <w:rFonts w:ascii="Arial"/>
                <w:color w:val="auto"/>
                <w:sz w:val="21"/>
              </w:rPr>
            </w:pPr>
          </w:p>
        </w:tc>
        <w:tc>
          <w:tcPr>
            <w:tcW w:w="1153"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安全审计</w:t>
            </w:r>
          </w:p>
        </w:tc>
        <w:tc>
          <w:tcPr>
            <w:tcW w:w="1820"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操作系统能对身份鉴别的使用、自主访问控制、标记和强制访问控制策略的修改等生成审计日志；</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审计记录包括事件类型、事件发生的日期、触发事件的帐户、事件成功或失败等字段；</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支持审计日志查询和导出功能设置</w:t>
            </w:r>
          </w:p>
        </w:tc>
        <w:tc>
          <w:tcPr>
            <w:tcW w:w="335" w:type="pct"/>
            <w:tcBorders>
              <w:left w:val="single" w:color="auto" w:sz="4" w:space="0"/>
            </w:tcBorders>
            <w:vAlign w:val="top"/>
          </w:tcPr>
          <w:p>
            <w:pPr>
              <w:pStyle w:val="169"/>
              <w:spacing w:before="5" w:line="197" w:lineRule="auto"/>
              <w:ind w:left="119"/>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44" w:hRule="atLeast"/>
          <w:jc w:val="center"/>
        </w:trPr>
        <w:tc>
          <w:tcPr>
            <w:tcW w:w="297" w:type="pct"/>
            <w:tcBorders>
              <w:right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171</w:t>
            </w:r>
          </w:p>
        </w:tc>
        <w:tc>
          <w:tcPr>
            <w:tcW w:w="490"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安全要求</w:t>
            </w:r>
          </w:p>
        </w:tc>
        <w:tc>
          <w:tcPr>
            <w:tcW w:w="901" w:type="pct"/>
            <w:vMerge w:val="restart"/>
            <w:tcBorders>
              <w:top w:val="single" w:color="auto" w:sz="4" w:space="0"/>
              <w:left w:val="single" w:color="auto" w:sz="4" w:space="0"/>
              <w:bottom w:val="single" w:color="auto" w:sz="4" w:space="0"/>
              <w:right w:val="single" w:color="auto" w:sz="4" w:space="0"/>
            </w:tcBorders>
            <w:vAlign w:val="top"/>
          </w:tcPr>
          <w:p>
            <w:pPr>
              <w:spacing w:line="274" w:lineRule="auto"/>
              <w:rPr>
                <w:rFonts w:ascii="Arial"/>
                <w:color w:val="auto"/>
                <w:sz w:val="21"/>
              </w:rPr>
            </w:pPr>
          </w:p>
          <w:p>
            <w:pPr>
              <w:spacing w:line="274" w:lineRule="auto"/>
              <w:rPr>
                <w:rFonts w:ascii="Arial"/>
                <w:color w:val="auto"/>
                <w:sz w:val="21"/>
              </w:rPr>
            </w:pPr>
          </w:p>
          <w:p>
            <w:pPr>
              <w:spacing w:line="275" w:lineRule="auto"/>
              <w:rPr>
                <w:rFonts w:ascii="Arial"/>
                <w:color w:val="auto"/>
                <w:sz w:val="21"/>
              </w:rPr>
            </w:pPr>
          </w:p>
          <w:p>
            <w:pPr>
              <w:pStyle w:val="169"/>
              <w:spacing w:before="58" w:line="221" w:lineRule="auto"/>
              <w:rPr>
                <w:color w:val="auto"/>
              </w:rPr>
            </w:pPr>
            <w:r>
              <w:rPr>
                <w:rFonts w:hint="eastAsia"/>
                <w:color w:val="auto"/>
                <w:sz w:val="18"/>
                <w:szCs w:val="18"/>
              </w:rPr>
              <w:t>★</w:t>
            </w:r>
            <w:r>
              <w:rPr>
                <w:color w:val="auto"/>
                <w:spacing w:val="-1"/>
              </w:rPr>
              <w:t>防火墙工具</w:t>
            </w:r>
          </w:p>
        </w:tc>
        <w:tc>
          <w:tcPr>
            <w:tcW w:w="1153" w:type="pct"/>
            <w:tcBorders>
              <w:top w:val="single" w:color="auto" w:sz="4" w:space="0"/>
              <w:left w:val="single" w:color="auto" w:sz="4" w:space="0"/>
              <w:bottom w:val="single" w:color="auto" w:sz="4" w:space="0"/>
              <w:right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基本要求</w:t>
            </w:r>
          </w:p>
        </w:tc>
        <w:tc>
          <w:tcPr>
            <w:tcW w:w="1820" w:type="pct"/>
            <w:tcBorders>
              <w:top w:val="single" w:color="auto" w:sz="4" w:space="0"/>
              <w:left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操作系统支持开启或关闭防火墙；</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支持添加防火墙规则，至少包括名称、协议、地址和端口；</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提供不同场景下的缺省防火墙配置，如公共、专用和自定义；</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支持不同的访问策略，包括允许、拒绝</w:t>
            </w:r>
          </w:p>
        </w:tc>
        <w:tc>
          <w:tcPr>
            <w:tcW w:w="335" w:type="pct"/>
            <w:tcBorders>
              <w:left w:val="single" w:color="auto" w:sz="4" w:space="0"/>
            </w:tcBorders>
            <w:vAlign w:val="top"/>
          </w:tcPr>
          <w:p>
            <w:pPr>
              <w:pStyle w:val="169"/>
              <w:spacing w:before="5" w:line="197" w:lineRule="auto"/>
              <w:ind w:left="119"/>
              <w:rPr>
                <w:color w:val="auto"/>
                <w:spacing w:val="-2"/>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172</w:t>
            </w:r>
          </w:p>
        </w:tc>
        <w:tc>
          <w:tcPr>
            <w:tcW w:w="490" w:type="pct"/>
            <w:tcBorders>
              <w:top w:val="single" w:color="auto" w:sz="4" w:space="0"/>
            </w:tcBorders>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安全要求</w:t>
            </w:r>
          </w:p>
        </w:tc>
        <w:tc>
          <w:tcPr>
            <w:tcW w:w="901" w:type="pct"/>
            <w:vMerge w:val="continue"/>
            <w:tcBorders>
              <w:top w:val="single" w:color="auto" w:sz="4" w:space="0"/>
            </w:tcBorders>
            <w:vAlign w:val="top"/>
          </w:tcPr>
          <w:p>
            <w:pPr>
              <w:rPr>
                <w:rFonts w:ascii="Arial"/>
                <w:color w:val="auto"/>
                <w:sz w:val="21"/>
              </w:rPr>
            </w:pPr>
          </w:p>
        </w:tc>
        <w:tc>
          <w:tcPr>
            <w:tcW w:w="1153" w:type="pct"/>
            <w:tcBorders>
              <w:top w:val="single" w:color="auto" w:sz="4" w:space="0"/>
            </w:tcBorders>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扩展要求</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提供一键关闭远程访问功能</w:t>
            </w:r>
          </w:p>
        </w:tc>
        <w:tc>
          <w:tcPr>
            <w:tcW w:w="335" w:type="pct"/>
            <w:vAlign w:val="top"/>
          </w:tcPr>
          <w:p>
            <w:pPr>
              <w:pStyle w:val="169"/>
              <w:spacing w:before="162" w:line="222" w:lineRule="auto"/>
              <w:ind w:left="111"/>
              <w:rPr>
                <w:color w:val="auto"/>
                <w:spacing w:val="-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9" w:hRule="atLeast"/>
          <w:jc w:val="center"/>
        </w:trPr>
        <w:tc>
          <w:tcPr>
            <w:tcW w:w="297"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173</w:t>
            </w:r>
          </w:p>
        </w:tc>
        <w:tc>
          <w:tcPr>
            <w:tcW w:w="490" w:type="pct"/>
            <w:vAlign w:val="center"/>
          </w:tcPr>
          <w:p>
            <w:pPr>
              <w:widowControl/>
              <w:kinsoku/>
              <w:autoSpaceDE/>
              <w:autoSpaceDN/>
              <w:adjustRightInd/>
              <w:snapToGrid/>
              <w:spacing w:line="240" w:lineRule="exact"/>
              <w:jc w:val="center"/>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安全要求</w:t>
            </w:r>
          </w:p>
        </w:tc>
        <w:tc>
          <w:tcPr>
            <w:tcW w:w="901" w:type="pct"/>
            <w:vAlign w:val="top"/>
          </w:tcPr>
          <w:p>
            <w:pPr>
              <w:spacing w:line="294" w:lineRule="auto"/>
              <w:rPr>
                <w:rFonts w:ascii="Arial"/>
                <w:color w:val="auto"/>
                <w:sz w:val="21"/>
              </w:rPr>
            </w:pPr>
          </w:p>
          <w:p>
            <w:pPr>
              <w:spacing w:line="294" w:lineRule="auto"/>
              <w:rPr>
                <w:rFonts w:ascii="Arial"/>
                <w:color w:val="auto"/>
                <w:sz w:val="21"/>
              </w:rPr>
            </w:pPr>
          </w:p>
          <w:p>
            <w:pPr>
              <w:spacing w:line="294" w:lineRule="auto"/>
              <w:rPr>
                <w:rFonts w:ascii="Arial"/>
                <w:color w:val="auto"/>
                <w:sz w:val="21"/>
              </w:rPr>
            </w:pPr>
          </w:p>
          <w:p>
            <w:pPr>
              <w:spacing w:line="294" w:lineRule="auto"/>
              <w:rPr>
                <w:rFonts w:ascii="Arial"/>
                <w:color w:val="auto"/>
                <w:sz w:val="21"/>
              </w:rPr>
            </w:pPr>
          </w:p>
          <w:p>
            <w:pPr>
              <w:pStyle w:val="169"/>
              <w:spacing w:before="58" w:line="222" w:lineRule="auto"/>
              <w:rPr>
                <w:color w:val="auto"/>
              </w:rPr>
            </w:pPr>
            <w:r>
              <w:rPr>
                <w:rFonts w:hint="eastAsia"/>
                <w:color w:val="auto"/>
                <w:sz w:val="18"/>
                <w:szCs w:val="18"/>
              </w:rPr>
              <w:t>★</w:t>
            </w:r>
            <w:r>
              <w:rPr>
                <w:color w:val="auto"/>
                <w:spacing w:val="-1"/>
              </w:rPr>
              <w:t>漏洞管理</w:t>
            </w:r>
          </w:p>
        </w:tc>
        <w:tc>
          <w:tcPr>
            <w:tcW w:w="1153"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color w:val="auto"/>
                <w:sz w:val="18"/>
                <w:szCs w:val="18"/>
              </w:rPr>
              <w:t>★</w:t>
            </w:r>
            <w:r>
              <w:rPr>
                <w:rFonts w:hint="eastAsia" w:ascii="黑体" w:hAnsi="黑体" w:eastAsia="黑体" w:cs="Times New Roman"/>
                <w:snapToGrid/>
                <w:color w:val="auto"/>
                <w:kern w:val="2"/>
                <w:sz w:val="18"/>
                <w:szCs w:val="24"/>
                <w:lang w:eastAsia="zh-CN"/>
              </w:rPr>
              <w:t>漏洞编号</w:t>
            </w:r>
          </w:p>
        </w:tc>
        <w:tc>
          <w:tcPr>
            <w:tcW w:w="1820" w:type="pct"/>
            <w:vAlign w:val="center"/>
          </w:tcPr>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操作系统支持漏洞编号，每个漏洞独立编号，可直接使用 NVDB、CNVD 或 CVE编号；</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漏洞提醒，发现或获悉漏洞信息时，通过系统推送、电子邮件或官方网站等方式通知用户；</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漏洞修复，对已发现的安全漏洞通过补丁等方式对系统漏洞进行修复；</w:t>
            </w:r>
          </w:p>
          <w:p>
            <w:pPr>
              <w:widowControl/>
              <w:kinsoku/>
              <w:autoSpaceDE/>
              <w:autoSpaceDN/>
              <w:adjustRightInd/>
              <w:snapToGrid/>
              <w:spacing w:line="240" w:lineRule="exact"/>
              <w:jc w:val="left"/>
              <w:textAlignment w:val="baseline"/>
              <w:rPr>
                <w:rFonts w:hint="eastAsia" w:ascii="黑体" w:hAnsi="黑体" w:eastAsia="黑体" w:cs="Times New Roman"/>
                <w:snapToGrid/>
                <w:color w:val="auto"/>
                <w:kern w:val="2"/>
                <w:sz w:val="18"/>
                <w:szCs w:val="24"/>
                <w:lang w:eastAsia="zh-CN"/>
              </w:rPr>
            </w:pPr>
            <w:r>
              <w:rPr>
                <w:rFonts w:hint="eastAsia" w:ascii="黑体" w:hAnsi="黑体" w:eastAsia="黑体" w:cs="Times New Roman"/>
                <w:snapToGrid/>
                <w:color w:val="auto"/>
                <w:kern w:val="2"/>
                <w:sz w:val="18"/>
                <w:szCs w:val="24"/>
                <w:lang w:eastAsia="zh-CN"/>
              </w:rPr>
              <w:t>漏洞列表，提供每个版本已修复的漏洞列表，并提供命令或网页等方式方便用户查询漏洞及其修复情况</w:t>
            </w:r>
          </w:p>
        </w:tc>
        <w:tc>
          <w:tcPr>
            <w:tcW w:w="335" w:type="pct"/>
            <w:vAlign w:val="top"/>
          </w:tcPr>
          <w:p>
            <w:pPr>
              <w:pStyle w:val="169"/>
              <w:spacing w:before="6" w:line="231" w:lineRule="auto"/>
              <w:ind w:left="113" w:right="102"/>
              <w:rPr>
                <w:color w:val="auto"/>
                <w:spacing w:val="-2"/>
              </w:rPr>
            </w:pPr>
          </w:p>
        </w:tc>
      </w:tr>
    </w:tbl>
    <w:p>
      <w:pPr>
        <w:widowControl/>
        <w:spacing w:line="400" w:lineRule="exact"/>
        <w:jc w:val="left"/>
        <w:textAlignment w:val="baseline"/>
        <w:rPr>
          <w:rFonts w:ascii="黑体" w:hAnsi="黑体" w:eastAsia="黑体" w:cs="黑体"/>
          <w:color w:val="auto"/>
          <w:sz w:val="30"/>
          <w:szCs w:val="30"/>
        </w:rPr>
      </w:pPr>
    </w:p>
    <w:p>
      <w:pPr>
        <w:rPr>
          <w:rFonts w:ascii="方正小标宋简体" w:eastAsia="方正小标宋简体"/>
          <w:color w:val="auto"/>
        </w:rPr>
      </w:pPr>
    </w:p>
    <w:p>
      <w:pPr>
        <w:rPr>
          <w:rFonts w:ascii="方正小标宋简体" w:eastAsia="方正小标宋简体"/>
          <w:color w:val="auto"/>
        </w:rPr>
      </w:pPr>
    </w:p>
    <w:p>
      <w:pPr>
        <w:rPr>
          <w:rFonts w:ascii="方正小标宋简体" w:eastAsia="方正小标宋简体"/>
          <w:color w:val="auto"/>
        </w:rPr>
      </w:pPr>
    </w:p>
    <w:p>
      <w:pPr>
        <w:rPr>
          <w:rFonts w:ascii="方正小标宋简体" w:eastAsia="方正小标宋简体"/>
          <w:color w:val="auto"/>
        </w:rPr>
      </w:pPr>
    </w:p>
    <w:p>
      <w:pPr>
        <w:rPr>
          <w:rFonts w:ascii="方正小标宋简体" w:eastAsia="方正小标宋简体"/>
          <w:color w:val="auto"/>
        </w:rPr>
      </w:pPr>
    </w:p>
    <w:p>
      <w:pPr>
        <w:pStyle w:val="3"/>
        <w:spacing w:line="400" w:lineRule="exact"/>
        <w:rPr>
          <w:rFonts w:ascii="方正小标宋简体" w:eastAsia="方正小标宋简体"/>
          <w:color w:val="auto"/>
        </w:rPr>
      </w:pPr>
    </w:p>
    <w:p>
      <w:pPr>
        <w:pStyle w:val="3"/>
        <w:spacing w:line="400" w:lineRule="exact"/>
        <w:rPr>
          <w:rFonts w:ascii="方正小标宋简体" w:eastAsia="方正小标宋简体"/>
          <w:color w:val="auto"/>
        </w:rPr>
      </w:pPr>
    </w:p>
    <w:p>
      <w:pPr>
        <w:pStyle w:val="3"/>
        <w:spacing w:line="400" w:lineRule="exact"/>
        <w:rPr>
          <w:rFonts w:ascii="方正小标宋简体" w:eastAsia="方正小标宋简体"/>
          <w:color w:val="auto"/>
        </w:rPr>
      </w:pPr>
    </w:p>
    <w:p>
      <w:pPr>
        <w:pStyle w:val="3"/>
        <w:spacing w:line="400" w:lineRule="exact"/>
        <w:rPr>
          <w:rFonts w:ascii="方正小标宋简体" w:eastAsia="方正小标宋简体"/>
          <w:color w:val="auto"/>
        </w:rPr>
      </w:pPr>
      <w:r>
        <w:rPr>
          <w:rFonts w:hint="eastAsia" w:ascii="方正小标宋简体" w:eastAsia="方正小标宋简体"/>
          <w:color w:val="auto"/>
        </w:rPr>
        <w:t>第三章  供应商须知</w:t>
      </w:r>
      <w:bookmarkEnd w:id="40"/>
      <w:bookmarkEnd w:id="41"/>
      <w:bookmarkEnd w:id="43"/>
    </w:p>
    <w:p>
      <w:pPr>
        <w:jc w:val="center"/>
        <w:rPr>
          <w:color w:val="auto"/>
        </w:rPr>
      </w:pPr>
      <w:bookmarkStart w:id="49" w:name="_Toc358477281"/>
      <w:bookmarkStart w:id="50" w:name="_Toc350325671"/>
      <w:bookmarkStart w:id="51" w:name="_Toc357157408"/>
      <w:bookmarkStart w:id="52" w:name="_Toc354479499"/>
      <w:r>
        <w:rPr>
          <w:rFonts w:ascii="仿宋_GB2312" w:hAnsi="宋体" w:eastAsia="仿宋_GB2312"/>
          <w:b/>
          <w:color w:val="auto"/>
          <w:sz w:val="32"/>
          <w:szCs w:val="32"/>
        </w:rPr>
        <w:br w:type="page"/>
      </w:r>
    </w:p>
    <w:p>
      <w:pPr>
        <w:jc w:val="center"/>
        <w:rPr>
          <w:rFonts w:ascii="黑体" w:hAnsi="黑体" w:eastAsia="黑体"/>
          <w:b/>
          <w:sz w:val="32"/>
          <w:szCs w:val="32"/>
        </w:rPr>
      </w:pPr>
      <w:r>
        <w:rPr>
          <w:rFonts w:hint="eastAsia" w:ascii="黑体" w:hAnsi="黑体" w:eastAsia="黑体"/>
          <w:b/>
          <w:sz w:val="32"/>
          <w:szCs w:val="32"/>
        </w:rPr>
        <w:t>一、供应商须知前附表</w:t>
      </w:r>
    </w:p>
    <w:tbl>
      <w:tblPr>
        <w:tblStyle w:val="42"/>
        <w:tblW w:w="9351" w:type="dxa"/>
        <w:jc w:val="center"/>
        <w:tblLayout w:type="fixed"/>
        <w:tblCellMar>
          <w:top w:w="0" w:type="dxa"/>
          <w:left w:w="108" w:type="dxa"/>
          <w:bottom w:w="0" w:type="dxa"/>
          <w:right w:w="108" w:type="dxa"/>
        </w:tblCellMar>
      </w:tblPr>
      <w:tblGrid>
        <w:gridCol w:w="704"/>
        <w:gridCol w:w="8647"/>
      </w:tblGrid>
      <w:tr>
        <w:tblPrEx>
          <w:tblCellMar>
            <w:top w:w="0" w:type="dxa"/>
            <w:left w:w="108" w:type="dxa"/>
            <w:bottom w:w="0" w:type="dxa"/>
            <w:right w:w="108" w:type="dxa"/>
          </w:tblCellMar>
        </w:tblPrEx>
        <w:trPr>
          <w:trHeight w:val="502"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exact"/>
              <w:jc w:val="center"/>
              <w:rPr>
                <w:rFonts w:ascii="宋体" w:hAnsi="宋体" w:cs="宋体"/>
                <w:kern w:val="0"/>
                <w:szCs w:val="21"/>
              </w:rPr>
            </w:pPr>
            <w:r>
              <w:rPr>
                <w:rFonts w:hint="eastAsia" w:ascii="宋体" w:hAnsi="宋体" w:cs="宋体"/>
                <w:kern w:val="0"/>
                <w:szCs w:val="21"/>
              </w:rPr>
              <w:t>序号</w:t>
            </w:r>
          </w:p>
        </w:tc>
        <w:tc>
          <w:tcPr>
            <w:tcW w:w="8647" w:type="dxa"/>
            <w:tcBorders>
              <w:top w:val="single" w:color="000000" w:sz="4" w:space="0"/>
              <w:left w:val="nil"/>
              <w:bottom w:val="single" w:color="000000" w:sz="4" w:space="0"/>
              <w:right w:val="single" w:color="000000" w:sz="4" w:space="0"/>
            </w:tcBorders>
            <w:vAlign w:val="center"/>
          </w:tcPr>
          <w:p>
            <w:pPr>
              <w:widowControl/>
              <w:spacing w:line="320" w:lineRule="exact"/>
              <w:jc w:val="center"/>
              <w:rPr>
                <w:rFonts w:ascii="宋体" w:hAnsi="宋体" w:cs="宋体"/>
                <w:kern w:val="0"/>
                <w:szCs w:val="21"/>
              </w:rPr>
            </w:pPr>
            <w:r>
              <w:rPr>
                <w:rFonts w:hint="eastAsia" w:ascii="宋体" w:hAnsi="宋体" w:cs="宋体"/>
                <w:kern w:val="0"/>
                <w:szCs w:val="21"/>
              </w:rPr>
              <w:t>内    容</w:t>
            </w:r>
          </w:p>
        </w:tc>
      </w:tr>
      <w:tr>
        <w:tblPrEx>
          <w:tblCellMar>
            <w:top w:w="0" w:type="dxa"/>
            <w:left w:w="108" w:type="dxa"/>
            <w:bottom w:w="0" w:type="dxa"/>
            <w:right w:w="108" w:type="dxa"/>
          </w:tblCellMar>
        </w:tblPrEx>
        <w:trPr>
          <w:trHeight w:val="945"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kern w:val="0"/>
                <w:szCs w:val="21"/>
              </w:rPr>
            </w:pPr>
            <w:r>
              <w:rPr>
                <w:rFonts w:hint="eastAsia" w:ascii="宋体" w:hAnsi="宋体" w:cs="宋体"/>
                <w:kern w:val="0"/>
                <w:szCs w:val="21"/>
              </w:rPr>
              <w:t>1</w:t>
            </w:r>
          </w:p>
        </w:tc>
        <w:tc>
          <w:tcPr>
            <w:tcW w:w="8647" w:type="dxa"/>
            <w:tcBorders>
              <w:top w:val="single" w:color="000000" w:sz="4" w:space="0"/>
              <w:left w:val="nil"/>
              <w:bottom w:val="single" w:color="000000" w:sz="4" w:space="0"/>
              <w:right w:val="single" w:color="000000" w:sz="4" w:space="0"/>
            </w:tcBorders>
            <w:vAlign w:val="center"/>
          </w:tcPr>
          <w:p>
            <w:pPr>
              <w:spacing w:line="440" w:lineRule="exact"/>
              <w:ind w:right="-334" w:rightChars="-159"/>
              <w:rPr>
                <w:rStyle w:val="49"/>
                <w:color w:val="auto"/>
                <w:szCs w:val="21"/>
                <w:u w:val="none"/>
              </w:rPr>
            </w:pPr>
            <w:r>
              <w:rPr>
                <w:rFonts w:ascii="宋体" w:hAnsi="宋体" w:cs="宋体"/>
                <w:kern w:val="0"/>
                <w:szCs w:val="21"/>
              </w:rPr>
              <w:fldChar w:fldCharType="begin"/>
            </w:r>
            <w:r>
              <w:rPr>
                <w:rFonts w:ascii="宋体" w:hAnsi="宋体" w:cs="宋体"/>
                <w:kern w:val="0"/>
                <w:szCs w:val="21"/>
              </w:rPr>
              <w:instrText xml:space="preserve"> </w:instrText>
            </w:r>
            <w:r>
              <w:rPr>
                <w:rFonts w:hint="eastAsia" w:ascii="宋体" w:hAnsi="宋体" w:cs="宋体"/>
                <w:kern w:val="0"/>
                <w:szCs w:val="21"/>
              </w:rPr>
              <w:instrText xml:space="preserve">HYPERLINK </w:instrText>
            </w:r>
            <w:r>
              <w:rPr>
                <w:rFonts w:ascii="宋体" w:hAnsi="宋体" w:cs="宋体"/>
                <w:kern w:val="0"/>
                <w:szCs w:val="21"/>
              </w:rPr>
              <w:instrText xml:space="preserve"> \l "_一、总_则" </w:instrText>
            </w:r>
            <w:r>
              <w:rPr>
                <w:rFonts w:ascii="宋体" w:hAnsi="宋体" w:cs="宋体"/>
                <w:kern w:val="0"/>
                <w:szCs w:val="21"/>
              </w:rPr>
              <w:fldChar w:fldCharType="separate"/>
            </w:r>
            <w:r>
              <w:rPr>
                <w:rStyle w:val="49"/>
                <w:rFonts w:hint="eastAsia" w:ascii="宋体" w:hAnsi="宋体" w:cs="宋体"/>
                <w:color w:val="auto"/>
                <w:kern w:val="0"/>
                <w:szCs w:val="21"/>
                <w:u w:val="none"/>
              </w:rPr>
              <w:t>项目名称：</w:t>
            </w:r>
            <w:r>
              <w:rPr>
                <w:rFonts w:hint="eastAsia"/>
              </w:rPr>
              <w:t>灵山县人民法院融科技法庭设备采购项目</w:t>
            </w:r>
          </w:p>
          <w:p>
            <w:pPr>
              <w:widowControl/>
              <w:spacing w:line="440" w:lineRule="exact"/>
              <w:rPr>
                <w:rFonts w:ascii="宋体" w:hAnsi="宋体"/>
                <w:szCs w:val="21"/>
              </w:rPr>
            </w:pPr>
            <w:r>
              <w:rPr>
                <w:rStyle w:val="49"/>
                <w:rFonts w:hint="eastAsia" w:ascii="宋体" w:hAnsi="宋体"/>
                <w:color w:val="auto"/>
                <w:szCs w:val="21"/>
                <w:u w:val="none"/>
              </w:rPr>
              <w:t>项目编号：</w:t>
            </w:r>
            <w:r>
              <w:rPr>
                <w:rFonts w:ascii="宋体" w:hAnsi="宋体" w:cs="宋体"/>
                <w:kern w:val="0"/>
                <w:szCs w:val="21"/>
              </w:rPr>
              <w:fldChar w:fldCharType="end"/>
            </w:r>
            <w:r>
              <w:rPr>
                <w:rFonts w:hint="eastAsia"/>
              </w:rPr>
              <w:t>QZZC2026-J1-990172-QZSZ</w:t>
            </w:r>
          </w:p>
        </w:tc>
      </w:tr>
      <w:tr>
        <w:tblPrEx>
          <w:tblCellMar>
            <w:top w:w="0" w:type="dxa"/>
            <w:left w:w="108" w:type="dxa"/>
            <w:bottom w:w="0" w:type="dxa"/>
            <w:right w:w="108" w:type="dxa"/>
          </w:tblCellMar>
        </w:tblPrEx>
        <w:trPr>
          <w:trHeight w:val="1331"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kern w:val="0"/>
                <w:szCs w:val="21"/>
              </w:rPr>
            </w:pPr>
            <w:r>
              <w:rPr>
                <w:rFonts w:hint="eastAsia" w:ascii="宋体" w:hAnsi="宋体" w:cs="宋体"/>
                <w:kern w:val="0"/>
                <w:szCs w:val="21"/>
              </w:rPr>
              <w:t>2</w:t>
            </w:r>
          </w:p>
        </w:tc>
        <w:tc>
          <w:tcPr>
            <w:tcW w:w="8647" w:type="dxa"/>
            <w:tcBorders>
              <w:top w:val="single" w:color="000000" w:sz="4" w:space="0"/>
              <w:left w:val="nil"/>
              <w:bottom w:val="single" w:color="000000" w:sz="4" w:space="0"/>
              <w:right w:val="single" w:color="000000" w:sz="4" w:space="0"/>
            </w:tcBorders>
            <w:vAlign w:val="center"/>
          </w:tcPr>
          <w:p>
            <w:pPr>
              <w:spacing w:line="400" w:lineRule="exact"/>
              <w:ind w:firstLine="420"/>
            </w:pPr>
            <w:r>
              <w:rPr>
                <w:rFonts w:hint="eastAsia"/>
              </w:rPr>
              <w:fldChar w:fldCharType="begin"/>
            </w:r>
            <w:r>
              <w:rPr>
                <w:rFonts w:hint="eastAsia"/>
              </w:rPr>
              <w:instrText xml:space="preserve"> HYPERLINK  \l "_一、总_则" </w:instrText>
            </w:r>
            <w:r>
              <w:rPr>
                <w:rFonts w:hint="eastAsia"/>
              </w:rPr>
              <w:fldChar w:fldCharType="separate"/>
            </w:r>
            <w:r>
              <w:rPr>
                <w:rFonts w:hint="eastAsia"/>
              </w:rPr>
              <w:t>供应商资格：</w:t>
            </w:r>
          </w:p>
          <w:p>
            <w:pPr>
              <w:spacing w:line="400" w:lineRule="exact"/>
              <w:ind w:firstLine="420"/>
              <w:rPr>
                <w:b/>
              </w:rPr>
            </w:pPr>
            <w:r>
              <w:rPr>
                <w:rFonts w:hint="eastAsia"/>
              </w:rPr>
              <w:fldChar w:fldCharType="end"/>
            </w:r>
            <w:r>
              <w:rPr>
                <w:rFonts w:hint="eastAsia"/>
              </w:rPr>
              <w:t>1.满足《中华人民共和国政府采购法》第二十二条规定</w:t>
            </w:r>
          </w:p>
          <w:p>
            <w:pPr>
              <w:spacing w:line="400" w:lineRule="exact"/>
              <w:ind w:firstLine="420"/>
            </w:pPr>
            <w:r>
              <w:rPr>
                <w:rFonts w:hint="eastAsia"/>
              </w:rPr>
              <w:t>2.落实政府采购政策需满足的资格要求：无</w:t>
            </w:r>
          </w:p>
          <w:p>
            <w:pPr>
              <w:spacing w:line="400" w:lineRule="exact"/>
              <w:ind w:firstLine="435"/>
            </w:pPr>
            <w:r>
              <w:rPr>
                <w:rFonts w:hint="eastAsia"/>
              </w:rPr>
              <w:t>3.本项目的特定资格要求：无</w:t>
            </w:r>
          </w:p>
        </w:tc>
      </w:tr>
      <w:tr>
        <w:tblPrEx>
          <w:tblCellMar>
            <w:top w:w="0" w:type="dxa"/>
            <w:left w:w="108" w:type="dxa"/>
            <w:bottom w:w="0" w:type="dxa"/>
            <w:right w:w="108" w:type="dxa"/>
          </w:tblCellMar>
        </w:tblPrEx>
        <w:trPr>
          <w:trHeight w:val="952"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kern w:val="0"/>
                <w:szCs w:val="21"/>
              </w:rPr>
            </w:pPr>
            <w:r>
              <w:rPr>
                <w:rFonts w:ascii="宋体" w:hAnsi="宋体" w:cs="宋体"/>
                <w:kern w:val="0"/>
                <w:szCs w:val="21"/>
              </w:rPr>
              <w:t>3</w:t>
            </w:r>
          </w:p>
        </w:tc>
        <w:tc>
          <w:tcPr>
            <w:tcW w:w="8647" w:type="dxa"/>
            <w:tcBorders>
              <w:top w:val="single" w:color="000000" w:sz="4" w:space="0"/>
              <w:left w:val="nil"/>
              <w:bottom w:val="single" w:color="000000" w:sz="4" w:space="0"/>
              <w:right w:val="single" w:color="000000" w:sz="4" w:space="0"/>
            </w:tcBorders>
            <w:vAlign w:val="center"/>
          </w:tcPr>
          <w:p>
            <w:pPr>
              <w:spacing w:line="440" w:lineRule="exact"/>
              <w:rPr>
                <w:rFonts w:ascii="宋体" w:hAnsi="宋体"/>
              </w:rPr>
            </w:pPr>
            <w:r>
              <w:fldChar w:fldCharType="begin"/>
            </w:r>
            <w:r>
              <w:instrText xml:space="preserve"> HYPERLINK \l "_（五）报价" </w:instrText>
            </w:r>
            <w:r>
              <w:fldChar w:fldCharType="separate"/>
            </w:r>
            <w:r>
              <w:rPr>
                <w:rStyle w:val="49"/>
                <w:rFonts w:hint="eastAsia" w:ascii="宋体" w:hAnsi="宋体" w:cs="宋体"/>
                <w:color w:val="auto"/>
                <w:kern w:val="0"/>
                <w:szCs w:val="21"/>
                <w:u w:val="none"/>
              </w:rPr>
              <w:t>报价：供应商的报价必须按采购文件或广西政府采购云平台规定的格式填写，并在规定时间内提交最后报价。</w:t>
            </w:r>
            <w:r>
              <w:rPr>
                <w:rStyle w:val="49"/>
                <w:rFonts w:hint="eastAsia" w:ascii="宋体" w:hAnsi="宋体" w:cs="宋体"/>
                <w:color w:val="auto"/>
                <w:kern w:val="0"/>
                <w:szCs w:val="21"/>
                <w:u w:val="none"/>
              </w:rPr>
              <w:fldChar w:fldCharType="end"/>
            </w:r>
          </w:p>
        </w:tc>
      </w:tr>
      <w:tr>
        <w:tblPrEx>
          <w:tblCellMar>
            <w:top w:w="0" w:type="dxa"/>
            <w:left w:w="108" w:type="dxa"/>
            <w:bottom w:w="0" w:type="dxa"/>
            <w:right w:w="108" w:type="dxa"/>
          </w:tblCellMar>
        </w:tblPrEx>
        <w:trPr>
          <w:trHeight w:val="1962"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kern w:val="0"/>
                <w:szCs w:val="21"/>
              </w:rPr>
            </w:pPr>
            <w:r>
              <w:rPr>
                <w:rFonts w:hint="eastAsia" w:ascii="宋体" w:hAnsi="宋体" w:cs="宋体"/>
                <w:kern w:val="0"/>
                <w:szCs w:val="21"/>
              </w:rPr>
              <w:t>4</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Style w:val="49"/>
                <w:rFonts w:ascii="宋体" w:hAnsi="宋体"/>
                <w:color w:val="auto"/>
                <w:szCs w:val="21"/>
                <w:u w:val="none"/>
              </w:rPr>
            </w:pPr>
            <w:r>
              <w:rPr>
                <w:rFonts w:ascii="宋体" w:hAnsi="宋体" w:cs="宋体"/>
                <w:kern w:val="0"/>
                <w:szCs w:val="21"/>
              </w:rPr>
              <w:fldChar w:fldCharType="begin"/>
            </w:r>
            <w:r>
              <w:rPr>
                <w:rFonts w:ascii="宋体" w:hAnsi="宋体" w:cs="宋体"/>
                <w:kern w:val="0"/>
                <w:szCs w:val="21"/>
              </w:rPr>
              <w:instrText xml:space="preserve"> </w:instrText>
            </w:r>
            <w:r>
              <w:rPr>
                <w:rFonts w:hint="eastAsia" w:ascii="宋体" w:hAnsi="宋体" w:cs="宋体"/>
                <w:kern w:val="0"/>
                <w:szCs w:val="21"/>
              </w:rPr>
              <w:instrText xml:space="preserve">HYPERLINK </w:instrText>
            </w:r>
            <w:r>
              <w:rPr>
                <w:rFonts w:ascii="宋体" w:hAnsi="宋体" w:cs="宋体"/>
                <w:kern w:val="0"/>
                <w:szCs w:val="21"/>
              </w:rPr>
              <w:instrText xml:space="preserve"> \l "_四、响应文件开启" </w:instrText>
            </w:r>
            <w:r>
              <w:rPr>
                <w:rFonts w:ascii="宋体" w:hAnsi="宋体" w:cs="宋体"/>
                <w:kern w:val="0"/>
                <w:szCs w:val="21"/>
              </w:rPr>
              <w:fldChar w:fldCharType="separate"/>
            </w:r>
            <w:r>
              <w:rPr>
                <w:rStyle w:val="49"/>
                <w:rFonts w:hint="eastAsia" w:ascii="宋体" w:hAnsi="宋体" w:cs="宋体"/>
                <w:color w:val="auto"/>
                <w:kern w:val="0"/>
                <w:szCs w:val="21"/>
                <w:u w:val="none"/>
              </w:rPr>
              <w:t>响应文件提交截止时间及开启时间：</w:t>
            </w:r>
            <w:r>
              <w:rPr>
                <w:rFonts w:hint="eastAsia" w:ascii="宋体" w:hAnsi="宋体"/>
                <w:szCs w:val="21"/>
              </w:rPr>
              <w:t>2026年</w:t>
            </w:r>
            <w:r>
              <w:rPr>
                <w:rFonts w:hint="eastAsia" w:ascii="宋体" w:hAnsi="宋体"/>
                <w:szCs w:val="21"/>
                <w:lang w:val="en-US" w:eastAsia="zh-CN"/>
              </w:rPr>
              <w:t>7</w:t>
            </w:r>
            <w:r>
              <w:rPr>
                <w:rFonts w:hint="eastAsia" w:ascii="宋体" w:hAnsi="宋体"/>
                <w:szCs w:val="21"/>
              </w:rPr>
              <w:t>月</w:t>
            </w:r>
            <w:r>
              <w:rPr>
                <w:rFonts w:hint="eastAsia" w:ascii="宋体" w:hAnsi="宋体"/>
                <w:szCs w:val="21"/>
                <w:lang w:val="en-US" w:eastAsia="zh-CN"/>
              </w:rPr>
              <w:t>30</w:t>
            </w:r>
            <w:r>
              <w:rPr>
                <w:rFonts w:hint="eastAsia" w:ascii="宋体" w:hAnsi="宋体"/>
                <w:szCs w:val="21"/>
              </w:rPr>
              <w:t>日</w:t>
            </w:r>
            <w:r>
              <w:rPr>
                <w:rFonts w:hint="eastAsia"/>
              </w:rPr>
              <w:t>9</w:t>
            </w:r>
            <w:r>
              <w:t>:</w:t>
            </w:r>
            <w:r>
              <w:rPr>
                <w:rFonts w:hint="eastAsia"/>
              </w:rPr>
              <w:t>30（北京时间）</w:t>
            </w:r>
          </w:p>
          <w:p>
            <w:pPr>
              <w:widowControl/>
              <w:spacing w:line="440" w:lineRule="exact"/>
            </w:pPr>
            <w:r>
              <w:rPr>
                <w:rStyle w:val="49"/>
                <w:rFonts w:hint="eastAsia"/>
                <w:b/>
                <w:color w:val="auto"/>
                <w:szCs w:val="21"/>
                <w:u w:val="none"/>
              </w:rPr>
              <w:t>注意事项：</w:t>
            </w:r>
            <w:r>
              <w:rPr>
                <w:rStyle w:val="49"/>
                <w:rFonts w:hint="eastAsia"/>
                <w:bCs/>
                <w:color w:val="auto"/>
                <w:u w:val="none"/>
              </w:rPr>
              <w:t>供应商法定代表人或委托代理人须按时登录广西政采云远程开标大厅，保持全程在线并关注评审谈判进度，评审期间谈判小组提出澄清等要求时，供应商须在规定时间内进行在线应答，否则按采购文件或广西政采云平台的相关规定执行。</w:t>
            </w:r>
            <w:r>
              <w:rPr>
                <w:rFonts w:ascii="宋体" w:hAnsi="宋体" w:cs="宋体"/>
                <w:kern w:val="0"/>
                <w:szCs w:val="21"/>
              </w:rPr>
              <w:fldChar w:fldCharType="end"/>
            </w:r>
          </w:p>
        </w:tc>
      </w:tr>
      <w:tr>
        <w:tblPrEx>
          <w:tblCellMar>
            <w:top w:w="0" w:type="dxa"/>
            <w:left w:w="108" w:type="dxa"/>
            <w:bottom w:w="0" w:type="dxa"/>
            <w:right w:w="108" w:type="dxa"/>
          </w:tblCellMar>
        </w:tblPrEx>
        <w:trPr>
          <w:trHeight w:val="1400"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kern w:val="0"/>
                <w:szCs w:val="21"/>
              </w:rPr>
            </w:pPr>
            <w:r>
              <w:rPr>
                <w:rFonts w:hint="eastAsia" w:ascii="宋体" w:hAnsi="宋体" w:cs="宋体"/>
                <w:kern w:val="0"/>
                <w:szCs w:val="21"/>
              </w:rPr>
              <w:t>5</w:t>
            </w:r>
          </w:p>
        </w:tc>
        <w:tc>
          <w:tcPr>
            <w:tcW w:w="8647" w:type="dxa"/>
            <w:tcBorders>
              <w:top w:val="single" w:color="000000" w:sz="4" w:space="0"/>
              <w:left w:val="nil"/>
              <w:bottom w:val="single" w:color="000000" w:sz="4" w:space="0"/>
              <w:right w:val="single" w:color="000000" w:sz="4" w:space="0"/>
            </w:tcBorders>
            <w:vAlign w:val="center"/>
          </w:tcPr>
          <w:p>
            <w:pPr>
              <w:spacing w:line="440" w:lineRule="exact"/>
              <w:rPr>
                <w:rStyle w:val="49"/>
                <w:color w:val="auto"/>
                <w:u w:val="none"/>
              </w:rPr>
            </w:pPr>
            <w:r>
              <w:fldChar w:fldCharType="begin"/>
            </w:r>
            <w:r>
              <w:instrText xml:space="preserve"> </w:instrText>
            </w:r>
            <w:r>
              <w:rPr>
                <w:rFonts w:hint="eastAsia"/>
              </w:rPr>
              <w:instrText xml:space="preserve">HYPERLINK </w:instrText>
            </w:r>
            <w:r>
              <w:instrText xml:space="preserve"> \l "</w:instrText>
            </w:r>
            <w:r>
              <w:rPr>
                <w:rFonts w:hint="eastAsia"/>
              </w:rPr>
              <w:instrText xml:space="preserve">_五、评审与谈判</w:instrText>
            </w:r>
            <w:r>
              <w:instrText xml:space="preserve">" </w:instrText>
            </w:r>
            <w:r>
              <w:fldChar w:fldCharType="separate"/>
            </w:r>
            <w:r>
              <w:rPr>
                <w:rStyle w:val="49"/>
                <w:color w:val="auto"/>
                <w:u w:val="none"/>
              </w:rPr>
              <w:t>评审及谈判：</w:t>
            </w:r>
          </w:p>
          <w:p>
            <w:pPr>
              <w:spacing w:line="440" w:lineRule="exact"/>
            </w:pPr>
            <w:r>
              <w:rPr>
                <w:rStyle w:val="49"/>
                <w:rFonts w:hint="eastAsia"/>
                <w:color w:val="auto"/>
                <w:u w:val="none"/>
              </w:rPr>
              <w:t>谈判小组从符合相应资格条件的供应商名单中确定不少于3家的供应商参加谈判，对参加谈判的供应商响应文件进行评审，并根据谈判文件规定的程序、评定成交的标准等事项与实质性响应谈判文件要求的供应商进行谈判。</w:t>
            </w:r>
            <w:r>
              <w:fldChar w:fldCharType="end"/>
            </w:r>
          </w:p>
        </w:tc>
      </w:tr>
      <w:tr>
        <w:tblPrEx>
          <w:tblCellMar>
            <w:top w:w="0" w:type="dxa"/>
            <w:left w:w="108" w:type="dxa"/>
            <w:bottom w:w="0" w:type="dxa"/>
            <w:right w:w="108" w:type="dxa"/>
          </w:tblCellMar>
        </w:tblPrEx>
        <w:trPr>
          <w:trHeight w:val="744"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kern w:val="0"/>
                <w:szCs w:val="21"/>
              </w:rPr>
            </w:pPr>
            <w:r>
              <w:rPr>
                <w:rFonts w:hint="eastAsia" w:ascii="宋体" w:hAnsi="宋体" w:cs="宋体"/>
                <w:kern w:val="0"/>
                <w:szCs w:val="21"/>
              </w:rPr>
              <w:t>6</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Fonts w:ascii="宋体" w:hAnsi="宋体" w:cs="宋体"/>
                <w:kern w:val="0"/>
                <w:szCs w:val="21"/>
              </w:rPr>
            </w:pPr>
            <w:r>
              <w:fldChar w:fldCharType="begin"/>
            </w:r>
            <w:r>
              <w:instrText xml:space="preserve"> HYPERLINK \l "_第四章__评定标准及推荐原则" </w:instrText>
            </w:r>
            <w:r>
              <w:fldChar w:fldCharType="separate"/>
            </w:r>
            <w:r>
              <w:rPr>
                <w:rStyle w:val="49"/>
                <w:rFonts w:hint="eastAsia" w:ascii="宋体" w:hAnsi="宋体" w:cs="宋体"/>
                <w:color w:val="auto"/>
                <w:kern w:val="0"/>
                <w:szCs w:val="21"/>
                <w:u w:val="none"/>
              </w:rPr>
              <w:t>评定方法：</w:t>
            </w:r>
            <w:r>
              <w:rPr>
                <w:rStyle w:val="49"/>
                <w:rFonts w:hint="eastAsia"/>
                <w:color w:val="auto"/>
                <w:u w:val="none"/>
              </w:rPr>
              <w:t>详见第四章《评定标准及推荐原则》。</w:t>
            </w:r>
            <w:r>
              <w:rPr>
                <w:rStyle w:val="49"/>
                <w:rFonts w:hint="eastAsia"/>
                <w:color w:val="auto"/>
                <w:u w:val="none"/>
              </w:rPr>
              <w:fldChar w:fldCharType="end"/>
            </w:r>
          </w:p>
        </w:tc>
      </w:tr>
      <w:tr>
        <w:tblPrEx>
          <w:tblCellMar>
            <w:top w:w="0" w:type="dxa"/>
            <w:left w:w="108" w:type="dxa"/>
            <w:bottom w:w="0" w:type="dxa"/>
            <w:right w:w="108" w:type="dxa"/>
          </w:tblCellMar>
        </w:tblPrEx>
        <w:trPr>
          <w:trHeight w:val="1071" w:hRule="atLeast"/>
          <w:jc w:val="center"/>
        </w:trPr>
        <w:tc>
          <w:tcPr>
            <w:tcW w:w="704" w:type="dxa"/>
            <w:tcBorders>
              <w:top w:val="single" w:color="000000" w:sz="4" w:space="0"/>
              <w:left w:val="single" w:color="000000" w:sz="4" w:space="0"/>
              <w:bottom w:val="single" w:color="000000" w:sz="4" w:space="0"/>
              <w:right w:val="single" w:color="000000" w:sz="4" w:space="0"/>
            </w:tcBorders>
            <w:vAlign w:val="center"/>
          </w:tcPr>
          <w:p>
            <w:pPr>
              <w:widowControl/>
              <w:spacing w:line="440" w:lineRule="exact"/>
              <w:jc w:val="center"/>
              <w:rPr>
                <w:rFonts w:ascii="宋体" w:hAnsi="宋体" w:cs="宋体"/>
                <w:kern w:val="0"/>
                <w:szCs w:val="21"/>
              </w:rPr>
            </w:pPr>
            <w:r>
              <w:rPr>
                <w:rFonts w:hint="eastAsia" w:ascii="宋体" w:hAnsi="宋体" w:cs="宋体"/>
                <w:kern w:val="0"/>
                <w:szCs w:val="21"/>
              </w:rPr>
              <w:t>7</w:t>
            </w:r>
          </w:p>
        </w:tc>
        <w:tc>
          <w:tcPr>
            <w:tcW w:w="8647" w:type="dxa"/>
            <w:tcBorders>
              <w:top w:val="single" w:color="000000" w:sz="4" w:space="0"/>
              <w:left w:val="nil"/>
              <w:bottom w:val="single" w:color="000000" w:sz="4" w:space="0"/>
              <w:right w:val="single" w:color="000000" w:sz="4" w:space="0"/>
            </w:tcBorders>
            <w:vAlign w:val="center"/>
          </w:tcPr>
          <w:p>
            <w:pPr>
              <w:widowControl/>
              <w:spacing w:line="440" w:lineRule="exact"/>
              <w:rPr>
                <w:rFonts w:ascii="宋体" w:hAnsi="宋体" w:cs="宋体"/>
                <w:kern w:val="0"/>
                <w:szCs w:val="21"/>
              </w:rPr>
            </w:pPr>
            <w:r>
              <w:fldChar w:fldCharType="begin"/>
            </w:r>
            <w:r>
              <w:instrText xml:space="preserve"> HYPERLINK \l "_十、其他事项" </w:instrText>
            </w:r>
            <w:r>
              <w:fldChar w:fldCharType="separate"/>
            </w:r>
            <w:r>
              <w:rPr>
                <w:rStyle w:val="49"/>
                <w:rFonts w:hint="eastAsia" w:ascii="宋体" w:hAnsi="宋体" w:cs="宋体"/>
                <w:color w:val="auto"/>
                <w:kern w:val="0"/>
                <w:szCs w:val="21"/>
                <w:u w:val="none"/>
              </w:rPr>
              <w:t>代理服务费：按钦州市物价局“钦市价费〔2013〕4号”文件，以差额定率累进法计算。成交供应商须按成交金额缴纳相应的代理服务费。</w:t>
            </w:r>
            <w:r>
              <w:rPr>
                <w:rStyle w:val="49"/>
                <w:rFonts w:hint="eastAsia" w:ascii="宋体" w:hAnsi="宋体" w:cs="宋体"/>
                <w:color w:val="auto"/>
                <w:kern w:val="0"/>
                <w:szCs w:val="21"/>
                <w:u w:val="none"/>
              </w:rPr>
              <w:fldChar w:fldCharType="end"/>
            </w:r>
          </w:p>
        </w:tc>
      </w:tr>
    </w:tbl>
    <w:p>
      <w:pPr>
        <w:pStyle w:val="4"/>
        <w:jc w:val="center"/>
      </w:pPr>
      <w:bookmarkStart w:id="53" w:name="_Toc420505403"/>
      <w:r>
        <w:br w:type="page"/>
      </w:r>
    </w:p>
    <w:p>
      <w:pPr>
        <w:jc w:val="center"/>
        <w:rPr>
          <w:rFonts w:ascii="黑体" w:hAnsi="黑体" w:eastAsia="黑体"/>
          <w:b/>
          <w:bCs/>
          <w:sz w:val="32"/>
          <w:szCs w:val="32"/>
        </w:rPr>
      </w:pPr>
      <w:r>
        <w:rPr>
          <w:rFonts w:hint="eastAsia" w:ascii="黑体" w:hAnsi="黑体" w:eastAsia="黑体"/>
          <w:b/>
          <w:bCs/>
          <w:sz w:val="32"/>
          <w:szCs w:val="32"/>
        </w:rPr>
        <w:t>二、供应商须知</w:t>
      </w:r>
      <w:bookmarkEnd w:id="53"/>
    </w:p>
    <w:p>
      <w:pPr>
        <w:pStyle w:val="4"/>
        <w:spacing w:line="420" w:lineRule="exact"/>
      </w:pPr>
      <w:bookmarkStart w:id="54" w:name="_一、总_则"/>
      <w:bookmarkEnd w:id="54"/>
      <w:r>
        <w:rPr>
          <w:rFonts w:hint="eastAsia"/>
        </w:rPr>
        <w:t>一、总　则</w:t>
      </w:r>
    </w:p>
    <w:p>
      <w:pPr>
        <w:spacing w:line="420" w:lineRule="exact"/>
        <w:ind w:firstLine="210" w:firstLineChars="100"/>
        <w:rPr>
          <w:rFonts w:ascii="宋体" w:hAnsi="宋体"/>
          <w:szCs w:val="21"/>
        </w:rPr>
      </w:pPr>
      <w:r>
        <w:rPr>
          <w:rFonts w:hint="eastAsia" w:ascii="宋体" w:hAnsi="宋体"/>
          <w:szCs w:val="21"/>
        </w:rPr>
        <w:t>（一）适用范围</w:t>
      </w:r>
    </w:p>
    <w:p>
      <w:pPr>
        <w:spacing w:line="420" w:lineRule="exact"/>
        <w:ind w:right="-334" w:rightChars="-159" w:firstLine="420"/>
        <w:rPr>
          <w:rFonts w:hAnsi="宋体"/>
        </w:rPr>
      </w:pPr>
      <w:r>
        <w:rPr>
          <w:rFonts w:hAnsi="宋体"/>
        </w:rPr>
        <w:t>1.</w:t>
      </w:r>
      <w:r>
        <w:rPr>
          <w:rFonts w:hint="eastAsia" w:hAnsi="宋体"/>
        </w:rPr>
        <w:t>项目名称：</w:t>
      </w:r>
      <w:r>
        <w:rPr>
          <w:rFonts w:hint="eastAsia"/>
        </w:rPr>
        <w:t>灵山县人民法院融科技法庭设备采购项目</w:t>
      </w:r>
    </w:p>
    <w:p>
      <w:pPr>
        <w:spacing w:line="420" w:lineRule="exact"/>
        <w:ind w:right="-334" w:rightChars="-159" w:firstLine="420"/>
        <w:rPr>
          <w:rFonts w:hAnsi="宋体"/>
        </w:rPr>
      </w:pPr>
      <w:r>
        <w:rPr>
          <w:rFonts w:hAnsi="宋体"/>
        </w:rPr>
        <w:t>2</w:t>
      </w:r>
      <w:r>
        <w:rPr>
          <w:rFonts w:hint="eastAsia" w:hAnsi="宋体"/>
        </w:rPr>
        <w:t>.项目编号：QZZC2026-J1-990172-QZSZ</w:t>
      </w:r>
    </w:p>
    <w:p>
      <w:pPr>
        <w:spacing w:line="420" w:lineRule="exact"/>
        <w:ind w:right="-334" w:rightChars="-159" w:firstLine="420"/>
        <w:rPr>
          <w:szCs w:val="21"/>
        </w:rPr>
      </w:pPr>
      <w:r>
        <w:rPr>
          <w:rFonts w:hint="eastAsia" w:hAnsi="宋体"/>
        </w:rPr>
        <w:t>本文件仅适用于本文件中所叙述的货物、服务类政府采购项目。</w:t>
      </w:r>
    </w:p>
    <w:p>
      <w:pPr>
        <w:spacing w:line="420" w:lineRule="exact"/>
        <w:ind w:firstLine="210" w:firstLineChars="100"/>
        <w:rPr>
          <w:rFonts w:ascii="宋体" w:hAnsi="宋体"/>
          <w:szCs w:val="21"/>
        </w:rPr>
      </w:pPr>
      <w:r>
        <w:rPr>
          <w:rFonts w:hint="eastAsia" w:ascii="宋体" w:hAnsi="宋体"/>
          <w:szCs w:val="21"/>
        </w:rPr>
        <w:t>（二）定义</w:t>
      </w:r>
    </w:p>
    <w:p>
      <w:pPr>
        <w:spacing w:line="420" w:lineRule="exact"/>
        <w:ind w:firstLine="420" w:firstLineChars="200"/>
        <w:rPr>
          <w:rFonts w:ascii="宋体" w:hAnsi="宋体"/>
          <w:szCs w:val="21"/>
        </w:rPr>
      </w:pPr>
      <w:r>
        <w:rPr>
          <w:rFonts w:ascii="宋体" w:hAnsi="宋体"/>
          <w:szCs w:val="21"/>
        </w:rPr>
        <w:t>1.</w:t>
      </w:r>
      <w:r>
        <w:rPr>
          <w:rFonts w:hint="eastAsia" w:ascii="宋体" w:hAnsi="宋体"/>
          <w:szCs w:val="21"/>
        </w:rPr>
        <w:t>“</w:t>
      </w:r>
      <w:r>
        <w:rPr>
          <w:rFonts w:ascii="宋体" w:hAnsi="宋体"/>
          <w:szCs w:val="21"/>
        </w:rPr>
        <w:t>采购人</w:t>
      </w:r>
      <w:r>
        <w:rPr>
          <w:rFonts w:hint="eastAsia" w:ascii="宋体" w:hAnsi="宋体"/>
          <w:szCs w:val="21"/>
        </w:rPr>
        <w:t>”</w:t>
      </w:r>
      <w:r>
        <w:rPr>
          <w:rFonts w:ascii="宋体" w:hAnsi="宋体"/>
          <w:szCs w:val="21"/>
        </w:rPr>
        <w:t>是指依法进行政府采购的国家机关、事业单位、团体组织。</w:t>
      </w:r>
    </w:p>
    <w:p>
      <w:pPr>
        <w:spacing w:line="420" w:lineRule="exact"/>
        <w:ind w:firstLine="420" w:firstLineChars="200"/>
        <w:rPr>
          <w:rFonts w:ascii="宋体" w:hAnsi="宋体"/>
          <w:szCs w:val="21"/>
        </w:rPr>
      </w:pPr>
      <w:r>
        <w:rPr>
          <w:rFonts w:hint="eastAsia" w:ascii="宋体" w:hAnsi="宋体"/>
          <w:szCs w:val="21"/>
        </w:rPr>
        <w:t>2.“供应商”是指响应本文件要求，参加谈判的法人或其他组织。如果该供应商在本次采购项目中成交，即成为“成交供应商”。</w:t>
      </w:r>
    </w:p>
    <w:p>
      <w:pPr>
        <w:spacing w:line="420" w:lineRule="exact"/>
        <w:ind w:firstLine="420" w:firstLineChars="200"/>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“采购代理机构”是指</w:t>
      </w:r>
      <w:r>
        <w:rPr>
          <w:rFonts w:hint="eastAsia" w:ascii="宋体" w:hAnsi="宋体"/>
        </w:rPr>
        <w:t>钦州市政府采购中心。</w:t>
      </w:r>
    </w:p>
    <w:p>
      <w:pPr>
        <w:spacing w:line="420" w:lineRule="exact"/>
        <w:ind w:firstLine="420" w:firstLineChars="200"/>
        <w:rPr>
          <w:rFonts w:ascii="宋体" w:hAnsi="宋体"/>
          <w:szCs w:val="21"/>
        </w:rPr>
      </w:pPr>
      <w:r>
        <w:rPr>
          <w:rFonts w:hint="eastAsia" w:ascii="宋体" w:hAnsi="宋体"/>
          <w:szCs w:val="21"/>
        </w:rPr>
        <w:t>4</w:t>
      </w:r>
      <w:r>
        <w:rPr>
          <w:rFonts w:ascii="宋体" w:hAnsi="宋体"/>
          <w:szCs w:val="21"/>
        </w:rPr>
        <w:t>.</w:t>
      </w:r>
      <w:r>
        <w:rPr>
          <w:rFonts w:hint="eastAsia" w:ascii="宋体" w:hAnsi="宋体"/>
          <w:szCs w:val="21"/>
        </w:rPr>
        <w:t>“货物和服务”是指本次采购文件中所采购的各种形态和种类的产品以及其提供的服务。</w:t>
      </w:r>
    </w:p>
    <w:p>
      <w:pPr>
        <w:spacing w:line="420" w:lineRule="exact"/>
        <w:ind w:firstLine="420" w:firstLineChars="200"/>
        <w:rPr>
          <w:rFonts w:ascii="宋体" w:hAnsi="宋体"/>
          <w:szCs w:val="21"/>
        </w:rPr>
      </w:pPr>
      <w:r>
        <w:rPr>
          <w:rFonts w:hint="eastAsia" w:ascii="宋体" w:hAnsi="宋体"/>
          <w:szCs w:val="21"/>
        </w:rPr>
        <w:t>5</w:t>
      </w:r>
      <w:r>
        <w:rPr>
          <w:rFonts w:ascii="宋体" w:hAnsi="宋体"/>
          <w:szCs w:val="21"/>
        </w:rPr>
        <w:t>.</w:t>
      </w:r>
      <w:r>
        <w:rPr>
          <w:rFonts w:hint="eastAsia" w:ascii="宋体" w:hAnsi="宋体"/>
          <w:szCs w:val="21"/>
        </w:rPr>
        <w:t>“竞争性谈判采购文件”是指采用竞争性谈判方式进行政府采购的指导文件，简称“谈判文件”或“采购文件”。</w:t>
      </w:r>
    </w:p>
    <w:p>
      <w:pPr>
        <w:spacing w:line="420" w:lineRule="exact"/>
        <w:ind w:firstLine="420" w:firstLineChars="200"/>
        <w:rPr>
          <w:rFonts w:ascii="宋体" w:hAnsi="宋体"/>
          <w:szCs w:val="21"/>
        </w:rPr>
      </w:pPr>
      <w:r>
        <w:rPr>
          <w:rFonts w:ascii="宋体" w:hAnsi="宋体"/>
          <w:szCs w:val="21"/>
        </w:rPr>
        <w:t>6.</w:t>
      </w:r>
      <w:r>
        <w:rPr>
          <w:rFonts w:hint="eastAsia" w:ascii="宋体" w:hAnsi="宋体"/>
          <w:szCs w:val="21"/>
        </w:rPr>
        <w:t>“响应文件”是指供应商根据采购文件要求，编制包含技术、服务和报价等所有内容的响应文件。</w:t>
      </w:r>
    </w:p>
    <w:p>
      <w:pPr>
        <w:spacing w:line="420" w:lineRule="exact"/>
        <w:ind w:firstLine="420" w:firstLineChars="200"/>
        <w:rPr>
          <w:rFonts w:ascii="宋体" w:hAnsi="宋体"/>
          <w:szCs w:val="21"/>
        </w:rPr>
      </w:pPr>
      <w:r>
        <w:rPr>
          <w:rFonts w:ascii="宋体" w:hAnsi="宋体"/>
          <w:szCs w:val="21"/>
        </w:rPr>
        <w:t>7.</w:t>
      </w:r>
      <w:r>
        <w:rPr>
          <w:rFonts w:hint="eastAsia" w:ascii="宋体" w:hAnsi="宋体"/>
          <w:szCs w:val="21"/>
        </w:rPr>
        <w:t>“书面形式”</w:t>
      </w:r>
      <w:r>
        <w:rPr>
          <w:rFonts w:ascii="Helvetica" w:hAnsi="Helvetica"/>
          <w:szCs w:val="21"/>
          <w:shd w:val="clear" w:color="auto" w:fill="FFFFFF"/>
        </w:rPr>
        <w:t>是</w:t>
      </w:r>
      <w:r>
        <w:rPr>
          <w:rFonts w:hint="eastAsia" w:ascii="Helvetica" w:hAnsi="Helvetica"/>
          <w:szCs w:val="21"/>
          <w:shd w:val="clear" w:color="auto" w:fill="FFFFFF"/>
        </w:rPr>
        <w:t>指</w:t>
      </w:r>
      <w:r>
        <w:rPr>
          <w:rFonts w:ascii="Helvetica" w:hAnsi="Helvetica"/>
          <w:szCs w:val="21"/>
          <w:shd w:val="clear" w:color="auto" w:fill="FFFFFF"/>
        </w:rPr>
        <w:t>合同书、信件、电报、电传、传真等可以有形地表现所载内容的形式。</w:t>
      </w:r>
    </w:p>
    <w:p>
      <w:pPr>
        <w:spacing w:line="420" w:lineRule="exact"/>
        <w:ind w:firstLine="211" w:firstLineChars="100"/>
        <w:rPr>
          <w:rFonts w:ascii="宋体" w:hAnsi="宋体"/>
          <w:b/>
          <w:szCs w:val="21"/>
        </w:rPr>
      </w:pPr>
      <w:r>
        <w:rPr>
          <w:rFonts w:hint="eastAsia" w:ascii="宋体" w:hAnsi="宋体"/>
          <w:b/>
          <w:szCs w:val="21"/>
        </w:rPr>
        <w:t>（三）供应商资格</w:t>
      </w:r>
    </w:p>
    <w:p>
      <w:pPr>
        <w:spacing w:line="420" w:lineRule="exact"/>
        <w:ind w:firstLine="420" w:firstLineChars="200"/>
      </w:pPr>
      <w:r>
        <w:rPr>
          <w:rFonts w:hint="eastAsia"/>
        </w:rPr>
        <w:t>供应商的资格要求详见“供应商须知前附表”。</w:t>
      </w:r>
    </w:p>
    <w:p>
      <w:pPr>
        <w:spacing w:line="420" w:lineRule="exact"/>
        <w:ind w:firstLine="211" w:firstLineChars="100"/>
        <w:rPr>
          <w:b/>
          <w:bCs/>
        </w:rPr>
      </w:pPr>
      <w:r>
        <w:rPr>
          <w:rFonts w:hint="eastAsia"/>
          <w:b/>
          <w:bCs/>
        </w:rPr>
        <w:t>（四）采购方式</w:t>
      </w:r>
    </w:p>
    <w:p>
      <w:pPr>
        <w:snapToGrid w:val="0"/>
        <w:spacing w:line="420" w:lineRule="exact"/>
        <w:ind w:firstLine="420" w:firstLineChars="200"/>
        <w:rPr>
          <w:rFonts w:ascii="宋体" w:hAnsi="宋体"/>
          <w:szCs w:val="21"/>
        </w:rPr>
      </w:pPr>
      <w:r>
        <w:rPr>
          <w:rFonts w:hint="eastAsia" w:ascii="宋体" w:hAnsi="宋体"/>
          <w:szCs w:val="21"/>
        </w:rPr>
        <w:t>竞争性谈判</w:t>
      </w:r>
    </w:p>
    <w:p>
      <w:pPr>
        <w:spacing w:line="420" w:lineRule="exact"/>
        <w:ind w:firstLine="211" w:firstLineChars="100"/>
        <w:rPr>
          <w:b/>
          <w:bCs/>
        </w:rPr>
      </w:pPr>
      <w:bookmarkStart w:id="55" w:name="_Toc353785281"/>
      <w:bookmarkStart w:id="56" w:name="_Toc254970671"/>
      <w:bookmarkStart w:id="57" w:name="_Toc254970530"/>
      <w:bookmarkStart w:id="58" w:name="_Toc352700410"/>
      <w:r>
        <w:rPr>
          <w:rFonts w:hint="eastAsia"/>
          <w:b/>
          <w:bCs/>
        </w:rPr>
        <w:t>（五）代理委托</w:t>
      </w:r>
      <w:bookmarkEnd w:id="55"/>
      <w:bookmarkEnd w:id="56"/>
      <w:bookmarkEnd w:id="57"/>
      <w:bookmarkEnd w:id="58"/>
    </w:p>
    <w:p>
      <w:pPr>
        <w:snapToGrid w:val="0"/>
        <w:spacing w:line="420" w:lineRule="exact"/>
        <w:ind w:firstLine="420" w:firstLineChars="200"/>
        <w:rPr>
          <w:rFonts w:ascii="宋体" w:hAnsi="宋体" w:cs="Courier New"/>
          <w:bCs/>
          <w:szCs w:val="21"/>
        </w:rPr>
      </w:pPr>
      <w:r>
        <w:rPr>
          <w:rFonts w:hint="eastAsia" w:ascii="宋体" w:hAnsi="宋体" w:cs="Courier New"/>
          <w:bCs/>
          <w:szCs w:val="21"/>
        </w:rPr>
        <w:t>委托谈判的供应商须提供授权委托书（格式见第六章）。</w:t>
      </w:r>
    </w:p>
    <w:p>
      <w:pPr>
        <w:spacing w:line="420" w:lineRule="exact"/>
        <w:ind w:firstLine="211" w:firstLineChars="100"/>
        <w:rPr>
          <w:b/>
          <w:bCs/>
        </w:rPr>
      </w:pPr>
      <w:bookmarkStart w:id="59" w:name="_Toc352700411"/>
      <w:bookmarkStart w:id="60" w:name="_Toc353785282"/>
      <w:bookmarkStart w:id="61" w:name="_Toc254970531"/>
      <w:bookmarkStart w:id="62" w:name="_Toc254970672"/>
      <w:r>
        <w:rPr>
          <w:rFonts w:hint="eastAsia"/>
          <w:b/>
          <w:bCs/>
        </w:rPr>
        <w:t>（六）谈判费用</w:t>
      </w:r>
      <w:bookmarkEnd w:id="59"/>
      <w:bookmarkEnd w:id="60"/>
      <w:bookmarkEnd w:id="61"/>
      <w:bookmarkEnd w:id="62"/>
    </w:p>
    <w:p>
      <w:pPr>
        <w:snapToGrid w:val="0"/>
        <w:spacing w:line="420" w:lineRule="exact"/>
        <w:ind w:firstLine="420" w:firstLineChars="200"/>
        <w:rPr>
          <w:rFonts w:ascii="宋体" w:hAnsi="宋体"/>
          <w:szCs w:val="21"/>
        </w:rPr>
      </w:pPr>
      <w:r>
        <w:rPr>
          <w:rFonts w:hint="eastAsia" w:ascii="宋体" w:hAnsi="宋体"/>
          <w:szCs w:val="21"/>
        </w:rPr>
        <w:t>供应商自行承担所有与谈判有关的全部费用。</w:t>
      </w:r>
    </w:p>
    <w:p>
      <w:pPr>
        <w:spacing w:line="420" w:lineRule="exact"/>
        <w:ind w:firstLine="211" w:firstLineChars="100"/>
        <w:rPr>
          <w:b/>
          <w:bCs/>
        </w:rPr>
      </w:pPr>
      <w:bookmarkStart w:id="63" w:name="_Toc352700413"/>
      <w:bookmarkStart w:id="64" w:name="_Toc353785283"/>
      <w:r>
        <w:rPr>
          <w:rFonts w:hint="eastAsia"/>
          <w:b/>
          <w:bCs/>
        </w:rPr>
        <w:t>（七）转包与分包</w:t>
      </w:r>
      <w:bookmarkEnd w:id="63"/>
      <w:bookmarkEnd w:id="64"/>
    </w:p>
    <w:p>
      <w:pPr>
        <w:snapToGrid w:val="0"/>
        <w:spacing w:line="420" w:lineRule="exact"/>
        <w:ind w:firstLine="420" w:firstLineChars="200"/>
        <w:rPr>
          <w:rFonts w:ascii="宋体" w:hAnsi="宋体" w:cs="宋体"/>
          <w:kern w:val="0"/>
          <w:szCs w:val="21"/>
        </w:rPr>
      </w:pPr>
      <w:r>
        <w:rPr>
          <w:rFonts w:ascii="宋体" w:hAnsi="宋体" w:cs="宋体"/>
          <w:kern w:val="0"/>
          <w:szCs w:val="21"/>
        </w:rPr>
        <w:t>1.</w:t>
      </w:r>
      <w:r>
        <w:rPr>
          <w:rFonts w:hint="eastAsia" w:ascii="宋体" w:hAnsi="宋体" w:cs="宋体"/>
          <w:kern w:val="0"/>
          <w:szCs w:val="21"/>
        </w:rPr>
        <w:t>本项目不允许转包。</w:t>
      </w:r>
    </w:p>
    <w:p>
      <w:pPr>
        <w:snapToGrid w:val="0"/>
        <w:spacing w:line="420" w:lineRule="exact"/>
        <w:ind w:firstLine="420" w:firstLineChars="200"/>
        <w:rPr>
          <w:rFonts w:ascii="宋体" w:hAnsi="宋体" w:cs="宋体"/>
          <w:kern w:val="0"/>
          <w:szCs w:val="21"/>
        </w:rPr>
      </w:pPr>
      <w:r>
        <w:rPr>
          <w:rFonts w:ascii="宋体" w:hAnsi="宋体" w:cs="宋体"/>
          <w:kern w:val="0"/>
          <w:szCs w:val="21"/>
        </w:rPr>
        <w:t>2.</w:t>
      </w:r>
      <w:r>
        <w:rPr>
          <w:rFonts w:hint="eastAsia" w:ascii="宋体" w:hAnsi="宋体" w:cs="宋体"/>
          <w:kern w:val="0"/>
          <w:szCs w:val="21"/>
        </w:rPr>
        <w:t>采购人允许采用分包方式履行合同的，应当在采购文件中明确可以分包履行的具体内容、金额或者比例。</w:t>
      </w:r>
    </w:p>
    <w:p>
      <w:pPr>
        <w:snapToGrid w:val="0"/>
        <w:spacing w:line="420" w:lineRule="exact"/>
        <w:ind w:firstLine="420" w:firstLineChars="200"/>
        <w:rPr>
          <w:rFonts w:ascii="宋体" w:hAnsi="宋体" w:cs="宋体"/>
          <w:kern w:val="0"/>
          <w:szCs w:val="21"/>
        </w:rPr>
      </w:pPr>
      <w:r>
        <w:rPr>
          <w:rFonts w:ascii="宋体" w:hAnsi="宋体" w:cs="宋体"/>
          <w:kern w:val="0"/>
          <w:szCs w:val="21"/>
        </w:rPr>
        <w:t>3.</w:t>
      </w:r>
      <w:r>
        <w:rPr>
          <w:rFonts w:hint="eastAsia" w:ascii="宋体" w:hAnsi="宋体" w:cs="宋体"/>
          <w:kern w:val="0"/>
          <w:szCs w:val="21"/>
        </w:rPr>
        <w:t>依据《政府采购促进中小企业发展管理办法》（财库〔2020〕46号）规定享受扶持政策获得政府采购合同的，小微企业不得将合同分包给大中型企业，中型企业不得将合同分包给大型企业。</w:t>
      </w:r>
    </w:p>
    <w:p>
      <w:pPr>
        <w:spacing w:line="420" w:lineRule="exact"/>
        <w:ind w:firstLine="211" w:firstLineChars="100"/>
        <w:rPr>
          <w:b/>
          <w:bCs/>
        </w:rPr>
      </w:pPr>
      <w:bookmarkStart w:id="65" w:name="_Toc254970673"/>
      <w:bookmarkStart w:id="66" w:name="_Toc254970532"/>
      <w:bookmarkStart w:id="67" w:name="_Toc353785284"/>
      <w:bookmarkStart w:id="68" w:name="_Toc352700414"/>
      <w:r>
        <w:rPr>
          <w:rFonts w:hint="eastAsia"/>
          <w:b/>
          <w:bCs/>
        </w:rPr>
        <w:t>（八）特别说明</w:t>
      </w:r>
      <w:bookmarkEnd w:id="65"/>
      <w:bookmarkEnd w:id="66"/>
      <w:bookmarkEnd w:id="67"/>
      <w:bookmarkEnd w:id="68"/>
    </w:p>
    <w:p>
      <w:pPr>
        <w:pStyle w:val="23"/>
        <w:snapToGrid w:val="0"/>
        <w:spacing w:line="420" w:lineRule="exact"/>
        <w:ind w:firstLine="420"/>
        <w:rPr>
          <w:rFonts w:hAnsi="宋体"/>
        </w:rPr>
      </w:pPr>
      <w:r>
        <w:rPr>
          <w:rFonts w:hAnsi="宋体"/>
        </w:rPr>
        <w:t>1.</w:t>
      </w:r>
      <w:r>
        <w:rPr>
          <w:rFonts w:hint="eastAsia" w:hAnsi="宋体"/>
        </w:rPr>
        <w:t>单位负责人为同一人或者存在直接控股、管理关系的不同的供应商，不得参加同一合同项下的政府采购活动，否则其响应文件将被视为无效。为采购项目提供整体设计、规范编制或者项目管理、监理、检测等服务的供应商，不得再参加该采购项目的其他采购活动。</w:t>
      </w:r>
    </w:p>
    <w:p>
      <w:pPr>
        <w:pStyle w:val="23"/>
        <w:snapToGrid w:val="0"/>
        <w:spacing w:line="420" w:lineRule="exact"/>
        <w:ind w:firstLine="420"/>
        <w:rPr>
          <w:rFonts w:hAnsi="宋体"/>
        </w:rPr>
      </w:pPr>
      <w:r>
        <w:rPr>
          <w:rFonts w:hAnsi="宋体"/>
        </w:rPr>
        <w:t>2.</w:t>
      </w:r>
      <w:r>
        <w:rPr>
          <w:rFonts w:hint="eastAsia" w:hAnsi="宋体"/>
        </w:rPr>
        <w:t>公开招标的货物、服务采购项目，招标过程中提交投标文件或者经评审实质性响应招标文件要求的供应商只有两家时，采购人、采购代理机构按照规定经本级财政部门批准后可以与该两家供应商进行竞争性谈判采购。符合本款情形的，供应商最低数量可以为两家。</w:t>
      </w:r>
    </w:p>
    <w:p>
      <w:pPr>
        <w:spacing w:line="420" w:lineRule="exact"/>
        <w:ind w:firstLine="211" w:firstLineChars="100"/>
        <w:rPr>
          <w:b/>
          <w:bCs/>
        </w:rPr>
      </w:pPr>
      <w:bookmarkStart w:id="69" w:name="_Toc254970533"/>
      <w:bookmarkStart w:id="70" w:name="_Toc254970674"/>
      <w:bookmarkStart w:id="71" w:name="_Toc352700415"/>
      <w:bookmarkStart w:id="72" w:name="_Toc353785285"/>
      <w:r>
        <w:rPr>
          <w:rFonts w:hint="eastAsia"/>
          <w:b/>
          <w:bCs/>
        </w:rPr>
        <w:t>（九）询问、质疑和投诉</w:t>
      </w:r>
      <w:bookmarkEnd w:id="69"/>
      <w:bookmarkEnd w:id="70"/>
      <w:bookmarkEnd w:id="71"/>
      <w:bookmarkEnd w:id="72"/>
    </w:p>
    <w:p>
      <w:pPr>
        <w:pStyle w:val="23"/>
        <w:snapToGrid w:val="0"/>
        <w:spacing w:line="420" w:lineRule="exact"/>
        <w:ind w:firstLine="420"/>
        <w:rPr>
          <w:rFonts w:hAnsi="宋体"/>
          <w:bCs/>
        </w:rPr>
      </w:pPr>
      <w:r>
        <w:rPr>
          <w:rFonts w:hAnsi="宋体"/>
          <w:bCs/>
        </w:rPr>
        <w:t>1.</w:t>
      </w:r>
      <w:r>
        <w:rPr>
          <w:rFonts w:hint="eastAsia" w:ascii="Arial" w:hAnsi="Arial" w:cs="Arial"/>
          <w:kern w:val="0"/>
        </w:rPr>
        <w:t>供应商</w:t>
      </w:r>
      <w:r>
        <w:rPr>
          <w:rFonts w:ascii="Arial" w:hAnsi="Arial" w:cs="Arial"/>
          <w:kern w:val="0"/>
        </w:rPr>
        <w:t>对政府采购活动事项有疑问的，可以向采购人</w:t>
      </w:r>
      <w:r>
        <w:rPr>
          <w:rFonts w:hint="eastAsia" w:ascii="Arial" w:hAnsi="Arial" w:cs="Arial"/>
          <w:kern w:val="0"/>
        </w:rPr>
        <w:t>或本中心</w:t>
      </w:r>
      <w:r>
        <w:rPr>
          <w:rFonts w:ascii="Arial" w:hAnsi="Arial" w:cs="Arial"/>
          <w:kern w:val="0"/>
        </w:rPr>
        <w:t>提出询问，采购人</w:t>
      </w:r>
      <w:r>
        <w:rPr>
          <w:rFonts w:hint="eastAsia" w:ascii="Arial" w:hAnsi="Arial" w:cs="Arial"/>
          <w:kern w:val="0"/>
        </w:rPr>
        <w:t>或本中心当在3个工作日内对供应商依法提出的询问作出答复</w:t>
      </w:r>
      <w:r>
        <w:rPr>
          <w:rFonts w:ascii="Arial" w:hAnsi="Arial" w:cs="Arial"/>
          <w:kern w:val="0"/>
        </w:rPr>
        <w:t>，但答复的内容不得涉及商业秘密。</w:t>
      </w:r>
    </w:p>
    <w:p>
      <w:pPr>
        <w:pStyle w:val="23"/>
        <w:snapToGrid w:val="0"/>
        <w:spacing w:line="420" w:lineRule="exact"/>
        <w:ind w:firstLine="420"/>
        <w:rPr>
          <w:rFonts w:hAnsi="宋体"/>
          <w:bCs/>
        </w:rPr>
      </w:pPr>
      <w:r>
        <w:rPr>
          <w:rFonts w:hAnsi="宋体"/>
          <w:bCs/>
        </w:rPr>
        <w:t>2.</w:t>
      </w:r>
      <w:r>
        <w:rPr>
          <w:rFonts w:hint="eastAsia" w:hAnsi="宋体"/>
          <w:bCs/>
        </w:rPr>
        <w:t>供应商认为采购文件、采购过程或成交结果使自己的合法权益受到损害的，</w:t>
      </w:r>
      <w:r>
        <w:rPr>
          <w:rFonts w:hAnsi="宋体"/>
          <w:bCs/>
        </w:rPr>
        <w:t>可以在知道或者应知其权益受到损害之日起7个工作日内</w:t>
      </w:r>
      <w:r>
        <w:rPr>
          <w:rFonts w:hint="eastAsia" w:hAnsi="宋体"/>
          <w:bCs/>
        </w:rPr>
        <w:t>，</w:t>
      </w:r>
      <w:r>
        <w:rPr>
          <w:rFonts w:cs="Arial"/>
        </w:rPr>
        <w:t>以书面形式</w:t>
      </w:r>
      <w:r>
        <w:rPr>
          <w:rFonts w:hint="eastAsia" w:cs="Arial"/>
        </w:rPr>
        <w:t>（广西政采云平台）</w:t>
      </w:r>
      <w:r>
        <w:rPr>
          <w:rFonts w:cs="Arial"/>
        </w:rPr>
        <w:t>向采购人、</w:t>
      </w:r>
      <w:r>
        <w:rPr>
          <w:rFonts w:hint="eastAsia" w:cs="Arial"/>
        </w:rPr>
        <w:t>本中心</w:t>
      </w:r>
      <w:r>
        <w:rPr>
          <w:rFonts w:cs="Arial"/>
        </w:rPr>
        <w:t>提出质疑。</w:t>
      </w:r>
      <w:r>
        <w:rPr>
          <w:rFonts w:hint="eastAsia" w:hAnsi="宋体"/>
          <w:bCs/>
        </w:rPr>
        <w:t>供应商必须在法定质疑期内一次性提出针对同一采购程序环节的质疑。</w:t>
      </w:r>
      <w:r>
        <w:rPr>
          <w:rFonts w:hint="eastAsia" w:hAnsi="宋体" w:cs="宋体"/>
        </w:rPr>
        <w:t>供应商应知其权益受到损害之日，是指：</w:t>
      </w:r>
    </w:p>
    <w:p>
      <w:pPr>
        <w:pStyle w:val="23"/>
        <w:adjustRightInd w:val="0"/>
        <w:snapToGrid w:val="0"/>
        <w:spacing w:line="420" w:lineRule="exact"/>
        <w:ind w:firstLine="308" w:firstLineChars="147"/>
        <w:rPr>
          <w:rFonts w:hAnsi="宋体"/>
          <w:bCs/>
        </w:rPr>
      </w:pPr>
      <w:r>
        <w:rPr>
          <w:rFonts w:hint="eastAsia" w:hAnsi="宋体"/>
          <w:bCs/>
        </w:rPr>
        <w:t>(</w:t>
      </w:r>
      <w:r>
        <w:rPr>
          <w:rFonts w:hAnsi="宋体"/>
          <w:bCs/>
        </w:rPr>
        <w:t>1)</w:t>
      </w:r>
      <w:r>
        <w:rPr>
          <w:rFonts w:hint="eastAsia" w:hAnsi="宋体"/>
          <w:bCs/>
        </w:rPr>
        <w:t>对采购文件提出质疑的，为获取采购文件之日；</w:t>
      </w:r>
    </w:p>
    <w:p>
      <w:pPr>
        <w:pStyle w:val="23"/>
        <w:adjustRightInd w:val="0"/>
        <w:snapToGrid w:val="0"/>
        <w:spacing w:line="420" w:lineRule="exact"/>
        <w:ind w:firstLine="308" w:firstLineChars="147"/>
        <w:rPr>
          <w:rFonts w:hAnsi="宋体"/>
          <w:bCs/>
        </w:rPr>
      </w:pPr>
      <w:r>
        <w:rPr>
          <w:rFonts w:hint="eastAsia" w:hAnsi="宋体"/>
          <w:bCs/>
        </w:rPr>
        <w:t>(</w:t>
      </w:r>
      <w:r>
        <w:rPr>
          <w:rFonts w:hAnsi="宋体"/>
          <w:bCs/>
        </w:rPr>
        <w:t>2)</w:t>
      </w:r>
      <w:r>
        <w:rPr>
          <w:rFonts w:hint="eastAsia" w:hAnsi="宋体"/>
          <w:bCs/>
        </w:rPr>
        <w:t>对采购过程提出质疑的，为各采购程序环节结束之日；</w:t>
      </w:r>
    </w:p>
    <w:p>
      <w:pPr>
        <w:widowControl/>
        <w:adjustRightInd w:val="0"/>
        <w:snapToGrid w:val="0"/>
        <w:spacing w:line="420" w:lineRule="exact"/>
        <w:ind w:firstLine="102" w:firstLineChars="49"/>
        <w:jc w:val="left"/>
        <w:rPr>
          <w:rFonts w:ascii="宋体" w:hAnsi="宋体" w:cs="Courier New"/>
          <w:bCs/>
          <w:szCs w:val="21"/>
        </w:rPr>
      </w:pPr>
      <w:r>
        <w:rPr>
          <w:rFonts w:hint="eastAsia" w:ascii="宋体" w:hAnsi="宋体" w:cs="Courier New"/>
          <w:bCs/>
          <w:szCs w:val="21"/>
        </w:rPr>
        <w:t xml:space="preserve">  (</w:t>
      </w:r>
      <w:r>
        <w:rPr>
          <w:rFonts w:ascii="宋体" w:hAnsi="宋体" w:cs="Courier New"/>
          <w:bCs/>
          <w:szCs w:val="21"/>
        </w:rPr>
        <w:t>3)</w:t>
      </w:r>
      <w:r>
        <w:rPr>
          <w:rFonts w:hint="eastAsia" w:ascii="宋体" w:hAnsi="宋体" w:cs="Courier New"/>
          <w:bCs/>
          <w:szCs w:val="21"/>
        </w:rPr>
        <w:t>对成交结果提出质疑的，为成交结果公告期限届满之日。</w:t>
      </w:r>
    </w:p>
    <w:p>
      <w:pPr>
        <w:widowControl/>
        <w:adjustRightInd w:val="0"/>
        <w:snapToGrid w:val="0"/>
        <w:spacing w:line="420" w:lineRule="exact"/>
        <w:ind w:firstLine="420"/>
        <w:jc w:val="left"/>
        <w:rPr>
          <w:rFonts w:ascii="宋体" w:hAnsi="宋体" w:cs="Courier New"/>
          <w:bCs/>
          <w:szCs w:val="21"/>
        </w:rPr>
      </w:pPr>
      <w:r>
        <w:rPr>
          <w:rFonts w:ascii="宋体" w:hAnsi="宋体" w:cs="Courier New"/>
          <w:bCs/>
          <w:szCs w:val="21"/>
        </w:rPr>
        <w:t>3.</w:t>
      </w:r>
      <w:r>
        <w:rPr>
          <w:rFonts w:hint="eastAsia" w:hAnsi="宋体"/>
        </w:rPr>
        <w:t>供应商对采购人、本中心质疑答复不满意或者采购人、本中心未在规定时间内作出答复的，可以在答复期满后十五个工作日内向同级采购监管部门投诉。</w:t>
      </w:r>
    </w:p>
    <w:p>
      <w:pPr>
        <w:pStyle w:val="23"/>
        <w:snapToGrid w:val="0"/>
        <w:spacing w:line="420" w:lineRule="exact"/>
        <w:ind w:firstLine="420"/>
        <w:rPr>
          <w:rFonts w:hAnsi="宋体"/>
          <w:bCs/>
        </w:rPr>
      </w:pPr>
      <w:r>
        <w:rPr>
          <w:rFonts w:hAnsi="宋体"/>
          <w:bCs/>
        </w:rPr>
        <w:t>4.</w:t>
      </w:r>
      <w:r>
        <w:rPr>
          <w:rFonts w:hint="eastAsia" w:hAnsi="宋体"/>
          <w:bCs/>
        </w:rPr>
        <w:t>质疑、投诉应当采用书面形式，质疑书、投诉书均应明确阐述采购文件、采购过程或成交结果中使自己合法权益受到损害的实质性内容，提供相关事实、依据和证据及其来源或线索，便于有关单位调查、答复和处理。（质疑、投诉不接受传真形式）</w:t>
      </w:r>
    </w:p>
    <w:p>
      <w:pPr>
        <w:pStyle w:val="23"/>
        <w:snapToGrid w:val="0"/>
        <w:spacing w:line="420" w:lineRule="exact"/>
        <w:ind w:firstLine="420"/>
        <w:rPr>
          <w:rFonts w:hAnsi="宋体"/>
          <w:bCs/>
        </w:rPr>
      </w:pPr>
      <w:r>
        <w:rPr>
          <w:rFonts w:hint="eastAsia" w:hAnsi="宋体"/>
          <w:bCs/>
        </w:rPr>
        <w:t>质疑部门联系方式：钦州市政府采购中心    0777-2886002</w:t>
      </w:r>
    </w:p>
    <w:p>
      <w:pPr>
        <w:pStyle w:val="23"/>
        <w:snapToGrid w:val="0"/>
        <w:spacing w:line="420" w:lineRule="exact"/>
        <w:ind w:firstLine="420"/>
        <w:rPr>
          <w:rFonts w:hAnsi="宋体"/>
          <w:bCs/>
        </w:rPr>
      </w:pPr>
      <w:r>
        <w:rPr>
          <w:rFonts w:hint="eastAsia" w:hAnsi="宋体"/>
          <w:bCs/>
        </w:rPr>
        <w:t>采购监管部门联系方式：钦州市财政局   0777-2895258</w:t>
      </w:r>
    </w:p>
    <w:p>
      <w:pPr>
        <w:spacing w:line="400" w:lineRule="exact"/>
        <w:ind w:firstLine="211" w:firstLineChars="100"/>
        <w:rPr>
          <w:b/>
          <w:bCs/>
        </w:rPr>
      </w:pPr>
      <w:r>
        <w:rPr>
          <w:rFonts w:hint="eastAsia"/>
          <w:b/>
          <w:bCs/>
        </w:rPr>
        <w:t xml:space="preserve">（十）查询媒体 </w:t>
      </w:r>
      <w:r>
        <w:rPr>
          <w:rFonts w:hint="eastAsia" w:hAnsi="宋体"/>
        </w:rPr>
        <w:t>中国政府采购网、</w:t>
      </w:r>
      <w:r>
        <w:fldChar w:fldCharType="begin"/>
      </w:r>
      <w:r>
        <w:instrText xml:space="preserve"> HYPERLINK "http://zfcg.gxzf.gov.cn/" </w:instrText>
      </w:r>
      <w:r>
        <w:fldChar w:fldCharType="separate"/>
      </w:r>
      <w:r>
        <w:rPr>
          <w:rStyle w:val="49"/>
          <w:rFonts w:hint="eastAsia" w:hAnsi="宋体"/>
          <w:color w:val="auto"/>
          <w:u w:val="none"/>
        </w:rPr>
        <w:t>广西政府采购网</w:t>
      </w:r>
      <w:r>
        <w:rPr>
          <w:rStyle w:val="49"/>
          <w:rFonts w:hint="eastAsia" w:hAnsi="宋体"/>
          <w:color w:val="auto"/>
          <w:u w:val="none"/>
        </w:rPr>
        <w:fldChar w:fldCharType="end"/>
      </w:r>
      <w:r>
        <w:rPr>
          <w:rFonts w:hint="eastAsia" w:hAnsi="宋体"/>
        </w:rPr>
        <w:t>。</w:t>
      </w:r>
    </w:p>
    <w:p>
      <w:pPr>
        <w:pStyle w:val="4"/>
        <w:spacing w:line="420" w:lineRule="exact"/>
      </w:pPr>
      <w:bookmarkStart w:id="73" w:name="_Toc353785286"/>
      <w:bookmarkStart w:id="74" w:name="_Toc352700416"/>
      <w:r>
        <w:rPr>
          <w:rFonts w:hint="eastAsia"/>
        </w:rPr>
        <w:t>二、竞争性谈判采购文件</w:t>
      </w:r>
      <w:bookmarkEnd w:id="73"/>
      <w:bookmarkEnd w:id="74"/>
    </w:p>
    <w:p>
      <w:pPr>
        <w:spacing w:line="420" w:lineRule="exact"/>
        <w:ind w:firstLine="211" w:firstLineChars="100"/>
        <w:rPr>
          <w:b/>
          <w:bCs/>
        </w:rPr>
      </w:pPr>
      <w:bookmarkStart w:id="75" w:name="_Toc352700417"/>
      <w:bookmarkStart w:id="76" w:name="_Toc353785287"/>
      <w:r>
        <w:rPr>
          <w:rFonts w:hint="eastAsia"/>
          <w:b/>
          <w:bCs/>
        </w:rPr>
        <w:t>（一）竞争性谈判采购文件的组成</w:t>
      </w:r>
      <w:bookmarkEnd w:id="75"/>
      <w:bookmarkEnd w:id="76"/>
    </w:p>
    <w:p>
      <w:pPr>
        <w:pStyle w:val="23"/>
        <w:snapToGrid w:val="0"/>
        <w:spacing w:line="420" w:lineRule="exact"/>
        <w:ind w:firstLine="420" w:firstLineChars="200"/>
        <w:rPr>
          <w:rFonts w:hAnsi="宋体"/>
        </w:rPr>
      </w:pPr>
      <w:r>
        <w:rPr>
          <w:rFonts w:hint="eastAsia" w:hAnsi="宋体"/>
        </w:rPr>
        <w:t>第一章 竞争性谈判公告</w:t>
      </w:r>
    </w:p>
    <w:p>
      <w:pPr>
        <w:pStyle w:val="23"/>
        <w:snapToGrid w:val="0"/>
        <w:spacing w:line="420" w:lineRule="exact"/>
        <w:ind w:firstLine="420" w:firstLineChars="200"/>
        <w:rPr>
          <w:rFonts w:hAnsi="宋体"/>
        </w:rPr>
      </w:pPr>
      <w:r>
        <w:rPr>
          <w:rFonts w:hint="eastAsia" w:hAnsi="宋体"/>
        </w:rPr>
        <w:t>第二章 项目需求</w:t>
      </w:r>
    </w:p>
    <w:p>
      <w:pPr>
        <w:pStyle w:val="23"/>
        <w:snapToGrid w:val="0"/>
        <w:spacing w:line="420" w:lineRule="exact"/>
        <w:ind w:firstLine="420" w:firstLineChars="200"/>
        <w:rPr>
          <w:rFonts w:hAnsi="宋体"/>
        </w:rPr>
      </w:pPr>
      <w:r>
        <w:rPr>
          <w:rFonts w:hint="eastAsia" w:hAnsi="宋体"/>
        </w:rPr>
        <w:t>第三章 供应商须知</w:t>
      </w:r>
    </w:p>
    <w:p>
      <w:pPr>
        <w:pStyle w:val="23"/>
        <w:snapToGrid w:val="0"/>
        <w:spacing w:line="420" w:lineRule="exact"/>
        <w:ind w:firstLine="420" w:firstLineChars="200"/>
        <w:rPr>
          <w:rFonts w:hAnsi="宋体"/>
        </w:rPr>
      </w:pPr>
      <w:r>
        <w:rPr>
          <w:rFonts w:hint="eastAsia" w:hAnsi="宋体"/>
        </w:rPr>
        <w:t>第四章 评定标准及推荐原则</w:t>
      </w:r>
    </w:p>
    <w:p>
      <w:pPr>
        <w:pStyle w:val="23"/>
        <w:snapToGrid w:val="0"/>
        <w:spacing w:line="420" w:lineRule="exact"/>
        <w:ind w:firstLine="420" w:firstLineChars="200"/>
        <w:rPr>
          <w:rFonts w:hAnsi="宋体"/>
        </w:rPr>
      </w:pPr>
      <w:r>
        <w:rPr>
          <w:rFonts w:hint="eastAsia" w:hAnsi="宋体"/>
        </w:rPr>
        <w:t>第五章 合同文本</w:t>
      </w:r>
    </w:p>
    <w:p>
      <w:pPr>
        <w:pStyle w:val="23"/>
        <w:snapToGrid w:val="0"/>
        <w:spacing w:line="420" w:lineRule="exact"/>
        <w:ind w:firstLine="420" w:firstLineChars="200"/>
        <w:rPr>
          <w:rFonts w:hAnsi="宋体"/>
        </w:rPr>
      </w:pPr>
      <w:r>
        <w:rPr>
          <w:rFonts w:hint="eastAsia" w:hAnsi="宋体"/>
        </w:rPr>
        <w:t>第六章 响应文件格式</w:t>
      </w:r>
    </w:p>
    <w:p>
      <w:pPr>
        <w:spacing w:line="420" w:lineRule="exact"/>
        <w:ind w:firstLine="211" w:firstLineChars="100"/>
        <w:rPr>
          <w:b/>
          <w:bCs/>
        </w:rPr>
      </w:pPr>
      <w:bookmarkStart w:id="77" w:name="_Toc353785289"/>
      <w:bookmarkStart w:id="78" w:name="_Toc352700419"/>
      <w:r>
        <w:rPr>
          <w:rFonts w:hint="eastAsia"/>
          <w:b/>
          <w:bCs/>
        </w:rPr>
        <w:t>（二）竞争性谈判采购文件的澄清与修改</w:t>
      </w:r>
      <w:bookmarkEnd w:id="77"/>
      <w:bookmarkEnd w:id="78"/>
    </w:p>
    <w:p>
      <w:pPr>
        <w:pStyle w:val="23"/>
        <w:snapToGrid w:val="0"/>
        <w:spacing w:line="420" w:lineRule="exact"/>
        <w:ind w:firstLine="420"/>
        <w:jc w:val="left"/>
        <w:rPr>
          <w:rFonts w:hAnsi="宋体"/>
        </w:rPr>
      </w:pPr>
      <w:r>
        <w:rPr>
          <w:rFonts w:hint="eastAsia" w:hAnsi="宋体"/>
        </w:rPr>
        <w:t>1</w:t>
      </w:r>
      <w:r>
        <w:rPr>
          <w:rFonts w:hAnsi="宋体"/>
        </w:rPr>
        <w:t>.</w:t>
      </w:r>
      <w:r>
        <w:rPr>
          <w:rFonts w:hint="eastAsia" w:hAnsi="宋体"/>
        </w:rPr>
        <w:t>提交首次响应文件截止之日前，采购人、本中心或者谈判小组可以对已发出的谈判文件进行必要的澄清或者修改，澄清或者修改的内容作为谈判文件的组成部分。澄清或者修改应当在原公告发布媒体上发布澄清公告。澄清或者修改的内容可能影响响应文件编制的，采购人、本中心或者谈判小组应当在提交首次响应文件截止之日3个工作日前，以书面形式通知所有依法接收谈判文件的供应商，不足3个工作日的，应当顺延提交首次响应文件截止之日。</w:t>
      </w:r>
    </w:p>
    <w:p>
      <w:pPr>
        <w:pStyle w:val="23"/>
        <w:snapToGrid w:val="0"/>
        <w:spacing w:line="420" w:lineRule="exact"/>
        <w:ind w:firstLine="420"/>
        <w:jc w:val="left"/>
        <w:rPr>
          <w:rFonts w:hAnsi="宋体"/>
        </w:rPr>
      </w:pPr>
      <w:r>
        <w:rPr>
          <w:rFonts w:hint="eastAsia" w:hAnsi="宋体"/>
        </w:rPr>
        <w:t>2</w:t>
      </w:r>
      <w:r>
        <w:rPr>
          <w:rFonts w:hAnsi="宋体"/>
        </w:rPr>
        <w:t>.</w:t>
      </w:r>
      <w:r>
        <w:rPr>
          <w:rFonts w:hint="eastAsia" w:hAnsi="宋体"/>
        </w:rPr>
        <w:t>提供期限届满后，获取谈判文件的供应商不足3家的，本中心可以顺延提供期限，并予公告。</w:t>
      </w:r>
    </w:p>
    <w:p>
      <w:pPr>
        <w:pStyle w:val="4"/>
        <w:spacing w:line="420" w:lineRule="exact"/>
      </w:pPr>
      <w:r>
        <w:rPr>
          <w:rFonts w:hint="eastAsia"/>
        </w:rPr>
        <w:t>三、响应文件</w:t>
      </w:r>
    </w:p>
    <w:p>
      <w:pPr>
        <w:spacing w:line="420" w:lineRule="exact"/>
        <w:ind w:firstLine="211" w:firstLineChars="100"/>
        <w:rPr>
          <w:rFonts w:hAnsi="宋体"/>
          <w:b/>
          <w:bCs/>
        </w:rPr>
      </w:pPr>
      <w:r>
        <w:rPr>
          <w:rFonts w:hint="eastAsia" w:hAnsi="宋体"/>
          <w:b/>
          <w:bCs/>
        </w:rPr>
        <w:t>（一）供应商的风险</w:t>
      </w:r>
    </w:p>
    <w:p>
      <w:pPr>
        <w:spacing w:line="420" w:lineRule="exact"/>
        <w:ind w:firstLine="420"/>
        <w:rPr>
          <w:rFonts w:hAnsi="宋体"/>
        </w:rPr>
      </w:pPr>
      <w:r>
        <w:rPr>
          <w:rFonts w:hAnsi="宋体"/>
        </w:rPr>
        <w:t>1.</w:t>
      </w:r>
      <w:r>
        <w:rPr>
          <w:rFonts w:hint="eastAsia" w:hAnsi="宋体"/>
        </w:rPr>
        <w:t>供应商应当按照谈判文件的要求编制响应文件，并对其提交的响应文件的真实性、合法性承担法律责任。</w:t>
      </w:r>
    </w:p>
    <w:p>
      <w:pPr>
        <w:spacing w:line="420" w:lineRule="exact"/>
        <w:ind w:firstLine="420"/>
        <w:rPr>
          <w:rFonts w:hAnsi="宋体"/>
        </w:rPr>
      </w:pPr>
      <w:r>
        <w:rPr>
          <w:rFonts w:hAnsi="宋体"/>
        </w:rPr>
        <w:t>2.</w:t>
      </w:r>
      <w:r>
        <w:rPr>
          <w:rFonts w:hint="eastAsia" w:hAnsi="宋体"/>
        </w:rPr>
        <w:t>供应商在采购活动中提供任何虚假材料的，谈判小组将报财政部门查处。</w:t>
      </w:r>
    </w:p>
    <w:p>
      <w:pPr>
        <w:snapToGrid w:val="0"/>
        <w:spacing w:line="420" w:lineRule="exact"/>
        <w:ind w:firstLine="211" w:firstLineChars="100"/>
        <w:rPr>
          <w:rFonts w:ascii="宋体" w:hAnsi="宋体"/>
          <w:b/>
          <w:szCs w:val="21"/>
        </w:rPr>
      </w:pPr>
      <w:r>
        <w:rPr>
          <w:rFonts w:hint="eastAsia" w:hAnsi="宋体"/>
          <w:b/>
          <w:bCs/>
        </w:rPr>
        <w:t>（二）</w:t>
      </w:r>
      <w:r>
        <w:rPr>
          <w:rFonts w:hint="eastAsia" w:ascii="宋体" w:hAnsi="宋体"/>
          <w:b/>
          <w:szCs w:val="21"/>
        </w:rPr>
        <w:t>响应文件的组成</w:t>
      </w:r>
    </w:p>
    <w:p>
      <w:pPr>
        <w:snapToGrid w:val="0"/>
        <w:spacing w:line="420" w:lineRule="exact"/>
        <w:ind w:firstLine="422"/>
        <w:rPr>
          <w:rFonts w:ascii="宋体" w:hAnsi="宋体"/>
          <w:b/>
          <w:szCs w:val="21"/>
        </w:rPr>
      </w:pPr>
      <w:bookmarkStart w:id="79" w:name="_Hlk92285760"/>
      <w:r>
        <w:rPr>
          <w:rFonts w:ascii="宋体" w:hAnsi="宋体"/>
          <w:b/>
          <w:szCs w:val="21"/>
        </w:rPr>
        <w:t>1.</w:t>
      </w:r>
      <w:r>
        <w:rPr>
          <w:rFonts w:hint="eastAsia" w:ascii="宋体" w:hAnsi="宋体"/>
          <w:b/>
          <w:szCs w:val="21"/>
        </w:rPr>
        <w:t>资格文件：</w:t>
      </w:r>
    </w:p>
    <w:p>
      <w:pPr>
        <w:tabs>
          <w:tab w:val="left" w:pos="3870"/>
          <w:tab w:val="left" w:pos="4085"/>
        </w:tabs>
        <w:snapToGrid w:val="0"/>
        <w:spacing w:line="420" w:lineRule="exact"/>
        <w:ind w:firstLine="420"/>
        <w:rPr>
          <w:rFonts w:ascii="宋体" w:hAnsi="宋体"/>
          <w:szCs w:val="21"/>
        </w:rPr>
      </w:pPr>
      <w:r>
        <w:rPr>
          <w:rFonts w:hint="eastAsia" w:ascii="宋体" w:hAnsi="宋体" w:cs="宋体"/>
          <w:bCs/>
          <w:kern w:val="0"/>
          <w:szCs w:val="21"/>
        </w:rPr>
        <w:t>★</w:t>
      </w:r>
      <w:bookmarkStart w:id="80" w:name="_Hlk90369149"/>
      <w:r>
        <w:rPr>
          <w:rFonts w:hint="eastAsia" w:ascii="宋体" w:hAnsi="宋体"/>
          <w:szCs w:val="21"/>
        </w:rPr>
        <w:t>(</w:t>
      </w:r>
      <w:r>
        <w:rPr>
          <w:rFonts w:ascii="宋体" w:hAnsi="宋体"/>
          <w:szCs w:val="21"/>
        </w:rPr>
        <w:t>1)</w:t>
      </w:r>
      <w:r>
        <w:rPr>
          <w:rFonts w:hint="eastAsia" w:ascii="宋体" w:hAnsi="宋体"/>
          <w:szCs w:val="21"/>
        </w:rPr>
        <w:t>法人或者其他组织的营业执照等证明文件</w:t>
      </w:r>
    </w:p>
    <w:bookmarkEnd w:id="80"/>
    <w:p>
      <w:pPr>
        <w:tabs>
          <w:tab w:val="left" w:pos="3870"/>
          <w:tab w:val="left" w:pos="4085"/>
        </w:tabs>
        <w:snapToGrid w:val="0"/>
        <w:spacing w:line="420" w:lineRule="exact"/>
        <w:ind w:firstLine="420"/>
        <w:rPr>
          <w:rFonts w:ascii="宋体" w:hAnsi="宋体" w:cs="宋体"/>
          <w:szCs w:val="21"/>
        </w:rPr>
      </w:pPr>
      <w:r>
        <w:rPr>
          <w:rFonts w:hint="eastAsia" w:ascii="宋体" w:hAnsi="宋体" w:cs="宋体"/>
          <w:bCs/>
          <w:kern w:val="0"/>
          <w:szCs w:val="21"/>
        </w:rPr>
        <w:t>★(</w:t>
      </w:r>
      <w:r>
        <w:rPr>
          <w:rFonts w:ascii="宋体" w:hAnsi="宋体" w:cs="宋体"/>
          <w:bCs/>
          <w:kern w:val="0"/>
          <w:szCs w:val="21"/>
        </w:rPr>
        <w:t>2)</w:t>
      </w:r>
      <w:bookmarkStart w:id="81" w:name="_Hlk147761368"/>
      <w:r>
        <w:rPr>
          <w:rFonts w:hint="eastAsia" w:ascii="宋体" w:hAnsi="宋体"/>
          <w:szCs w:val="21"/>
        </w:rPr>
        <w:t>供应商具备参加政府采购活动条件的承诺书</w:t>
      </w:r>
      <w:r>
        <w:rPr>
          <w:rFonts w:hint="eastAsia" w:ascii="宋体" w:hAnsi="宋体" w:cs="宋体"/>
          <w:szCs w:val="21"/>
        </w:rPr>
        <w:t>(格式见第六章</w:t>
      </w:r>
      <w:r>
        <w:rPr>
          <w:rFonts w:ascii="宋体" w:hAnsi="宋体" w:cs="宋体"/>
          <w:szCs w:val="21"/>
        </w:rPr>
        <w:t>）</w:t>
      </w:r>
      <w:bookmarkEnd w:id="81"/>
    </w:p>
    <w:p>
      <w:pPr>
        <w:tabs>
          <w:tab w:val="left" w:pos="3870"/>
          <w:tab w:val="left" w:pos="4085"/>
        </w:tabs>
        <w:snapToGrid w:val="0"/>
        <w:spacing w:line="420" w:lineRule="exact"/>
        <w:ind w:firstLine="420"/>
        <w:rPr>
          <w:rFonts w:hAnsi="宋体"/>
          <w:spacing w:val="-4"/>
        </w:rPr>
      </w:pPr>
      <w:r>
        <w:rPr>
          <w:rFonts w:hint="eastAsia" w:ascii="宋体" w:hAnsi="宋体" w:cs="宋体"/>
          <w:bCs/>
          <w:kern w:val="0"/>
          <w:szCs w:val="21"/>
        </w:rPr>
        <w:t>★(</w:t>
      </w:r>
      <w:r>
        <w:rPr>
          <w:rFonts w:ascii="宋体" w:hAnsi="宋体" w:cs="宋体"/>
          <w:bCs/>
          <w:kern w:val="0"/>
          <w:szCs w:val="21"/>
        </w:rPr>
        <w:t>3)</w:t>
      </w:r>
      <w:r>
        <w:rPr>
          <w:rFonts w:hint="eastAsia" w:hAnsi="宋体"/>
          <w:spacing w:val="-4"/>
        </w:rPr>
        <w:t>参加政府采购活动前3年内在经营活动中没有重大违法记录的书面声明(格式见第六章)</w:t>
      </w:r>
    </w:p>
    <w:p>
      <w:pPr>
        <w:snapToGrid w:val="0"/>
        <w:spacing w:line="420" w:lineRule="exact"/>
        <w:ind w:firstLine="422"/>
        <w:rPr>
          <w:rFonts w:ascii="宋体" w:hAnsi="宋体"/>
          <w:szCs w:val="21"/>
        </w:rPr>
      </w:pPr>
      <w:r>
        <w:rPr>
          <w:rFonts w:ascii="宋体" w:hAnsi="宋体"/>
          <w:b/>
          <w:szCs w:val="21"/>
        </w:rPr>
        <w:t>2.</w:t>
      </w:r>
      <w:r>
        <w:rPr>
          <w:rFonts w:hint="eastAsia" w:ascii="宋体" w:hAnsi="宋体"/>
          <w:b/>
          <w:szCs w:val="21"/>
        </w:rPr>
        <w:t>商务技术文件：</w:t>
      </w:r>
    </w:p>
    <w:p>
      <w:pPr>
        <w:tabs>
          <w:tab w:val="left" w:pos="3870"/>
          <w:tab w:val="left" w:pos="4085"/>
        </w:tabs>
        <w:snapToGrid w:val="0"/>
        <w:spacing w:line="420" w:lineRule="exact"/>
        <w:ind w:firstLine="420" w:firstLineChars="200"/>
        <w:rPr>
          <w:rFonts w:ascii="宋体" w:hAnsi="宋体"/>
          <w:szCs w:val="21"/>
        </w:rPr>
      </w:pPr>
      <w:r>
        <w:rPr>
          <w:rFonts w:hint="eastAsia" w:ascii="宋体" w:hAnsi="宋体" w:cs="宋体"/>
          <w:bCs/>
          <w:kern w:val="0"/>
          <w:szCs w:val="21"/>
        </w:rPr>
        <w:t>★</w:t>
      </w:r>
      <w:r>
        <w:rPr>
          <w:rFonts w:hint="eastAsia" w:ascii="宋体" w:hAnsi="宋体"/>
          <w:szCs w:val="21"/>
        </w:rPr>
        <w:t>(1</w:t>
      </w:r>
      <w:r>
        <w:rPr>
          <w:rFonts w:ascii="宋体" w:hAnsi="宋体"/>
          <w:szCs w:val="21"/>
        </w:rPr>
        <w:t>)</w:t>
      </w:r>
      <w:r>
        <w:rPr>
          <w:rFonts w:hint="eastAsia" w:ascii="宋体" w:hAnsi="宋体"/>
          <w:szCs w:val="21"/>
        </w:rPr>
        <w:t>谈判函（格式见第六章）</w:t>
      </w:r>
    </w:p>
    <w:p>
      <w:pPr>
        <w:tabs>
          <w:tab w:val="left" w:pos="3870"/>
          <w:tab w:val="left" w:pos="4085"/>
        </w:tabs>
        <w:snapToGrid w:val="0"/>
        <w:spacing w:line="420" w:lineRule="exact"/>
        <w:ind w:firstLine="420" w:firstLineChars="200"/>
        <w:rPr>
          <w:rFonts w:ascii="宋体" w:hAnsi="宋体"/>
          <w:szCs w:val="21"/>
        </w:rPr>
      </w:pPr>
      <w:r>
        <w:rPr>
          <w:rFonts w:hint="eastAsia" w:ascii="宋体" w:hAnsi="宋体" w:cs="宋体"/>
          <w:bCs/>
          <w:kern w:val="0"/>
          <w:szCs w:val="21"/>
        </w:rPr>
        <w:t>★</w:t>
      </w:r>
      <w:r>
        <w:rPr>
          <w:rFonts w:hint="eastAsia" w:ascii="宋体" w:hAnsi="宋体"/>
          <w:szCs w:val="21"/>
        </w:rPr>
        <w:t>(2</w:t>
      </w:r>
      <w:r>
        <w:rPr>
          <w:rFonts w:ascii="宋体" w:hAnsi="宋体"/>
          <w:szCs w:val="21"/>
        </w:rPr>
        <w:t>)</w:t>
      </w:r>
      <w:r>
        <w:rPr>
          <w:rFonts w:hint="eastAsia" w:ascii="宋体" w:hAnsi="宋体"/>
          <w:szCs w:val="21"/>
        </w:rPr>
        <w:t>法定代表人身份证</w:t>
      </w:r>
    </w:p>
    <w:p>
      <w:pPr>
        <w:snapToGrid w:val="0"/>
        <w:spacing w:line="420" w:lineRule="exact"/>
        <w:ind w:firstLine="420" w:firstLineChars="200"/>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法定代表人授权委托书和代理人身份证（委托代理时必须提供，格式见第六章）</w:t>
      </w:r>
    </w:p>
    <w:p>
      <w:pPr>
        <w:snapToGrid w:val="0"/>
        <w:spacing w:line="420" w:lineRule="exact"/>
        <w:ind w:firstLine="422" w:firstLineChars="200"/>
        <w:rPr>
          <w:rFonts w:ascii="宋体" w:hAnsi="宋体"/>
          <w:szCs w:val="21"/>
        </w:rPr>
      </w:pPr>
      <w:r>
        <w:rPr>
          <w:rFonts w:hint="eastAsia" w:ascii="宋体" w:hAnsi="宋体"/>
          <w:b/>
          <w:szCs w:val="21"/>
        </w:rPr>
        <w:t>★</w:t>
      </w:r>
      <w:r>
        <w:rPr>
          <w:rFonts w:hint="eastAsia" w:ascii="宋体" w:hAnsi="宋体"/>
          <w:szCs w:val="21"/>
        </w:rPr>
        <w:t>(4</w:t>
      </w:r>
      <w:r>
        <w:rPr>
          <w:rFonts w:ascii="宋体" w:hAnsi="宋体"/>
          <w:szCs w:val="21"/>
        </w:rPr>
        <w:t>)</w:t>
      </w:r>
      <w:r>
        <w:rPr>
          <w:rFonts w:ascii="宋体" w:hAnsi="宋体"/>
        </w:rPr>
        <w:t>商务响应表(格式见第六章)</w:t>
      </w:r>
    </w:p>
    <w:p>
      <w:pPr>
        <w:snapToGrid w:val="0"/>
        <w:spacing w:line="420" w:lineRule="exact"/>
        <w:ind w:firstLine="422" w:firstLineChars="200"/>
        <w:rPr>
          <w:rFonts w:ascii="宋体" w:hAnsi="宋体"/>
        </w:rPr>
      </w:pPr>
      <w:bookmarkStart w:id="82" w:name="_Hlk111707698"/>
      <w:r>
        <w:rPr>
          <w:rFonts w:hint="eastAsia" w:ascii="宋体" w:hAnsi="宋体"/>
          <w:b/>
          <w:szCs w:val="21"/>
        </w:rPr>
        <w:t>★</w:t>
      </w:r>
      <w:r>
        <w:rPr>
          <w:rFonts w:hint="eastAsia" w:ascii="宋体" w:hAnsi="宋体"/>
        </w:rPr>
        <w:t>(5</w:t>
      </w:r>
      <w:r>
        <w:rPr>
          <w:rFonts w:ascii="宋体" w:hAnsi="宋体"/>
        </w:rPr>
        <w:t>)</w:t>
      </w:r>
      <w:r>
        <w:rPr>
          <w:rFonts w:hint="eastAsia" w:ascii="宋体" w:hAnsi="宋体"/>
          <w:szCs w:val="21"/>
        </w:rPr>
        <w:t>技术响应表</w:t>
      </w:r>
      <w:bookmarkStart w:id="83" w:name="_Hlk92285954"/>
      <w:r>
        <w:rPr>
          <w:rFonts w:ascii="宋体" w:hAnsi="宋体"/>
        </w:rPr>
        <w:t>(格式见第六章)</w:t>
      </w:r>
      <w:bookmarkEnd w:id="83"/>
    </w:p>
    <w:p>
      <w:pPr>
        <w:snapToGrid w:val="0"/>
        <w:spacing w:line="420" w:lineRule="exact"/>
        <w:ind w:firstLine="422" w:firstLineChars="200"/>
        <w:rPr>
          <w:rFonts w:ascii="宋体" w:cs="宋体"/>
          <w:bCs/>
          <w:kern w:val="0"/>
          <w:szCs w:val="21"/>
        </w:rPr>
      </w:pPr>
      <w:r>
        <w:rPr>
          <w:rFonts w:hint="eastAsia" w:ascii="宋体" w:hAnsi="宋体"/>
          <w:b/>
          <w:szCs w:val="21"/>
        </w:rPr>
        <w:t>★</w:t>
      </w:r>
      <w:r>
        <w:rPr>
          <w:rFonts w:hint="eastAsia" w:ascii="宋体" w:cs="宋体"/>
          <w:bCs/>
          <w:kern w:val="0"/>
          <w:szCs w:val="21"/>
        </w:rPr>
        <w:t>(6</w:t>
      </w:r>
      <w:r>
        <w:rPr>
          <w:rFonts w:ascii="宋体" w:cs="宋体"/>
          <w:bCs/>
          <w:kern w:val="0"/>
          <w:szCs w:val="21"/>
        </w:rPr>
        <w:t>)</w:t>
      </w:r>
      <w:r>
        <w:rPr>
          <w:rFonts w:hint="eastAsia" w:ascii="宋体" w:cs="宋体"/>
          <w:kern w:val="0"/>
          <w:szCs w:val="21"/>
        </w:rPr>
        <w:t>售后服务承诺书</w:t>
      </w:r>
      <w:r>
        <w:rPr>
          <w:rFonts w:hint="eastAsia" w:ascii="宋体" w:cs="宋体"/>
          <w:bCs/>
          <w:kern w:val="0"/>
          <w:szCs w:val="21"/>
        </w:rPr>
        <w:t>（根据项目需求要求提供，格式自拟）</w:t>
      </w:r>
    </w:p>
    <w:p>
      <w:pPr>
        <w:snapToGrid w:val="0"/>
        <w:spacing w:line="420" w:lineRule="exact"/>
        <w:ind w:firstLine="422" w:firstLineChars="200"/>
        <w:rPr>
          <w:rFonts w:ascii="宋体" w:hAnsi="宋体"/>
          <w:color w:val="000000"/>
          <w:szCs w:val="21"/>
        </w:rPr>
      </w:pPr>
      <w:r>
        <w:rPr>
          <w:rFonts w:hint="eastAsia" w:ascii="宋体" w:hAnsi="宋体"/>
          <w:b/>
          <w:szCs w:val="21"/>
        </w:rPr>
        <w:t>★</w:t>
      </w:r>
      <w:r>
        <w:rPr>
          <w:rFonts w:hint="eastAsia" w:ascii="宋体" w:cs="宋体"/>
          <w:bCs/>
          <w:kern w:val="0"/>
          <w:szCs w:val="21"/>
        </w:rPr>
        <w:t>(7</w:t>
      </w:r>
      <w:r>
        <w:rPr>
          <w:rFonts w:ascii="宋体" w:cs="宋体"/>
          <w:bCs/>
          <w:kern w:val="0"/>
          <w:szCs w:val="21"/>
        </w:rPr>
        <w:t>)</w:t>
      </w:r>
      <w:r>
        <w:rPr>
          <w:rFonts w:hint="eastAsia" w:ascii="宋体" w:hAnsi="宋体"/>
          <w:color w:val="000000"/>
          <w:szCs w:val="21"/>
        </w:rPr>
        <w:t>《项目需求》中要求必须提供的材料（如有，必须提供）</w:t>
      </w:r>
    </w:p>
    <w:p>
      <w:pPr>
        <w:snapToGrid w:val="0"/>
        <w:spacing w:line="420" w:lineRule="exact"/>
        <w:ind w:firstLine="420" w:firstLineChars="200"/>
        <w:rPr>
          <w:rFonts w:ascii="宋体" w:hAnsi="宋体"/>
          <w:szCs w:val="21"/>
        </w:rPr>
      </w:pPr>
      <w:r>
        <w:rPr>
          <w:rFonts w:hint="eastAsia" w:ascii="宋体" w:hAnsi="宋体"/>
          <w:szCs w:val="21"/>
        </w:rPr>
        <w:t>(8)《中小企业声明函》或《残疾人福利性单位声明函》或省级以上监狱管理局、戒毒管理局(含新疆生产建设兵团)出具的属于监狱企业的证明文件（格式见第六章）</w:t>
      </w:r>
    </w:p>
    <w:p>
      <w:pPr>
        <w:snapToGrid w:val="0"/>
        <w:spacing w:line="420" w:lineRule="exact"/>
        <w:ind w:firstLine="420" w:firstLineChars="200"/>
        <w:rPr>
          <w:rFonts w:ascii="宋体" w:hAnsi="宋体"/>
          <w:szCs w:val="21"/>
        </w:rPr>
      </w:pPr>
      <w:r>
        <w:rPr>
          <w:rFonts w:hint="eastAsia" w:ascii="宋体" w:hAnsi="宋体"/>
          <w:szCs w:val="21"/>
        </w:rPr>
        <w:t>(9)《关于符合本国产品标准的声明函》或者财政部会同有关部门规定的有关证明文件（格式见第六章）</w:t>
      </w:r>
    </w:p>
    <w:p>
      <w:pPr>
        <w:pStyle w:val="32"/>
      </w:pPr>
    </w:p>
    <w:bookmarkEnd w:id="82"/>
    <w:p>
      <w:pPr>
        <w:snapToGrid w:val="0"/>
        <w:spacing w:line="420" w:lineRule="exact"/>
        <w:ind w:firstLine="422"/>
        <w:rPr>
          <w:rFonts w:ascii="宋体" w:hAnsi="宋体"/>
          <w:b/>
          <w:szCs w:val="21"/>
        </w:rPr>
      </w:pPr>
      <w:r>
        <w:rPr>
          <w:rFonts w:ascii="宋体" w:hAnsi="宋体"/>
          <w:b/>
          <w:szCs w:val="21"/>
        </w:rPr>
        <w:t>3.</w:t>
      </w:r>
      <w:r>
        <w:rPr>
          <w:rFonts w:hint="eastAsia" w:ascii="宋体" w:hAnsi="宋体"/>
          <w:b/>
          <w:szCs w:val="21"/>
        </w:rPr>
        <w:t>报价文件</w:t>
      </w:r>
    </w:p>
    <w:p>
      <w:pPr>
        <w:snapToGrid w:val="0"/>
        <w:spacing w:line="420" w:lineRule="exact"/>
        <w:ind w:firstLine="421"/>
        <w:rPr>
          <w:rFonts w:ascii="宋体" w:hAnsi="宋体"/>
          <w:bCs/>
          <w:szCs w:val="21"/>
        </w:rPr>
      </w:pPr>
      <w:bookmarkStart w:id="84" w:name="_Hlk92265738"/>
      <w:r>
        <w:rPr>
          <w:rFonts w:hint="eastAsia" w:ascii="宋体" w:hAnsi="宋体"/>
          <w:b/>
          <w:szCs w:val="21"/>
        </w:rPr>
        <w:t>★</w:t>
      </w:r>
      <w:r>
        <w:rPr>
          <w:rFonts w:hint="eastAsia" w:ascii="宋体" w:hAnsi="宋体"/>
          <w:bCs/>
          <w:szCs w:val="21"/>
        </w:rPr>
        <w:t>（1）报价明细表</w:t>
      </w:r>
      <w:bookmarkEnd w:id="84"/>
      <w:r>
        <w:rPr>
          <w:rFonts w:hint="eastAsia" w:ascii="宋体" w:hAnsi="宋体"/>
          <w:bCs/>
          <w:szCs w:val="21"/>
        </w:rPr>
        <w:t>(格式见第六章)。</w:t>
      </w:r>
    </w:p>
    <w:bookmarkEnd w:id="79"/>
    <w:p>
      <w:pPr>
        <w:snapToGrid w:val="0"/>
        <w:spacing w:line="420" w:lineRule="exact"/>
        <w:ind w:firstLine="422"/>
        <w:rPr>
          <w:rFonts w:ascii="宋体" w:hAnsi="宋体"/>
          <w:szCs w:val="21"/>
        </w:rPr>
      </w:pPr>
      <w:r>
        <w:rPr>
          <w:rFonts w:hint="eastAsia" w:ascii="宋体" w:hAnsi="宋体"/>
          <w:szCs w:val="21"/>
        </w:rPr>
        <w:t>注：标注★号的材料均为必须提供的材料须由供应商加盖公章，授权委托书必须由法定代表人签名，否则视为无效响应文件。</w:t>
      </w:r>
    </w:p>
    <w:p>
      <w:pPr>
        <w:spacing w:line="420" w:lineRule="exact"/>
        <w:ind w:firstLine="211" w:firstLineChars="100"/>
        <w:rPr>
          <w:rFonts w:ascii="宋体" w:hAnsi="宋体"/>
          <w:b/>
          <w:bCs/>
          <w:szCs w:val="21"/>
        </w:rPr>
      </w:pPr>
      <w:bookmarkStart w:id="85" w:name="_Hlk90906323"/>
      <w:r>
        <w:rPr>
          <w:rFonts w:hint="eastAsia" w:ascii="宋体" w:hAnsi="宋体"/>
          <w:b/>
          <w:szCs w:val="21"/>
        </w:rPr>
        <w:t>（三）</w:t>
      </w:r>
      <w:bookmarkStart w:id="86" w:name="_Toc254970537"/>
      <w:bookmarkStart w:id="87" w:name="_Toc254970678"/>
      <w:bookmarkStart w:id="88" w:name="_Toc353785292"/>
      <w:bookmarkStart w:id="89" w:name="_Toc352700422"/>
      <w:r>
        <w:rPr>
          <w:rFonts w:hint="eastAsia" w:ascii="宋体" w:hAnsi="宋体"/>
          <w:b/>
          <w:bCs/>
          <w:szCs w:val="21"/>
        </w:rPr>
        <w:t>响应文件的编制、签署及加密</w:t>
      </w:r>
    </w:p>
    <w:p>
      <w:pPr>
        <w:spacing w:line="420" w:lineRule="exact"/>
        <w:ind w:firstLine="420"/>
        <w:rPr>
          <w:rFonts w:ascii="宋体" w:hAnsi="宋体"/>
          <w:szCs w:val="21"/>
        </w:rPr>
      </w:pPr>
      <w:r>
        <w:rPr>
          <w:rFonts w:ascii="宋体" w:hAnsi="宋体"/>
          <w:szCs w:val="21"/>
        </w:rPr>
        <w:t>1.</w:t>
      </w:r>
      <w:r>
        <w:rPr>
          <w:rFonts w:hint="eastAsia" w:ascii="宋体" w:hAnsi="宋体"/>
          <w:szCs w:val="21"/>
        </w:rPr>
        <w:t>供应商应认真阅读、并充分理解招标文件的全部内容(包括所有的补充、修改内容)，承诺履行其各项条款的规定并按要求编制，响应文件应为电子文件或扫描件(样品除外)。</w:t>
      </w:r>
    </w:p>
    <w:p>
      <w:pPr>
        <w:spacing w:line="420" w:lineRule="exact"/>
        <w:ind w:firstLine="420"/>
        <w:rPr>
          <w:rFonts w:ascii="宋体" w:hAnsi="宋体"/>
          <w:szCs w:val="21"/>
        </w:rPr>
      </w:pPr>
      <w:r>
        <w:rPr>
          <w:rFonts w:ascii="宋体" w:hAnsi="宋体"/>
          <w:szCs w:val="21"/>
        </w:rPr>
        <w:t>2.</w:t>
      </w:r>
      <w:r>
        <w:rPr>
          <w:rFonts w:hint="eastAsia" w:ascii="宋体" w:hAnsi="宋体"/>
          <w:szCs w:val="21"/>
        </w:rPr>
        <w:t>供应商应通过广西政采云投标客户端编制加密响应文件。</w:t>
      </w:r>
    </w:p>
    <w:p>
      <w:pPr>
        <w:spacing w:line="420" w:lineRule="exact"/>
        <w:ind w:firstLine="420"/>
        <w:rPr>
          <w:rFonts w:ascii="宋体" w:hAnsi="宋体"/>
          <w:szCs w:val="21"/>
        </w:rPr>
      </w:pPr>
      <w:r>
        <w:rPr>
          <w:rFonts w:ascii="宋体" w:hAnsi="宋体"/>
          <w:szCs w:val="21"/>
        </w:rPr>
        <w:t>3.</w:t>
      </w:r>
      <w:r>
        <w:rPr>
          <w:rFonts w:hint="eastAsia" w:ascii="宋体" w:hAnsi="宋体"/>
          <w:szCs w:val="21"/>
        </w:rPr>
        <w:t>响应文件由资格文件、商务技术文件和报价文件组成，供应商应按规定的顺序编制并标注页码、准确设置评审关联点，未设置或未正确设置关联点而导致响应文件被误读、漏读或者查找不到相关响应内容的责任和后果由供应商承担。</w:t>
      </w:r>
    </w:p>
    <w:p>
      <w:pPr>
        <w:spacing w:line="420" w:lineRule="exact"/>
        <w:rPr>
          <w:rFonts w:ascii="宋体" w:hAnsi="宋体"/>
          <w:b/>
          <w:bCs/>
          <w:szCs w:val="21"/>
        </w:rPr>
      </w:pPr>
      <w:r>
        <w:rPr>
          <w:rFonts w:ascii="宋体" w:hAnsi="宋体"/>
          <w:szCs w:val="21"/>
        </w:rPr>
        <w:tab/>
      </w:r>
      <w:r>
        <w:rPr>
          <w:rFonts w:ascii="宋体" w:hAnsi="宋体"/>
          <w:b/>
          <w:bCs/>
          <w:szCs w:val="21"/>
        </w:rPr>
        <w:t>4.</w:t>
      </w:r>
      <w:bookmarkStart w:id="90" w:name="_Hlk112311085"/>
      <w:r>
        <w:rPr>
          <w:rFonts w:hint="eastAsia" w:ascii="宋体" w:hAnsi="宋体"/>
          <w:b/>
          <w:bCs/>
          <w:szCs w:val="21"/>
        </w:rPr>
        <w:t>响应文件由供应商在规定位置由法定代表人或授权委托人签名（可为电子签名</w:t>
      </w:r>
      <w:r>
        <w:rPr>
          <w:rFonts w:hint="eastAsia" w:ascii="宋体" w:hAnsi="宋体"/>
          <w:b/>
          <w:bCs/>
          <w:szCs w:val="21"/>
          <w:lang w:val="en-US" w:eastAsia="zh-CN"/>
        </w:rPr>
        <w:t>或签章</w:t>
      </w:r>
      <w:r>
        <w:rPr>
          <w:rFonts w:hint="eastAsia" w:ascii="宋体" w:hAnsi="宋体"/>
          <w:b/>
          <w:bCs/>
          <w:szCs w:val="21"/>
        </w:rPr>
        <w:t>）、填写供应商名称并加盖公章(简称“盖章”，可为电子公章)，供应商名称应写全称。</w:t>
      </w:r>
      <w:bookmarkEnd w:id="90"/>
    </w:p>
    <w:p>
      <w:pPr>
        <w:snapToGrid w:val="0"/>
        <w:spacing w:line="420" w:lineRule="exact"/>
        <w:ind w:firstLine="210" w:firstLineChars="100"/>
        <w:rPr>
          <w:rFonts w:ascii="宋体" w:hAnsi="宋体"/>
          <w:b/>
          <w:bCs/>
          <w:szCs w:val="21"/>
        </w:rPr>
      </w:pPr>
      <w:r>
        <w:rPr>
          <w:rFonts w:ascii="宋体" w:hAnsi="宋体"/>
          <w:szCs w:val="21"/>
        </w:rPr>
        <w:tab/>
      </w:r>
      <w:r>
        <w:rPr>
          <w:rFonts w:ascii="宋体" w:hAnsi="宋体"/>
          <w:szCs w:val="21"/>
        </w:rPr>
        <w:t>5.</w:t>
      </w:r>
      <w:r>
        <w:rPr>
          <w:rFonts w:hint="eastAsia" w:ascii="宋体" w:hAnsi="宋体"/>
          <w:szCs w:val="21"/>
        </w:rPr>
        <w:t>响应文件内容不完整、编排混乱、不清晰等原因导致被误读或漏读的责任和后果由供应商承担。</w:t>
      </w:r>
    </w:p>
    <w:bookmarkEnd w:id="85"/>
    <w:p>
      <w:pPr>
        <w:spacing w:line="420" w:lineRule="exact"/>
        <w:ind w:firstLine="211" w:firstLineChars="100"/>
      </w:pPr>
      <w:r>
        <w:rPr>
          <w:rFonts w:hint="eastAsia"/>
          <w:b/>
          <w:bCs/>
        </w:rPr>
        <w:t>（四）响应文件的语言及计量</w:t>
      </w:r>
      <w:bookmarkEnd w:id="86"/>
      <w:bookmarkEnd w:id="87"/>
      <w:bookmarkEnd w:id="88"/>
      <w:bookmarkEnd w:id="89"/>
    </w:p>
    <w:p>
      <w:pPr>
        <w:snapToGrid w:val="0"/>
        <w:spacing w:line="420" w:lineRule="exact"/>
        <w:ind w:firstLine="420"/>
        <w:rPr>
          <w:rFonts w:ascii="宋体" w:hAnsi="宋体"/>
          <w:szCs w:val="21"/>
        </w:rPr>
      </w:pPr>
      <w:r>
        <w:rPr>
          <w:rFonts w:ascii="宋体" w:hAnsi="宋体"/>
          <w:szCs w:val="21"/>
        </w:rPr>
        <w:t>1.</w:t>
      </w:r>
      <w:r>
        <w:rPr>
          <w:rFonts w:hint="eastAsia" w:ascii="宋体" w:hAnsi="宋体"/>
          <w:szCs w:val="21"/>
        </w:rPr>
        <w:t>响应文件以及供应商与采购人、本中心就有关事宜的所有来往函电，均应以中文汉语书写。除签名、盖章、专用名称等特殊情形外，以中文汉语以外的文字表述的视为无效文件。</w:t>
      </w:r>
    </w:p>
    <w:p>
      <w:pPr>
        <w:snapToGrid w:val="0"/>
        <w:spacing w:line="420" w:lineRule="exact"/>
        <w:ind w:firstLine="420"/>
        <w:rPr>
          <w:rFonts w:ascii="宋体" w:hAnsi="宋体"/>
          <w:szCs w:val="21"/>
        </w:rPr>
      </w:pPr>
      <w:r>
        <w:rPr>
          <w:rFonts w:ascii="宋体" w:hAnsi="宋体"/>
          <w:szCs w:val="21"/>
        </w:rPr>
        <w:t>2.响应</w:t>
      </w:r>
      <w:r>
        <w:rPr>
          <w:rFonts w:hint="eastAsia" w:ascii="宋体" w:hAnsi="宋体"/>
          <w:szCs w:val="21"/>
        </w:rPr>
        <w:t>文件的计量单位，采购文件已有明确规定的，使用采购文件规定的计量单位；采购文件没有规定的，应采用中华人民共和国法定计量单位（货币单位：人民币元），否则视为无效响应文件。</w:t>
      </w:r>
    </w:p>
    <w:p>
      <w:pPr>
        <w:pStyle w:val="4"/>
        <w:spacing w:before="0" w:after="0" w:line="440" w:lineRule="exact"/>
        <w:ind w:firstLine="211" w:firstLineChars="100"/>
        <w:rPr>
          <w:rFonts w:ascii="宋体" w:hAnsi="宋体" w:eastAsia="宋体"/>
          <w:sz w:val="21"/>
          <w:szCs w:val="21"/>
        </w:rPr>
      </w:pPr>
      <w:bookmarkStart w:id="91" w:name="_（五）报价"/>
      <w:bookmarkEnd w:id="91"/>
      <w:bookmarkStart w:id="92" w:name="_Toc353785293"/>
      <w:bookmarkStart w:id="93" w:name="_Toc254970538"/>
      <w:bookmarkStart w:id="94" w:name="_Toc352700423"/>
      <w:bookmarkStart w:id="95" w:name="_Toc254970679"/>
      <w:r>
        <w:rPr>
          <w:rFonts w:hint="eastAsia" w:ascii="宋体" w:hAnsi="宋体" w:eastAsia="宋体"/>
          <w:sz w:val="21"/>
          <w:szCs w:val="21"/>
        </w:rPr>
        <w:t>（五）报价</w:t>
      </w:r>
      <w:bookmarkEnd w:id="92"/>
      <w:bookmarkEnd w:id="93"/>
      <w:bookmarkEnd w:id="94"/>
      <w:bookmarkEnd w:id="95"/>
    </w:p>
    <w:p>
      <w:pPr>
        <w:pStyle w:val="23"/>
        <w:snapToGrid w:val="0"/>
        <w:spacing w:line="420" w:lineRule="exact"/>
        <w:ind w:firstLine="420"/>
        <w:rPr>
          <w:rFonts w:hAnsi="宋体"/>
        </w:rPr>
      </w:pPr>
      <w:r>
        <w:rPr>
          <w:rFonts w:hAnsi="宋体"/>
        </w:rPr>
        <w:t>1.</w:t>
      </w:r>
      <w:r>
        <w:rPr>
          <w:rFonts w:hint="eastAsia" w:hAnsi="宋体"/>
        </w:rPr>
        <w:t>采购文件中未列明，而供应商认为必需的费用也须列入总报价。在合同实施时，采购人将不予支付成交供应商没有列入总报价的项目费用，并认为此项费用已包含在总报价中。</w:t>
      </w:r>
    </w:p>
    <w:p>
      <w:pPr>
        <w:pStyle w:val="23"/>
        <w:snapToGrid w:val="0"/>
        <w:spacing w:line="420" w:lineRule="exact"/>
        <w:ind w:firstLine="420"/>
      </w:pPr>
      <w:r>
        <w:rPr>
          <w:rFonts w:hAnsi="宋体"/>
        </w:rPr>
        <w:t>2</w:t>
      </w:r>
      <w:r>
        <w:rPr>
          <w:rFonts w:hint="eastAsia" w:hAnsi="宋体"/>
        </w:rPr>
        <w:t>.供应商</w:t>
      </w:r>
      <w:r>
        <w:rPr>
          <w:rFonts w:hint="eastAsia"/>
        </w:rPr>
        <w:t>必须就《项目需求》货物和服务的内容作完整唯一报价</w:t>
      </w:r>
      <w:r>
        <w:rPr>
          <w:rFonts w:hint="eastAsia" w:hAnsi="宋体"/>
        </w:rPr>
        <w:t>，有选择的或有条件的报价视为无效响应文件。</w:t>
      </w:r>
    </w:p>
    <w:p>
      <w:pPr>
        <w:tabs>
          <w:tab w:val="left" w:pos="525"/>
        </w:tabs>
        <w:snapToGrid w:val="0"/>
        <w:spacing w:line="420" w:lineRule="exact"/>
        <w:ind w:firstLine="420"/>
        <w:rPr>
          <w:rFonts w:ascii="宋体" w:hAnsi="宋体"/>
          <w:szCs w:val="21"/>
        </w:rPr>
      </w:pPr>
      <w:r>
        <w:rPr>
          <w:rFonts w:ascii="宋体" w:hAnsi="宋体"/>
          <w:szCs w:val="21"/>
        </w:rPr>
        <w:t>3.</w:t>
      </w:r>
      <w:r>
        <w:rPr>
          <w:rFonts w:hint="eastAsia" w:ascii="宋体" w:hAnsi="宋体"/>
          <w:szCs w:val="21"/>
        </w:rPr>
        <w:t>供应商的报价必须按采购文件或广西政府采购云平台规定的格式填写，并在规定时间内提交最后报价。</w:t>
      </w:r>
    </w:p>
    <w:p>
      <w:pPr>
        <w:tabs>
          <w:tab w:val="left" w:pos="525"/>
        </w:tabs>
        <w:snapToGrid w:val="0"/>
        <w:spacing w:line="420" w:lineRule="exact"/>
        <w:ind w:firstLine="420"/>
        <w:rPr>
          <w:rFonts w:ascii="宋体" w:hAnsi="宋体"/>
          <w:szCs w:val="21"/>
        </w:rPr>
      </w:pPr>
      <w:r>
        <w:rPr>
          <w:rFonts w:ascii="宋体" w:hAnsi="宋体"/>
          <w:szCs w:val="21"/>
        </w:rPr>
        <w:t>4.</w:t>
      </w:r>
      <w:r>
        <w:rPr>
          <w:rFonts w:hint="eastAsia" w:ascii="宋体" w:hAnsi="宋体"/>
          <w:szCs w:val="21"/>
        </w:rPr>
        <w:t>最后报价是供应商响应文件的有效组成部分。</w:t>
      </w:r>
    </w:p>
    <w:p>
      <w:pPr>
        <w:spacing w:line="420" w:lineRule="exact"/>
        <w:ind w:firstLine="211" w:firstLineChars="100"/>
        <w:rPr>
          <w:b/>
          <w:bCs/>
        </w:rPr>
      </w:pPr>
      <w:bookmarkStart w:id="96" w:name="_（六）谈判保证金"/>
      <w:bookmarkEnd w:id="96"/>
      <w:r>
        <w:rPr>
          <w:rFonts w:hint="eastAsia"/>
          <w:b/>
          <w:bCs/>
        </w:rPr>
        <w:t>（六）响应文件的上传、提交、修改、撤回</w:t>
      </w:r>
    </w:p>
    <w:p>
      <w:pPr>
        <w:snapToGrid w:val="0"/>
        <w:spacing w:line="420" w:lineRule="exact"/>
        <w:ind w:firstLine="420" w:firstLineChars="200"/>
        <w:rPr>
          <w:rFonts w:ascii="宋体" w:hAnsi="宋体"/>
          <w:szCs w:val="21"/>
        </w:rPr>
      </w:pPr>
      <w:r>
        <w:rPr>
          <w:rFonts w:ascii="宋体" w:hAnsi="宋体"/>
          <w:szCs w:val="21"/>
        </w:rPr>
        <w:t>1.</w:t>
      </w:r>
      <w:r>
        <w:rPr>
          <w:rFonts w:hint="eastAsia" w:ascii="宋体" w:hAnsi="宋体"/>
          <w:szCs w:val="21"/>
        </w:rPr>
        <w:t>响应文件的上传和提交:供应商须将编制好的加密响应文件上传至广西政府采购云平台，并在响应文件提交截止时间前提交，否则广西政府采购云平台将予以拒收。</w:t>
      </w:r>
    </w:p>
    <w:p>
      <w:pPr>
        <w:snapToGrid w:val="0"/>
        <w:spacing w:line="420" w:lineRule="exact"/>
        <w:ind w:firstLine="420" w:firstLineChars="200"/>
        <w:rPr>
          <w:rFonts w:ascii="宋体" w:hAnsi="宋体"/>
          <w:szCs w:val="21"/>
        </w:rPr>
      </w:pPr>
      <w:r>
        <w:rPr>
          <w:rFonts w:ascii="宋体" w:hAnsi="宋体"/>
          <w:szCs w:val="21"/>
        </w:rPr>
        <w:t>2.</w:t>
      </w:r>
      <w:r>
        <w:rPr>
          <w:rFonts w:hint="eastAsia" w:ascii="宋体" w:hAnsi="宋体"/>
          <w:szCs w:val="21"/>
        </w:rPr>
        <w:t>响应文件的修改和撤回：</w:t>
      </w:r>
      <w:r>
        <w:rPr>
          <w:rFonts w:hint="eastAsia"/>
          <w:szCs w:val="21"/>
        </w:rPr>
        <w:t>供应商在提交响应文件截止时间前，可以对所提交的响应文件进行补充、修改或者撤回</w:t>
      </w:r>
      <w:r>
        <w:rPr>
          <w:rFonts w:hint="eastAsia" w:ascii="宋体" w:hAnsi="宋体"/>
          <w:szCs w:val="21"/>
        </w:rPr>
        <w:t>。补充或者修改响应文件的，应当先行撤回原响应文件，补充、修改后重新上传、提交。响应文件提交截止时间前未完成重新提交的，视为撤回响应文件，响应文件提交截止时间后提交响应文件的，广西政府采购云平台将予以拒收。响应文件提交截止时间后，供应商不得撤回响应文件。</w:t>
      </w:r>
      <w:r>
        <w:rPr>
          <w:rFonts w:hint="eastAsia"/>
          <w:szCs w:val="21"/>
        </w:rPr>
        <w:t>补充、修改的内容作为响应文件的组成部分。补充、修改的内容与响应文件不一致的，以补充、修改的内容为准。</w:t>
      </w:r>
    </w:p>
    <w:p>
      <w:pPr>
        <w:pStyle w:val="4"/>
        <w:spacing w:line="420" w:lineRule="exact"/>
      </w:pPr>
      <w:bookmarkStart w:id="97" w:name="_四、响应文件开启"/>
      <w:bookmarkEnd w:id="97"/>
      <w:r>
        <w:rPr>
          <w:rFonts w:hint="eastAsia"/>
        </w:rPr>
        <w:t>四、</w:t>
      </w:r>
      <w:bookmarkStart w:id="98" w:name="_Toc352700430"/>
      <w:bookmarkStart w:id="99" w:name="_Toc353785300"/>
      <w:r>
        <w:rPr>
          <w:rFonts w:hint="eastAsia"/>
        </w:rPr>
        <w:t>响应文件开启</w:t>
      </w:r>
    </w:p>
    <w:bookmarkEnd w:id="98"/>
    <w:bookmarkEnd w:id="99"/>
    <w:p>
      <w:pPr>
        <w:spacing w:line="420" w:lineRule="exact"/>
        <w:ind w:firstLine="210" w:firstLineChars="100"/>
        <w:rPr>
          <w:rFonts w:ascii="方正小标宋_GBK" w:hAnsi="Arial" w:eastAsia="方正小标宋_GBK"/>
          <w:bCs/>
          <w:sz w:val="24"/>
        </w:rPr>
      </w:pPr>
      <w:r>
        <w:rPr>
          <w:rFonts w:hint="eastAsia"/>
        </w:rPr>
        <w:t>（一）本中心将在响应文件提交截止时间后在</w:t>
      </w:r>
      <w:bookmarkStart w:id="100" w:name="_Hlk90300735"/>
      <w:r>
        <w:rPr>
          <w:rFonts w:hint="eastAsia"/>
        </w:rPr>
        <w:t>广西政采云远程开标大厅</w:t>
      </w:r>
      <w:bookmarkEnd w:id="100"/>
      <w:r>
        <w:rPr>
          <w:rFonts w:hint="eastAsia"/>
        </w:rPr>
        <w:t>进行响应文件开启，供应商法定代表人或委托代理人须按时登录</w:t>
      </w:r>
      <w:bookmarkStart w:id="101" w:name="_Hlk90300780"/>
      <w:r>
        <w:rPr>
          <w:rFonts w:hint="eastAsia"/>
        </w:rPr>
        <w:t>广西政采云远程开标大厅</w:t>
      </w:r>
      <w:bookmarkEnd w:id="101"/>
      <w:r>
        <w:rPr>
          <w:rFonts w:hint="eastAsia"/>
        </w:rPr>
        <w:t>（广西政府采购云平台-应用中心-项目采购-开标评标），保持全程在线并关注评审、谈判进度，评审期间谈判小组提出澄清等要求时，供应商须在规定时间内进行应答，否则按采购文件或广西政采云平台的相关规定执行。</w:t>
      </w:r>
      <w:bookmarkStart w:id="102" w:name="_Toc352700431"/>
      <w:bookmarkStart w:id="103" w:name="_Toc353785301"/>
    </w:p>
    <w:p>
      <w:pPr>
        <w:spacing w:line="420" w:lineRule="exact"/>
        <w:ind w:firstLine="210" w:firstLineChars="100"/>
        <w:rPr>
          <w:rFonts w:ascii="方正小标宋_GBK" w:hAnsi="Arial" w:eastAsia="方正小标宋_GBK"/>
          <w:bCs/>
          <w:sz w:val="24"/>
        </w:rPr>
      </w:pPr>
      <w:r>
        <w:rPr>
          <w:rFonts w:hint="eastAsia"/>
        </w:rPr>
        <w:t>（二）</w:t>
      </w:r>
      <w:bookmarkEnd w:id="102"/>
      <w:bookmarkEnd w:id="103"/>
      <w:r>
        <w:rPr>
          <w:rFonts w:hint="eastAsia"/>
        </w:rPr>
        <w:t>解密</w:t>
      </w:r>
    </w:p>
    <w:p>
      <w:pPr>
        <w:spacing w:line="420" w:lineRule="exact"/>
        <w:ind w:firstLine="420" w:firstLineChars="200"/>
      </w:pPr>
      <w:r>
        <w:rPr>
          <w:rFonts w:hint="eastAsia"/>
        </w:rPr>
        <w:t>响应文件提交时间截止后，我中心将向各提交响应文件的供应商发出电子加密响应文件解密通知，供应商代表应当在接到解密通知后30分钟内对已加密的电子响应文件进行在线解密。供应商未在规定时间内完成解密的，广西政府采购云平台视为供应商自主放弃谈判。</w:t>
      </w:r>
    </w:p>
    <w:p>
      <w:pPr>
        <w:spacing w:line="420" w:lineRule="exact"/>
        <w:ind w:firstLine="211" w:firstLineChars="100"/>
        <w:rPr>
          <w:b/>
          <w:bCs/>
        </w:rPr>
      </w:pPr>
      <w:r>
        <w:rPr>
          <w:rFonts w:hint="eastAsia"/>
          <w:b/>
          <w:bCs/>
        </w:rPr>
        <w:t>（三）资格审查</w:t>
      </w:r>
    </w:p>
    <w:p>
      <w:pPr>
        <w:spacing w:line="420" w:lineRule="exact"/>
        <w:ind w:firstLine="420" w:firstLineChars="200"/>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采购人依法对供应商的资格进行审查，资格性审查时，如发现下列情形之一的，响应文件将被视为无效：</w:t>
      </w:r>
    </w:p>
    <w:p>
      <w:pPr>
        <w:spacing w:line="420" w:lineRule="exact"/>
        <w:ind w:firstLine="420" w:firstLineChars="200"/>
        <w:rPr>
          <w:rFonts w:ascii="宋体" w:hAnsi="宋体"/>
          <w:szCs w:val="21"/>
        </w:rPr>
      </w:pPr>
      <w:r>
        <w:rPr>
          <w:rFonts w:hint="eastAsia" w:ascii="宋体" w:hAnsi="宋体"/>
          <w:szCs w:val="21"/>
        </w:rPr>
        <w:t>(1)超越了按照法律法规规定必须获得行政许可或者行政审批的经营范围的；</w:t>
      </w:r>
    </w:p>
    <w:p>
      <w:pPr>
        <w:spacing w:line="420" w:lineRule="exact"/>
        <w:ind w:firstLine="420" w:firstLineChars="200"/>
        <w:rPr>
          <w:rFonts w:ascii="宋体" w:hAnsi="宋体"/>
          <w:szCs w:val="21"/>
        </w:rPr>
      </w:pPr>
      <w:r>
        <w:rPr>
          <w:rFonts w:hint="eastAsia" w:ascii="宋体" w:hAnsi="宋体"/>
          <w:szCs w:val="21"/>
        </w:rPr>
        <w:t>(2)资格证明文件不全的，或者不符合采购文件标明的资格要求的；</w:t>
      </w:r>
    </w:p>
    <w:p>
      <w:pPr>
        <w:snapToGrid w:val="0"/>
        <w:spacing w:line="420" w:lineRule="exact"/>
        <w:ind w:firstLine="420" w:firstLineChars="200"/>
        <w:jc w:val="left"/>
        <w:rPr>
          <w:rFonts w:ascii="宋体" w:hAnsi="宋体"/>
          <w:szCs w:val="21"/>
        </w:rPr>
      </w:pPr>
      <w:r>
        <w:rPr>
          <w:rFonts w:ascii="宋体" w:hAnsi="宋体"/>
          <w:szCs w:val="21"/>
        </w:rPr>
        <w:t>2.</w:t>
      </w:r>
      <w:r>
        <w:rPr>
          <w:rFonts w:hint="eastAsia" w:ascii="宋体" w:hAnsi="宋体"/>
          <w:szCs w:val="21"/>
        </w:rPr>
        <w:t>采购人或本中心将通过信用中国网站（www.creditchina.gov.cn）、中国政府采购网（www.ccgp.gov.cn）等渠道查询供应商的信用信息记录。供应商被列入失信被执行人、重大税收违法案件当事人名单、政府采购严重违法失信行为记录名单且有效期在响应文件递交截止时间的，将被拒绝参与本项目政府采购活动。</w:t>
      </w:r>
    </w:p>
    <w:p>
      <w:pPr>
        <w:pStyle w:val="4"/>
        <w:spacing w:line="420" w:lineRule="exact"/>
        <w:rPr>
          <w:rFonts w:ascii="宋体" w:hAnsi="宋体"/>
          <w:szCs w:val="21"/>
        </w:rPr>
      </w:pPr>
      <w:bookmarkStart w:id="104" w:name="_五、评审与谈判"/>
      <w:bookmarkEnd w:id="104"/>
      <w:bookmarkStart w:id="105" w:name="_Toc254970686"/>
      <w:bookmarkStart w:id="106" w:name="_Toc254970545"/>
      <w:bookmarkStart w:id="107" w:name="_Toc352700432"/>
      <w:bookmarkStart w:id="108" w:name="_Toc353785302"/>
      <w:r>
        <w:rPr>
          <w:rFonts w:hint="eastAsia"/>
        </w:rPr>
        <w:t>五、</w:t>
      </w:r>
      <w:bookmarkEnd w:id="105"/>
      <w:bookmarkEnd w:id="106"/>
      <w:bookmarkEnd w:id="107"/>
      <w:bookmarkEnd w:id="108"/>
      <w:r>
        <w:rPr>
          <w:rFonts w:hint="eastAsia" w:ascii="宋体" w:hAnsi="宋体"/>
          <w:szCs w:val="21"/>
        </w:rPr>
        <w:t>评审与谈判</w:t>
      </w:r>
    </w:p>
    <w:p>
      <w:pPr>
        <w:snapToGrid w:val="0"/>
        <w:spacing w:line="420" w:lineRule="exact"/>
        <w:ind w:firstLine="211" w:firstLineChars="100"/>
        <w:rPr>
          <w:rFonts w:ascii="宋体" w:hAnsi="宋体"/>
          <w:b/>
          <w:bCs/>
          <w:szCs w:val="21"/>
        </w:rPr>
      </w:pPr>
      <w:bookmarkStart w:id="109" w:name="_Toc352700433"/>
      <w:bookmarkStart w:id="110" w:name="_Toc353785303"/>
      <w:r>
        <w:rPr>
          <w:rFonts w:hint="eastAsia" w:ascii="宋体" w:hAnsi="宋体"/>
          <w:b/>
          <w:bCs/>
          <w:szCs w:val="21"/>
        </w:rPr>
        <w:t>（一）评审原则：</w:t>
      </w:r>
    </w:p>
    <w:p>
      <w:pPr>
        <w:snapToGrid w:val="0"/>
        <w:spacing w:line="420" w:lineRule="exact"/>
        <w:ind w:firstLine="420" w:firstLineChars="200"/>
        <w:rPr>
          <w:rFonts w:ascii="宋体" w:hAnsi="宋体"/>
          <w:szCs w:val="21"/>
        </w:rPr>
      </w:pPr>
      <w:r>
        <w:rPr>
          <w:rFonts w:ascii="宋体" w:hAnsi="宋体"/>
          <w:szCs w:val="21"/>
        </w:rPr>
        <w:t>1.</w:t>
      </w:r>
      <w:r>
        <w:rPr>
          <w:rFonts w:hint="eastAsia" w:ascii="宋体" w:hAnsi="宋体"/>
          <w:szCs w:val="21"/>
        </w:rPr>
        <w:t>谈判小组必须公平、公正、客观，不带任何倾向性和启发性；不得向外界透露任何与评审有关的内容；任何单位和个人不得干扰、影响评审的正常进行；谈判小组及有关工作人员不得私下接触供应商。</w:t>
      </w:r>
    </w:p>
    <w:p>
      <w:pPr>
        <w:snapToGrid w:val="0"/>
        <w:spacing w:line="420" w:lineRule="exact"/>
        <w:ind w:firstLine="420" w:firstLineChars="200"/>
        <w:rPr>
          <w:rFonts w:ascii="宋体" w:hAnsi="宋体"/>
          <w:szCs w:val="21"/>
        </w:rPr>
      </w:pPr>
      <w:r>
        <w:rPr>
          <w:rFonts w:ascii="宋体" w:hAnsi="宋体"/>
          <w:szCs w:val="21"/>
        </w:rPr>
        <w:t>2.</w:t>
      </w:r>
      <w:r>
        <w:rPr>
          <w:rFonts w:hint="eastAsia" w:ascii="宋体" w:hAnsi="宋体" w:cs="Courier New"/>
          <w:szCs w:val="21"/>
        </w:rPr>
        <w:t>本项目采用不公开方式评审，评审的依据为采购文件和响应文件。</w:t>
      </w:r>
    </w:p>
    <w:p>
      <w:pPr>
        <w:snapToGrid w:val="0"/>
        <w:spacing w:line="420" w:lineRule="exact"/>
        <w:ind w:firstLine="211" w:firstLineChars="100"/>
        <w:rPr>
          <w:rFonts w:ascii="宋体" w:hAnsi="宋体"/>
          <w:b/>
          <w:bCs/>
          <w:szCs w:val="21"/>
        </w:rPr>
      </w:pPr>
      <w:r>
        <w:rPr>
          <w:rFonts w:hint="eastAsia"/>
          <w:b/>
          <w:bCs/>
        </w:rPr>
        <w:t>（二）成立谈判小组</w:t>
      </w:r>
    </w:p>
    <w:p>
      <w:pPr>
        <w:snapToGrid w:val="0"/>
        <w:spacing w:line="420" w:lineRule="exact"/>
        <w:ind w:firstLine="420" w:firstLineChars="200"/>
        <w:rPr>
          <w:rFonts w:ascii="宋体" w:hAnsi="宋体"/>
          <w:szCs w:val="21"/>
        </w:rPr>
      </w:pPr>
      <w:r>
        <w:rPr>
          <w:rFonts w:hint="eastAsia" w:ascii="宋体" w:hAnsi="宋体" w:cs="Courier New"/>
          <w:bCs/>
          <w:szCs w:val="21"/>
        </w:rPr>
        <w:t>谈判小组</w:t>
      </w:r>
      <w:bookmarkEnd w:id="109"/>
      <w:bookmarkEnd w:id="110"/>
      <w:r>
        <w:rPr>
          <w:rFonts w:hint="eastAsia" w:ascii="宋体" w:hAnsi="宋体" w:cs="Courier New"/>
          <w:bCs/>
          <w:szCs w:val="21"/>
        </w:rPr>
        <w:t>由采购人代表和评审专家共3人以上单数组成，其中评审专家人数不得少于谈判小组成员总数的2/3。</w:t>
      </w:r>
    </w:p>
    <w:p>
      <w:pPr>
        <w:spacing w:line="420" w:lineRule="exact"/>
        <w:ind w:firstLine="211" w:firstLineChars="100"/>
        <w:rPr>
          <w:rFonts w:ascii="宋体" w:hAnsi="宋体"/>
          <w:b/>
          <w:bCs/>
          <w:szCs w:val="21"/>
        </w:rPr>
      </w:pPr>
      <w:r>
        <w:rPr>
          <w:rFonts w:hint="eastAsia" w:ascii="宋体" w:hAnsi="宋体"/>
          <w:b/>
          <w:bCs/>
          <w:szCs w:val="21"/>
        </w:rPr>
        <w:t>（三）确认谈判文件</w:t>
      </w:r>
    </w:p>
    <w:p>
      <w:pPr>
        <w:spacing w:line="420" w:lineRule="exact"/>
        <w:ind w:firstLine="420" w:firstLineChars="200"/>
        <w:rPr>
          <w:rFonts w:ascii="宋体" w:hAnsi="宋体"/>
          <w:b/>
          <w:bCs/>
          <w:szCs w:val="21"/>
        </w:rPr>
      </w:pPr>
      <w:r>
        <w:rPr>
          <w:rFonts w:hint="eastAsia" w:hAnsi="宋体"/>
        </w:rPr>
        <w:t>谈判小组对谈判文件进行确认，认可谈判文件的内容，符合法律法规的规定、不存在歧视性或排他性内容。</w:t>
      </w:r>
    </w:p>
    <w:p>
      <w:pPr>
        <w:spacing w:line="420" w:lineRule="exact"/>
        <w:ind w:firstLine="211" w:firstLineChars="100"/>
        <w:rPr>
          <w:rFonts w:ascii="宋体" w:hAnsi="宋体" w:cs="Courier New"/>
          <w:szCs w:val="21"/>
        </w:rPr>
      </w:pPr>
      <w:r>
        <w:rPr>
          <w:rFonts w:hint="eastAsia" w:ascii="宋体" w:hAnsi="宋体"/>
          <w:b/>
          <w:bCs/>
          <w:szCs w:val="21"/>
        </w:rPr>
        <w:t>（四）实质性审查</w:t>
      </w:r>
    </w:p>
    <w:p>
      <w:pPr>
        <w:snapToGrid w:val="0"/>
        <w:spacing w:line="420" w:lineRule="exact"/>
        <w:ind w:firstLine="420" w:firstLineChars="200"/>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谈判小组从符合相应资格条件的供应商名单中确定不少于3家的供应商参加谈判，对参加谈判的供应商响应文件进行评审，并根据谈判文件规定的程序、评定成交的标准等事项与实质性响应谈判文件要求的供应商进行谈判。未实质性响应竞争性谈判采购文件的响应文件按无效处理，谈判小组应当告知有关供应商。</w:t>
      </w:r>
    </w:p>
    <w:p>
      <w:pPr>
        <w:snapToGrid w:val="0"/>
        <w:spacing w:line="420" w:lineRule="exact"/>
        <w:ind w:firstLine="422" w:firstLineChars="200"/>
        <w:rPr>
          <w:rFonts w:ascii="宋体" w:hAnsi="宋体"/>
          <w:b/>
          <w:bCs/>
          <w:szCs w:val="21"/>
        </w:rPr>
      </w:pPr>
      <w:r>
        <w:rPr>
          <w:rFonts w:hint="eastAsia" w:ascii="宋体" w:hAnsi="宋体"/>
          <w:b/>
          <w:bCs/>
          <w:szCs w:val="21"/>
        </w:rPr>
        <w:t>2</w:t>
      </w:r>
      <w:r>
        <w:rPr>
          <w:rFonts w:ascii="宋体" w:hAnsi="宋体"/>
          <w:b/>
          <w:bCs/>
          <w:szCs w:val="21"/>
        </w:rPr>
        <w:t>.</w:t>
      </w:r>
      <w:r>
        <w:rPr>
          <w:rFonts w:hint="eastAsia" w:ascii="宋体" w:hAnsi="宋体"/>
          <w:b/>
          <w:bCs/>
          <w:szCs w:val="21"/>
        </w:rPr>
        <w:t>实质性审查时，如发现下列情形之一的，响应文件将被视为无效：</w:t>
      </w:r>
    </w:p>
    <w:p>
      <w:pPr>
        <w:snapToGrid w:val="0"/>
        <w:spacing w:line="420" w:lineRule="exact"/>
        <w:ind w:firstLine="525" w:firstLineChars="250"/>
        <w:rPr>
          <w:rFonts w:ascii="宋体" w:hAnsi="宋体"/>
          <w:szCs w:val="21"/>
        </w:rPr>
      </w:pPr>
      <w:bookmarkStart w:id="111" w:name="_Hlk112311783"/>
      <w:r>
        <w:rPr>
          <w:rFonts w:hint="eastAsia" w:ascii="宋体" w:hAnsi="宋体"/>
          <w:szCs w:val="21"/>
        </w:rPr>
        <w:t>①响应文件未按响应文件编制要求提供或内容虚假的；</w:t>
      </w:r>
    </w:p>
    <w:p>
      <w:pPr>
        <w:snapToGrid w:val="0"/>
        <w:spacing w:line="420" w:lineRule="exact"/>
        <w:ind w:firstLine="525" w:firstLineChars="250"/>
        <w:rPr>
          <w:rFonts w:ascii="宋体" w:hAnsi="宋体"/>
          <w:szCs w:val="21"/>
        </w:rPr>
      </w:pPr>
      <w:r>
        <w:rPr>
          <w:rFonts w:hint="eastAsia" w:ascii="宋体" w:hAnsi="宋体"/>
          <w:szCs w:val="21"/>
        </w:rPr>
        <w:t>②响应文件无法定代表人或其委托代理人签署、未提供授权委托书，或未按规定盖章的；</w:t>
      </w:r>
    </w:p>
    <w:p>
      <w:pPr>
        <w:snapToGrid w:val="0"/>
        <w:spacing w:line="420" w:lineRule="exact"/>
        <w:ind w:firstLine="525" w:firstLineChars="250"/>
        <w:rPr>
          <w:rFonts w:ascii="宋体" w:hAnsi="宋体"/>
          <w:szCs w:val="21"/>
        </w:rPr>
      </w:pPr>
      <w:r>
        <w:rPr>
          <w:rFonts w:hint="eastAsia" w:ascii="宋体" w:hAnsi="宋体"/>
          <w:szCs w:val="21"/>
        </w:rPr>
        <w:t>③供应商代表未能出具身份证明或与法定代表人委托代理人身份不符的；</w:t>
      </w:r>
    </w:p>
    <w:p>
      <w:pPr>
        <w:snapToGrid w:val="0"/>
        <w:spacing w:line="420" w:lineRule="exact"/>
        <w:ind w:firstLine="525" w:firstLineChars="250"/>
        <w:rPr>
          <w:rFonts w:ascii="宋体" w:hAnsi="宋体"/>
          <w:szCs w:val="21"/>
        </w:rPr>
      </w:pPr>
      <w:r>
        <w:rPr>
          <w:rFonts w:hint="eastAsia" w:ascii="宋体" w:hAnsi="宋体"/>
          <w:szCs w:val="21"/>
        </w:rPr>
        <w:t>④未实质性响应采购文件采购需求的技术、服务要求的；</w:t>
      </w:r>
    </w:p>
    <w:p>
      <w:pPr>
        <w:snapToGrid w:val="0"/>
        <w:spacing w:line="420" w:lineRule="exact"/>
        <w:ind w:firstLine="525" w:firstLineChars="250"/>
        <w:rPr>
          <w:rFonts w:ascii="宋体" w:hAnsi="宋体"/>
          <w:szCs w:val="21"/>
        </w:rPr>
      </w:pPr>
      <w:r>
        <w:rPr>
          <w:rFonts w:hint="eastAsia" w:ascii="宋体" w:hAnsi="宋体"/>
          <w:szCs w:val="21"/>
        </w:rPr>
        <w:t>⑤</w:t>
      </w:r>
      <w:r>
        <w:rPr>
          <w:rFonts w:hint="eastAsia" w:ascii="宋体" w:hAnsi="宋体"/>
          <w:spacing w:val="-4"/>
          <w:szCs w:val="21"/>
        </w:rPr>
        <w:t>不符合采购文件要求的质量标准，或者与采购文件中的技术指标、功能、服务事项发生较大偏离，已不符合采购人需求的；</w:t>
      </w:r>
    </w:p>
    <w:p>
      <w:pPr>
        <w:snapToGrid w:val="0"/>
        <w:spacing w:line="420" w:lineRule="exact"/>
        <w:ind w:firstLine="505" w:firstLineChars="250"/>
        <w:rPr>
          <w:rFonts w:ascii="宋体" w:hAnsi="宋体"/>
          <w:szCs w:val="21"/>
        </w:rPr>
      </w:pPr>
      <w:r>
        <w:rPr>
          <w:rFonts w:hint="eastAsia" w:ascii="宋体" w:hAnsi="宋体"/>
          <w:spacing w:val="-4"/>
          <w:szCs w:val="21"/>
        </w:rPr>
        <w:t>⑥</w:t>
      </w:r>
      <w:r>
        <w:rPr>
          <w:rFonts w:hint="eastAsia" w:ascii="宋体" w:hAnsi="宋体"/>
          <w:szCs w:val="21"/>
        </w:rPr>
        <w:t>响应文件有采购人不能接受的附加条件的。</w:t>
      </w:r>
    </w:p>
    <w:p>
      <w:pPr>
        <w:snapToGrid w:val="0"/>
        <w:spacing w:line="420" w:lineRule="exact"/>
        <w:ind w:firstLine="525" w:firstLineChars="250"/>
        <w:rPr>
          <w:rFonts w:ascii="宋体" w:hAnsi="宋体"/>
          <w:spacing w:val="-4"/>
          <w:szCs w:val="21"/>
        </w:rPr>
      </w:pPr>
      <w:r>
        <w:rPr>
          <w:rFonts w:hint="eastAsia" w:ascii="宋体" w:hAnsi="宋体"/>
          <w:szCs w:val="21"/>
        </w:rPr>
        <w:t>⑦</w:t>
      </w:r>
      <w:r>
        <w:rPr>
          <w:rFonts w:hint="eastAsia" w:ascii="宋体" w:hAnsi="宋体"/>
          <w:spacing w:val="-4"/>
          <w:szCs w:val="21"/>
        </w:rPr>
        <w:t>响应文件技术方案不明确，存在一个或一个以上备选(替代)响应方案的；</w:t>
      </w:r>
    </w:p>
    <w:p>
      <w:pPr>
        <w:snapToGrid w:val="0"/>
        <w:spacing w:line="420" w:lineRule="exact"/>
        <w:ind w:firstLine="505" w:firstLineChars="250"/>
        <w:rPr>
          <w:rFonts w:ascii="宋体" w:hAnsi="宋体"/>
          <w:szCs w:val="21"/>
        </w:rPr>
      </w:pPr>
      <w:r>
        <w:rPr>
          <w:rFonts w:hint="eastAsia" w:ascii="宋体" w:hAnsi="宋体"/>
          <w:spacing w:val="-4"/>
          <w:szCs w:val="21"/>
        </w:rPr>
        <w:t>⑧</w:t>
      </w:r>
      <w:r>
        <w:rPr>
          <w:rFonts w:hint="eastAsia" w:ascii="宋体" w:hAnsi="宋体"/>
          <w:szCs w:val="21"/>
        </w:rPr>
        <w:t>响应文件的实质性内容未使用中文表述、意思表述不明确、前后矛盾或者使用计量单位不符合采购文件要求的。</w:t>
      </w:r>
    </w:p>
    <w:bookmarkEnd w:id="111"/>
    <w:p>
      <w:pPr>
        <w:spacing w:line="420" w:lineRule="exact"/>
        <w:ind w:firstLine="211" w:firstLineChars="100"/>
        <w:rPr>
          <w:b/>
          <w:bCs/>
        </w:rPr>
      </w:pPr>
      <w:r>
        <w:rPr>
          <w:rFonts w:hint="eastAsia"/>
          <w:b/>
          <w:bCs/>
        </w:rPr>
        <w:t>（五）谈判</w:t>
      </w:r>
    </w:p>
    <w:p>
      <w:pPr>
        <w:pStyle w:val="23"/>
        <w:spacing w:line="420" w:lineRule="exact"/>
        <w:ind w:firstLine="420" w:firstLineChars="200"/>
      </w:pPr>
      <w:r>
        <w:rPr>
          <w:rFonts w:hint="eastAsia" w:hAnsi="宋体"/>
          <w:bCs/>
        </w:rPr>
        <w:t>1</w:t>
      </w:r>
      <w:r>
        <w:rPr>
          <w:rFonts w:hAnsi="宋体"/>
          <w:bCs/>
        </w:rPr>
        <w:t>.</w:t>
      </w:r>
      <w:r>
        <w:rPr>
          <w:rFonts w:hint="eastAsia"/>
        </w:rPr>
        <w:t>谈判小组所有成员应当集中与单一供应商分别进行谈判，并给予所有参加谈判的供应商平等的谈判机会。</w:t>
      </w:r>
    </w:p>
    <w:p>
      <w:pPr>
        <w:pStyle w:val="23"/>
        <w:spacing w:line="420" w:lineRule="exact"/>
        <w:ind w:firstLine="420" w:firstLineChars="200"/>
        <w:rPr>
          <w:rFonts w:hAnsi="宋体"/>
          <w:bCs/>
        </w:rPr>
      </w:pPr>
      <w:r>
        <w:rPr>
          <w:rFonts w:hint="eastAsia" w:hAnsi="宋体"/>
          <w:bCs/>
        </w:rPr>
        <w:t>2</w:t>
      </w:r>
      <w:r>
        <w:rPr>
          <w:rFonts w:hAnsi="宋体"/>
          <w:bCs/>
        </w:rPr>
        <w:t>.</w:t>
      </w:r>
      <w:r>
        <w:rPr>
          <w:rFonts w:hint="eastAsia" w:hAnsi="宋体"/>
          <w:bCs/>
        </w:rPr>
        <w:t>谈判小组可以根据谈判文件和谈判情况实质性变动采购需求中的技术、服务要求以及合同草案条款，但不得变动谈判文件中的其他内容。实质性变动的内容，须经采购人代表确认。</w:t>
      </w:r>
    </w:p>
    <w:p>
      <w:pPr>
        <w:pStyle w:val="23"/>
        <w:spacing w:line="420" w:lineRule="exact"/>
        <w:ind w:firstLine="420" w:firstLineChars="200"/>
        <w:rPr>
          <w:rFonts w:hAnsi="宋体"/>
          <w:bCs/>
        </w:rPr>
      </w:pPr>
      <w:r>
        <w:rPr>
          <w:rFonts w:hAnsi="宋体"/>
          <w:bCs/>
        </w:rPr>
        <w:t>3.</w:t>
      </w:r>
      <w:r>
        <w:rPr>
          <w:rFonts w:hint="eastAsia" w:hAnsi="宋体"/>
          <w:bCs/>
        </w:rPr>
        <w:t>对谈判文件作出的实质性变动是谈判文件的有效组成部分，谈判小组应当及时以书面形式同时通知所有参加谈判的供应商。</w:t>
      </w:r>
    </w:p>
    <w:p>
      <w:pPr>
        <w:pStyle w:val="23"/>
        <w:spacing w:line="420" w:lineRule="exact"/>
        <w:ind w:firstLine="420" w:firstLineChars="200"/>
        <w:rPr>
          <w:rFonts w:hAnsi="宋体"/>
          <w:bCs/>
        </w:rPr>
      </w:pPr>
      <w:r>
        <w:rPr>
          <w:rFonts w:hint="eastAsia" w:hAnsi="宋体"/>
          <w:bCs/>
        </w:rPr>
        <w:t>4</w:t>
      </w:r>
      <w:r>
        <w:rPr>
          <w:rFonts w:hAnsi="宋体"/>
          <w:bCs/>
        </w:rPr>
        <w:t>.</w:t>
      </w:r>
      <w:r>
        <w:rPr>
          <w:rFonts w:hint="eastAsia" w:hAnsi="宋体"/>
          <w:bCs/>
        </w:rPr>
        <w:t>供应商应当按照谈判文件的变动情况和谈判小组的要求重新提交响应文件，并由其法定代表人或授权代表签名</w:t>
      </w:r>
      <w:r>
        <w:rPr>
          <w:rFonts w:hint="eastAsia" w:hAnsi="宋体"/>
          <w:bCs/>
          <w:lang w:val="en-US" w:eastAsia="zh-CN"/>
        </w:rPr>
        <w:t>或签章</w:t>
      </w:r>
      <w:r>
        <w:rPr>
          <w:rFonts w:hint="eastAsia" w:hAnsi="宋体"/>
          <w:bCs/>
        </w:rPr>
        <w:t>或者加盖公章。由授权代表签名的，应当附法定代表人授权书。</w:t>
      </w:r>
      <w:bookmarkStart w:id="112" w:name="_Hlk92985140"/>
      <w:r>
        <w:rPr>
          <w:rFonts w:hint="eastAsia" w:hAnsi="宋体"/>
          <w:bCs/>
        </w:rPr>
        <w:t>供应商为自然人的，应当由本人签名并附身份证明。</w:t>
      </w:r>
      <w:bookmarkEnd w:id="112"/>
      <w:r>
        <w:rPr>
          <w:rFonts w:hint="eastAsia" w:hAnsi="宋体"/>
          <w:bCs/>
        </w:rPr>
        <w:t>逾时不提交的，视同放弃谈判。</w:t>
      </w:r>
    </w:p>
    <w:p>
      <w:pPr>
        <w:pStyle w:val="23"/>
        <w:spacing w:line="420" w:lineRule="exact"/>
        <w:ind w:firstLine="420" w:firstLineChars="200"/>
        <w:rPr>
          <w:rFonts w:hAnsi="宋体"/>
          <w:bCs/>
        </w:rPr>
      </w:pPr>
      <w:r>
        <w:rPr>
          <w:rFonts w:hint="eastAsia" w:hAnsi="宋体"/>
          <w:bCs/>
        </w:rPr>
        <w:t>5</w:t>
      </w:r>
      <w:r>
        <w:rPr>
          <w:rFonts w:hAnsi="宋体"/>
          <w:bCs/>
        </w:rPr>
        <w:t>.</w:t>
      </w:r>
      <w:r>
        <w:rPr>
          <w:rFonts w:hint="eastAsia"/>
        </w:rPr>
        <w:t>已提交响应文件的供应商，在提交最后报价之前，可以根据谈判情况退出谈判。</w:t>
      </w:r>
    </w:p>
    <w:p>
      <w:pPr>
        <w:spacing w:line="420" w:lineRule="exact"/>
        <w:ind w:firstLine="211" w:firstLineChars="100"/>
        <w:rPr>
          <w:b/>
          <w:bCs/>
        </w:rPr>
      </w:pPr>
      <w:r>
        <w:rPr>
          <w:rFonts w:hint="eastAsia"/>
          <w:b/>
          <w:bCs/>
        </w:rPr>
        <w:t>（六）最后报价</w:t>
      </w:r>
    </w:p>
    <w:p>
      <w:pPr>
        <w:spacing w:line="420" w:lineRule="exact"/>
        <w:ind w:firstLine="420" w:firstLineChars="200"/>
      </w:pPr>
      <w:r>
        <w:t>1.</w:t>
      </w:r>
      <w:r>
        <w:rPr>
          <w:rFonts w:hint="eastAsia"/>
        </w:rPr>
        <w:t>谈判文件能够详细列明采购标的的技术、服务要求的，谈判结束后，谈判小组应当要求所有继续参加谈判的供应商在规定时间内提交最后报价，提交最后报价的供应商不得少于3家。</w:t>
      </w:r>
    </w:p>
    <w:p>
      <w:pPr>
        <w:spacing w:line="420" w:lineRule="exact"/>
        <w:ind w:firstLine="420" w:firstLineChars="200"/>
      </w:pPr>
      <w:r>
        <w:rPr>
          <w:rFonts w:hint="eastAsia"/>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pPr>
        <w:spacing w:line="420" w:lineRule="exact"/>
        <w:ind w:firstLine="420" w:firstLineChars="200"/>
      </w:pPr>
      <w:r>
        <w:t>2.</w:t>
      </w:r>
      <w:r>
        <w:rPr>
          <w:rFonts w:hint="eastAsia"/>
        </w:rPr>
        <w:t>最后报价应由其法定代表人或授权代表签名</w:t>
      </w:r>
      <w:r>
        <w:rPr>
          <w:rFonts w:hint="eastAsia"/>
          <w:lang w:val="en-US" w:eastAsia="zh-CN"/>
        </w:rPr>
        <w:t>或签章</w:t>
      </w:r>
      <w:r>
        <w:rPr>
          <w:rFonts w:hint="eastAsia"/>
        </w:rPr>
        <w:t>或者加盖公章，最后报价即为供应商响应报价（竞标报价）。</w:t>
      </w:r>
    </w:p>
    <w:p>
      <w:pPr>
        <w:spacing w:line="420" w:lineRule="exact"/>
        <w:ind w:firstLine="422" w:firstLineChars="200"/>
      </w:pPr>
      <w:r>
        <w:rPr>
          <w:rFonts w:hint="eastAsia"/>
          <w:b/>
          <w:bCs/>
        </w:rPr>
        <w:t>3</w:t>
      </w:r>
      <w:r>
        <w:rPr>
          <w:rFonts w:hint="eastAsia" w:ascii="宋体" w:hAnsi="宋体" w:cs="Courier New"/>
          <w:b/>
          <w:szCs w:val="21"/>
        </w:rPr>
        <w:t>.在报价评审时，如发现下列情形之一的，响应文件将被视为无效：</w:t>
      </w:r>
    </w:p>
    <w:p>
      <w:pPr>
        <w:snapToGrid w:val="0"/>
        <w:spacing w:line="420" w:lineRule="exact"/>
        <w:ind w:firstLine="420" w:firstLineChars="200"/>
        <w:rPr>
          <w:rFonts w:ascii="宋体" w:hAnsi="宋体"/>
          <w:szCs w:val="21"/>
        </w:rPr>
      </w:pPr>
      <w:bookmarkStart w:id="113" w:name="_Hlk112312387"/>
      <w:r>
        <w:rPr>
          <w:rFonts w:hint="eastAsia" w:ascii="宋体" w:hAnsi="宋体"/>
          <w:szCs w:val="21"/>
        </w:rPr>
        <w:t>(</w:t>
      </w:r>
      <w:r>
        <w:rPr>
          <w:rFonts w:ascii="宋体" w:hAnsi="宋体"/>
          <w:szCs w:val="21"/>
        </w:rPr>
        <w:t>1)</w:t>
      </w:r>
      <w:r>
        <w:rPr>
          <w:rFonts w:hint="eastAsia" w:ascii="宋体" w:hAnsi="宋体"/>
          <w:szCs w:val="21"/>
        </w:rPr>
        <w:t>报价未采用人民币或者未按照采购文件标明的币种报价的；</w:t>
      </w:r>
    </w:p>
    <w:p>
      <w:pPr>
        <w:snapToGrid w:val="0"/>
        <w:spacing w:line="420" w:lineRule="exact"/>
        <w:ind w:firstLine="420" w:firstLineChars="200"/>
        <w:rPr>
          <w:rFonts w:ascii="宋体" w:hAnsi="宋体"/>
          <w:szCs w:val="21"/>
        </w:rPr>
      </w:pPr>
      <w:r>
        <w:rPr>
          <w:rFonts w:ascii="宋体" w:hAnsi="宋体"/>
          <w:szCs w:val="21"/>
        </w:rPr>
        <w:t>(2)</w:t>
      </w:r>
      <w:r>
        <w:rPr>
          <w:rFonts w:hint="eastAsia" w:ascii="宋体" w:hAnsi="宋体"/>
          <w:szCs w:val="21"/>
        </w:rPr>
        <w:t>报价明细表中货物品牌、规格、型号、服务事项未明确或与响应文件中相应内容不一致的；</w:t>
      </w:r>
    </w:p>
    <w:p>
      <w:pPr>
        <w:snapToGrid w:val="0"/>
        <w:spacing w:line="420" w:lineRule="exact"/>
        <w:ind w:firstLine="420" w:firstLineChars="200"/>
        <w:rPr>
          <w:rFonts w:ascii="宋体" w:hAnsi="宋体"/>
          <w:szCs w:val="21"/>
        </w:rPr>
      </w:pPr>
      <w:r>
        <w:rPr>
          <w:rFonts w:ascii="宋体" w:hAnsi="宋体"/>
          <w:szCs w:val="21"/>
        </w:rPr>
        <w:t>(3)</w:t>
      </w:r>
      <w:r>
        <w:rPr>
          <w:rFonts w:hint="eastAsia" w:ascii="宋体" w:hAnsi="宋体"/>
          <w:szCs w:val="21"/>
        </w:rPr>
        <w:t>报价具有选择性的；</w:t>
      </w:r>
    </w:p>
    <w:p>
      <w:pPr>
        <w:snapToGrid w:val="0"/>
        <w:spacing w:line="420" w:lineRule="exact"/>
        <w:ind w:firstLine="420" w:firstLineChars="200"/>
        <w:rPr>
          <w:rFonts w:ascii="宋体" w:hAnsi="宋体"/>
          <w:szCs w:val="21"/>
        </w:rPr>
      </w:pPr>
      <w:r>
        <w:rPr>
          <w:rFonts w:ascii="宋体" w:hAnsi="宋体"/>
          <w:szCs w:val="21"/>
        </w:rPr>
        <w:t>(4)</w:t>
      </w:r>
      <w:r>
        <w:rPr>
          <w:rFonts w:hint="eastAsia" w:ascii="宋体" w:hAnsi="宋体"/>
          <w:szCs w:val="21"/>
        </w:rPr>
        <w:t>报价未按采购文件或广西政府采购云平台规定的格式填写，或未在规定时间内提交最后报价的。</w:t>
      </w:r>
    </w:p>
    <w:p>
      <w:pPr>
        <w:widowControl/>
        <w:spacing w:line="540" w:lineRule="exact"/>
        <w:ind w:firstLine="402" w:firstLineChars="200"/>
        <w:jc w:val="left"/>
        <w:rPr>
          <w:rFonts w:ascii="宋体" w:hAnsi="宋体" w:cs="宋体"/>
          <w:b/>
          <w:bCs/>
          <w:sz w:val="20"/>
          <w:szCs w:val="20"/>
        </w:rPr>
      </w:pPr>
      <w:r>
        <w:rPr>
          <w:rFonts w:hint="eastAsia" w:ascii="宋体" w:hAnsi="宋体" w:cs="宋体"/>
          <w:b/>
          <w:bCs/>
          <w:sz w:val="20"/>
          <w:szCs w:val="20"/>
        </w:rPr>
        <w:t>4.谈判小组在评审中发现下列情形之一的，应当</w:t>
      </w:r>
      <w:bookmarkStart w:id="114" w:name="OLE_LINK2"/>
      <w:r>
        <w:rPr>
          <w:rFonts w:hint="eastAsia" w:ascii="宋体" w:hAnsi="宋体" w:cs="宋体"/>
          <w:b/>
          <w:bCs/>
          <w:sz w:val="20"/>
          <w:szCs w:val="20"/>
        </w:rPr>
        <w:t>启动异常低价响应审查程序</w:t>
      </w:r>
      <w:bookmarkEnd w:id="114"/>
      <w:r>
        <w:rPr>
          <w:rFonts w:hint="eastAsia" w:ascii="宋体" w:hAnsi="宋体" w:cs="宋体"/>
          <w:b/>
          <w:bCs/>
          <w:sz w:val="20"/>
          <w:szCs w:val="20"/>
        </w:rPr>
        <w:t>：</w:t>
      </w:r>
    </w:p>
    <w:p>
      <w:pPr>
        <w:pStyle w:val="23"/>
        <w:spacing w:line="420" w:lineRule="exact"/>
        <w:ind w:firstLine="420"/>
        <w:rPr>
          <w:rFonts w:hAnsi="宋体"/>
          <w:bCs/>
        </w:rPr>
      </w:pPr>
      <w:r>
        <w:rPr>
          <w:rFonts w:hint="eastAsia" w:hAnsi="宋体"/>
          <w:bCs/>
        </w:rPr>
        <w:t>①响应报价低于全部通过符合性审查供应商响应报价平均值50%的，即响应报价＜全部通过符合性审查供应商响应报价平均值×50%；</w:t>
      </w:r>
    </w:p>
    <w:p>
      <w:pPr>
        <w:pStyle w:val="23"/>
        <w:spacing w:line="420" w:lineRule="exact"/>
        <w:ind w:firstLine="420"/>
        <w:rPr>
          <w:rFonts w:hAnsi="宋体"/>
          <w:bCs/>
        </w:rPr>
      </w:pPr>
      <w:r>
        <w:rPr>
          <w:rFonts w:hint="eastAsia" w:hAnsi="宋体"/>
          <w:bCs/>
        </w:rPr>
        <w:t>②响应报价低于通过符合性审查的次低报价供应商响应报价（竞标报价）50%的，即响应报价＜通过符合性审查的次低报价供应商响应报价×50%；</w:t>
      </w:r>
    </w:p>
    <w:p>
      <w:pPr>
        <w:pStyle w:val="23"/>
        <w:spacing w:line="420" w:lineRule="exact"/>
        <w:ind w:firstLine="420"/>
        <w:rPr>
          <w:rFonts w:hAnsi="宋体"/>
          <w:bCs/>
        </w:rPr>
      </w:pPr>
      <w:r>
        <w:rPr>
          <w:rFonts w:hint="eastAsia" w:hAnsi="宋体"/>
          <w:bCs/>
        </w:rPr>
        <w:t>③响应报价（竞标报价）低于采购项目最高限价45%的，即响应报价＜采购项目最高限价×45%；</w:t>
      </w:r>
    </w:p>
    <w:p>
      <w:pPr>
        <w:pStyle w:val="23"/>
        <w:spacing w:line="420" w:lineRule="exact"/>
        <w:ind w:firstLine="420"/>
        <w:rPr>
          <w:rFonts w:hAnsi="宋体"/>
          <w:bCs/>
        </w:rPr>
      </w:pPr>
      <w:r>
        <w:rPr>
          <w:rFonts w:hint="eastAsia" w:hAnsi="宋体"/>
          <w:bCs/>
        </w:rPr>
        <w:t>④谈判小组基于专业判断，认为供应商报价过低，有可能影响产品质量或者不能诚信履约的其他情形。</w:t>
      </w:r>
    </w:p>
    <w:p>
      <w:pPr>
        <w:pStyle w:val="23"/>
        <w:spacing w:line="420" w:lineRule="exact"/>
        <w:ind w:firstLine="420"/>
        <w:rPr>
          <w:rFonts w:hAnsi="宋体"/>
          <w:bCs/>
        </w:rPr>
      </w:pPr>
      <w:r>
        <w:rPr>
          <w:rFonts w:hint="eastAsia" w:hAnsi="宋体"/>
          <w:bCs/>
        </w:rPr>
        <w:t>谈判小组启动异常低价响应审查后，属于前述第①项至第④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pPr>
        <w:pStyle w:val="23"/>
        <w:spacing w:line="420" w:lineRule="exact"/>
        <w:ind w:firstLine="420"/>
        <w:rPr>
          <w:rFonts w:hAnsi="宋体"/>
          <w:bCs/>
        </w:rPr>
      </w:pPr>
      <w:r>
        <w:rPr>
          <w:rFonts w:hint="eastAsia" w:hAnsi="宋体"/>
          <w:bCs/>
        </w:rPr>
        <w:t>谈判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谈判小组应当将其作为无效响应处理。</w:t>
      </w:r>
    </w:p>
    <w:p>
      <w:pPr>
        <w:pStyle w:val="23"/>
        <w:spacing w:line="420" w:lineRule="exact"/>
        <w:ind w:firstLine="420"/>
        <w:rPr>
          <w:rFonts w:hAnsi="宋体"/>
          <w:bCs/>
        </w:rPr>
      </w:pPr>
      <w:r>
        <w:rPr>
          <w:rFonts w:hint="eastAsia" w:hAnsi="宋体"/>
          <w:bCs/>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pPr>
        <w:pStyle w:val="23"/>
        <w:spacing w:line="420" w:lineRule="exact"/>
        <w:ind w:firstLine="420"/>
        <w:rPr>
          <w:rFonts w:hAnsi="宋体"/>
          <w:bCs/>
        </w:rPr>
      </w:pPr>
      <w:r>
        <w:rPr>
          <w:rFonts w:hint="eastAsia" w:hAnsi="宋体"/>
          <w:bCs/>
        </w:rPr>
        <w:t>异常低价响应审查的启动原因、审查意见和审查结果应当在评审报告中记录，并随供应商提供的相关书面说明及证明材料，以及谈判小组有关互联网浏览、查询历史一并归档。</w:t>
      </w:r>
    </w:p>
    <w:bookmarkEnd w:id="113"/>
    <w:p>
      <w:pPr>
        <w:spacing w:line="420" w:lineRule="exact"/>
        <w:ind w:firstLine="211" w:firstLineChars="100"/>
        <w:rPr>
          <w:b/>
          <w:bCs/>
        </w:rPr>
      </w:pPr>
      <w:r>
        <w:rPr>
          <w:rFonts w:hint="eastAsia"/>
          <w:b/>
          <w:bCs/>
        </w:rPr>
        <w:t>（八）澄清、说明或者更正的形式</w:t>
      </w:r>
    </w:p>
    <w:p>
      <w:pPr>
        <w:pStyle w:val="23"/>
        <w:spacing w:line="420" w:lineRule="exact"/>
        <w:ind w:firstLine="420"/>
        <w:rPr>
          <w:rFonts w:hAnsi="宋体"/>
          <w:bCs/>
        </w:rPr>
      </w:pPr>
      <w:r>
        <w:rPr>
          <w:rFonts w:hint="eastAsia" w:hAnsi="宋体"/>
          <w:bCs/>
        </w:rPr>
        <w:t>1</w:t>
      </w:r>
      <w:r>
        <w:rPr>
          <w:rFonts w:hAnsi="宋体"/>
          <w:bCs/>
        </w:rPr>
        <w:t>.</w:t>
      </w:r>
      <w:r>
        <w:rPr>
          <w:rFonts w:hint="eastAsia" w:hAnsi="宋体"/>
          <w:bCs/>
        </w:rPr>
        <w:t>谈判小组在对响应文件的有效性、完整性和响应程度进行审查时，可以要求供应商对响应文件中含义不明确、同类问题表述不一致或者有明显文字和计算错误的内容等作出必要的</w:t>
      </w:r>
      <w:bookmarkStart w:id="115" w:name="_Hlk92462362"/>
      <w:r>
        <w:rPr>
          <w:rFonts w:hint="eastAsia" w:hAnsi="宋体"/>
          <w:bCs/>
        </w:rPr>
        <w:t>澄清、说明或者更正</w:t>
      </w:r>
      <w:bookmarkEnd w:id="115"/>
      <w:r>
        <w:rPr>
          <w:rFonts w:hint="eastAsia" w:hAnsi="宋体"/>
          <w:bCs/>
        </w:rPr>
        <w:t>。供应商的澄清、说明或者更正不得超出响应文件的范围或者改变响应文件的实质性内容。</w:t>
      </w:r>
    </w:p>
    <w:p>
      <w:pPr>
        <w:pStyle w:val="23"/>
        <w:spacing w:line="420" w:lineRule="exact"/>
        <w:ind w:firstLine="420"/>
        <w:rPr>
          <w:rFonts w:hAnsi="宋体"/>
          <w:bCs/>
        </w:rPr>
      </w:pPr>
      <w:r>
        <w:rPr>
          <w:rFonts w:hint="eastAsia" w:hAnsi="宋体"/>
          <w:bCs/>
        </w:rPr>
        <w:t>2</w:t>
      </w:r>
      <w:r>
        <w:rPr>
          <w:rFonts w:hAnsi="宋体"/>
          <w:bCs/>
        </w:rPr>
        <w:t>.</w:t>
      </w:r>
      <w:r>
        <w:rPr>
          <w:rFonts w:hint="eastAsia" w:hAnsi="宋体"/>
          <w:bCs/>
        </w:rPr>
        <w:t>谈判小组要求供应商澄清、说明或者更正响应文件应当以书面形式作出。供应商的澄清、说明或者更正应当由法定代表人或其授权代表签名</w:t>
      </w:r>
      <w:r>
        <w:rPr>
          <w:rFonts w:hint="eastAsia" w:hAnsi="宋体"/>
          <w:bCs/>
          <w:lang w:val="en-US" w:eastAsia="zh-CN"/>
        </w:rPr>
        <w:t>或签章</w:t>
      </w:r>
      <w:r>
        <w:rPr>
          <w:rFonts w:hint="eastAsia" w:hAnsi="宋体"/>
          <w:bCs/>
        </w:rPr>
        <w:t>或者加盖公章。由授权代表签名</w:t>
      </w:r>
      <w:r>
        <w:rPr>
          <w:rFonts w:hint="eastAsia" w:hAnsi="宋体"/>
          <w:bCs/>
          <w:lang w:val="en-US" w:eastAsia="zh-CN"/>
        </w:rPr>
        <w:t>或签章</w:t>
      </w:r>
      <w:r>
        <w:rPr>
          <w:rFonts w:hint="eastAsia" w:hAnsi="宋体"/>
          <w:bCs/>
        </w:rPr>
        <w:t>的，应当附法定代表人授权书。供应商为自然人的，应当由本人签名并附身份证明。</w:t>
      </w:r>
    </w:p>
    <w:p>
      <w:pPr>
        <w:spacing w:line="420" w:lineRule="exact"/>
        <w:ind w:firstLine="211" w:firstLineChars="100"/>
        <w:rPr>
          <w:b/>
          <w:bCs/>
        </w:rPr>
      </w:pPr>
      <w:r>
        <w:rPr>
          <w:rFonts w:hint="eastAsia"/>
          <w:b/>
          <w:bCs/>
        </w:rPr>
        <w:t>（九）评定标准及推荐原则</w:t>
      </w:r>
    </w:p>
    <w:p>
      <w:pPr>
        <w:spacing w:line="420" w:lineRule="exact"/>
        <w:ind w:firstLine="420" w:firstLineChars="200"/>
      </w:pPr>
      <w:r>
        <w:rPr>
          <w:rFonts w:hint="eastAsia" w:ascii="宋体" w:hAnsi="Courier New" w:cs="Courier New"/>
          <w:szCs w:val="21"/>
        </w:rPr>
        <w:t>详见第四章《评定标准及推荐原则》。</w:t>
      </w:r>
    </w:p>
    <w:p>
      <w:pPr>
        <w:pStyle w:val="23"/>
        <w:spacing w:line="420" w:lineRule="exact"/>
        <w:ind w:firstLine="211" w:firstLineChars="100"/>
        <w:rPr>
          <w:rFonts w:hAnsi="宋体"/>
          <w:b/>
        </w:rPr>
      </w:pPr>
      <w:r>
        <w:rPr>
          <w:rFonts w:hint="eastAsia" w:hAnsi="宋体"/>
          <w:b/>
        </w:rPr>
        <w:t>（十）供应商有下列情形之一的，属于恶意串通：</w:t>
      </w:r>
    </w:p>
    <w:p>
      <w:pPr>
        <w:pStyle w:val="23"/>
        <w:spacing w:line="420" w:lineRule="exact"/>
        <w:ind w:firstLine="420" w:firstLineChars="200"/>
        <w:rPr>
          <w:rFonts w:hAnsi="宋体" w:cs="Times New Roman"/>
        </w:rPr>
      </w:pPr>
      <w:r>
        <w:rPr>
          <w:rFonts w:hint="eastAsia" w:hAnsi="宋体" w:cs="Times New Roman"/>
        </w:rPr>
        <w:t>1</w:t>
      </w:r>
      <w:r>
        <w:rPr>
          <w:rFonts w:hAnsi="宋体" w:cs="Times New Roman"/>
        </w:rPr>
        <w:t>.</w:t>
      </w:r>
      <w:r>
        <w:rPr>
          <w:rFonts w:hint="eastAsia" w:hAnsi="宋体" w:cs="Times New Roman"/>
        </w:rPr>
        <w:t>供应商直接或者间接从采购人或者采购代理机构处获得其他供应商的相关情况并修改其响应文件；</w:t>
      </w:r>
    </w:p>
    <w:p>
      <w:pPr>
        <w:pStyle w:val="23"/>
        <w:spacing w:line="420" w:lineRule="exact"/>
        <w:ind w:firstLine="420" w:firstLineChars="200"/>
        <w:rPr>
          <w:rFonts w:hAnsi="宋体" w:cs="Times New Roman"/>
        </w:rPr>
      </w:pPr>
      <w:r>
        <w:rPr>
          <w:rFonts w:hint="eastAsia" w:hAnsi="宋体" w:cs="Times New Roman"/>
        </w:rPr>
        <w:t>2</w:t>
      </w:r>
      <w:r>
        <w:rPr>
          <w:rFonts w:hAnsi="宋体" w:cs="Times New Roman"/>
        </w:rPr>
        <w:t>.</w:t>
      </w:r>
      <w:r>
        <w:rPr>
          <w:rFonts w:hint="eastAsia" w:hAnsi="宋体" w:cs="Times New Roman"/>
        </w:rPr>
        <w:t>供应商按照采购人或者采购代理机构的授意撤换、修改响应文件；</w:t>
      </w:r>
    </w:p>
    <w:p>
      <w:pPr>
        <w:pStyle w:val="23"/>
        <w:spacing w:line="420" w:lineRule="exact"/>
        <w:ind w:firstLine="420" w:firstLineChars="200"/>
        <w:rPr>
          <w:rFonts w:hAnsi="宋体" w:cs="Times New Roman"/>
        </w:rPr>
      </w:pPr>
      <w:r>
        <w:rPr>
          <w:rFonts w:hint="eastAsia" w:hAnsi="宋体" w:cs="Times New Roman"/>
        </w:rPr>
        <w:t>3</w:t>
      </w:r>
      <w:r>
        <w:rPr>
          <w:rFonts w:hAnsi="宋体" w:cs="Times New Roman"/>
        </w:rPr>
        <w:t>.</w:t>
      </w:r>
      <w:r>
        <w:rPr>
          <w:rFonts w:hint="eastAsia" w:hAnsi="宋体" w:cs="Times New Roman"/>
        </w:rPr>
        <w:t>供应商之间协商报价、技术方案等响应文件的实质性内容；</w:t>
      </w:r>
    </w:p>
    <w:p>
      <w:pPr>
        <w:pStyle w:val="23"/>
        <w:spacing w:line="420" w:lineRule="exact"/>
        <w:ind w:firstLine="420" w:firstLineChars="200"/>
        <w:rPr>
          <w:rFonts w:hAnsi="宋体" w:cs="Times New Roman"/>
        </w:rPr>
      </w:pPr>
      <w:r>
        <w:rPr>
          <w:rFonts w:hint="eastAsia" w:hAnsi="宋体" w:cs="Times New Roman"/>
        </w:rPr>
        <w:t>4</w:t>
      </w:r>
      <w:r>
        <w:rPr>
          <w:rFonts w:hAnsi="宋体" w:cs="Times New Roman"/>
        </w:rPr>
        <w:t>.</w:t>
      </w:r>
      <w:r>
        <w:rPr>
          <w:rFonts w:hint="eastAsia" w:hAnsi="宋体" w:cs="Times New Roman"/>
        </w:rPr>
        <w:t>属于同一集团、协会、商会等组织成员的供应商按照该组织要求协同参加政府采购活动；</w:t>
      </w:r>
    </w:p>
    <w:p>
      <w:pPr>
        <w:pStyle w:val="23"/>
        <w:spacing w:line="420" w:lineRule="exact"/>
        <w:ind w:firstLine="420" w:firstLineChars="200"/>
        <w:rPr>
          <w:rFonts w:hAnsi="宋体" w:cs="Times New Roman"/>
        </w:rPr>
      </w:pPr>
      <w:r>
        <w:rPr>
          <w:rFonts w:hint="eastAsia" w:hAnsi="宋体" w:cs="Times New Roman"/>
        </w:rPr>
        <w:t>5</w:t>
      </w:r>
      <w:r>
        <w:rPr>
          <w:rFonts w:hAnsi="宋体" w:cs="Times New Roman"/>
        </w:rPr>
        <w:t>.</w:t>
      </w:r>
      <w:r>
        <w:rPr>
          <w:rFonts w:hint="eastAsia" w:hAnsi="宋体" w:cs="Times New Roman"/>
        </w:rPr>
        <w:t>供应商之间事先约定由某一特定供应商成交；</w:t>
      </w:r>
    </w:p>
    <w:p>
      <w:pPr>
        <w:pStyle w:val="23"/>
        <w:spacing w:line="420" w:lineRule="exact"/>
        <w:ind w:firstLine="420" w:firstLineChars="200"/>
        <w:rPr>
          <w:rFonts w:hAnsi="宋体" w:cs="Times New Roman"/>
        </w:rPr>
      </w:pPr>
      <w:r>
        <w:rPr>
          <w:rFonts w:hint="eastAsia" w:hAnsi="宋体" w:cs="Times New Roman"/>
        </w:rPr>
        <w:t>6</w:t>
      </w:r>
      <w:r>
        <w:rPr>
          <w:rFonts w:hAnsi="宋体" w:cs="Times New Roman"/>
        </w:rPr>
        <w:t>.</w:t>
      </w:r>
      <w:r>
        <w:rPr>
          <w:rFonts w:hint="eastAsia" w:hAnsi="宋体" w:cs="Times New Roman"/>
        </w:rPr>
        <w:t>供应商之间商定部分供应商放弃参加政府采购活动或者放弃成交；</w:t>
      </w:r>
    </w:p>
    <w:p>
      <w:pPr>
        <w:pStyle w:val="23"/>
        <w:spacing w:line="420" w:lineRule="exact"/>
        <w:ind w:firstLine="420" w:firstLineChars="200"/>
        <w:rPr>
          <w:rFonts w:hAnsi="宋体" w:cs="Times New Roman"/>
        </w:rPr>
      </w:pPr>
      <w:r>
        <w:rPr>
          <w:rFonts w:hint="eastAsia" w:hAnsi="宋体" w:cs="Times New Roman"/>
        </w:rPr>
        <w:t>7</w:t>
      </w:r>
      <w:r>
        <w:rPr>
          <w:rFonts w:hAnsi="宋体" w:cs="Times New Roman"/>
        </w:rPr>
        <w:t>.</w:t>
      </w:r>
      <w:r>
        <w:rPr>
          <w:rFonts w:hint="eastAsia" w:hAnsi="宋体" w:cs="Times New Roman"/>
        </w:rPr>
        <w:t>供应商与采购人或者采购代理机构之间、供应商相互之间，为谋求特定供应商成交或者排斥其他供应商的其他串通行为。</w:t>
      </w:r>
    </w:p>
    <w:p>
      <w:pPr>
        <w:pStyle w:val="23"/>
        <w:spacing w:line="420" w:lineRule="exact"/>
        <w:ind w:firstLine="211" w:firstLineChars="100"/>
        <w:rPr>
          <w:rFonts w:hAnsi="宋体"/>
          <w:b/>
        </w:rPr>
      </w:pPr>
      <w:r>
        <w:rPr>
          <w:rFonts w:hint="eastAsia" w:hAnsi="宋体"/>
          <w:b/>
        </w:rPr>
        <w:t>（十一）评审报告</w:t>
      </w:r>
    </w:p>
    <w:p>
      <w:pPr>
        <w:widowControl/>
        <w:tabs>
          <w:tab w:val="left" w:pos="540"/>
        </w:tabs>
        <w:spacing w:line="420" w:lineRule="exact"/>
        <w:ind w:firstLine="420" w:firstLineChars="200"/>
        <w:jc w:val="left"/>
        <w:rPr>
          <w:szCs w:val="21"/>
        </w:rPr>
      </w:pPr>
      <w:r>
        <w:rPr>
          <w:rFonts w:hint="eastAsia"/>
          <w:szCs w:val="21"/>
        </w:rPr>
        <w:t>1</w:t>
      </w:r>
      <w:r>
        <w:rPr>
          <w:szCs w:val="21"/>
        </w:rPr>
        <w:t>.</w:t>
      </w:r>
      <w:r>
        <w:rPr>
          <w:rFonts w:hint="eastAsia"/>
          <w:szCs w:val="21"/>
        </w:rPr>
        <w:t>谈判小组应当根据评审记录和评审结果编写评审报告，主要内容包括：</w:t>
      </w:r>
    </w:p>
    <w:p>
      <w:pPr>
        <w:widowControl/>
        <w:tabs>
          <w:tab w:val="left" w:pos="540"/>
        </w:tabs>
        <w:spacing w:line="420" w:lineRule="exact"/>
        <w:ind w:firstLine="420" w:firstLineChars="200"/>
        <w:jc w:val="left"/>
        <w:rPr>
          <w:szCs w:val="21"/>
        </w:rPr>
      </w:pPr>
      <w:r>
        <w:rPr>
          <w:rFonts w:hint="eastAsia"/>
          <w:szCs w:val="21"/>
        </w:rPr>
        <w:t>(</w:t>
      </w:r>
      <w:r>
        <w:rPr>
          <w:szCs w:val="21"/>
        </w:rPr>
        <w:t>1)</w:t>
      </w:r>
      <w:r>
        <w:rPr>
          <w:rFonts w:hint="eastAsia"/>
          <w:szCs w:val="21"/>
        </w:rPr>
        <w:t>邀请供应商参加采购活动的具体方式和相关情况，以及参加采购活动的供应商名单；</w:t>
      </w:r>
    </w:p>
    <w:p>
      <w:pPr>
        <w:widowControl/>
        <w:tabs>
          <w:tab w:val="left" w:pos="540"/>
        </w:tabs>
        <w:spacing w:line="420" w:lineRule="exact"/>
        <w:ind w:firstLine="420" w:firstLineChars="200"/>
        <w:jc w:val="left"/>
        <w:rPr>
          <w:szCs w:val="21"/>
        </w:rPr>
      </w:pPr>
      <w:r>
        <w:rPr>
          <w:rFonts w:hint="eastAsia"/>
          <w:szCs w:val="21"/>
        </w:rPr>
        <w:t>(</w:t>
      </w:r>
      <w:r>
        <w:rPr>
          <w:szCs w:val="21"/>
        </w:rPr>
        <w:t>2)</w:t>
      </w:r>
      <w:r>
        <w:rPr>
          <w:rFonts w:hint="eastAsia"/>
          <w:szCs w:val="21"/>
        </w:rPr>
        <w:t>评审日期和地点，谈判小组成员名单；</w:t>
      </w:r>
    </w:p>
    <w:p>
      <w:pPr>
        <w:widowControl/>
        <w:tabs>
          <w:tab w:val="left" w:pos="540"/>
        </w:tabs>
        <w:spacing w:line="420" w:lineRule="exact"/>
        <w:ind w:firstLine="420" w:firstLineChars="200"/>
        <w:jc w:val="left"/>
        <w:rPr>
          <w:szCs w:val="21"/>
        </w:rPr>
      </w:pPr>
      <w:r>
        <w:rPr>
          <w:rFonts w:hint="eastAsia"/>
          <w:szCs w:val="21"/>
        </w:rPr>
        <w:t>(</w:t>
      </w:r>
      <w:r>
        <w:rPr>
          <w:szCs w:val="21"/>
        </w:rPr>
        <w:t>3)</w:t>
      </w:r>
      <w:r>
        <w:rPr>
          <w:rFonts w:hint="eastAsia"/>
          <w:szCs w:val="21"/>
        </w:rPr>
        <w:t>评审情况记录和说明，包括对供应商的资格审查情况、供应商响应文件评审情况、谈判情况、报价情况等；</w:t>
      </w:r>
    </w:p>
    <w:p>
      <w:pPr>
        <w:widowControl/>
        <w:tabs>
          <w:tab w:val="left" w:pos="540"/>
        </w:tabs>
        <w:spacing w:line="420" w:lineRule="exact"/>
        <w:ind w:firstLine="420" w:firstLineChars="200"/>
        <w:jc w:val="left"/>
      </w:pPr>
      <w:r>
        <w:rPr>
          <w:rFonts w:hint="eastAsia"/>
        </w:rPr>
        <w:t>(</w:t>
      </w:r>
      <w:r>
        <w:t>4)</w:t>
      </w:r>
      <w:r>
        <w:rPr>
          <w:rFonts w:hint="eastAsia"/>
        </w:rPr>
        <w:t>提出的成交候选人的名单及理由。</w:t>
      </w:r>
    </w:p>
    <w:p>
      <w:pPr>
        <w:widowControl/>
        <w:tabs>
          <w:tab w:val="left" w:pos="540"/>
        </w:tabs>
        <w:spacing w:line="420" w:lineRule="exact"/>
        <w:ind w:firstLine="420" w:firstLineChars="200"/>
        <w:jc w:val="left"/>
        <w:rPr>
          <w:szCs w:val="21"/>
        </w:rPr>
      </w:pPr>
      <w:r>
        <w:rPr>
          <w:rFonts w:hint="eastAsia"/>
        </w:rPr>
        <w:t>　　2</w:t>
      </w:r>
      <w:r>
        <w:t>.</w:t>
      </w:r>
      <w:r>
        <w:rPr>
          <w:rFonts w:hint="eastAsia"/>
        </w:rPr>
        <w:t>评审报告应当由谈判小组全体人员签名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名又不书面说明其不同意见和理由的，视为同意评审报告。</w:t>
      </w:r>
    </w:p>
    <w:p>
      <w:pPr>
        <w:pStyle w:val="23"/>
        <w:spacing w:line="420" w:lineRule="exact"/>
        <w:ind w:firstLine="211" w:firstLineChars="100"/>
        <w:rPr>
          <w:rFonts w:hAnsi="宋体"/>
        </w:rPr>
      </w:pPr>
      <w:r>
        <w:rPr>
          <w:rFonts w:hint="eastAsia" w:hAnsi="宋体"/>
          <w:b/>
          <w:bCs/>
        </w:rPr>
        <w:t>（十二）</w:t>
      </w:r>
      <w:r>
        <w:rPr>
          <w:rFonts w:hint="eastAsia" w:hAnsi="宋体"/>
          <w:b/>
        </w:rPr>
        <w:t>出现下列情形之一的，本中心将终止竞争性谈判采购活动：</w:t>
      </w:r>
    </w:p>
    <w:p>
      <w:pPr>
        <w:pStyle w:val="23"/>
        <w:spacing w:line="420" w:lineRule="exact"/>
        <w:ind w:firstLine="420" w:firstLineChars="200"/>
        <w:rPr>
          <w:rFonts w:hAnsi="宋体"/>
        </w:rPr>
      </w:pPr>
      <w:r>
        <w:rPr>
          <w:rFonts w:hint="eastAsia" w:hAnsi="宋体"/>
        </w:rPr>
        <w:t>1</w:t>
      </w:r>
      <w:r>
        <w:rPr>
          <w:rFonts w:hAnsi="宋体"/>
        </w:rPr>
        <w:t>.</w:t>
      </w:r>
      <w:r>
        <w:rPr>
          <w:rFonts w:hint="eastAsia" w:hAnsi="宋体"/>
        </w:rPr>
        <w:t>因情况变化，不再符合规定的竞争性谈判采购方式适用情形的；</w:t>
      </w:r>
    </w:p>
    <w:p>
      <w:pPr>
        <w:pStyle w:val="23"/>
        <w:spacing w:line="420" w:lineRule="exact"/>
        <w:ind w:firstLine="420" w:firstLineChars="200"/>
        <w:rPr>
          <w:rFonts w:hAnsi="宋体"/>
        </w:rPr>
      </w:pPr>
      <w:r>
        <w:rPr>
          <w:rFonts w:hint="eastAsia" w:hAnsi="宋体"/>
        </w:rPr>
        <w:t>2</w:t>
      </w:r>
      <w:r>
        <w:rPr>
          <w:rFonts w:hAnsi="宋体"/>
        </w:rPr>
        <w:t>.</w:t>
      </w:r>
      <w:r>
        <w:rPr>
          <w:rFonts w:hint="eastAsia" w:hAnsi="宋体"/>
        </w:rPr>
        <w:t>出现影响采购公正的违法、违规行为的；</w:t>
      </w:r>
    </w:p>
    <w:p>
      <w:pPr>
        <w:pStyle w:val="23"/>
        <w:spacing w:line="420" w:lineRule="exact"/>
        <w:ind w:firstLine="420" w:firstLineChars="200"/>
        <w:rPr>
          <w:rFonts w:hAnsi="宋体"/>
        </w:rPr>
      </w:pPr>
      <w:r>
        <w:rPr>
          <w:rFonts w:hint="eastAsia" w:hAnsi="宋体"/>
        </w:rPr>
        <w:t>3</w:t>
      </w:r>
      <w:r>
        <w:rPr>
          <w:rFonts w:hAnsi="宋体"/>
        </w:rPr>
        <w:t>.</w:t>
      </w:r>
      <w:r>
        <w:rPr>
          <w:rFonts w:hint="eastAsia" w:hAnsi="宋体"/>
        </w:rPr>
        <w:t>在采购过程中符合竞争要求的供应商或者报价未超过采购预算的供应商不足3家的。</w:t>
      </w:r>
    </w:p>
    <w:p>
      <w:pPr>
        <w:pStyle w:val="4"/>
        <w:spacing w:line="420" w:lineRule="exact"/>
      </w:pPr>
      <w:r>
        <w:rPr>
          <w:rFonts w:hint="eastAsia"/>
        </w:rPr>
        <w:t>六、确定成交供应商</w:t>
      </w:r>
    </w:p>
    <w:p>
      <w:pPr>
        <w:pStyle w:val="23"/>
        <w:spacing w:line="420" w:lineRule="exact"/>
        <w:ind w:firstLine="420"/>
        <w:rPr>
          <w:rFonts w:hAnsi="宋体"/>
        </w:rPr>
      </w:pPr>
      <w:r>
        <w:rPr>
          <w:rFonts w:hint="eastAsia" w:hAnsi="宋体"/>
        </w:rPr>
        <w:t>1</w:t>
      </w:r>
      <w:r>
        <w:rPr>
          <w:rFonts w:hAnsi="宋体"/>
        </w:rPr>
        <w:t>.</w:t>
      </w:r>
      <w:r>
        <w:rPr>
          <w:rFonts w:hint="eastAsia" w:hAnsi="宋体"/>
        </w:rPr>
        <w:t>本中心应当在评审结束后2个工作日内将评审报告送采购人确认。</w:t>
      </w:r>
    </w:p>
    <w:p>
      <w:pPr>
        <w:pStyle w:val="23"/>
        <w:spacing w:line="420" w:lineRule="exact"/>
        <w:ind w:firstLine="420"/>
        <w:rPr>
          <w:rFonts w:hAnsi="宋体"/>
        </w:rPr>
      </w:pPr>
      <w:r>
        <w:rPr>
          <w:rFonts w:hAnsi="宋体"/>
        </w:rPr>
        <w:t>2.</w:t>
      </w:r>
      <w:r>
        <w:rPr>
          <w:rFonts w:hint="eastAsia" w:hAnsi="宋体"/>
        </w:rPr>
        <w:t>采购人应当在收到评审报告后5个工作日内，从评审报告提出的成交候选人中，根据质量和服务均能满足采购文件实质性响应要求且最后报价最低的原则确定成交供应商，也可以书面授权谈判小组直接确定成交供应商。采购人逾期未确定成交供应商且不提出异议的，视为确定评审报告提出的最后报价最低的供应商为成交供应商。</w:t>
      </w:r>
    </w:p>
    <w:p>
      <w:pPr>
        <w:pStyle w:val="4"/>
        <w:spacing w:line="420" w:lineRule="exact"/>
      </w:pPr>
      <w:r>
        <w:rPr>
          <w:rFonts w:hint="eastAsia"/>
        </w:rPr>
        <w:t>七、结果公告</w:t>
      </w:r>
    </w:p>
    <w:p>
      <w:pPr>
        <w:pStyle w:val="23"/>
        <w:spacing w:line="420" w:lineRule="exact"/>
        <w:ind w:firstLine="420" w:firstLineChars="200"/>
        <w:rPr>
          <w:rFonts w:hAnsi="宋体"/>
        </w:rPr>
      </w:pPr>
      <w:r>
        <w:rPr>
          <w:rFonts w:hint="eastAsia" w:hAnsi="宋体"/>
        </w:rPr>
        <w:t>本中心在成交供应商确定后2个工作日内，</w:t>
      </w:r>
      <w:r>
        <w:rPr>
          <w:rFonts w:hint="eastAsia"/>
        </w:rPr>
        <w:t>在省级以上财政部门指定的媒体上公告</w:t>
      </w:r>
      <w:r>
        <w:rPr>
          <w:rFonts w:hint="eastAsia" w:hAnsi="宋体"/>
        </w:rPr>
        <w:t>成交结果，同时向成交供应商发出成交通知书。</w:t>
      </w:r>
    </w:p>
    <w:p>
      <w:pPr>
        <w:pStyle w:val="4"/>
        <w:spacing w:line="420" w:lineRule="exact"/>
      </w:pPr>
      <w:r>
        <w:rPr>
          <w:rFonts w:hint="eastAsia"/>
        </w:rPr>
        <w:t>八、签订合同</w:t>
      </w:r>
    </w:p>
    <w:p>
      <w:pPr>
        <w:spacing w:line="420" w:lineRule="exact"/>
        <w:ind w:firstLine="210" w:firstLineChars="100"/>
        <w:rPr>
          <w:rFonts w:ascii="宋体" w:hAnsi="宋体" w:cs="Courier New"/>
          <w:szCs w:val="21"/>
        </w:rPr>
      </w:pPr>
      <w:r>
        <w:rPr>
          <w:rFonts w:hint="eastAsia" w:ascii="宋体" w:hAnsi="宋体"/>
          <w:szCs w:val="21"/>
        </w:rPr>
        <w:t>（一）</w:t>
      </w:r>
      <w:r>
        <w:rPr>
          <w:rFonts w:hint="eastAsia" w:ascii="宋体" w:hAnsi="宋体" w:cs="Courier New"/>
          <w:szCs w:val="21"/>
        </w:rPr>
        <w:t>采购人与成交供应商应当在成交通知书发出之日起</w:t>
      </w:r>
      <w:r>
        <w:rPr>
          <w:rFonts w:ascii="宋体" w:hAnsi="宋体" w:cs="Courier New"/>
          <w:szCs w:val="21"/>
        </w:rPr>
        <w:t>15</w:t>
      </w:r>
      <w:r>
        <w:rPr>
          <w:rFonts w:hint="eastAsia" w:ascii="宋体" w:hAnsi="宋体" w:cs="Courier New"/>
          <w:szCs w:val="21"/>
        </w:rPr>
        <w:t>日内，按照谈判文件确定的合同文本以及采购标的、规格型号、采购金额、采购数量、技术和服务要求等确定的事项签订政府采购合同。</w:t>
      </w:r>
    </w:p>
    <w:p>
      <w:pPr>
        <w:widowControl/>
        <w:spacing w:line="420" w:lineRule="exact"/>
        <w:ind w:firstLine="210" w:firstLineChars="100"/>
        <w:jc w:val="left"/>
        <w:rPr>
          <w:rFonts w:ascii="宋体" w:hAnsi="宋体" w:cs="宋体"/>
          <w:kern w:val="0"/>
          <w:szCs w:val="21"/>
        </w:rPr>
      </w:pPr>
      <w:r>
        <w:rPr>
          <w:rFonts w:hint="eastAsia" w:ascii="宋体" w:hAnsi="宋体" w:cs="Courier New"/>
          <w:szCs w:val="21"/>
        </w:rPr>
        <w:t>（二）</w:t>
      </w:r>
      <w:r>
        <w:rPr>
          <w:rFonts w:hint="eastAsia" w:ascii="宋体" w:hAnsi="宋体" w:cs="宋体"/>
          <w:kern w:val="0"/>
          <w:szCs w:val="21"/>
        </w:rPr>
        <w:t>采购人不得向成交供应商提出超出采购文件以外的任何要求作为签订合同的条件，不得与成交供应商订立背离采购文件确定的合同文本以及采购标的、规格型号、采购金额、采购数量、技术和服务要求等实质性内容的协议。</w:t>
      </w:r>
    </w:p>
    <w:p>
      <w:pPr>
        <w:widowControl/>
        <w:spacing w:line="420" w:lineRule="exact"/>
        <w:ind w:firstLine="210" w:firstLineChars="100"/>
        <w:jc w:val="left"/>
        <w:rPr>
          <w:rFonts w:ascii="宋体" w:hAnsi="宋体" w:cs="宋体"/>
          <w:kern w:val="0"/>
          <w:szCs w:val="21"/>
        </w:rPr>
      </w:pPr>
      <w:r>
        <w:rPr>
          <w:rFonts w:hint="eastAsia" w:ascii="宋体" w:hAnsi="宋体" w:cs="宋体"/>
          <w:kern w:val="0"/>
          <w:szCs w:val="21"/>
        </w:rPr>
        <w:t>（三）供应商可凭成交通知书或政府采购合同等在内的相关材料、信息，通过中征应收账款融资服务平台向银行业金融机构在线申请“政采贷”融资。</w:t>
      </w:r>
    </w:p>
    <w:p>
      <w:pPr>
        <w:widowControl/>
        <w:spacing w:line="420" w:lineRule="exact"/>
        <w:ind w:firstLine="210" w:firstLineChars="100"/>
        <w:jc w:val="left"/>
        <w:rPr>
          <w:rFonts w:ascii="宋体" w:hAnsi="宋体" w:cs="宋体"/>
          <w:kern w:val="0"/>
          <w:szCs w:val="21"/>
        </w:rPr>
      </w:pPr>
      <w:r>
        <w:rPr>
          <w:rFonts w:hint="eastAsia" w:ascii="宋体" w:hAnsi="宋体" w:cs="宋体"/>
          <w:kern w:val="0"/>
          <w:szCs w:val="21"/>
        </w:rPr>
        <w:t>（四）除不可抗力等因素外，成交通知书发出后，采购人改变成交结果，或者成交供应商拒绝签订政府采购合同的，应当承担相应的法律责任。</w:t>
      </w:r>
    </w:p>
    <w:p>
      <w:pPr>
        <w:widowControl/>
        <w:spacing w:line="420" w:lineRule="exact"/>
        <w:ind w:firstLine="210" w:firstLineChars="100"/>
        <w:jc w:val="left"/>
        <w:rPr>
          <w:rFonts w:ascii="宋体" w:hAnsi="宋体" w:cs="宋体"/>
          <w:kern w:val="0"/>
          <w:szCs w:val="21"/>
        </w:rPr>
      </w:pPr>
      <w:r>
        <w:rPr>
          <w:rFonts w:hint="eastAsia" w:ascii="宋体" w:hAnsi="宋体" w:cs="宋体"/>
          <w:kern w:val="0"/>
          <w:szCs w:val="21"/>
        </w:rPr>
        <w:t>（五）</w:t>
      </w:r>
      <w:r>
        <w:rPr>
          <w:rFonts w:ascii="Arial" w:hAnsi="Arial" w:cs="Arial"/>
          <w:kern w:val="0"/>
          <w:szCs w:val="21"/>
        </w:rPr>
        <w:t>政府采购合同</w:t>
      </w:r>
      <w:r>
        <w:rPr>
          <w:rFonts w:hint="eastAsia" w:ascii="Arial" w:hAnsi="Arial" w:cs="Arial"/>
          <w:kern w:val="0"/>
          <w:szCs w:val="21"/>
        </w:rPr>
        <w:t>适用《中华人民共和国民法典》</w:t>
      </w:r>
      <w:r>
        <w:rPr>
          <w:rFonts w:ascii="Arial" w:hAnsi="Arial" w:cs="Arial"/>
          <w:kern w:val="0"/>
          <w:szCs w:val="21"/>
        </w:rPr>
        <w:t>。</w:t>
      </w:r>
    </w:p>
    <w:p>
      <w:pPr>
        <w:widowControl/>
        <w:spacing w:line="420" w:lineRule="exact"/>
        <w:ind w:firstLine="210" w:firstLineChars="100"/>
        <w:jc w:val="left"/>
        <w:rPr>
          <w:rFonts w:ascii="宋体" w:hAnsi="宋体" w:cs="宋体"/>
          <w:kern w:val="0"/>
          <w:szCs w:val="21"/>
        </w:rPr>
      </w:pPr>
      <w:r>
        <w:rPr>
          <w:rFonts w:hint="eastAsia" w:ascii="宋体" w:hAnsi="宋体" w:cs="宋体"/>
          <w:kern w:val="0"/>
          <w:szCs w:val="21"/>
        </w:rPr>
        <w:t>（六）成交供应商拒绝签订政府采购合同的，采购人可以按照推荐原则确定其他供应商作为成交供应商并签订政府采购合同，也可以重新开展采购活动。拒绝签订政府采购合同的成交供应商不得参加对该项目重新开展的采购活动。</w:t>
      </w:r>
    </w:p>
    <w:p>
      <w:pPr>
        <w:pStyle w:val="4"/>
        <w:spacing w:line="420" w:lineRule="exact"/>
      </w:pPr>
      <w:r>
        <w:rPr>
          <w:rFonts w:hint="eastAsia"/>
        </w:rPr>
        <w:t>九、适用法律</w:t>
      </w:r>
    </w:p>
    <w:p>
      <w:pPr>
        <w:spacing w:line="420" w:lineRule="exact"/>
        <w:ind w:firstLine="420" w:firstLineChars="200"/>
        <w:rPr>
          <w:rFonts w:ascii="宋体" w:hAnsi="宋体"/>
          <w:szCs w:val="21"/>
        </w:rPr>
      </w:pPr>
      <w:bookmarkStart w:id="116" w:name="_Hlk92794186"/>
      <w:r>
        <w:rPr>
          <w:rFonts w:hint="eastAsia" w:ascii="宋体" w:hAnsi="宋体"/>
          <w:szCs w:val="21"/>
        </w:rPr>
        <w:t>本项目采购活动适用于《中华人民共和国政府采购法》及其实施条例、《政府采购非招标采购方式管理办法》等规定。</w:t>
      </w:r>
    </w:p>
    <w:bookmarkEnd w:id="116"/>
    <w:p>
      <w:pPr>
        <w:pStyle w:val="4"/>
        <w:spacing w:line="420" w:lineRule="exact"/>
      </w:pPr>
      <w:bookmarkStart w:id="117" w:name="_十、其他事项"/>
      <w:bookmarkEnd w:id="117"/>
      <w:r>
        <w:rPr>
          <w:rFonts w:hint="eastAsia"/>
        </w:rPr>
        <w:t>十、其他事项</w:t>
      </w:r>
    </w:p>
    <w:p>
      <w:pPr>
        <w:spacing w:line="420" w:lineRule="exact"/>
        <w:ind w:firstLine="210" w:firstLineChars="100"/>
        <w:rPr>
          <w:rFonts w:hAnsi="宋体"/>
        </w:rPr>
      </w:pPr>
      <w:r>
        <w:rPr>
          <w:rFonts w:hint="eastAsia" w:hAnsi="宋体"/>
        </w:rPr>
        <w:t>（一）代理服务费</w:t>
      </w:r>
    </w:p>
    <w:p>
      <w:pPr>
        <w:spacing w:line="420" w:lineRule="exact"/>
        <w:ind w:firstLine="420" w:firstLineChars="200"/>
        <w:rPr>
          <w:rFonts w:hAnsi="宋体"/>
        </w:rPr>
      </w:pPr>
      <w:r>
        <w:rPr>
          <w:rFonts w:hint="eastAsia" w:hAnsi="宋体"/>
        </w:rPr>
        <w:t>1</w:t>
      </w:r>
      <w:r>
        <w:rPr>
          <w:rFonts w:hAnsi="宋体"/>
        </w:rPr>
        <w:t>.</w:t>
      </w:r>
      <w:r>
        <w:rPr>
          <w:rFonts w:hint="eastAsia" w:hAnsi="宋体"/>
        </w:rPr>
        <w:t>本中心按钦州市物价局“钦市价费〔2013〕4号”文件规定向成交供应商收取代理服务费，成交供应商须向本中心一次付清代理服务费。</w:t>
      </w:r>
    </w:p>
    <w:p>
      <w:pPr>
        <w:spacing w:line="420" w:lineRule="exact"/>
        <w:ind w:firstLine="420" w:firstLineChars="200"/>
      </w:pPr>
      <w:r>
        <w:rPr>
          <w:rFonts w:hint="eastAsia" w:hAnsi="宋体"/>
        </w:rPr>
        <w:t>2</w:t>
      </w:r>
      <w:r>
        <w:rPr>
          <w:rFonts w:hAnsi="宋体"/>
        </w:rPr>
        <w:t>.</w:t>
      </w:r>
      <w:r>
        <w:rPr>
          <w:rFonts w:hint="eastAsia" w:hAnsi="宋体"/>
          <w:bCs/>
        </w:rPr>
        <w:t>代理服务收费标准：</w:t>
      </w:r>
    </w:p>
    <w:tbl>
      <w:tblPr>
        <w:tblStyle w:val="42"/>
        <w:tblW w:w="9146"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38"/>
        <w:gridCol w:w="1932"/>
        <w:gridCol w:w="1800"/>
        <w:gridCol w:w="1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9" w:hRule="atLeast"/>
        </w:trPr>
        <w:tc>
          <w:tcPr>
            <w:tcW w:w="3438" w:type="dxa"/>
            <w:vMerge w:val="restart"/>
          </w:tcPr>
          <w:p>
            <w:pPr>
              <w:spacing w:line="330" w:lineRule="exact"/>
              <w:ind w:firstLine="2310" w:firstLineChars="1100"/>
              <w:rPr>
                <w:rFonts w:hAnsi="宋体"/>
              </w:rPr>
            </w:pPr>
            <w:r>
              <w:rPr>
                <w:rFonts w:hAnsi="宋体"/>
              </w:rPr>
              <mc:AlternateContent>
                <mc:Choice Requires="wps">
                  <w:drawing>
                    <wp:anchor distT="0" distB="0" distL="114300" distR="114300" simplePos="0" relativeHeight="251660288" behindDoc="0" locked="0" layoutInCell="1" allowOverlap="1">
                      <wp:simplePos x="0" y="0"/>
                      <wp:positionH relativeFrom="column">
                        <wp:posOffset>-85090</wp:posOffset>
                      </wp:positionH>
                      <wp:positionV relativeFrom="paragraph">
                        <wp:posOffset>21590</wp:posOffset>
                      </wp:positionV>
                      <wp:extent cx="2172335" cy="1444625"/>
                      <wp:effectExtent l="2540" t="3810" r="15875" b="18415"/>
                      <wp:wrapNone/>
                      <wp:docPr id="4" name="直线 3"/>
                      <wp:cNvGraphicFramePr/>
                      <a:graphic xmlns:a="http://schemas.openxmlformats.org/drawingml/2006/main">
                        <a:graphicData uri="http://schemas.microsoft.com/office/word/2010/wordprocessingShape">
                          <wps:wsp>
                            <wps:cNvCnPr>
                              <a:cxnSpLocks noChangeShapeType="1"/>
                            </wps:cNvCnPr>
                            <wps:spPr bwMode="auto">
                              <a:xfrm flipH="1" flipV="1">
                                <a:off x="0" y="0"/>
                                <a:ext cx="2172335" cy="1444625"/>
                              </a:xfrm>
                              <a:prstGeom prst="line">
                                <a:avLst/>
                              </a:prstGeom>
                              <a:noFill/>
                              <a:ln w="9525">
                                <a:solidFill>
                                  <a:srgbClr val="000000"/>
                                </a:solidFill>
                                <a:round/>
                              </a:ln>
                              <a:effectLst/>
                            </wps:spPr>
                            <wps:bodyPr/>
                          </wps:wsp>
                        </a:graphicData>
                      </a:graphic>
                    </wp:anchor>
                  </w:drawing>
                </mc:Choice>
                <mc:Fallback>
                  <w:pict>
                    <v:line id="直线 3" o:spid="_x0000_s1026" o:spt="20" style="position:absolute;left:0pt;flip:x y;margin-left:-6.7pt;margin-top:1.7pt;height:113.75pt;width:171.05pt;z-index:251660288;mso-width-relative:page;mso-height-relative:page;" filled="f" stroked="t" coordsize="21600,21600" o:gfxdata="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W8&#10;NPnVAAAACQEAAA8AAAAAAAAAAQAgAAAAIgAAAGRycy9kb3ducmV2LnhtbFBLAQIUABQAAAAIAIdO&#10;4kBB+NgN7QEAAMkDAAAOAAAAAAAAAAEAIAAAACQBAABkcnMvZTJvRG9jLnhtbFBLBQYAAAAABgAG&#10;AFkBAACDBQAAAAA=&#10;">
                      <v:fill on="f" focussize="0,0"/>
                      <v:stroke color="#000000" joinstyle="round"/>
                      <v:imagedata o:title=""/>
                      <o:lock v:ext="edit" aspectratio="f"/>
                    </v:line>
                  </w:pict>
                </mc:Fallback>
              </mc:AlternateContent>
            </w:r>
            <w:r>
              <w:rPr>
                <w:rFonts w:hAnsi="宋体"/>
              </w:rPr>
              <mc:AlternateContent>
                <mc:Choice Requires="wps">
                  <w:drawing>
                    <wp:anchor distT="0" distB="0" distL="114300" distR="114300" simplePos="0" relativeHeight="251659264" behindDoc="0" locked="0" layoutInCell="1" allowOverlap="1">
                      <wp:simplePos x="0" y="0"/>
                      <wp:positionH relativeFrom="column">
                        <wp:posOffset>940435</wp:posOffset>
                      </wp:positionH>
                      <wp:positionV relativeFrom="paragraph">
                        <wp:posOffset>19685</wp:posOffset>
                      </wp:positionV>
                      <wp:extent cx="1143635" cy="1444625"/>
                      <wp:effectExtent l="3810" t="3175" r="14605" b="19050"/>
                      <wp:wrapNone/>
                      <wp:docPr id="3" name="直线 4"/>
                      <wp:cNvGraphicFramePr/>
                      <a:graphic xmlns:a="http://schemas.openxmlformats.org/drawingml/2006/main">
                        <a:graphicData uri="http://schemas.microsoft.com/office/word/2010/wordprocessingShape">
                          <wps:wsp>
                            <wps:cNvCnPr>
                              <a:cxnSpLocks noChangeShapeType="1"/>
                            </wps:cNvCnPr>
                            <wps:spPr bwMode="auto">
                              <a:xfrm flipH="1" flipV="1">
                                <a:off x="0" y="0"/>
                                <a:ext cx="1143635" cy="1444625"/>
                              </a:xfrm>
                              <a:prstGeom prst="line">
                                <a:avLst/>
                              </a:prstGeom>
                              <a:noFill/>
                              <a:ln w="9525">
                                <a:solidFill>
                                  <a:srgbClr val="000000"/>
                                </a:solidFill>
                                <a:round/>
                              </a:ln>
                              <a:effectLst/>
                            </wps:spPr>
                            <wps:bodyPr/>
                          </wps:wsp>
                        </a:graphicData>
                      </a:graphic>
                    </wp:anchor>
                  </w:drawing>
                </mc:Choice>
                <mc:Fallback>
                  <w:pict>
                    <v:line id="直线 4" o:spid="_x0000_s1026" o:spt="20" style="position:absolute;left:0pt;flip:x y;margin-left:74.05pt;margin-top:1.55pt;height:113.75pt;width:90.05pt;z-index:251659264;mso-width-relative:page;mso-height-relative:page;" filled="f" stroked="t" coordsize="21600,21600" o:gfxdata="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esssL&#10;1AAAAAkBAAAPAAAAAAAAAAEAIAAAACIAAABkcnMvZG93bnJldi54bWxQSwECFAAUAAAACACHTuJA&#10;/FQjpewBAADJAwAADgAAAAAAAAABACAAAAAjAQAAZHJzL2Uyb0RvYy54bWxQSwUGAAAAAAYABgBZ&#10;AQAAgQUAAAAA&#10;">
                      <v:fill on="f" focussize="0,0"/>
                      <v:stroke color="#000000" joinstyle="round"/>
                      <v:imagedata o:title=""/>
                      <o:lock v:ext="edit" aspectratio="f"/>
                    </v:line>
                  </w:pict>
                </mc:Fallback>
              </mc:AlternateContent>
            </w:r>
            <w:r>
              <w:rPr>
                <w:rFonts w:hint="eastAsia" w:hAnsi="宋体"/>
              </w:rPr>
              <w:t>采购类型</w:t>
            </w:r>
          </w:p>
          <w:p>
            <w:pPr>
              <w:spacing w:line="330" w:lineRule="exact"/>
              <w:rPr>
                <w:rFonts w:hAnsi="宋体"/>
              </w:rPr>
            </w:pPr>
          </w:p>
          <w:p>
            <w:pPr>
              <w:spacing w:line="330" w:lineRule="exact"/>
              <w:ind w:firstLine="1575" w:firstLineChars="750"/>
              <w:jc w:val="left"/>
              <w:rPr>
                <w:rFonts w:hAnsi="宋体"/>
              </w:rPr>
            </w:pPr>
            <w:r>
              <w:rPr>
                <w:rFonts w:hint="eastAsia" w:hAnsi="宋体"/>
              </w:rPr>
              <w:t>费率</w:t>
            </w:r>
          </w:p>
          <w:p>
            <w:pPr>
              <w:spacing w:line="330" w:lineRule="exact"/>
              <w:ind w:leftChars="-1" w:hanging="2" w:hangingChars="1"/>
              <w:jc w:val="left"/>
              <w:rPr>
                <w:rFonts w:hAnsi="宋体"/>
              </w:rPr>
            </w:pPr>
          </w:p>
          <w:p>
            <w:pPr>
              <w:spacing w:line="330" w:lineRule="exact"/>
              <w:ind w:leftChars="-1" w:hanging="2" w:hangingChars="1"/>
              <w:jc w:val="left"/>
              <w:rPr>
                <w:rFonts w:hAnsi="宋体"/>
              </w:rPr>
            </w:pPr>
          </w:p>
          <w:p>
            <w:pPr>
              <w:spacing w:line="330" w:lineRule="exact"/>
              <w:jc w:val="left"/>
              <w:rPr>
                <w:rFonts w:hAnsi="宋体"/>
              </w:rPr>
            </w:pPr>
            <w:r>
              <w:rPr>
                <w:rFonts w:hint="eastAsia" w:hAnsi="宋体"/>
              </w:rPr>
              <w:t>成交金额（万元）</w:t>
            </w:r>
          </w:p>
        </w:tc>
        <w:tc>
          <w:tcPr>
            <w:tcW w:w="5708" w:type="dxa"/>
            <w:gridSpan w:val="3"/>
            <w:vAlign w:val="center"/>
          </w:tcPr>
          <w:p>
            <w:pPr>
              <w:spacing w:line="330" w:lineRule="exact"/>
              <w:rPr>
                <w:rFonts w:hAnsi="宋体"/>
              </w:rPr>
            </w:pPr>
            <w:r>
              <w:rPr>
                <w:rFonts w:hint="eastAsia" w:hAnsi="宋体"/>
              </w:rPr>
              <w:t>公开招标、邀请招标、竞争性谈判方式采购代理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3438" w:type="dxa"/>
            <w:vMerge w:val="continue"/>
          </w:tcPr>
          <w:p>
            <w:pPr>
              <w:spacing w:line="330" w:lineRule="exact"/>
              <w:ind w:firstLine="2620" w:firstLineChars="1248"/>
              <w:rPr>
                <w:rFonts w:hAnsi="宋体"/>
              </w:rPr>
            </w:pPr>
          </w:p>
        </w:tc>
        <w:tc>
          <w:tcPr>
            <w:tcW w:w="1932" w:type="dxa"/>
            <w:vAlign w:val="center"/>
          </w:tcPr>
          <w:p>
            <w:pPr>
              <w:spacing w:line="330" w:lineRule="exact"/>
              <w:jc w:val="center"/>
              <w:rPr>
                <w:rFonts w:hAnsi="宋体"/>
              </w:rPr>
            </w:pPr>
            <w:r>
              <w:rPr>
                <w:rFonts w:hint="eastAsia" w:hAnsi="宋体"/>
              </w:rPr>
              <w:t>货物类</w:t>
            </w:r>
          </w:p>
        </w:tc>
        <w:tc>
          <w:tcPr>
            <w:tcW w:w="1800" w:type="dxa"/>
            <w:vAlign w:val="center"/>
          </w:tcPr>
          <w:p>
            <w:pPr>
              <w:spacing w:line="330" w:lineRule="exact"/>
              <w:jc w:val="center"/>
              <w:rPr>
                <w:rFonts w:hAnsi="宋体"/>
              </w:rPr>
            </w:pPr>
            <w:r>
              <w:rPr>
                <w:rFonts w:hint="eastAsia" w:hAnsi="宋体"/>
              </w:rPr>
              <w:t>服务类</w:t>
            </w:r>
          </w:p>
        </w:tc>
        <w:tc>
          <w:tcPr>
            <w:tcW w:w="1976" w:type="dxa"/>
            <w:vAlign w:val="center"/>
          </w:tcPr>
          <w:p>
            <w:pPr>
              <w:widowControl/>
              <w:spacing w:line="330" w:lineRule="exact"/>
              <w:jc w:val="center"/>
              <w:rPr>
                <w:rFonts w:hAnsi="宋体"/>
              </w:rPr>
            </w:pPr>
            <w:r>
              <w:rPr>
                <w:rFonts w:hint="eastAsia" w:hAnsi="宋体"/>
              </w:rPr>
              <w:t>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3438" w:type="dxa"/>
            <w:vAlign w:val="center"/>
          </w:tcPr>
          <w:p>
            <w:pPr>
              <w:spacing w:line="330" w:lineRule="exact"/>
              <w:jc w:val="center"/>
              <w:rPr>
                <w:rFonts w:hAnsi="宋体"/>
              </w:rPr>
            </w:pPr>
            <w:r>
              <w:rPr>
                <w:rFonts w:hint="eastAsia" w:hAnsi="宋体"/>
              </w:rPr>
              <w:t>100以下</w:t>
            </w:r>
          </w:p>
        </w:tc>
        <w:tc>
          <w:tcPr>
            <w:tcW w:w="1932" w:type="dxa"/>
            <w:vAlign w:val="center"/>
          </w:tcPr>
          <w:p>
            <w:pPr>
              <w:spacing w:line="330" w:lineRule="exact"/>
              <w:jc w:val="center"/>
              <w:rPr>
                <w:rFonts w:hAnsi="宋体"/>
              </w:rPr>
            </w:pPr>
            <w:r>
              <w:rPr>
                <w:rFonts w:hint="eastAsia" w:hAnsi="宋体"/>
              </w:rPr>
              <w:t>1.2%</w:t>
            </w:r>
          </w:p>
        </w:tc>
        <w:tc>
          <w:tcPr>
            <w:tcW w:w="1800" w:type="dxa"/>
            <w:vAlign w:val="center"/>
          </w:tcPr>
          <w:p>
            <w:pPr>
              <w:spacing w:line="330" w:lineRule="exact"/>
              <w:jc w:val="center"/>
              <w:rPr>
                <w:rFonts w:hAnsi="宋体"/>
              </w:rPr>
            </w:pPr>
            <w:r>
              <w:rPr>
                <w:rFonts w:hint="eastAsia" w:hAnsi="宋体"/>
              </w:rPr>
              <w:t>1.2%</w:t>
            </w:r>
          </w:p>
        </w:tc>
        <w:tc>
          <w:tcPr>
            <w:tcW w:w="1976" w:type="dxa"/>
            <w:vAlign w:val="center"/>
          </w:tcPr>
          <w:p>
            <w:pPr>
              <w:spacing w:line="330" w:lineRule="exact"/>
              <w:jc w:val="center"/>
              <w:rPr>
                <w:rFonts w:hAnsi="宋体"/>
              </w:rPr>
            </w:pPr>
            <w:r>
              <w:rPr>
                <w:rFonts w:hint="eastAsia" w:hAnsi="宋体"/>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438" w:type="dxa"/>
            <w:vAlign w:val="center"/>
          </w:tcPr>
          <w:p>
            <w:pPr>
              <w:spacing w:line="330" w:lineRule="exact"/>
              <w:jc w:val="center"/>
              <w:rPr>
                <w:rFonts w:hAnsi="宋体"/>
              </w:rPr>
            </w:pPr>
            <w:r>
              <w:rPr>
                <w:rFonts w:hint="eastAsia" w:hAnsi="宋体"/>
              </w:rPr>
              <w:t>100-500</w:t>
            </w:r>
          </w:p>
        </w:tc>
        <w:tc>
          <w:tcPr>
            <w:tcW w:w="1932" w:type="dxa"/>
            <w:vAlign w:val="center"/>
          </w:tcPr>
          <w:p>
            <w:pPr>
              <w:spacing w:line="330" w:lineRule="exact"/>
              <w:jc w:val="center"/>
              <w:rPr>
                <w:rFonts w:hAnsi="宋体"/>
              </w:rPr>
            </w:pPr>
            <w:r>
              <w:rPr>
                <w:rFonts w:hint="eastAsia" w:hAnsi="宋体"/>
              </w:rPr>
              <w:t>0.88%</w:t>
            </w:r>
          </w:p>
        </w:tc>
        <w:tc>
          <w:tcPr>
            <w:tcW w:w="1800" w:type="dxa"/>
            <w:vAlign w:val="center"/>
          </w:tcPr>
          <w:p>
            <w:pPr>
              <w:spacing w:line="330" w:lineRule="exact"/>
              <w:jc w:val="center"/>
              <w:rPr>
                <w:rFonts w:hAnsi="宋体"/>
              </w:rPr>
            </w:pPr>
            <w:r>
              <w:rPr>
                <w:rFonts w:hint="eastAsia" w:hAnsi="宋体"/>
              </w:rPr>
              <w:t>0.64%</w:t>
            </w:r>
          </w:p>
        </w:tc>
        <w:tc>
          <w:tcPr>
            <w:tcW w:w="1976" w:type="dxa"/>
            <w:vAlign w:val="center"/>
          </w:tcPr>
          <w:p>
            <w:pPr>
              <w:spacing w:line="330" w:lineRule="exact"/>
              <w:jc w:val="center"/>
              <w:rPr>
                <w:rFonts w:hAnsi="宋体"/>
              </w:rPr>
            </w:pPr>
            <w:r>
              <w:rPr>
                <w:rFonts w:hint="eastAsia" w:hAnsi="宋体"/>
              </w:rPr>
              <w:t>0.56%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3438" w:type="dxa"/>
            <w:vAlign w:val="center"/>
          </w:tcPr>
          <w:p>
            <w:pPr>
              <w:spacing w:line="330" w:lineRule="exact"/>
              <w:jc w:val="center"/>
              <w:rPr>
                <w:rFonts w:hAnsi="宋体"/>
              </w:rPr>
            </w:pPr>
            <w:r>
              <w:rPr>
                <w:rFonts w:hint="eastAsia" w:hAnsi="宋体"/>
              </w:rPr>
              <w:t>500-1000</w:t>
            </w:r>
          </w:p>
        </w:tc>
        <w:tc>
          <w:tcPr>
            <w:tcW w:w="1932" w:type="dxa"/>
            <w:vAlign w:val="center"/>
          </w:tcPr>
          <w:p>
            <w:pPr>
              <w:spacing w:line="330" w:lineRule="exact"/>
              <w:jc w:val="center"/>
              <w:rPr>
                <w:rFonts w:hAnsi="宋体"/>
              </w:rPr>
            </w:pPr>
            <w:r>
              <w:rPr>
                <w:rFonts w:hint="eastAsia" w:hAnsi="宋体"/>
              </w:rPr>
              <w:t>0.64%</w:t>
            </w:r>
          </w:p>
        </w:tc>
        <w:tc>
          <w:tcPr>
            <w:tcW w:w="1800" w:type="dxa"/>
            <w:vAlign w:val="center"/>
          </w:tcPr>
          <w:p>
            <w:pPr>
              <w:spacing w:line="330" w:lineRule="exact"/>
              <w:jc w:val="center"/>
              <w:rPr>
                <w:rFonts w:hAnsi="宋体"/>
              </w:rPr>
            </w:pPr>
            <w:r>
              <w:rPr>
                <w:rFonts w:hint="eastAsia" w:hAnsi="宋体"/>
              </w:rPr>
              <w:t>0.36%</w:t>
            </w:r>
          </w:p>
        </w:tc>
        <w:tc>
          <w:tcPr>
            <w:tcW w:w="1976" w:type="dxa"/>
            <w:vAlign w:val="center"/>
          </w:tcPr>
          <w:p>
            <w:pPr>
              <w:spacing w:line="330" w:lineRule="exact"/>
              <w:jc w:val="center"/>
              <w:rPr>
                <w:rFonts w:hAnsi="宋体"/>
              </w:rPr>
            </w:pPr>
            <w:r>
              <w:rPr>
                <w:rFonts w:hint="eastAsia" w:hAnsi="宋体"/>
              </w:rPr>
              <w:t>0.44%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3438" w:type="dxa"/>
            <w:vAlign w:val="center"/>
          </w:tcPr>
          <w:p>
            <w:pPr>
              <w:spacing w:line="330" w:lineRule="exact"/>
              <w:jc w:val="center"/>
              <w:rPr>
                <w:rFonts w:hAnsi="宋体"/>
              </w:rPr>
            </w:pPr>
            <w:r>
              <w:rPr>
                <w:rFonts w:hint="eastAsia" w:hAnsi="宋体"/>
              </w:rPr>
              <w:t>1000-5000</w:t>
            </w:r>
          </w:p>
        </w:tc>
        <w:tc>
          <w:tcPr>
            <w:tcW w:w="1932" w:type="dxa"/>
            <w:vAlign w:val="center"/>
          </w:tcPr>
          <w:p>
            <w:pPr>
              <w:spacing w:line="330" w:lineRule="exact"/>
              <w:jc w:val="center"/>
              <w:rPr>
                <w:rFonts w:hAnsi="宋体"/>
              </w:rPr>
            </w:pPr>
            <w:r>
              <w:rPr>
                <w:rFonts w:hint="eastAsia" w:hAnsi="宋体"/>
              </w:rPr>
              <w:t>0.4%</w:t>
            </w:r>
          </w:p>
        </w:tc>
        <w:tc>
          <w:tcPr>
            <w:tcW w:w="1800" w:type="dxa"/>
            <w:vAlign w:val="center"/>
          </w:tcPr>
          <w:p>
            <w:pPr>
              <w:spacing w:line="330" w:lineRule="exact"/>
              <w:jc w:val="center"/>
              <w:rPr>
                <w:rFonts w:hAnsi="宋体"/>
              </w:rPr>
            </w:pPr>
            <w:r>
              <w:rPr>
                <w:rFonts w:hint="eastAsia" w:hAnsi="宋体"/>
              </w:rPr>
              <w:t>0.2%</w:t>
            </w:r>
          </w:p>
        </w:tc>
        <w:tc>
          <w:tcPr>
            <w:tcW w:w="1976" w:type="dxa"/>
            <w:vAlign w:val="center"/>
          </w:tcPr>
          <w:p>
            <w:pPr>
              <w:spacing w:line="330" w:lineRule="exact"/>
              <w:jc w:val="center"/>
              <w:rPr>
                <w:rFonts w:hAnsi="宋体"/>
              </w:rPr>
            </w:pPr>
            <w:r>
              <w:rPr>
                <w:rFonts w:hint="eastAsia" w:hAnsi="宋体"/>
              </w:rPr>
              <w:t>0.28%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3438" w:type="dxa"/>
            <w:vAlign w:val="center"/>
          </w:tcPr>
          <w:p>
            <w:pPr>
              <w:spacing w:line="330" w:lineRule="exact"/>
              <w:jc w:val="center"/>
              <w:rPr>
                <w:rFonts w:hAnsi="宋体"/>
              </w:rPr>
            </w:pPr>
            <w:r>
              <w:rPr>
                <w:rFonts w:hint="eastAsia" w:hAnsi="宋体"/>
              </w:rPr>
              <w:t>5000-10000</w:t>
            </w:r>
          </w:p>
        </w:tc>
        <w:tc>
          <w:tcPr>
            <w:tcW w:w="1932" w:type="dxa"/>
            <w:vAlign w:val="center"/>
          </w:tcPr>
          <w:p>
            <w:pPr>
              <w:spacing w:line="330" w:lineRule="exact"/>
              <w:jc w:val="center"/>
              <w:rPr>
                <w:rFonts w:hAnsi="宋体"/>
              </w:rPr>
            </w:pPr>
            <w:r>
              <w:rPr>
                <w:rFonts w:hint="eastAsia" w:hAnsi="宋体"/>
              </w:rPr>
              <w:t>0.2%</w:t>
            </w:r>
          </w:p>
        </w:tc>
        <w:tc>
          <w:tcPr>
            <w:tcW w:w="1800" w:type="dxa"/>
            <w:vAlign w:val="center"/>
          </w:tcPr>
          <w:p>
            <w:pPr>
              <w:spacing w:line="330" w:lineRule="exact"/>
              <w:jc w:val="center"/>
              <w:rPr>
                <w:rFonts w:hAnsi="宋体"/>
              </w:rPr>
            </w:pPr>
            <w:r>
              <w:rPr>
                <w:rFonts w:hint="eastAsia" w:hAnsi="宋体"/>
              </w:rPr>
              <w:t>0.08%</w:t>
            </w:r>
          </w:p>
        </w:tc>
        <w:tc>
          <w:tcPr>
            <w:tcW w:w="1976" w:type="dxa"/>
            <w:vAlign w:val="center"/>
          </w:tcPr>
          <w:p>
            <w:pPr>
              <w:spacing w:line="330" w:lineRule="exact"/>
              <w:jc w:val="center"/>
              <w:rPr>
                <w:rFonts w:hAnsi="宋体"/>
              </w:rPr>
            </w:pPr>
            <w:r>
              <w:rPr>
                <w:rFonts w:hint="eastAsia" w:hAnsi="宋体"/>
              </w:rPr>
              <w:t>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438" w:type="dxa"/>
            <w:vAlign w:val="center"/>
          </w:tcPr>
          <w:p>
            <w:pPr>
              <w:spacing w:line="330" w:lineRule="exact"/>
              <w:jc w:val="center"/>
              <w:rPr>
                <w:rFonts w:hAnsi="宋体"/>
              </w:rPr>
            </w:pPr>
            <w:r>
              <w:rPr>
                <w:rFonts w:hint="eastAsia" w:hAnsi="宋体"/>
              </w:rPr>
              <w:t>10000-100000</w:t>
            </w:r>
          </w:p>
        </w:tc>
        <w:tc>
          <w:tcPr>
            <w:tcW w:w="1932" w:type="dxa"/>
            <w:vAlign w:val="center"/>
          </w:tcPr>
          <w:p>
            <w:pPr>
              <w:spacing w:line="330" w:lineRule="exact"/>
              <w:jc w:val="center"/>
              <w:rPr>
                <w:rFonts w:hAnsi="宋体"/>
              </w:rPr>
            </w:pPr>
            <w:r>
              <w:rPr>
                <w:rFonts w:hint="eastAsia" w:hAnsi="宋体"/>
              </w:rPr>
              <w:t>0.04%</w:t>
            </w:r>
          </w:p>
        </w:tc>
        <w:tc>
          <w:tcPr>
            <w:tcW w:w="1800" w:type="dxa"/>
            <w:vAlign w:val="center"/>
          </w:tcPr>
          <w:p>
            <w:pPr>
              <w:spacing w:line="330" w:lineRule="exact"/>
              <w:jc w:val="center"/>
              <w:rPr>
                <w:rFonts w:hAnsi="宋体"/>
              </w:rPr>
            </w:pPr>
            <w:r>
              <w:rPr>
                <w:rFonts w:hint="eastAsia" w:hAnsi="宋体"/>
              </w:rPr>
              <w:t>0.04%</w:t>
            </w:r>
          </w:p>
        </w:tc>
        <w:tc>
          <w:tcPr>
            <w:tcW w:w="1976" w:type="dxa"/>
            <w:vAlign w:val="center"/>
          </w:tcPr>
          <w:p>
            <w:pPr>
              <w:spacing w:line="330" w:lineRule="exact"/>
              <w:jc w:val="center"/>
              <w:rPr>
                <w:rFonts w:hAnsi="宋体"/>
              </w:rPr>
            </w:pPr>
            <w:r>
              <w:rPr>
                <w:rFonts w:hint="eastAsia" w:hAnsi="宋体"/>
              </w:rPr>
              <w:t>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3438" w:type="dxa"/>
            <w:vAlign w:val="center"/>
          </w:tcPr>
          <w:p>
            <w:pPr>
              <w:spacing w:line="330" w:lineRule="exact"/>
              <w:jc w:val="center"/>
              <w:rPr>
                <w:rFonts w:hAnsi="宋体"/>
              </w:rPr>
            </w:pPr>
            <w:r>
              <w:rPr>
                <w:rFonts w:hint="eastAsia" w:hAnsi="宋体"/>
              </w:rPr>
              <w:t>100000以上</w:t>
            </w:r>
          </w:p>
        </w:tc>
        <w:tc>
          <w:tcPr>
            <w:tcW w:w="1932" w:type="dxa"/>
            <w:vAlign w:val="center"/>
          </w:tcPr>
          <w:p>
            <w:pPr>
              <w:spacing w:line="330" w:lineRule="exact"/>
              <w:jc w:val="center"/>
              <w:rPr>
                <w:rFonts w:hAnsi="宋体"/>
              </w:rPr>
            </w:pPr>
            <w:r>
              <w:rPr>
                <w:rFonts w:hint="eastAsia" w:hAnsi="宋体"/>
              </w:rPr>
              <w:t>0.008%</w:t>
            </w:r>
          </w:p>
        </w:tc>
        <w:tc>
          <w:tcPr>
            <w:tcW w:w="1800" w:type="dxa"/>
            <w:vAlign w:val="center"/>
          </w:tcPr>
          <w:p>
            <w:pPr>
              <w:spacing w:line="330" w:lineRule="exact"/>
              <w:jc w:val="center"/>
              <w:rPr>
                <w:rFonts w:hAnsi="宋体"/>
              </w:rPr>
            </w:pPr>
            <w:r>
              <w:rPr>
                <w:rFonts w:hint="eastAsia" w:hAnsi="宋体"/>
              </w:rPr>
              <w:t>0.008%</w:t>
            </w:r>
          </w:p>
        </w:tc>
        <w:tc>
          <w:tcPr>
            <w:tcW w:w="1976" w:type="dxa"/>
            <w:vAlign w:val="center"/>
          </w:tcPr>
          <w:p>
            <w:pPr>
              <w:spacing w:line="330" w:lineRule="exact"/>
              <w:jc w:val="center"/>
              <w:rPr>
                <w:rFonts w:hAnsi="宋体"/>
              </w:rPr>
            </w:pPr>
            <w:r>
              <w:rPr>
                <w:rFonts w:hint="eastAsia" w:hAnsi="宋体"/>
              </w:rPr>
              <w:t>0.008%</w:t>
            </w:r>
          </w:p>
        </w:tc>
      </w:tr>
    </w:tbl>
    <w:p>
      <w:pPr>
        <w:pStyle w:val="23"/>
        <w:spacing w:line="400" w:lineRule="exact"/>
        <w:ind w:firstLine="420" w:firstLineChars="200"/>
        <w:rPr>
          <w:rFonts w:hAnsi="宋体"/>
        </w:rPr>
      </w:pPr>
      <w:r>
        <w:rPr>
          <w:rFonts w:hint="eastAsia" w:hAnsi="宋体"/>
        </w:rPr>
        <w:t>注：代理服务收费按差额定率累进法计算</w:t>
      </w:r>
    </w:p>
    <w:p>
      <w:pPr>
        <w:pStyle w:val="23"/>
        <w:spacing w:line="400" w:lineRule="exact"/>
        <w:ind w:firstLine="420" w:firstLineChars="200"/>
        <w:rPr>
          <w:rFonts w:hAnsi="宋体"/>
          <w:bCs/>
        </w:rPr>
      </w:pPr>
      <w:r>
        <w:rPr>
          <w:rFonts w:hint="eastAsia" w:hAnsi="宋体"/>
          <w:bCs/>
        </w:rPr>
        <w:t>3.缴纳代理服务费银行账户信息：</w:t>
      </w:r>
    </w:p>
    <w:p>
      <w:pPr>
        <w:pStyle w:val="23"/>
        <w:spacing w:line="400" w:lineRule="exact"/>
        <w:ind w:firstLine="420" w:firstLineChars="200"/>
        <w:rPr>
          <w:rFonts w:hAnsi="宋体"/>
          <w:bCs/>
        </w:rPr>
      </w:pPr>
      <w:r>
        <w:rPr>
          <w:rFonts w:hint="eastAsia" w:hAnsi="宋体"/>
          <w:bCs/>
        </w:rPr>
        <w:t>开户名称:钦州市政府采购中心</w:t>
      </w:r>
    </w:p>
    <w:p>
      <w:pPr>
        <w:pStyle w:val="23"/>
        <w:spacing w:line="400" w:lineRule="exact"/>
        <w:ind w:firstLine="420" w:firstLineChars="200"/>
        <w:rPr>
          <w:rFonts w:hAnsi="宋体"/>
          <w:bCs/>
        </w:rPr>
      </w:pPr>
      <w:r>
        <w:rPr>
          <w:rFonts w:hint="eastAsia" w:hAnsi="宋体"/>
          <w:bCs/>
        </w:rPr>
        <w:t>开户银行:兴业银行钦州支行</w:t>
      </w:r>
    </w:p>
    <w:p>
      <w:pPr>
        <w:pStyle w:val="23"/>
        <w:spacing w:line="400" w:lineRule="exact"/>
        <w:ind w:firstLine="420" w:firstLineChars="200"/>
        <w:rPr>
          <w:rFonts w:hAnsi="宋体"/>
        </w:rPr>
      </w:pPr>
      <w:r>
        <w:rPr>
          <w:rFonts w:hint="eastAsia" w:hAnsi="宋体"/>
          <w:bCs/>
        </w:rPr>
        <w:t>银行账号:554010100100129709</w:t>
      </w:r>
    </w:p>
    <w:p>
      <w:pPr>
        <w:pStyle w:val="23"/>
        <w:spacing w:line="400" w:lineRule="exact"/>
        <w:ind w:firstLine="210" w:firstLineChars="100"/>
        <w:rPr>
          <w:rFonts w:hAnsi="宋体"/>
          <w:spacing w:val="-4"/>
        </w:rPr>
      </w:pPr>
      <w:r>
        <w:rPr>
          <w:rFonts w:hint="eastAsia" w:hAnsi="宋体"/>
          <w:bCs/>
        </w:rPr>
        <w:t>（二）解释权：</w:t>
      </w:r>
      <w:r>
        <w:rPr>
          <w:rFonts w:hint="eastAsia" w:hAnsi="宋体"/>
          <w:spacing w:val="-4"/>
        </w:rPr>
        <w:t>本采购文件解释权属本中心。</w:t>
      </w:r>
    </w:p>
    <w:p>
      <w:pPr>
        <w:pStyle w:val="23"/>
        <w:spacing w:line="400" w:lineRule="exact"/>
        <w:ind w:firstLine="210" w:firstLineChars="100"/>
        <w:rPr>
          <w:rFonts w:hAnsi="宋体"/>
          <w:spacing w:val="-4"/>
        </w:rPr>
      </w:pPr>
      <w:r>
        <w:rPr>
          <w:rFonts w:hint="eastAsia" w:hAnsi="宋体"/>
          <w:bCs/>
        </w:rPr>
        <w:t>（三）有关事宜</w:t>
      </w:r>
    </w:p>
    <w:p>
      <w:pPr>
        <w:spacing w:line="400" w:lineRule="exact"/>
        <w:ind w:firstLine="420" w:firstLineChars="200"/>
      </w:pPr>
      <w:r>
        <w:rPr>
          <w:rFonts w:hint="eastAsia"/>
        </w:rPr>
        <w:t>所有与采购文件有关的函件请按下列通讯地址联系：</w:t>
      </w:r>
    </w:p>
    <w:p>
      <w:pPr>
        <w:widowControl/>
        <w:spacing w:line="400" w:lineRule="exact"/>
        <w:ind w:firstLine="420" w:firstLineChars="200"/>
        <w:jc w:val="left"/>
      </w:pPr>
      <w:r>
        <w:rPr>
          <w:rFonts w:hint="eastAsia"/>
        </w:rPr>
        <w:t>钦州市政府采购中心</w:t>
      </w:r>
    </w:p>
    <w:p>
      <w:pPr>
        <w:widowControl/>
        <w:spacing w:line="400" w:lineRule="exact"/>
        <w:ind w:firstLine="420" w:firstLineChars="200"/>
        <w:jc w:val="left"/>
      </w:pPr>
      <w:r>
        <w:rPr>
          <w:rFonts w:hint="eastAsia"/>
        </w:rPr>
        <w:t>通讯地址：钦州市金海湾东大街8号</w:t>
      </w:r>
    </w:p>
    <w:p>
      <w:pPr>
        <w:widowControl/>
        <w:spacing w:line="400" w:lineRule="exact"/>
        <w:ind w:firstLine="420" w:firstLineChars="200"/>
        <w:jc w:val="left"/>
      </w:pPr>
      <w:r>
        <w:rPr>
          <w:rFonts w:hint="eastAsia"/>
        </w:rPr>
        <w:t>邮政编码：535000</w:t>
      </w:r>
    </w:p>
    <w:p>
      <w:pPr>
        <w:widowControl/>
        <w:spacing w:line="400" w:lineRule="exact"/>
        <w:ind w:firstLine="420" w:firstLineChars="200"/>
        <w:jc w:val="left"/>
      </w:pPr>
      <w:r>
        <w:rPr>
          <w:rFonts w:hint="eastAsia"/>
        </w:rPr>
        <w:t>钦州市政府采购中心联系方式：</w:t>
      </w:r>
    </w:p>
    <w:p>
      <w:pPr>
        <w:widowControl/>
        <w:spacing w:line="400" w:lineRule="exact"/>
        <w:ind w:firstLine="420" w:firstLineChars="200"/>
        <w:jc w:val="left"/>
      </w:pPr>
      <w:r>
        <w:rPr>
          <w:rFonts w:hint="eastAsia"/>
        </w:rPr>
        <w:t>(1)采购部(采购文件)</w:t>
      </w:r>
    </w:p>
    <w:p>
      <w:pPr>
        <w:widowControl/>
        <w:spacing w:line="400" w:lineRule="exact"/>
        <w:ind w:firstLine="420" w:firstLineChars="200"/>
        <w:jc w:val="left"/>
      </w:pPr>
      <w:r>
        <w:rPr>
          <w:rFonts w:hint="eastAsia"/>
        </w:rPr>
        <w:t xml:space="preserve">联系人：苏晓婷 </w:t>
      </w:r>
      <w:r>
        <w:t xml:space="preserve"> </w:t>
      </w:r>
      <w:r>
        <w:rPr>
          <w:rFonts w:hint="eastAsia"/>
        </w:rPr>
        <w:t xml:space="preserve"> 联系方式：0777-2886022</w:t>
      </w:r>
    </w:p>
    <w:p>
      <w:pPr>
        <w:widowControl/>
        <w:spacing w:line="400" w:lineRule="exact"/>
        <w:ind w:firstLine="420" w:firstLineChars="200"/>
        <w:jc w:val="left"/>
      </w:pPr>
      <w:r>
        <w:rPr>
          <w:rFonts w:hint="eastAsia"/>
        </w:rPr>
        <w:t>(2)综合二部(评审、谈判、成交及合同管理)</w:t>
      </w:r>
    </w:p>
    <w:p>
      <w:pPr>
        <w:widowControl/>
        <w:spacing w:line="400" w:lineRule="exact"/>
        <w:ind w:firstLine="420" w:firstLineChars="200"/>
        <w:jc w:val="left"/>
      </w:pPr>
      <w:r>
        <w:rPr>
          <w:rFonts w:hint="eastAsia"/>
        </w:rPr>
        <w:t xml:space="preserve">联系人：陈侃、陈启梅 </w:t>
      </w:r>
      <w:r>
        <w:t xml:space="preserve">  </w:t>
      </w:r>
      <w:r>
        <w:rPr>
          <w:rFonts w:hint="eastAsia"/>
        </w:rPr>
        <w:t>联系方式：0777-2886006</w:t>
      </w:r>
    </w:p>
    <w:p>
      <w:pPr>
        <w:widowControl/>
        <w:spacing w:line="400" w:lineRule="exact"/>
        <w:ind w:firstLine="420" w:firstLineChars="200"/>
        <w:jc w:val="left"/>
      </w:pPr>
      <w:r>
        <w:t>(</w:t>
      </w:r>
      <w:r>
        <w:rPr>
          <w:rFonts w:hint="eastAsia"/>
        </w:rPr>
        <w:t>3</w:t>
      </w:r>
      <w:r>
        <w:t>)</w:t>
      </w:r>
      <w:r>
        <w:rPr>
          <w:rFonts w:hint="eastAsia"/>
        </w:rPr>
        <w:t>广西政采云技术支持热线：</w:t>
      </w:r>
      <w:r>
        <w:rPr>
          <w:rFonts w:hAnsi="宋体"/>
        </w:rPr>
        <w:t>95763</w:t>
      </w:r>
    </w:p>
    <w:p>
      <w:pPr>
        <w:widowControl/>
        <w:spacing w:line="400" w:lineRule="exact"/>
        <w:jc w:val="left"/>
      </w:pPr>
    </w:p>
    <w:p/>
    <w:p/>
    <w:p/>
    <w:p/>
    <w:p/>
    <w:p/>
    <w:p/>
    <w:p/>
    <w:p/>
    <w:p/>
    <w:p/>
    <w:p/>
    <w:p>
      <w:pPr>
        <w:pStyle w:val="5"/>
      </w:pPr>
    </w:p>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Pr>
        <w:pStyle w:val="18"/>
      </w:pPr>
    </w:p>
    <w:p/>
    <w:p>
      <w:pPr>
        <w:pStyle w:val="5"/>
      </w:pPr>
    </w:p>
    <w:p/>
    <w:p/>
    <w:p>
      <w:pPr>
        <w:pStyle w:val="3"/>
        <w:spacing w:line="400" w:lineRule="exact"/>
        <w:rPr>
          <w:rFonts w:ascii="方正小标宋_GBK" w:hAnsi="宋体" w:eastAsia="方正小标宋_GBK"/>
        </w:rPr>
      </w:pPr>
      <w:bookmarkStart w:id="118" w:name="_第四章__评定标准及推荐原则"/>
      <w:bookmarkEnd w:id="118"/>
      <w:bookmarkStart w:id="119" w:name="_Toc92355026"/>
      <w:r>
        <w:rPr>
          <w:rFonts w:hint="eastAsia" w:ascii="方正小标宋_GBK" w:hAnsi="宋体" w:eastAsia="方正小标宋_GBK"/>
        </w:rPr>
        <w:t>第四章  评定标准及推荐原则</w:t>
      </w:r>
      <w:bookmarkEnd w:id="119"/>
    </w:p>
    <w:p>
      <w:pPr>
        <w:pStyle w:val="23"/>
        <w:spacing w:line="280" w:lineRule="exact"/>
        <w:jc w:val="center"/>
      </w:pPr>
      <w:r>
        <w:rPr>
          <w:rFonts w:hAnsi="宋体"/>
          <w:b/>
          <w:bCs/>
        </w:rPr>
        <w:br w:type="page"/>
      </w:r>
    </w:p>
    <w:p>
      <w:pPr>
        <w:pStyle w:val="23"/>
        <w:spacing w:line="500" w:lineRule="exact"/>
        <w:jc w:val="center"/>
        <w:rPr>
          <w:rFonts w:hAnsi="宋体"/>
          <w:b/>
          <w:bCs/>
          <w:sz w:val="44"/>
          <w:szCs w:val="44"/>
        </w:rPr>
      </w:pPr>
      <w:bookmarkStart w:id="120" w:name="_Hlk92463826"/>
      <w:r>
        <w:rPr>
          <w:rFonts w:hint="eastAsia" w:hAnsi="宋体"/>
          <w:b/>
          <w:bCs/>
          <w:sz w:val="44"/>
          <w:szCs w:val="44"/>
        </w:rPr>
        <w:t>评定标准及推荐原则</w:t>
      </w:r>
    </w:p>
    <w:bookmarkEnd w:id="120"/>
    <w:p/>
    <w:p>
      <w:pPr>
        <w:pStyle w:val="23"/>
        <w:spacing w:line="520" w:lineRule="exact"/>
        <w:rPr>
          <w:rFonts w:hAnsi="宋体"/>
          <w:b/>
          <w:bCs/>
        </w:rPr>
      </w:pPr>
      <w:r>
        <w:rPr>
          <w:rFonts w:hint="eastAsia" w:hAnsi="宋体"/>
          <w:b/>
          <w:bCs/>
        </w:rPr>
        <w:t>一、评审原则</w:t>
      </w:r>
    </w:p>
    <w:p>
      <w:pPr>
        <w:pStyle w:val="23"/>
        <w:spacing w:line="520" w:lineRule="exact"/>
        <w:ind w:firstLine="420" w:firstLineChars="200"/>
        <w:rPr>
          <w:rFonts w:hAnsi="宋体"/>
          <w:bCs/>
        </w:rPr>
      </w:pPr>
      <w:r>
        <w:rPr>
          <w:rFonts w:hint="eastAsia" w:hAnsi="宋体"/>
          <w:bCs/>
        </w:rPr>
        <w:t>(一)谈判小组组成：</w:t>
      </w:r>
      <w:bookmarkStart w:id="121" w:name="_Hlk89353643"/>
      <w:r>
        <w:rPr>
          <w:rFonts w:hint="eastAsia" w:hAnsi="宋体"/>
          <w:bCs/>
        </w:rPr>
        <w:t>谈判小组由采购人代表和评审专家共3人以上单数组成，其中评审专家人数不得少于谈判小组成员总数的2/3。</w:t>
      </w:r>
      <w:bookmarkEnd w:id="121"/>
    </w:p>
    <w:p>
      <w:pPr>
        <w:pStyle w:val="23"/>
        <w:spacing w:line="520" w:lineRule="exact"/>
        <w:ind w:firstLine="420" w:firstLineChars="200"/>
        <w:rPr>
          <w:rFonts w:hAnsi="宋体"/>
          <w:b/>
          <w:bCs/>
        </w:rPr>
      </w:pPr>
      <w:r>
        <w:rPr>
          <w:rFonts w:hint="eastAsia" w:hAnsi="宋体"/>
          <w:bCs/>
        </w:rPr>
        <w:t>(二)评审依据：以竞争性谈判采购文件和响应文件为评定依据。</w:t>
      </w:r>
    </w:p>
    <w:p>
      <w:pPr>
        <w:pStyle w:val="23"/>
        <w:spacing w:line="520" w:lineRule="exact"/>
        <w:rPr>
          <w:rFonts w:hAnsi="宋体"/>
          <w:b/>
          <w:bCs/>
        </w:rPr>
      </w:pPr>
      <w:r>
        <w:rPr>
          <w:rFonts w:hint="eastAsia" w:hAnsi="宋体"/>
          <w:b/>
          <w:bCs/>
        </w:rPr>
        <w:t>二、评定标准</w:t>
      </w:r>
    </w:p>
    <w:p>
      <w:pPr>
        <w:snapToGrid w:val="0"/>
        <w:spacing w:line="410" w:lineRule="exact"/>
        <w:ind w:firstLine="527" w:firstLineChars="250"/>
        <w:rPr>
          <w:rFonts w:ascii="宋体" w:hAnsi="宋体" w:cs="Courier New"/>
          <w:b/>
          <w:bCs/>
          <w:szCs w:val="21"/>
        </w:rPr>
      </w:pPr>
      <w:r>
        <w:rPr>
          <w:rFonts w:hint="eastAsia" w:ascii="宋体" w:hAnsi="宋体" w:cs="Courier New"/>
          <w:b/>
          <w:bCs/>
          <w:szCs w:val="21"/>
        </w:rPr>
        <w:t>（一）中小企业政策性扣除计算方法。</w:t>
      </w:r>
    </w:p>
    <w:p>
      <w:pPr>
        <w:snapToGrid w:val="0"/>
        <w:spacing w:line="410" w:lineRule="exact"/>
        <w:ind w:firstLine="525" w:firstLineChars="250"/>
        <w:rPr>
          <w:rFonts w:ascii="宋体" w:hAnsi="宋体" w:cs="Courier New"/>
          <w:szCs w:val="21"/>
        </w:rPr>
      </w:pPr>
      <w:r>
        <w:rPr>
          <w:rFonts w:hint="eastAsia" w:ascii="宋体" w:hAnsi="宋体" w:cs="Courier New"/>
          <w:szCs w:val="21"/>
        </w:rPr>
        <w:t>（1）根据《政府采购促进中小企业发展管理办法》（财库〔2020〕46号）及《广西壮族自治区财政厅关于持续优化政府采购营商环境推动高质量发展的通知》（桂财采〔2024〕55号）的规定，供应商在其投标文件中提供《中小企业声明函》，且竞标货物全部由小微企业制造，对供应商的最后报价给予20%的扣除，扣除后的价格为评审价，即评审价=最后报价×（1-20%）。除上述情况外，评审价=投标报价。</w:t>
      </w:r>
    </w:p>
    <w:p>
      <w:pPr>
        <w:snapToGrid w:val="0"/>
        <w:spacing w:line="410" w:lineRule="exact"/>
        <w:ind w:firstLine="525" w:firstLineChars="250"/>
        <w:rPr>
          <w:rFonts w:ascii="宋体" w:hAnsi="宋体" w:cs="Courier New"/>
          <w:szCs w:val="21"/>
        </w:rPr>
      </w:pPr>
      <w:r>
        <w:rPr>
          <w:rFonts w:hint="eastAsia" w:ascii="宋体" w:hAnsi="宋体" w:cs="Courier New"/>
          <w:szCs w:val="21"/>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pPr>
        <w:snapToGrid w:val="0"/>
        <w:spacing w:line="410" w:lineRule="exact"/>
        <w:ind w:firstLine="525" w:firstLineChars="250"/>
        <w:rPr>
          <w:rFonts w:ascii="宋体" w:hAnsi="宋体" w:cs="Courier New"/>
          <w:szCs w:val="21"/>
        </w:rPr>
      </w:pPr>
      <w:r>
        <w:rPr>
          <w:rFonts w:hint="eastAsia" w:ascii="宋体" w:hAnsi="宋体" w:cs="Courier New"/>
          <w:szCs w:val="21"/>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pPr>
        <w:snapToGrid w:val="0"/>
        <w:spacing w:line="410" w:lineRule="exact"/>
        <w:ind w:firstLine="527" w:firstLineChars="250"/>
        <w:rPr>
          <w:rFonts w:ascii="宋体" w:hAnsi="宋体" w:cs="Courier New"/>
          <w:szCs w:val="21"/>
        </w:rPr>
      </w:pPr>
      <w:r>
        <w:rPr>
          <w:rFonts w:hint="eastAsia" w:ascii="宋体" w:hAnsi="宋体" w:cs="Courier New"/>
          <w:b/>
          <w:bCs/>
          <w:szCs w:val="21"/>
        </w:rPr>
        <w:t>（二）本国产品政策性扣除计算方法。</w:t>
      </w:r>
    </w:p>
    <w:p>
      <w:pPr>
        <w:snapToGrid w:val="0"/>
        <w:spacing w:line="410" w:lineRule="exact"/>
        <w:ind w:firstLine="525" w:firstLineChars="250"/>
        <w:rPr>
          <w:rFonts w:ascii="宋体" w:hAnsi="宋体" w:cs="Courier New"/>
          <w:szCs w:val="21"/>
        </w:rPr>
      </w:pPr>
      <w:r>
        <w:rPr>
          <w:rFonts w:hint="eastAsia" w:ascii="宋体" w:hAnsi="宋体" w:cs="Courier New"/>
          <w:szCs w:val="21"/>
        </w:rPr>
        <w:t>根据《国务院办公厅关于在</w:t>
      </w:r>
      <w:r>
        <w:rPr>
          <w:rFonts w:hint="eastAsia" w:ascii="宋体" w:hAnsi="宋体" w:cs="宋体"/>
          <w:sz w:val="20"/>
          <w:szCs w:val="20"/>
        </w:rPr>
        <w:t>政府采购中实施本国产品标准及相关政策的通知》（国办发〔2025〕34号）的规定，政府采购活动中既有本国产品又有非本国产品参与竞争的，依法对本国产品给予价格评审优惠，对本国</w:t>
      </w:r>
      <w:r>
        <w:rPr>
          <w:rFonts w:hint="eastAsia" w:ascii="宋体" w:hAnsi="宋体" w:cs="Courier New"/>
          <w:szCs w:val="21"/>
        </w:rPr>
        <w:t>产品的报价给予20%的价格扣除，用扣除后的价格参与评审。</w:t>
      </w:r>
    </w:p>
    <w:p>
      <w:pPr>
        <w:snapToGrid w:val="0"/>
        <w:spacing w:line="410" w:lineRule="exact"/>
        <w:ind w:firstLine="525" w:firstLineChars="250"/>
        <w:rPr>
          <w:rFonts w:ascii="宋体" w:hAnsi="宋体" w:cs="Courier New"/>
          <w:szCs w:val="21"/>
        </w:rPr>
      </w:pPr>
      <w:r>
        <w:rPr>
          <w:rFonts w:hint="eastAsia" w:ascii="宋体" w:hAnsi="宋体" w:cs="Courier New"/>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snapToGrid w:val="0"/>
        <w:spacing w:line="410" w:lineRule="exact"/>
        <w:ind w:firstLine="525" w:firstLineChars="250"/>
        <w:rPr>
          <w:rFonts w:ascii="宋体" w:hAnsi="宋体" w:cs="Courier New"/>
          <w:szCs w:val="21"/>
        </w:rPr>
      </w:pPr>
      <w:r>
        <w:rPr>
          <w:rFonts w:hint="eastAsia" w:ascii="宋体" w:hAnsi="宋体" w:cs="Courier New"/>
          <w:szCs w:val="21"/>
        </w:rPr>
        <w:t>供应商在其响应文件中提供《关于符合本国产品标准的声明函》或财政部会同有关部门规定的有关证明文件，出具符合要求的《声明函》或有关证明文件的，该产品视为本国产品。</w:t>
      </w:r>
    </w:p>
    <w:p>
      <w:pPr>
        <w:snapToGrid w:val="0"/>
        <w:spacing w:line="410" w:lineRule="exact"/>
        <w:ind w:firstLine="502" w:firstLineChars="250"/>
        <w:rPr>
          <w:rFonts w:hAnsi="宋体"/>
          <w:szCs w:val="21"/>
        </w:rPr>
      </w:pPr>
      <w:r>
        <w:rPr>
          <w:rFonts w:hint="eastAsia" w:ascii="宋体" w:hAnsi="宋体" w:cs="宋体"/>
          <w:b/>
          <w:bCs/>
          <w:sz w:val="20"/>
          <w:szCs w:val="20"/>
        </w:rPr>
        <w:t>（三）</w:t>
      </w:r>
      <w:bookmarkStart w:id="122" w:name="OLE_LINK3"/>
      <w:r>
        <w:rPr>
          <w:rFonts w:hint="eastAsia" w:ascii="宋体" w:hAnsi="宋体" w:cs="宋体"/>
          <w:b/>
          <w:bCs/>
          <w:sz w:val="20"/>
          <w:szCs w:val="20"/>
        </w:rPr>
        <w:t>中小企业政策性折扣</w:t>
      </w:r>
      <w:bookmarkEnd w:id="122"/>
      <w:r>
        <w:rPr>
          <w:rFonts w:hint="eastAsia" w:ascii="宋体" w:hAnsi="宋体" w:cs="宋体"/>
          <w:b/>
          <w:bCs/>
          <w:sz w:val="20"/>
          <w:szCs w:val="20"/>
        </w:rPr>
        <w:t>与本国产品折扣进行叠加计算，用扣除后的价格参加评审。即评审价 =最后报价-中小企业政策性折扣-本国产品折扣，除上述情况外，评审价=投标报价。</w:t>
      </w:r>
    </w:p>
    <w:p>
      <w:pPr>
        <w:pStyle w:val="23"/>
        <w:spacing w:line="520" w:lineRule="exact"/>
        <w:ind w:firstLine="422" w:firstLineChars="200"/>
        <w:rPr>
          <w:b/>
          <w:bCs/>
        </w:rPr>
      </w:pPr>
      <w:r>
        <w:rPr>
          <w:rFonts w:hint="eastAsia"/>
          <w:b/>
          <w:bCs/>
        </w:rPr>
        <w:t>三、成交候选人的推荐原则：</w:t>
      </w:r>
    </w:p>
    <w:p>
      <w:pPr>
        <w:pStyle w:val="23"/>
        <w:spacing w:line="520" w:lineRule="exact"/>
        <w:ind w:firstLine="420" w:firstLineChars="200"/>
      </w:pPr>
      <w:r>
        <w:rPr>
          <w:rFonts w:hint="eastAsia"/>
        </w:rPr>
        <w:t>谈判小组从质量和服务均能满足采购文件实质性响应要求的供应商中，按照评审价由低到高的顺序提出3名以上成交候选人（最后报价相同的，由谈判小组集体讨论确定排序）。</w:t>
      </w:r>
    </w:p>
    <w:p>
      <w:pPr>
        <w:widowControl/>
        <w:spacing w:line="540" w:lineRule="exact"/>
        <w:ind w:firstLine="420" w:firstLineChars="200"/>
        <w:jc w:val="left"/>
      </w:pPr>
      <w:r>
        <w:br w:type="page"/>
      </w:r>
    </w:p>
    <w:p/>
    <w:p/>
    <w:p/>
    <w:p/>
    <w:p/>
    <w:p/>
    <w:p/>
    <w:p/>
    <w:p/>
    <w:p/>
    <w:p/>
    <w:p/>
    <w:p>
      <w:pPr>
        <w:pStyle w:val="3"/>
        <w:spacing w:line="400" w:lineRule="exact"/>
        <w:rPr>
          <w:rFonts w:ascii="方正小标宋_GBK" w:eastAsia="方正小标宋_GBK"/>
        </w:rPr>
      </w:pPr>
      <w:bookmarkStart w:id="123" w:name="_Toc92355027"/>
      <w:r>
        <w:rPr>
          <w:rFonts w:hint="eastAsia" w:ascii="方正小标宋_GBK" w:eastAsia="方正小标宋_GBK"/>
        </w:rPr>
        <w:t>第五章  合同文本</w:t>
      </w:r>
      <w:bookmarkEnd w:id="123"/>
    </w:p>
    <w:p>
      <w:pPr>
        <w:pStyle w:val="23"/>
        <w:jc w:val="center"/>
        <w:rPr>
          <w:rFonts w:ascii="Times New Roman" w:hAnsi="宋体"/>
          <w:b/>
          <w:bCs/>
          <w:sz w:val="28"/>
          <w:szCs w:val="28"/>
        </w:rPr>
      </w:pPr>
      <w:r>
        <w:rPr>
          <w:rFonts w:hint="eastAsia" w:ascii="Times New Roman" w:hAnsi="宋体"/>
          <w:b/>
          <w:bCs/>
          <w:sz w:val="28"/>
          <w:szCs w:val="28"/>
        </w:rPr>
        <w:t>（参考格式）</w:t>
      </w:r>
    </w:p>
    <w:p>
      <w:pPr>
        <w:pStyle w:val="23"/>
        <w:spacing w:line="500" w:lineRule="exact"/>
        <w:rPr>
          <w:rFonts w:hAnsi="宋体" w:cs="宋体"/>
          <w:b/>
          <w:bCs/>
          <w:spacing w:val="-20"/>
          <w:kern w:val="44"/>
          <w:sz w:val="48"/>
          <w:szCs w:val="48"/>
        </w:rPr>
      </w:pPr>
      <w:r>
        <w:br w:type="page"/>
      </w:r>
      <w:bookmarkStart w:id="124" w:name="_Toc3995"/>
    </w:p>
    <w:p>
      <w:pPr>
        <w:pStyle w:val="18"/>
        <w:jc w:val="center"/>
        <w:rPr>
          <w:rFonts w:ascii="宋体" w:hAnsi="宋体" w:cs="宋体"/>
          <w:b/>
          <w:bCs/>
          <w:spacing w:val="-20"/>
          <w:kern w:val="44"/>
          <w:sz w:val="48"/>
          <w:szCs w:val="48"/>
        </w:rPr>
      </w:pPr>
    </w:p>
    <w:p>
      <w:pPr>
        <w:pStyle w:val="18"/>
        <w:jc w:val="center"/>
        <w:rPr>
          <w:rFonts w:ascii="宋体" w:hAnsi="宋体" w:cs="宋体"/>
          <w:b/>
          <w:bCs/>
          <w:spacing w:val="-20"/>
          <w:kern w:val="44"/>
          <w:sz w:val="48"/>
          <w:szCs w:val="48"/>
        </w:rPr>
      </w:pPr>
    </w:p>
    <w:p>
      <w:pPr>
        <w:pStyle w:val="18"/>
        <w:jc w:val="center"/>
        <w:rPr>
          <w:rFonts w:ascii="宋体" w:hAnsi="宋体" w:cs="宋体"/>
          <w:b/>
          <w:bCs/>
          <w:spacing w:val="-20"/>
          <w:kern w:val="44"/>
          <w:sz w:val="48"/>
          <w:szCs w:val="48"/>
        </w:rPr>
      </w:pPr>
    </w:p>
    <w:p>
      <w:pPr>
        <w:pStyle w:val="18"/>
        <w:spacing w:line="500" w:lineRule="exact"/>
        <w:jc w:val="center"/>
        <w:rPr>
          <w:rFonts w:ascii="宋体" w:hAnsi="宋体" w:cs="宋体"/>
          <w:b/>
          <w:bCs/>
          <w:spacing w:val="-20"/>
          <w:kern w:val="44"/>
          <w:sz w:val="48"/>
          <w:szCs w:val="48"/>
        </w:rPr>
      </w:pPr>
    </w:p>
    <w:p>
      <w:pPr>
        <w:pStyle w:val="18"/>
        <w:spacing w:line="500" w:lineRule="exact"/>
        <w:jc w:val="center"/>
        <w:rPr>
          <w:rFonts w:ascii="宋体" w:hAnsi="宋体" w:cs="宋体"/>
          <w:b/>
          <w:bCs/>
          <w:spacing w:val="-20"/>
          <w:kern w:val="44"/>
          <w:sz w:val="48"/>
          <w:szCs w:val="48"/>
        </w:rPr>
      </w:pPr>
      <w:r>
        <w:rPr>
          <w:rFonts w:hint="eastAsia" w:ascii="宋体" w:hAnsi="宋体" w:cs="宋体"/>
          <w:b/>
          <w:bCs/>
          <w:spacing w:val="-20"/>
          <w:kern w:val="44"/>
          <w:sz w:val="48"/>
          <w:szCs w:val="48"/>
        </w:rPr>
        <w:t>政府采购货物买卖合同</w:t>
      </w:r>
    </w:p>
    <w:p>
      <w:pPr>
        <w:pStyle w:val="18"/>
        <w:spacing w:line="500" w:lineRule="exact"/>
        <w:jc w:val="center"/>
        <w:rPr>
          <w:rFonts w:ascii="宋体" w:hAnsi="宋体" w:cs="宋体"/>
          <w:b/>
          <w:bCs/>
          <w:spacing w:val="-20"/>
          <w:kern w:val="44"/>
          <w:sz w:val="48"/>
          <w:szCs w:val="48"/>
        </w:rPr>
      </w:pPr>
      <w:r>
        <w:rPr>
          <w:rFonts w:hint="eastAsia" w:ascii="宋体" w:hAnsi="宋体" w:cs="宋体"/>
          <w:b/>
          <w:bCs/>
          <w:spacing w:val="-20"/>
          <w:kern w:val="44"/>
          <w:sz w:val="48"/>
          <w:szCs w:val="48"/>
        </w:rPr>
        <w:t>（试行）</w:t>
      </w:r>
    </w:p>
    <w:p>
      <w:pPr>
        <w:rPr>
          <w:rFonts w:ascii="宋体" w:hAnsi="宋体" w:cs="宋体"/>
          <w:b/>
          <w:bCs/>
          <w:spacing w:val="-20"/>
          <w:kern w:val="44"/>
          <w:sz w:val="40"/>
          <w:szCs w:val="40"/>
        </w:rPr>
      </w:pPr>
    </w:p>
    <w:p>
      <w:pPr>
        <w:rPr>
          <w:rFonts w:ascii="宋体" w:hAnsi="宋体" w:cs="宋体"/>
          <w:b/>
          <w:bCs/>
          <w:spacing w:val="-20"/>
          <w:kern w:val="44"/>
          <w:sz w:val="40"/>
          <w:szCs w:val="40"/>
        </w:rPr>
      </w:pPr>
    </w:p>
    <w:p>
      <w:pPr>
        <w:rPr>
          <w:rFonts w:ascii="宋体" w:hAnsi="宋体" w:cs="宋体"/>
          <w:b/>
          <w:bCs/>
          <w:spacing w:val="-20"/>
          <w:kern w:val="44"/>
          <w:sz w:val="40"/>
          <w:szCs w:val="40"/>
        </w:rPr>
      </w:pPr>
    </w:p>
    <w:p>
      <w:pPr>
        <w:spacing w:line="360" w:lineRule="auto"/>
        <w:ind w:left="420" w:leftChars="200"/>
        <w:rPr>
          <w:sz w:val="32"/>
          <w:szCs w:val="32"/>
        </w:rPr>
      </w:pPr>
      <w:r>
        <w:rPr>
          <w:rFonts w:hint="eastAsia" w:ascii="宋体" w:hAnsi="宋体" w:cs="宋体"/>
          <w:kern w:val="0"/>
          <w:sz w:val="32"/>
          <w:szCs w:val="32"/>
        </w:rPr>
        <w:t>项目名称：</w:t>
      </w:r>
      <w:r>
        <w:rPr>
          <w:rFonts w:hint="eastAsia"/>
          <w:sz w:val="32"/>
          <w:szCs w:val="32"/>
          <w:u w:val="single"/>
        </w:rPr>
        <w:t xml:space="preserve">                             </w:t>
      </w:r>
    </w:p>
    <w:p>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pPr>
        <w:spacing w:line="360" w:lineRule="auto"/>
        <w:ind w:left="420" w:leftChars="200"/>
        <w:rPr>
          <w:sz w:val="32"/>
          <w:szCs w:val="32"/>
        </w:rPr>
      </w:pPr>
      <w:r>
        <w:rPr>
          <w:rFonts w:hint="eastAsia"/>
          <w:sz w:val="32"/>
          <w:szCs w:val="32"/>
        </w:rPr>
        <w:t>甲    方：</w:t>
      </w:r>
      <w:r>
        <w:rPr>
          <w:rFonts w:hint="eastAsia"/>
          <w:sz w:val="32"/>
          <w:szCs w:val="32"/>
          <w:u w:val="single"/>
        </w:rPr>
        <w:t xml:space="preserve">                             </w:t>
      </w:r>
    </w:p>
    <w:p>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p>
      <w:pPr>
        <w:rPr>
          <w:rFonts w:eastAsia="黑体"/>
          <w:sz w:val="44"/>
          <w:szCs w:val="44"/>
        </w:rPr>
      </w:pPr>
      <w:r>
        <w:rPr>
          <w:rFonts w:eastAsia="黑体"/>
          <w:sz w:val="44"/>
          <w:szCs w:val="44"/>
        </w:rPr>
        <w:br w:type="page"/>
      </w:r>
    </w:p>
    <w:p>
      <w:pPr>
        <w:rPr>
          <w:rFonts w:eastAsia="黑体"/>
          <w:sz w:val="44"/>
          <w:szCs w:val="44"/>
        </w:rPr>
      </w:pPr>
    </w:p>
    <w:p>
      <w:pPr>
        <w:rPr>
          <w:rFonts w:eastAsia="黑体"/>
          <w:sz w:val="44"/>
          <w:szCs w:val="44"/>
        </w:rPr>
      </w:pPr>
    </w:p>
    <w:p>
      <w:pPr>
        <w:jc w:val="center"/>
        <w:rPr>
          <w:rFonts w:eastAsia="黑体"/>
          <w:sz w:val="44"/>
          <w:szCs w:val="44"/>
        </w:rPr>
      </w:pPr>
      <w:r>
        <w:rPr>
          <w:rFonts w:hint="eastAsia" w:eastAsia="黑体"/>
          <w:sz w:val="44"/>
          <w:szCs w:val="44"/>
        </w:rPr>
        <w:t>使 用 说 明</w:t>
      </w:r>
    </w:p>
    <w:p>
      <w:pPr>
        <w:ind w:firstLine="640" w:firstLineChars="2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pPr>
        <w:rPr>
          <w:rFonts w:eastAsia="黑体"/>
          <w:sz w:val="44"/>
          <w:szCs w:val="44"/>
        </w:rPr>
      </w:pPr>
      <w:r>
        <w:rPr>
          <w:rFonts w:hint="eastAsia" w:eastAsia="黑体"/>
          <w:sz w:val="44"/>
          <w:szCs w:val="44"/>
        </w:rPr>
        <w:t xml:space="preserve">   </w:t>
      </w:r>
      <w:r>
        <w:rPr>
          <w:rFonts w:hint="eastAsia" w:ascii="仿宋_GB2312" w:hAnsi="仿宋_GB2312" w:eastAsia="仿宋_GB2312" w:cs="仿宋_GB2312"/>
          <w:sz w:val="32"/>
          <w:szCs w:val="32"/>
        </w:rPr>
        <w:t>2.本合同标准文本为政府采购货物买卖合同编制提供参考，可以结合采购项目具体情况，对文本作必要的调整修订后使用。</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p>
    <w:p>
      <w:pPr>
        <w:ind w:firstLine="880" w:firstLineChars="200"/>
        <w:rPr>
          <w:rFonts w:eastAsia="黑体"/>
          <w:sz w:val="44"/>
          <w:szCs w:val="44"/>
        </w:rPr>
        <w:sectPr>
          <w:headerReference r:id="rId10" w:type="default"/>
          <w:footerReference r:id="rId11" w:type="default"/>
          <w:pgSz w:w="11906" w:h="16838"/>
          <w:pgMar w:top="1440" w:right="1800" w:bottom="1440" w:left="1800" w:header="851" w:footer="992" w:gutter="0"/>
          <w:cols w:space="425" w:num="1"/>
          <w:docGrid w:type="lines" w:linePitch="312" w:charSpace="0"/>
        </w:sectPr>
      </w:pPr>
    </w:p>
    <w:bookmarkEnd w:id="124"/>
    <w:p>
      <w:pPr>
        <w:pStyle w:val="4"/>
        <w:adjustRightInd w:val="0"/>
        <w:snapToGrid w:val="0"/>
        <w:jc w:val="center"/>
        <w:rPr>
          <w:rFonts w:ascii="黑体" w:hAnsi="黑体"/>
          <w:sz w:val="28"/>
          <w:szCs w:val="28"/>
        </w:rPr>
      </w:pPr>
      <w:bookmarkStart w:id="125" w:name="_Toc22209"/>
    </w:p>
    <w:p>
      <w:pPr>
        <w:pStyle w:val="4"/>
        <w:adjustRightInd w:val="0"/>
        <w:snapToGrid w:val="0"/>
        <w:jc w:val="center"/>
        <w:rPr>
          <w:rFonts w:ascii="黑体" w:hAnsi="华文中宋"/>
          <w:b w:val="0"/>
          <w:bCs w:val="0"/>
          <w:sz w:val="28"/>
          <w:szCs w:val="28"/>
        </w:rPr>
      </w:pPr>
      <w:r>
        <w:rPr>
          <w:rFonts w:hint="eastAsia" w:ascii="黑体" w:hAnsi="黑体"/>
          <w:b w:val="0"/>
          <w:bCs w:val="0"/>
          <w:sz w:val="28"/>
          <w:szCs w:val="28"/>
        </w:rPr>
        <w:t xml:space="preserve">第一节 </w:t>
      </w:r>
      <w:r>
        <w:rPr>
          <w:rFonts w:hint="eastAsia" w:ascii="黑体" w:hAnsi="华文中宋"/>
          <w:b w:val="0"/>
          <w:bCs w:val="0"/>
          <w:sz w:val="28"/>
          <w:szCs w:val="28"/>
        </w:rPr>
        <w:t>政府采购合同协议书</w:t>
      </w:r>
      <w:bookmarkEnd w:id="125"/>
    </w:p>
    <w:p>
      <w:pPr>
        <w:pStyle w:val="4"/>
        <w:adjustRightInd w:val="0"/>
        <w:snapToGrid w:val="0"/>
        <w:jc w:val="center"/>
        <w:rPr>
          <w:rFonts w:ascii="黑体" w:hAnsi="华文中宋"/>
          <w:b w:val="0"/>
          <w:bCs w:val="0"/>
          <w:sz w:val="28"/>
          <w:szCs w:val="28"/>
        </w:rPr>
      </w:pPr>
    </w:p>
    <w:p>
      <w:pPr>
        <w:adjustRightInd w:val="0"/>
        <w:snapToGrid w:val="0"/>
        <w:spacing w:line="400" w:lineRule="exact"/>
        <w:rPr>
          <w:rFonts w:ascii="宋体" w:hAnsi="宋体"/>
          <w:szCs w:val="21"/>
        </w:rPr>
      </w:pPr>
      <w:r>
        <w:rPr>
          <w:rFonts w:hint="eastAsia" w:ascii="宋体" w:hAnsi="宋体"/>
          <w:szCs w:val="21"/>
        </w:rPr>
        <w:t>甲方（全称）：</w:t>
      </w:r>
      <w:r>
        <w:rPr>
          <w:rFonts w:hint="eastAsia" w:ascii="宋体" w:hAnsi="宋体"/>
          <w:szCs w:val="21"/>
          <w:u w:val="single"/>
        </w:rPr>
        <w:t xml:space="preserve">                        </w:t>
      </w:r>
      <w:r>
        <w:rPr>
          <w:rFonts w:hint="eastAsia" w:ascii="宋体" w:hAnsi="宋体"/>
          <w:szCs w:val="21"/>
        </w:rPr>
        <w:t>（采购人、受采购人委托签订合同的单位或采购</w:t>
      </w:r>
      <w:r>
        <w:rPr>
          <w:rFonts w:hint="eastAsia" w:ascii="宋体" w:hAnsi="宋体"/>
          <w:szCs w:val="21"/>
        </w:rPr>
        <w:tab/>
      </w:r>
      <w:r>
        <w:rPr>
          <w:rFonts w:hint="eastAsia" w:ascii="宋体" w:hAnsi="宋体"/>
          <w:szCs w:val="21"/>
        </w:rPr>
        <w:t xml:space="preserve">                                   文件约定的合同甲方）</w:t>
      </w:r>
    </w:p>
    <w:p>
      <w:pPr>
        <w:adjustRightInd w:val="0"/>
        <w:snapToGrid w:val="0"/>
        <w:spacing w:line="400" w:lineRule="exact"/>
        <w:rPr>
          <w:rFonts w:ascii="宋体" w:hAnsi="宋体"/>
          <w:szCs w:val="21"/>
        </w:rPr>
      </w:pPr>
      <w:r>
        <w:rPr>
          <w:rFonts w:hint="eastAsia" w:ascii="宋体" w:hAnsi="宋体"/>
          <w:szCs w:val="21"/>
        </w:rPr>
        <w:t>乙方1（全称）：</w:t>
      </w:r>
      <w:r>
        <w:rPr>
          <w:rFonts w:hint="eastAsia" w:ascii="宋体" w:hAnsi="宋体"/>
          <w:szCs w:val="21"/>
          <w:u w:val="single"/>
        </w:rPr>
        <w:t xml:space="preserve">                       </w:t>
      </w:r>
      <w:r>
        <w:rPr>
          <w:rFonts w:hint="eastAsia" w:ascii="宋体" w:hAnsi="宋体"/>
          <w:szCs w:val="21"/>
        </w:rPr>
        <w:t>（供应商）</w:t>
      </w:r>
    </w:p>
    <w:p>
      <w:pPr>
        <w:adjustRightInd w:val="0"/>
        <w:snapToGrid w:val="0"/>
        <w:spacing w:line="400" w:lineRule="exact"/>
        <w:rPr>
          <w:rFonts w:ascii="宋体" w:hAnsi="宋体"/>
          <w:szCs w:val="21"/>
        </w:rPr>
      </w:pPr>
      <w:r>
        <w:rPr>
          <w:rFonts w:hint="eastAsia" w:ascii="宋体" w:hAnsi="宋体"/>
          <w:szCs w:val="21"/>
        </w:rPr>
        <w:t>乙方2（全称）：</w:t>
      </w:r>
      <w:r>
        <w:rPr>
          <w:rFonts w:hint="eastAsia" w:ascii="宋体" w:hAnsi="宋体"/>
          <w:szCs w:val="21"/>
          <w:u w:val="single"/>
        </w:rPr>
        <w:t xml:space="preserve">                        </w:t>
      </w:r>
      <w:r>
        <w:rPr>
          <w:rFonts w:hint="eastAsia" w:ascii="宋体" w:hAnsi="宋体"/>
          <w:szCs w:val="21"/>
        </w:rPr>
        <w:t>（联合体成员供应商或其他合同主体）（如有）</w:t>
      </w:r>
    </w:p>
    <w:p>
      <w:pPr>
        <w:adjustRightInd w:val="0"/>
        <w:snapToGrid w:val="0"/>
        <w:spacing w:line="400" w:lineRule="exact"/>
        <w:rPr>
          <w:rFonts w:ascii="宋体" w:hAnsi="宋体"/>
          <w:szCs w:val="21"/>
        </w:rPr>
      </w:pPr>
      <w:r>
        <w:rPr>
          <w:rFonts w:hint="eastAsia"/>
        </w:rPr>
        <w:t>乙方</w:t>
      </w:r>
      <w:r>
        <w:rPr>
          <w:rFonts w:hint="eastAsia" w:ascii="宋体" w:hAnsi="宋体"/>
          <w:szCs w:val="21"/>
        </w:rPr>
        <w:t>3</w:t>
      </w:r>
      <w:r>
        <w:rPr>
          <w:rFonts w:hint="eastAsia"/>
        </w:rPr>
        <w:t>（全称）</w:t>
      </w:r>
      <w:r>
        <w:rPr>
          <w:rFonts w:hint="eastAsia" w:ascii="宋体" w:hAnsi="宋体"/>
          <w:szCs w:val="21"/>
          <w:u w:val="single"/>
        </w:rPr>
        <w:t xml:space="preserve">                          </w:t>
      </w:r>
      <w:r>
        <w:rPr>
          <w:rFonts w:hint="eastAsia" w:ascii="宋体" w:hAnsi="宋体"/>
          <w:szCs w:val="21"/>
        </w:rPr>
        <w:t>（联合体成员供应商或其他合同主体）（如有）</w:t>
      </w:r>
    </w:p>
    <w:p>
      <w:pPr>
        <w:spacing w:line="400" w:lineRule="exact"/>
        <w:rPr>
          <w:rFonts w:ascii="宋体" w:hAnsi="宋体" w:cs="宋体"/>
          <w:szCs w:val="21"/>
        </w:rPr>
      </w:pPr>
    </w:p>
    <w:p>
      <w:pPr>
        <w:pStyle w:val="20"/>
        <w:adjustRightInd w:val="0"/>
        <w:snapToGrid w:val="0"/>
        <w:spacing w:line="400" w:lineRule="exact"/>
        <w:ind w:firstLine="420" w:firstLineChars="200"/>
        <w:rPr>
          <w:rFonts w:ascii="宋体" w:hAnsi="宋体" w:eastAsia="宋体" w:cs="宋体"/>
          <w:sz w:val="21"/>
          <w:szCs w:val="21"/>
        </w:rPr>
      </w:pPr>
      <w:r>
        <w:rPr>
          <w:rFonts w:hint="eastAsia" w:ascii="宋体" w:hAnsi="宋体" w:eastAsia="宋体" w:cs="宋体"/>
          <w:sz w:val="21"/>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pPr>
        <w:numPr>
          <w:ilvl w:val="0"/>
          <w:numId w:val="15"/>
        </w:numPr>
        <w:adjustRightInd w:val="0"/>
        <w:snapToGrid w:val="0"/>
        <w:spacing w:line="400" w:lineRule="exact"/>
        <w:ind w:firstLine="422" w:firstLineChars="200"/>
        <w:rPr>
          <w:rFonts w:ascii="宋体" w:hAnsi="宋体" w:cs="宋体"/>
          <w:b/>
          <w:szCs w:val="21"/>
        </w:rPr>
      </w:pPr>
      <w:r>
        <w:rPr>
          <w:rFonts w:hint="eastAsia" w:ascii="宋体" w:hAnsi="宋体" w:cs="宋体"/>
          <w:b/>
          <w:szCs w:val="21"/>
        </w:rPr>
        <w:t>项目信息</w:t>
      </w:r>
    </w:p>
    <w:p>
      <w:pPr>
        <w:pStyle w:val="20"/>
        <w:numPr>
          <w:ilvl w:val="0"/>
          <w:numId w:val="16"/>
        </w:numPr>
        <w:adjustRightInd w:val="0"/>
        <w:snapToGrid w:val="0"/>
        <w:spacing w:line="400" w:lineRule="exact"/>
        <w:ind w:firstLine="420" w:firstLineChars="200"/>
        <w:rPr>
          <w:rFonts w:ascii="宋体" w:hAnsi="宋体" w:eastAsia="宋体" w:cs="宋体"/>
          <w:sz w:val="21"/>
          <w:szCs w:val="21"/>
          <w:u w:val="single"/>
        </w:rPr>
      </w:pPr>
      <w:r>
        <w:rPr>
          <w:rFonts w:hint="eastAsia" w:ascii="宋体" w:hAnsi="宋体" w:eastAsia="宋体" w:cs="宋体"/>
          <w:sz w:val="21"/>
          <w:szCs w:val="21"/>
        </w:rPr>
        <w:t>采购项目名称：</w:t>
      </w:r>
      <w:r>
        <w:rPr>
          <w:rFonts w:hint="eastAsia" w:ascii="宋体" w:hAnsi="宋体" w:eastAsia="宋体" w:cs="宋体"/>
          <w:sz w:val="21"/>
          <w:szCs w:val="21"/>
          <w:u w:val="single"/>
        </w:rPr>
        <w:t xml:space="preserve">                                          </w:t>
      </w:r>
    </w:p>
    <w:p>
      <w:pPr>
        <w:pStyle w:val="20"/>
        <w:numPr>
          <w:ilvl w:val="255"/>
          <w:numId w:val="0"/>
        </w:numPr>
        <w:tabs>
          <w:tab w:val="left" w:pos="999"/>
        </w:tabs>
        <w:adjustRightInd w:val="0"/>
        <w:snapToGrid w:val="0"/>
        <w:spacing w:line="400" w:lineRule="exact"/>
        <w:rPr>
          <w:rFonts w:ascii="宋体" w:hAnsi="宋体" w:eastAsia="宋体" w:cs="宋体"/>
          <w:sz w:val="21"/>
          <w:szCs w:val="21"/>
        </w:rPr>
      </w:pPr>
      <w:r>
        <w:rPr>
          <w:rFonts w:hint="eastAsia" w:ascii="宋体" w:hAnsi="宋体" w:eastAsia="宋体" w:cs="宋体"/>
          <w:sz w:val="21"/>
          <w:szCs w:val="21"/>
        </w:rPr>
        <w:t xml:space="preserve">         采购项目编号：</w:t>
      </w:r>
      <w:r>
        <w:rPr>
          <w:rFonts w:hint="eastAsia" w:ascii="宋体" w:hAnsi="宋体" w:eastAsia="宋体" w:cs="宋体"/>
          <w:sz w:val="21"/>
          <w:szCs w:val="21"/>
          <w:u w:val="single"/>
        </w:rPr>
        <w:t xml:space="preserve">                                          </w:t>
      </w:r>
    </w:p>
    <w:p>
      <w:pPr>
        <w:pStyle w:val="20"/>
        <w:adjustRightInd w:val="0"/>
        <w:snapToGrid w:val="0"/>
        <w:spacing w:line="400" w:lineRule="exact"/>
        <w:ind w:firstLine="420" w:firstLineChars="200"/>
        <w:rPr>
          <w:rFonts w:ascii="宋体" w:hAnsi="宋体"/>
          <w:szCs w:val="21"/>
        </w:rPr>
      </w:pPr>
      <w:r>
        <w:rPr>
          <w:rFonts w:hint="eastAsia" w:ascii="宋体" w:hAnsi="宋体" w:eastAsia="宋体" w:cs="宋体"/>
          <w:sz w:val="21"/>
          <w:szCs w:val="21"/>
        </w:rPr>
        <w:t>（2）采购计划编号：</w:t>
      </w:r>
      <w:r>
        <w:rPr>
          <w:rFonts w:hint="eastAsia" w:ascii="宋体" w:hAnsi="宋体" w:eastAsia="宋体" w:cs="宋体"/>
          <w:sz w:val="21"/>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rPr>
        <w:t xml:space="preserve"> </w:t>
      </w:r>
    </w:p>
    <w:p>
      <w:pPr>
        <w:adjustRightInd w:val="0"/>
        <w:snapToGrid w:val="0"/>
        <w:spacing w:line="400" w:lineRule="exact"/>
        <w:ind w:firstLine="420" w:firstLineChars="200"/>
        <w:rPr>
          <w:rFonts w:ascii="宋体" w:hAnsi="宋体"/>
          <w:szCs w:val="21"/>
        </w:rPr>
      </w:pPr>
      <w:r>
        <w:rPr>
          <w:rFonts w:hint="eastAsia" w:ascii="宋体" w:hAnsi="宋体"/>
          <w:szCs w:val="21"/>
        </w:rPr>
        <w:t>（3）项目内容：</w:t>
      </w:r>
    </w:p>
    <w:p>
      <w:pPr>
        <w:adjustRightInd w:val="0"/>
        <w:snapToGrid w:val="0"/>
        <w:spacing w:line="400" w:lineRule="exact"/>
        <w:ind w:firstLine="420" w:firstLineChars="200"/>
        <w:rPr>
          <w:rFonts w:ascii="宋体" w:hAnsi="宋体"/>
          <w:szCs w:val="21"/>
        </w:rPr>
      </w:pPr>
      <w:r>
        <w:rPr>
          <w:rFonts w:hint="eastAsia" w:ascii="宋体" w:hAnsi="宋体"/>
          <w:szCs w:val="21"/>
        </w:rPr>
        <w:t xml:space="preserve">     采购标的及数量（台/套</w:t>
      </w:r>
      <w:r>
        <w:rPr>
          <w:rFonts w:ascii="宋体" w:hAnsi="宋体"/>
          <w:szCs w:val="21"/>
        </w:rPr>
        <w:t>/</w:t>
      </w:r>
      <w:r>
        <w:rPr>
          <w:rFonts w:hint="eastAsia" w:ascii="宋体" w:hAnsi="宋体"/>
          <w:szCs w:val="21"/>
        </w:rPr>
        <w:t>个</w:t>
      </w:r>
      <w:r>
        <w:rPr>
          <w:rFonts w:ascii="宋体" w:hAnsi="宋体"/>
          <w:szCs w:val="21"/>
        </w:rPr>
        <w:t>/</w:t>
      </w:r>
      <w:r>
        <w:rPr>
          <w:rFonts w:hint="eastAsia" w:ascii="宋体" w:hAnsi="宋体"/>
          <w:szCs w:val="21"/>
        </w:rPr>
        <w:t>架</w:t>
      </w:r>
      <w:r>
        <w:rPr>
          <w:rFonts w:ascii="宋体" w:hAnsi="宋体"/>
          <w:szCs w:val="21"/>
        </w:rPr>
        <w:t>/</w:t>
      </w:r>
      <w:r>
        <w:rPr>
          <w:rFonts w:hint="eastAsia" w:ascii="宋体" w:hAnsi="宋体"/>
          <w:szCs w:val="21"/>
        </w:rPr>
        <w:t>组等）：</w:t>
      </w:r>
      <w:r>
        <w:rPr>
          <w:rFonts w:hint="eastAsia" w:ascii="宋体" w:hAnsi="宋体"/>
          <w:szCs w:val="21"/>
          <w:u w:val="single"/>
        </w:rPr>
        <w:t xml:space="preserve">                       </w:t>
      </w:r>
      <w:r>
        <w:rPr>
          <w:rFonts w:hint="eastAsia" w:ascii="宋体" w:hAnsi="宋体"/>
          <w:szCs w:val="21"/>
        </w:rPr>
        <w:t xml:space="preserve"> </w:t>
      </w:r>
    </w:p>
    <w:p>
      <w:pPr>
        <w:numPr>
          <w:ilvl w:val="255"/>
          <w:numId w:val="0"/>
        </w:numPr>
        <w:adjustRightInd w:val="0"/>
        <w:snapToGrid w:val="0"/>
        <w:spacing w:line="400" w:lineRule="exact"/>
        <w:ind w:firstLine="420" w:firstLineChars="200"/>
        <w:rPr>
          <w:rFonts w:ascii="宋体" w:hAnsi="宋体" w:cs="宋体"/>
          <w:szCs w:val="21"/>
        </w:rPr>
      </w:pPr>
      <w:r>
        <w:rPr>
          <w:rFonts w:hint="eastAsia" w:ascii="宋体" w:hAnsi="宋体"/>
          <w:szCs w:val="21"/>
        </w:rPr>
        <w:t xml:space="preserve">     </w:t>
      </w:r>
      <w:r>
        <w:rPr>
          <w:rFonts w:hint="eastAsia" w:ascii="宋体" w:hAnsi="宋体" w:cs="宋体"/>
          <w:szCs w:val="21"/>
        </w:rPr>
        <w:t>品牌：</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rPr>
        <w:t xml:space="preserve">     </w:t>
      </w:r>
      <w:r>
        <w:rPr>
          <w:rFonts w:hint="eastAsia" w:ascii="宋体" w:hAnsi="宋体" w:cs="宋体"/>
          <w:szCs w:val="21"/>
        </w:rPr>
        <w:t>规格型号：</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p>
    <w:p>
      <w:pPr>
        <w:adjustRightInd w:val="0"/>
        <w:snapToGrid w:val="0"/>
        <w:spacing w:line="400" w:lineRule="exact"/>
        <w:ind w:firstLine="945" w:firstLineChars="450"/>
        <w:rPr>
          <w:rFonts w:ascii="宋体" w:hAnsi="宋体"/>
          <w:szCs w:val="21"/>
          <w:u w:val="single"/>
        </w:rPr>
      </w:pPr>
      <w:r>
        <w:rPr>
          <w:rFonts w:hint="eastAsia" w:ascii="宋体" w:hAnsi="宋体"/>
          <w:szCs w:val="21"/>
        </w:rPr>
        <w:t>采购标的的技术要求、商务要求具体见附件。</w:t>
      </w:r>
    </w:p>
    <w:p>
      <w:pPr>
        <w:numPr>
          <w:ilvl w:val="255"/>
          <w:numId w:val="0"/>
        </w:numPr>
        <w:adjustRightInd w:val="0"/>
        <w:snapToGrid w:val="0"/>
        <w:spacing w:line="400" w:lineRule="exact"/>
        <w:ind w:firstLine="945" w:firstLineChars="450"/>
        <w:rPr>
          <w:rFonts w:ascii="宋体" w:hAnsi="宋体" w:cs="宋体"/>
          <w:szCs w:val="21"/>
        </w:rPr>
      </w:pPr>
      <w:r>
        <w:rPr>
          <w:rFonts w:hint="eastAsia" w:ascii="汉仪书宋二S" w:hAnsi="汉仪书宋二S" w:eastAsia="汉仪书宋二S" w:cs="汉仪书宋二S"/>
          <w:szCs w:val="21"/>
        </w:rPr>
        <w:t>①</w:t>
      </w:r>
      <w:r>
        <w:rPr>
          <w:rFonts w:hint="eastAsia" w:ascii="宋体" w:hAnsi="宋体" w:cs="宋体"/>
          <w:szCs w:val="21"/>
        </w:rPr>
        <w:t>涉及信息类产品，请填写该产品关键部件的品牌、型号：</w:t>
      </w:r>
    </w:p>
    <w:p>
      <w:pPr>
        <w:numPr>
          <w:ilvl w:val="255"/>
          <w:numId w:val="0"/>
        </w:numPr>
        <w:adjustRightInd w:val="0"/>
        <w:snapToGrid w:val="0"/>
        <w:spacing w:line="400" w:lineRule="exact"/>
        <w:ind w:firstLine="420" w:firstLineChars="200"/>
        <w:rPr>
          <w:rFonts w:ascii="宋体" w:hAnsi="宋体" w:cs="宋体"/>
          <w:kern w:val="0"/>
          <w:szCs w:val="21"/>
          <w:u w:val="single"/>
        </w:rPr>
      </w:pPr>
      <w:r>
        <w:rPr>
          <w:rFonts w:hint="eastAsia" w:ascii="宋体" w:hAnsi="宋体" w:cs="宋体"/>
          <w:szCs w:val="21"/>
        </w:rPr>
        <w:t xml:space="preserve">     标的名称：</w:t>
      </w:r>
      <w:r>
        <w:rPr>
          <w:rFonts w:hint="eastAsia" w:ascii="宋体" w:hAnsi="宋体" w:cs="宋体"/>
          <w:kern w:val="0"/>
          <w:szCs w:val="21"/>
          <w:u w:val="single"/>
        </w:rPr>
        <w:t xml:space="preserve">      </w:t>
      </w:r>
      <w:r>
        <w:rPr>
          <w:rFonts w:ascii="宋体" w:hAnsi="宋体" w:cs="宋体"/>
          <w:kern w:val="0"/>
          <w:szCs w:val="21"/>
          <w:u w:val="single"/>
        </w:rPr>
        <w:t xml:space="preserve">               </w:t>
      </w:r>
      <w:r>
        <w:rPr>
          <w:rFonts w:hint="eastAsia" w:ascii="宋体" w:hAnsi="宋体" w:cs="宋体"/>
          <w:kern w:val="0"/>
          <w:szCs w:val="21"/>
          <w:u w:val="single"/>
        </w:rPr>
        <w:t xml:space="preserve">    </w:t>
      </w:r>
    </w:p>
    <w:p>
      <w:pPr>
        <w:numPr>
          <w:ilvl w:val="255"/>
          <w:numId w:val="0"/>
        </w:numPr>
        <w:adjustRightInd w:val="0"/>
        <w:snapToGrid w:val="0"/>
        <w:spacing w:line="400" w:lineRule="exact"/>
        <w:ind w:firstLine="420" w:firstLineChars="200"/>
        <w:rPr>
          <w:rFonts w:ascii="宋体" w:hAnsi="宋体" w:cs="宋体"/>
          <w:szCs w:val="21"/>
        </w:rPr>
      </w:pPr>
      <w:r>
        <w:rPr>
          <w:rFonts w:hint="eastAsia" w:ascii="宋体" w:hAnsi="宋体" w:cs="宋体"/>
          <w:szCs w:val="21"/>
        </w:rPr>
        <w:t xml:space="preserve">     关键部件：</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szCs w:val="21"/>
        </w:rPr>
        <w:t>品牌：</w:t>
      </w:r>
      <w:r>
        <w:rPr>
          <w:rFonts w:hint="eastAsia" w:ascii="宋体" w:hAnsi="宋体" w:cs="宋体"/>
          <w:szCs w:val="21"/>
          <w:u w:val="single"/>
        </w:rPr>
        <w:t xml:space="preserve">        </w:t>
      </w:r>
      <w:r>
        <w:rPr>
          <w:rFonts w:hint="eastAsia" w:ascii="宋体" w:hAnsi="宋体" w:cs="宋体"/>
          <w:szCs w:val="21"/>
        </w:rPr>
        <w:t xml:space="preserve"> 型号：</w:t>
      </w:r>
      <w:r>
        <w:rPr>
          <w:rFonts w:hint="eastAsia" w:ascii="宋体" w:hAnsi="宋体" w:cs="宋体"/>
          <w:szCs w:val="21"/>
          <w:u w:val="single"/>
        </w:rPr>
        <w:t xml:space="preserve">       </w:t>
      </w:r>
      <w:r>
        <w:rPr>
          <w:rFonts w:hint="eastAsia" w:ascii="宋体" w:hAnsi="宋体" w:cs="宋体"/>
          <w:szCs w:val="21"/>
        </w:rPr>
        <w:t xml:space="preserve"> </w:t>
      </w:r>
    </w:p>
    <w:p>
      <w:pPr>
        <w:pStyle w:val="146"/>
        <w:ind w:firstLine="420"/>
        <w:rPr>
          <w:rFonts w:ascii="宋体" w:hAnsi="宋体" w:eastAsia="宋体" w:cs="宋体"/>
          <w:sz w:val="21"/>
        </w:rPr>
      </w:pPr>
      <w:r>
        <w:rPr>
          <w:rFonts w:hint="eastAsia" w:ascii="宋体" w:hAnsi="宋体" w:eastAsia="宋体" w:cs="宋体"/>
          <w:sz w:val="21"/>
        </w:rPr>
        <w:t xml:space="preserve">     </w:t>
      </w:r>
      <w:r>
        <w:rPr>
          <w:rFonts w:hint="eastAsia" w:ascii="宋体" w:hAnsi="宋体" w:eastAsia="宋体" w:cs="宋体"/>
          <w:kern w:val="2"/>
          <w:sz w:val="21"/>
        </w:rPr>
        <w:t>关键部件</w:t>
      </w:r>
      <w:r>
        <w:rPr>
          <w:rFonts w:hint="eastAsia" w:ascii="宋体" w:hAnsi="宋体" w:eastAsia="宋体" w:cs="宋体"/>
          <w:sz w:val="21"/>
        </w:rPr>
        <w:t>：</w:t>
      </w:r>
      <w:r>
        <w:rPr>
          <w:rFonts w:hint="eastAsia" w:ascii="宋体" w:hAnsi="宋体" w:eastAsia="宋体" w:cs="宋体"/>
          <w:sz w:val="21"/>
          <w:u w:val="single"/>
        </w:rPr>
        <w:t xml:space="preserve">          </w:t>
      </w:r>
      <w:r>
        <w:rPr>
          <w:rFonts w:hint="eastAsia" w:ascii="宋体" w:hAnsi="宋体" w:eastAsia="宋体" w:cs="宋体"/>
          <w:sz w:val="21"/>
        </w:rPr>
        <w:t xml:space="preserve"> 品牌：</w:t>
      </w:r>
      <w:r>
        <w:rPr>
          <w:rFonts w:hint="eastAsia" w:ascii="宋体" w:hAnsi="宋体" w:eastAsia="宋体" w:cs="宋体"/>
          <w:sz w:val="21"/>
          <w:u w:val="single"/>
        </w:rPr>
        <w:t xml:space="preserve">        </w:t>
      </w:r>
      <w:r>
        <w:rPr>
          <w:rFonts w:hint="eastAsia" w:ascii="宋体" w:hAnsi="宋体" w:eastAsia="宋体" w:cs="宋体"/>
          <w:sz w:val="21"/>
        </w:rPr>
        <w:t xml:space="preserve"> 型号：</w:t>
      </w:r>
      <w:r>
        <w:rPr>
          <w:rFonts w:hint="eastAsia" w:ascii="宋体" w:hAnsi="宋体" w:eastAsia="宋体" w:cs="宋体"/>
          <w:sz w:val="21"/>
          <w:u w:val="single"/>
        </w:rPr>
        <w:t xml:space="preserve">       </w:t>
      </w:r>
      <w:r>
        <w:rPr>
          <w:rFonts w:hint="eastAsia" w:ascii="宋体" w:hAnsi="宋体" w:eastAsia="宋体" w:cs="宋体"/>
          <w:sz w:val="21"/>
        </w:rPr>
        <w:t xml:space="preserve"> </w:t>
      </w:r>
    </w:p>
    <w:p>
      <w:pPr>
        <w:pStyle w:val="146"/>
        <w:ind w:firstLine="420"/>
        <w:rPr>
          <w:rFonts w:ascii="宋体" w:hAnsi="宋体" w:eastAsia="宋体" w:cs="宋体"/>
          <w:sz w:val="21"/>
        </w:rPr>
      </w:pPr>
      <w:r>
        <w:rPr>
          <w:rFonts w:hint="eastAsia" w:ascii="宋体" w:hAnsi="宋体" w:eastAsia="宋体" w:cs="宋体"/>
          <w:sz w:val="21"/>
        </w:rPr>
        <w:t xml:space="preserve">     关键部件：</w:t>
      </w:r>
      <w:r>
        <w:rPr>
          <w:rFonts w:hint="eastAsia" w:ascii="宋体" w:hAnsi="宋体" w:eastAsia="宋体" w:cs="宋体"/>
          <w:sz w:val="21"/>
          <w:u w:val="single"/>
        </w:rPr>
        <w:t xml:space="preserve">          </w:t>
      </w:r>
      <w:r>
        <w:rPr>
          <w:rFonts w:hint="eastAsia" w:ascii="宋体" w:hAnsi="宋体" w:eastAsia="宋体" w:cs="宋体"/>
          <w:sz w:val="21"/>
        </w:rPr>
        <w:t xml:space="preserve"> 品牌：</w:t>
      </w:r>
      <w:r>
        <w:rPr>
          <w:rFonts w:hint="eastAsia" w:ascii="宋体" w:hAnsi="宋体" w:eastAsia="宋体" w:cs="宋体"/>
          <w:sz w:val="21"/>
          <w:u w:val="single"/>
        </w:rPr>
        <w:t xml:space="preserve">        </w:t>
      </w:r>
      <w:r>
        <w:rPr>
          <w:rFonts w:hint="eastAsia" w:ascii="宋体" w:hAnsi="宋体" w:eastAsia="宋体" w:cs="宋体"/>
          <w:sz w:val="21"/>
        </w:rPr>
        <w:t xml:space="preserve"> 型号：</w:t>
      </w:r>
      <w:r>
        <w:rPr>
          <w:rFonts w:hint="eastAsia" w:ascii="宋体" w:hAnsi="宋体" w:eastAsia="宋体" w:cs="宋体"/>
          <w:sz w:val="21"/>
          <w:u w:val="single"/>
        </w:rPr>
        <w:t xml:space="preserve">       </w:t>
      </w:r>
    </w:p>
    <w:p>
      <w:pPr>
        <w:pStyle w:val="146"/>
        <w:numPr>
          <w:ilvl w:val="255"/>
          <w:numId w:val="0"/>
        </w:numPr>
        <w:snapToGrid w:val="0"/>
        <w:rPr>
          <w:rFonts w:ascii="宋体" w:hAnsi="宋体" w:eastAsia="宋体" w:cs="宋体"/>
          <w:sz w:val="21"/>
        </w:rPr>
      </w:pPr>
      <w:r>
        <w:rPr>
          <w:rFonts w:hint="eastAsia" w:ascii="宋体" w:hAnsi="宋体" w:eastAsia="宋体" w:cs="宋体"/>
          <w:sz w:val="21"/>
        </w:rPr>
        <w:t xml:space="preserve">   （注：关键部件是指财政部会同有关部门发布的政府采购需求标准规定的需要通过国家有关部门指定的测评机构开展的安全可靠测评的软硬件，如CPU芯片、操作系统、数据库等。）</w:t>
      </w:r>
    </w:p>
    <w:p>
      <w:pPr>
        <w:pStyle w:val="146"/>
        <w:numPr>
          <w:ilvl w:val="255"/>
          <w:numId w:val="0"/>
        </w:numPr>
        <w:snapToGrid w:val="0"/>
        <w:rPr>
          <w:rFonts w:ascii="宋体" w:hAnsi="宋体" w:eastAsia="宋体" w:cs="宋体"/>
          <w:sz w:val="21"/>
        </w:rPr>
      </w:pPr>
      <w:r>
        <w:rPr>
          <w:rFonts w:hint="eastAsia" w:ascii="宋体" w:hAnsi="宋体" w:eastAsia="宋体" w:cs="宋体"/>
          <w:sz w:val="21"/>
        </w:rPr>
        <w:t xml:space="preserve">         </w:t>
      </w:r>
      <w:r>
        <w:rPr>
          <w:rFonts w:hint="eastAsia" w:ascii="汉仪书宋二S" w:hAnsi="汉仪书宋二S" w:eastAsia="汉仪书宋二S" w:cs="汉仪书宋二S"/>
          <w:sz w:val="21"/>
        </w:rPr>
        <w:t>②</w:t>
      </w:r>
      <w:r>
        <w:rPr>
          <w:rFonts w:hint="eastAsia" w:ascii="宋体" w:hAnsi="宋体" w:eastAsia="宋体" w:cs="宋体"/>
          <w:sz w:val="21"/>
        </w:rPr>
        <w:t>涉及车辆采购，请填写是否属于新能源汽车：</w:t>
      </w:r>
    </w:p>
    <w:p>
      <w:pPr>
        <w:pStyle w:val="146"/>
        <w:numPr>
          <w:ilvl w:val="255"/>
          <w:numId w:val="0"/>
        </w:numPr>
        <w:snapToGrid w:val="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是，《政府采购品目分类目录》底级品目名称：</w:t>
      </w:r>
      <w:r>
        <w:rPr>
          <w:rFonts w:hint="eastAsia" w:ascii="宋体" w:hAnsi="宋体" w:eastAsia="宋体" w:cs="宋体"/>
          <w:sz w:val="21"/>
          <w:u w:val="single"/>
        </w:rPr>
        <w:t xml:space="preserve">     </w:t>
      </w:r>
      <w:r>
        <w:rPr>
          <w:rFonts w:hint="eastAsia" w:asciiTheme="minorEastAsia" w:hAnsiTheme="minorEastAsia" w:eastAsiaTheme="minorEastAsia" w:cstheme="minorEastAsia"/>
          <w:sz w:val="21"/>
        </w:rPr>
        <w:t xml:space="preserve"> 数量：</w:t>
      </w:r>
      <w:r>
        <w:rPr>
          <w:rFonts w:hint="eastAsia" w:asciiTheme="minorEastAsia" w:hAnsiTheme="minorEastAsia" w:eastAsiaTheme="minorEastAsia" w:cstheme="minorEastAsia"/>
          <w:sz w:val="21"/>
          <w:u w:val="single"/>
        </w:rPr>
        <w:t xml:space="preserve"> </w:t>
      </w:r>
      <w:r>
        <w:rPr>
          <w:rFonts w:hint="eastAsia" w:ascii="宋体" w:hAnsi="宋体" w:eastAsia="宋体" w:cs="宋体"/>
          <w:sz w:val="21"/>
          <w:u w:val="single"/>
        </w:rPr>
        <w:t xml:space="preserve">   </w:t>
      </w:r>
      <w:r>
        <w:rPr>
          <w:rFonts w:hint="eastAsia" w:asciiTheme="minorEastAsia" w:hAnsiTheme="minorEastAsia" w:eastAsiaTheme="minorEastAsia" w:cstheme="minorEastAsia"/>
          <w:sz w:val="21"/>
        </w:rPr>
        <w:t xml:space="preserve"> 金额：</w:t>
      </w:r>
      <w:r>
        <w:rPr>
          <w:rFonts w:hint="eastAsia" w:ascii="宋体" w:hAnsi="宋体" w:eastAsia="宋体" w:cs="宋体"/>
          <w:sz w:val="21"/>
          <w:u w:val="single"/>
        </w:rPr>
        <w:t xml:space="preserve">     </w:t>
      </w:r>
      <w:r>
        <w:rPr>
          <w:rFonts w:hint="eastAsia" w:asciiTheme="minorEastAsia" w:hAnsiTheme="minorEastAsia" w:eastAsiaTheme="minorEastAsia" w:cstheme="minorEastAsia"/>
          <w:sz w:val="21"/>
        </w:rPr>
        <w:t xml:space="preserve"> </w:t>
      </w:r>
    </w:p>
    <w:p>
      <w:pPr>
        <w:pStyle w:val="146"/>
        <w:numPr>
          <w:ilvl w:val="255"/>
          <w:numId w:val="0"/>
        </w:numPr>
        <w:snapToGrid w:val="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否</w:t>
      </w:r>
    </w:p>
    <w:p>
      <w:pPr>
        <w:pStyle w:val="146"/>
        <w:numPr>
          <w:ilvl w:val="255"/>
          <w:numId w:val="0"/>
        </w:numPr>
        <w:snapToGrid w:val="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 xml:space="preserve">    （</w:t>
      </w:r>
      <w:r>
        <w:rPr>
          <w:rFonts w:asciiTheme="minorEastAsia" w:hAnsiTheme="minorEastAsia" w:eastAsiaTheme="minorEastAsia" w:cstheme="minorEastAsia"/>
          <w:sz w:val="21"/>
        </w:rPr>
        <w:t>4</w:t>
      </w:r>
      <w:r>
        <w:rPr>
          <w:rFonts w:hint="eastAsia" w:asciiTheme="minorEastAsia" w:hAnsiTheme="minorEastAsia" w:eastAsiaTheme="minorEastAsia" w:cstheme="minorEastAsia"/>
          <w:sz w:val="21"/>
        </w:rPr>
        <w:t>）政府采购组织形式：</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政府集中采购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部门集中采购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分散采购</w:t>
      </w:r>
    </w:p>
    <w:p>
      <w:pPr>
        <w:pStyle w:val="146"/>
        <w:numPr>
          <w:ilvl w:val="255"/>
          <w:numId w:val="0"/>
        </w:numPr>
        <w:snapToGrid w:val="0"/>
        <w:ind w:firstLine="420"/>
        <w:rPr>
          <w:rFonts w:asciiTheme="minorEastAsia" w:hAnsiTheme="minorEastAsia" w:eastAsiaTheme="minorEastAsia" w:cstheme="minorEastAsia"/>
          <w:sz w:val="21"/>
        </w:rPr>
      </w:pPr>
      <w:r>
        <w:rPr>
          <w:rFonts w:hint="eastAsia" w:asciiTheme="minorEastAsia" w:hAnsiTheme="minorEastAsia" w:eastAsiaTheme="minorEastAsia" w:cstheme="minorEastAsia"/>
          <w:sz w:val="21"/>
        </w:rPr>
        <w:t>（</w:t>
      </w:r>
      <w:r>
        <w:rPr>
          <w:rFonts w:asciiTheme="minorEastAsia" w:hAnsiTheme="minorEastAsia" w:eastAsiaTheme="minorEastAsia" w:cstheme="minorEastAsia"/>
          <w:sz w:val="21"/>
        </w:rPr>
        <w:t>5</w:t>
      </w:r>
      <w:r>
        <w:rPr>
          <w:rFonts w:hint="eastAsia" w:asciiTheme="minorEastAsia" w:hAnsiTheme="minorEastAsia" w:eastAsiaTheme="minorEastAsia" w:cstheme="minorEastAsia"/>
          <w:sz w:val="21"/>
        </w:rPr>
        <w:t>）政府采购方式：</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公开招标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邀请招标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竞争性谈判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竞争性磋商</w:t>
      </w:r>
    </w:p>
    <w:p>
      <w:pPr>
        <w:pStyle w:val="146"/>
        <w:numPr>
          <w:ilvl w:val="255"/>
          <w:numId w:val="0"/>
        </w:numPr>
        <w:snapToGrid w:val="0"/>
        <w:ind w:firstLine="420"/>
        <w:rPr>
          <w:rFonts w:ascii="宋体" w:hAnsi="宋体" w:eastAsia="宋体" w:cs="宋体"/>
          <w:sz w:val="21"/>
          <w:u w:val="single"/>
        </w:rPr>
      </w:pPr>
      <w:r>
        <w:rPr>
          <w:rFonts w:hint="eastAsia" w:ascii="宋体" w:hAnsi="宋体" w:cs="宋体"/>
        </w:rPr>
        <w:t xml:space="preserve">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询价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单一来源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 xml:space="preserve">框架协议 </w:t>
      </w:r>
      <w:r>
        <w:rPr>
          <w:rFonts w:hint="eastAsia" w:asciiTheme="minorEastAsia" w:hAnsiTheme="minorEastAsia" w:eastAsiaTheme="minorEastAsia" w:cstheme="minorEastAsia"/>
          <w:sz w:val="21"/>
        </w:rPr>
        <w:sym w:font="Wingdings" w:char="00A8"/>
      </w:r>
      <w:r>
        <w:rPr>
          <w:rFonts w:hint="eastAsia" w:asciiTheme="minorEastAsia" w:hAnsiTheme="minorEastAsia" w:eastAsiaTheme="minorEastAsia" w:cstheme="minorEastAsia"/>
          <w:sz w:val="21"/>
        </w:rPr>
        <w:t>其他：</w:t>
      </w:r>
      <w:r>
        <w:rPr>
          <w:rFonts w:hint="eastAsia" w:ascii="宋体" w:hAnsi="宋体" w:eastAsia="宋体" w:cs="宋体"/>
          <w:sz w:val="21"/>
          <w:u w:val="single"/>
        </w:rPr>
        <w:t xml:space="preserve">          </w:t>
      </w:r>
    </w:p>
    <w:p>
      <w:pPr>
        <w:pStyle w:val="146"/>
        <w:numPr>
          <w:ilvl w:val="255"/>
          <w:numId w:val="0"/>
        </w:numPr>
        <w:snapToGrid w:val="0"/>
        <w:ind w:firstLine="420"/>
        <w:rPr>
          <w:rFonts w:ascii="宋体" w:hAnsi="宋体" w:eastAsia="宋体" w:cs="宋体"/>
          <w:sz w:val="21"/>
        </w:rPr>
      </w:pPr>
      <w:r>
        <w:rPr>
          <w:rFonts w:hint="eastAsia" w:ascii="宋体" w:hAnsi="宋体" w:eastAsia="宋体" w:cs="宋体"/>
          <w:sz w:val="21"/>
        </w:rPr>
        <w:t>（注：在框架协议采购的第二阶段，可选择使用该合同文本）</w:t>
      </w:r>
    </w:p>
    <w:p>
      <w:pPr>
        <w:pStyle w:val="146"/>
        <w:numPr>
          <w:ilvl w:val="255"/>
          <w:numId w:val="0"/>
        </w:numPr>
        <w:snapToGrid w:val="0"/>
        <w:ind w:firstLine="220" w:firstLineChars="100"/>
        <w:rPr>
          <w:rFonts w:ascii="宋体" w:hAnsi="宋体" w:eastAsia="宋体" w:cs="Times New Roman"/>
          <w:kern w:val="2"/>
          <w:sz w:val="21"/>
        </w:rPr>
      </w:pPr>
      <w:r>
        <w:rPr>
          <w:rFonts w:hint="eastAsia" w:ascii="宋体" w:hAnsi="宋体"/>
        </w:rPr>
        <w:t xml:space="preserve"> （</w:t>
      </w:r>
      <w:r>
        <w:rPr>
          <w:rFonts w:ascii="宋体" w:hAnsi="宋体"/>
        </w:rPr>
        <w:t>6</w:t>
      </w:r>
      <w:r>
        <w:rPr>
          <w:rFonts w:hint="eastAsia" w:ascii="宋体" w:hAnsi="宋体"/>
        </w:rPr>
        <w:t>）</w:t>
      </w:r>
      <w:r>
        <w:rPr>
          <w:rFonts w:hint="eastAsia" w:ascii="宋体" w:hAnsi="宋体" w:eastAsia="宋体" w:cs="Times New Roman"/>
          <w:kern w:val="2"/>
          <w:sz w:val="21"/>
        </w:rPr>
        <w:t>中标（成交）采购标的制造商是否为中小企业：</w:t>
      </w:r>
      <w:r>
        <w:rPr>
          <w:rFonts w:hint="eastAsia" w:ascii="宋体" w:hAnsi="宋体" w:eastAsia="宋体" w:cs="Times New Roman"/>
          <w:kern w:val="2"/>
          <w:sz w:val="21"/>
        </w:rPr>
        <w:sym w:font="Wingdings" w:char="00A8"/>
      </w:r>
      <w:r>
        <w:rPr>
          <w:rFonts w:hint="eastAsia" w:ascii="宋体" w:hAnsi="宋体" w:eastAsia="宋体" w:cs="Times New Roman"/>
          <w:kern w:val="2"/>
          <w:sz w:val="21"/>
        </w:rPr>
        <w:t xml:space="preserve">是      </w:t>
      </w:r>
      <w:r>
        <w:rPr>
          <w:rFonts w:hint="eastAsia" w:ascii="宋体" w:hAnsi="宋体" w:eastAsia="宋体" w:cs="Times New Roman"/>
          <w:kern w:val="2"/>
          <w:sz w:val="21"/>
        </w:rPr>
        <w:sym w:font="Wingdings" w:char="00A8"/>
      </w:r>
      <w:r>
        <w:rPr>
          <w:rFonts w:hint="eastAsia" w:ascii="宋体" w:hAnsi="宋体" w:eastAsia="宋体" w:cs="Times New Roman"/>
          <w:kern w:val="2"/>
          <w:sz w:val="21"/>
        </w:rPr>
        <w:t>否</w:t>
      </w:r>
    </w:p>
    <w:p>
      <w:pPr>
        <w:numPr>
          <w:ilvl w:val="255"/>
          <w:numId w:val="0"/>
        </w:numPr>
        <w:adjustRightInd w:val="0"/>
        <w:snapToGrid w:val="0"/>
        <w:spacing w:line="400" w:lineRule="exact"/>
        <w:rPr>
          <w:rFonts w:ascii="宋体" w:hAnsi="宋体"/>
          <w:iCs/>
          <w:szCs w:val="21"/>
        </w:rPr>
      </w:pPr>
      <w:r>
        <w:rPr>
          <w:rFonts w:hint="eastAsia" w:ascii="宋体" w:hAnsi="宋体"/>
          <w:szCs w:val="21"/>
        </w:rPr>
        <w:t xml:space="preserve">         本合同是否为专门面向中小企业的采购合同（中小企业预留合同）：</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pPr>
        <w:numPr>
          <w:ilvl w:val="255"/>
          <w:numId w:val="0"/>
        </w:numPr>
        <w:adjustRightInd w:val="0"/>
        <w:snapToGrid w:val="0"/>
        <w:spacing w:line="400" w:lineRule="exact"/>
        <w:rPr>
          <w:rFonts w:ascii="宋体" w:hAnsi="宋体"/>
          <w:iCs/>
          <w:szCs w:val="21"/>
        </w:rPr>
      </w:pPr>
      <w:r>
        <w:rPr>
          <w:rFonts w:hint="eastAsia"/>
        </w:rPr>
        <w:t xml:space="preserve">         若本项目不专门面向中小企业采购，是否给予小微企业评审优惠：</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pPr>
        <w:numPr>
          <w:ilvl w:val="255"/>
          <w:numId w:val="0"/>
        </w:numPr>
        <w:adjustRightInd w:val="0"/>
        <w:snapToGrid w:val="0"/>
        <w:spacing w:line="400" w:lineRule="exact"/>
        <w:rPr>
          <w:rFonts w:ascii="宋体" w:hAnsi="宋体"/>
          <w:iCs/>
          <w:szCs w:val="21"/>
        </w:rPr>
      </w:pPr>
      <w:r>
        <w:rPr>
          <w:rFonts w:hint="eastAsia"/>
        </w:rPr>
        <w:t xml:space="preserve">         中标（成交）采购标的制造商是否为残疾人福利性单位：</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pPr>
        <w:snapToGrid w:val="0"/>
        <w:spacing w:line="400" w:lineRule="exact"/>
      </w:pPr>
      <w:r>
        <w:rPr>
          <w:rFonts w:hint="eastAsia"/>
        </w:rPr>
        <w:t xml:space="preserve">         中标（成交）采购标的制造商是否为监狱企业：</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pPr>
        <w:adjustRightInd w:val="0"/>
        <w:snapToGrid w:val="0"/>
        <w:spacing w:line="400" w:lineRule="exact"/>
        <w:ind w:firstLine="420" w:firstLineChars="200"/>
        <w:rPr>
          <w:rFonts w:ascii="宋体" w:hAnsi="宋体"/>
          <w:szCs w:val="21"/>
        </w:rPr>
      </w:pPr>
      <w:r>
        <w:rPr>
          <w:rFonts w:hint="eastAsia" w:ascii="宋体" w:hAnsi="宋体"/>
          <w:szCs w:val="21"/>
        </w:rPr>
        <w:t>（</w:t>
      </w:r>
      <w:r>
        <w:rPr>
          <w:rFonts w:ascii="宋体" w:hAnsi="宋体"/>
          <w:szCs w:val="21"/>
        </w:rPr>
        <w:t>7</w:t>
      </w:r>
      <w:r>
        <w:rPr>
          <w:rFonts w:hint="eastAsia" w:ascii="宋体" w:hAnsi="宋体"/>
          <w:szCs w:val="21"/>
        </w:rPr>
        <w:t>）合同是否分包：</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pPr>
        <w:adjustRightInd w:val="0"/>
        <w:snapToGrid w:val="0"/>
        <w:spacing w:line="400" w:lineRule="exact"/>
        <w:ind w:firstLine="840" w:firstLineChars="400"/>
        <w:rPr>
          <w:rFonts w:ascii="宋体" w:hAnsi="宋体"/>
          <w:szCs w:val="21"/>
          <w:u w:val="single"/>
        </w:rPr>
      </w:pPr>
      <w:r>
        <w:rPr>
          <w:rFonts w:hint="eastAsia" w:ascii="宋体" w:hAnsi="宋体"/>
          <w:szCs w:val="21"/>
        </w:rPr>
        <w:t xml:space="preserve"> 分包主要内容：</w:t>
      </w:r>
      <w:r>
        <w:rPr>
          <w:rFonts w:hint="eastAsia" w:ascii="宋体" w:hAnsi="宋体"/>
          <w:szCs w:val="21"/>
          <w:u w:val="single"/>
        </w:rPr>
        <w:t xml:space="preserve">                                            </w:t>
      </w:r>
    </w:p>
    <w:p>
      <w:pPr>
        <w:adjustRightInd w:val="0"/>
        <w:snapToGrid w:val="0"/>
        <w:spacing w:line="400" w:lineRule="exact"/>
        <w:ind w:firstLine="840" w:firstLineChars="400"/>
        <w:rPr>
          <w:rFonts w:ascii="宋体" w:hAnsi="宋体"/>
          <w:szCs w:val="21"/>
        </w:rPr>
      </w:pPr>
      <w:r>
        <w:rPr>
          <w:rFonts w:hint="eastAsia" w:ascii="宋体" w:hAnsi="宋体"/>
          <w:szCs w:val="21"/>
        </w:rPr>
        <w:t xml:space="preserve"> 分包供应商/制造商名称（如供应商和制造商不同，请分别填写）：</w:t>
      </w:r>
    </w:p>
    <w:p>
      <w:pPr>
        <w:adjustRightInd w:val="0"/>
        <w:snapToGrid w:val="0"/>
        <w:spacing w:line="400" w:lineRule="exact"/>
        <w:ind w:firstLine="840" w:firstLineChars="400"/>
        <w:rPr>
          <w:rFonts w:ascii="宋体" w:hAnsi="宋体"/>
          <w:szCs w:val="21"/>
          <w:u w:val="single"/>
        </w:rPr>
      </w:pPr>
      <w:r>
        <w:rPr>
          <w:rFonts w:hint="eastAsia" w:ascii="宋体" w:hAnsi="宋体"/>
          <w:szCs w:val="21"/>
        </w:rPr>
        <w:t xml:space="preserve"> </w:t>
      </w:r>
      <w:r>
        <w:rPr>
          <w:rFonts w:hint="eastAsia" w:ascii="宋体" w:hAnsi="宋体"/>
          <w:szCs w:val="21"/>
          <w:u w:val="single"/>
        </w:rPr>
        <w:t xml:space="preserve">                                                          </w:t>
      </w:r>
    </w:p>
    <w:p>
      <w:pPr>
        <w:adjustRightInd w:val="0"/>
        <w:snapToGrid w:val="0"/>
        <w:spacing w:line="400" w:lineRule="exact"/>
        <w:ind w:firstLine="840" w:firstLineChars="400"/>
        <w:rPr>
          <w:rFonts w:ascii="宋体" w:hAnsi="宋体"/>
          <w:szCs w:val="21"/>
        </w:rPr>
      </w:pPr>
      <w:r>
        <w:rPr>
          <w:rFonts w:hint="eastAsia" w:ascii="宋体" w:hAnsi="宋体"/>
          <w:szCs w:val="21"/>
        </w:rPr>
        <w:t xml:space="preserve"> 分包供应商/制造商类型（如果供应商和制造商不同，只填写制造商类型）：</w:t>
      </w:r>
    </w:p>
    <w:p>
      <w:pPr>
        <w:adjustRightInd w:val="0"/>
        <w:snapToGrid w:val="0"/>
        <w:spacing w:line="400" w:lineRule="exact"/>
        <w:ind w:firstLine="840" w:firstLineChars="400"/>
        <w:rPr>
          <w:rFonts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大型企业  </w:t>
      </w:r>
      <w:r>
        <w:rPr>
          <w:rFonts w:hint="eastAsia" w:ascii="宋体" w:hAnsi="宋体"/>
          <w:iCs/>
          <w:szCs w:val="21"/>
        </w:rPr>
        <w:sym w:font="Wingdings" w:char="00A8"/>
      </w:r>
      <w:r>
        <w:rPr>
          <w:rFonts w:hint="eastAsia" w:ascii="宋体" w:hAnsi="宋体"/>
          <w:iCs/>
          <w:szCs w:val="21"/>
        </w:rPr>
        <w:t xml:space="preserve">中型企业  </w:t>
      </w:r>
      <w:r>
        <w:rPr>
          <w:rFonts w:hint="eastAsia" w:ascii="宋体" w:hAnsi="宋体"/>
          <w:iCs/>
          <w:szCs w:val="21"/>
        </w:rPr>
        <w:sym w:font="Wingdings" w:char="00A8"/>
      </w:r>
      <w:r>
        <w:rPr>
          <w:rFonts w:hint="eastAsia" w:ascii="宋体" w:hAnsi="宋体"/>
          <w:iCs/>
          <w:szCs w:val="21"/>
        </w:rPr>
        <w:t xml:space="preserve">小微型企业  </w:t>
      </w:r>
    </w:p>
    <w:p>
      <w:pPr>
        <w:adjustRightInd w:val="0"/>
        <w:snapToGrid w:val="0"/>
        <w:spacing w:line="400" w:lineRule="exact"/>
        <w:ind w:firstLine="840" w:firstLineChars="400"/>
        <w:rPr>
          <w:rFonts w:eastAsia="华文楷体"/>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残疾人福利性单位 </w:t>
      </w:r>
      <w:r>
        <w:rPr>
          <w:rFonts w:hint="eastAsia" w:ascii="宋体" w:hAnsi="宋体"/>
          <w:iCs/>
          <w:szCs w:val="21"/>
        </w:rPr>
        <w:sym w:font="Wingdings" w:char="00A8"/>
      </w:r>
      <w:r>
        <w:rPr>
          <w:rFonts w:hint="eastAsia" w:ascii="宋体" w:hAnsi="宋体"/>
          <w:iCs/>
          <w:szCs w:val="21"/>
        </w:rPr>
        <w:t xml:space="preserve">监狱企业 </w:t>
      </w:r>
      <w:r>
        <w:rPr>
          <w:rFonts w:hint="eastAsia" w:ascii="宋体" w:hAnsi="宋体"/>
          <w:iCs/>
          <w:szCs w:val="21"/>
        </w:rPr>
        <w:sym w:font="Wingdings" w:char="00A8"/>
      </w:r>
      <w:r>
        <w:rPr>
          <w:rFonts w:hint="eastAsia" w:ascii="宋体" w:hAnsi="宋体"/>
          <w:iCs/>
          <w:szCs w:val="21"/>
        </w:rPr>
        <w:t>其他</w:t>
      </w:r>
    </w:p>
    <w:p>
      <w:pPr>
        <w:numPr>
          <w:ilvl w:val="255"/>
          <w:numId w:val="0"/>
        </w:numPr>
        <w:adjustRightInd w:val="0"/>
        <w:snapToGrid w:val="0"/>
        <w:spacing w:line="400" w:lineRule="exact"/>
        <w:rPr>
          <w:rFonts w:ascii="宋体" w:hAnsi="宋体" w:cs="宋体"/>
          <w:iCs/>
          <w:szCs w:val="21"/>
        </w:rPr>
      </w:pPr>
      <w:r>
        <w:rPr>
          <w:rFonts w:hint="eastAsia" w:ascii="宋体" w:hAnsi="宋体"/>
          <w:szCs w:val="21"/>
        </w:rPr>
        <w:t xml:space="preserve">    </w:t>
      </w:r>
      <w:r>
        <w:rPr>
          <w:rFonts w:hint="eastAsia" w:ascii="宋体" w:hAnsi="宋体" w:cs="宋体"/>
          <w:szCs w:val="21"/>
        </w:rPr>
        <w:t>（</w:t>
      </w:r>
      <w:r>
        <w:rPr>
          <w:rFonts w:ascii="宋体" w:hAnsi="宋体" w:cs="宋体"/>
          <w:szCs w:val="21"/>
        </w:rPr>
        <w:t>8</w:t>
      </w:r>
      <w:r>
        <w:rPr>
          <w:rFonts w:hint="eastAsia" w:ascii="宋体" w:hAnsi="宋体" w:cs="宋体"/>
          <w:szCs w:val="21"/>
        </w:rPr>
        <w:t>）中标（成交）供应商是否为外商投资企业：</w:t>
      </w:r>
      <w:r>
        <w:rPr>
          <w:rFonts w:hint="eastAsia" w:ascii="宋体" w:hAnsi="宋体" w:cs="宋体"/>
          <w:iCs/>
          <w:szCs w:val="21"/>
        </w:rPr>
        <w:sym w:font="Wingdings" w:char="00A8"/>
      </w:r>
      <w:r>
        <w:rPr>
          <w:rFonts w:hint="eastAsia" w:ascii="宋体" w:hAnsi="宋体" w:cs="宋体"/>
          <w:iCs/>
          <w:szCs w:val="21"/>
        </w:rPr>
        <w:t xml:space="preserve">是       </w:t>
      </w:r>
      <w:r>
        <w:rPr>
          <w:rFonts w:hint="eastAsia" w:ascii="宋体" w:hAnsi="宋体" w:cs="宋体"/>
          <w:iCs/>
          <w:szCs w:val="21"/>
        </w:rPr>
        <w:sym w:font="Wingdings" w:char="00A8"/>
      </w:r>
      <w:r>
        <w:rPr>
          <w:rFonts w:hint="eastAsia" w:ascii="宋体" w:hAnsi="宋体" w:cs="宋体"/>
          <w:iCs/>
          <w:szCs w:val="21"/>
        </w:rPr>
        <w:t>否</w:t>
      </w:r>
    </w:p>
    <w:p>
      <w:pPr>
        <w:pStyle w:val="146"/>
        <w:tabs>
          <w:tab w:val="left" w:pos="1340"/>
        </w:tabs>
        <w:ind w:firstLine="420"/>
        <w:rPr>
          <w:rFonts w:ascii="宋体" w:hAnsi="宋体" w:eastAsia="宋体" w:cs="宋体"/>
          <w:sz w:val="21"/>
          <w:u w:val="single"/>
        </w:rPr>
      </w:pPr>
      <w:r>
        <w:rPr>
          <w:rFonts w:hint="eastAsia" w:ascii="宋体" w:hAnsi="宋体" w:eastAsia="宋体" w:cs="宋体"/>
          <w:sz w:val="21"/>
        </w:rPr>
        <w:t xml:space="preserve">     外商投资企业类型：</w:t>
      </w:r>
      <w:r>
        <w:rPr>
          <w:rFonts w:hint="eastAsia" w:ascii="宋体" w:hAnsi="宋体" w:eastAsia="宋体" w:cs="宋体"/>
          <w:iCs/>
          <w:sz w:val="21"/>
        </w:rPr>
        <w:sym w:font="Wingdings" w:char="00A8"/>
      </w:r>
      <w:r>
        <w:rPr>
          <w:rFonts w:hint="eastAsia" w:ascii="宋体" w:hAnsi="宋体" w:eastAsia="宋体" w:cs="宋体"/>
          <w:sz w:val="21"/>
        </w:rPr>
        <w:t xml:space="preserve">全部由外国投资者投资  </w:t>
      </w:r>
      <w:r>
        <w:rPr>
          <w:rFonts w:hint="eastAsia" w:ascii="宋体" w:hAnsi="宋体" w:eastAsia="宋体" w:cs="宋体"/>
          <w:iCs/>
          <w:sz w:val="21"/>
        </w:rPr>
        <w:sym w:font="Wingdings" w:char="00A8"/>
      </w:r>
      <w:r>
        <w:rPr>
          <w:rFonts w:hint="eastAsia" w:ascii="宋体" w:hAnsi="宋体" w:eastAsia="宋体" w:cs="宋体"/>
          <w:iCs/>
          <w:sz w:val="21"/>
        </w:rPr>
        <w:t>部分由外国投资者投资</w:t>
      </w:r>
    </w:p>
    <w:p>
      <w:pPr>
        <w:numPr>
          <w:ilvl w:val="255"/>
          <w:numId w:val="0"/>
        </w:numPr>
        <w:adjustRightInd w:val="0"/>
        <w:snapToGrid w:val="0"/>
        <w:spacing w:line="400" w:lineRule="exact"/>
        <w:ind w:firstLine="420" w:firstLineChars="200"/>
        <w:rPr>
          <w:rFonts w:ascii="宋体" w:hAnsi="宋体" w:cs="宋体"/>
          <w:szCs w:val="21"/>
        </w:rPr>
      </w:pPr>
      <w:r>
        <w:rPr>
          <w:rFonts w:hint="eastAsia" w:ascii="宋体" w:hAnsi="宋体" w:cs="宋体"/>
          <w:szCs w:val="21"/>
        </w:rPr>
        <w:t>（</w:t>
      </w:r>
      <w:r>
        <w:rPr>
          <w:rFonts w:ascii="宋体" w:hAnsi="宋体" w:cs="宋体"/>
          <w:szCs w:val="21"/>
        </w:rPr>
        <w:t>9</w:t>
      </w:r>
      <w:r>
        <w:rPr>
          <w:rFonts w:hint="eastAsia" w:ascii="宋体" w:hAnsi="宋体" w:cs="宋体"/>
          <w:szCs w:val="21"/>
        </w:rPr>
        <w:t>）是否涉及进口产品：</w:t>
      </w:r>
    </w:p>
    <w:p>
      <w:pPr>
        <w:numPr>
          <w:ilvl w:val="255"/>
          <w:numId w:val="0"/>
        </w:numPr>
        <w:adjustRightInd w:val="0"/>
        <w:snapToGrid w:val="0"/>
        <w:spacing w:line="400" w:lineRule="exact"/>
        <w:ind w:firstLine="840" w:firstLineChars="400"/>
        <w:rPr>
          <w:rFonts w:ascii="宋体" w:hAnsi="宋体" w:cs="宋体"/>
          <w:szCs w:val="21"/>
          <w:u w:val="single"/>
        </w:rPr>
      </w:pPr>
      <w:r>
        <w:rPr>
          <w:rFonts w:hint="eastAsia" w:ascii="宋体" w:hAnsi="宋体" w:cs="宋体"/>
          <w:szCs w:val="21"/>
        </w:rPr>
        <w:t xml:space="preserve"> </w:t>
      </w:r>
      <w:r>
        <w:rPr>
          <w:rFonts w:hint="eastAsia" w:ascii="宋体" w:hAnsi="宋体" w:cs="宋体"/>
          <w:szCs w:val="21"/>
        </w:rPr>
        <w:sym w:font="Wingdings" w:char="00A8"/>
      </w:r>
      <w:r>
        <w:rPr>
          <w:rFonts w:hint="eastAsia" w:ascii="宋体" w:hAnsi="宋体" w:cs="宋体"/>
          <w:szCs w:val="21"/>
        </w:rPr>
        <w:t>是，《政府采购品目分类目录》底级品目名称：</w:t>
      </w:r>
      <w:r>
        <w:rPr>
          <w:rFonts w:hint="eastAsia" w:ascii="宋体" w:hAnsi="宋体" w:cs="宋体"/>
          <w:szCs w:val="21"/>
          <w:u w:val="single"/>
        </w:rPr>
        <w:t xml:space="preserve">         </w:t>
      </w:r>
      <w:r>
        <w:rPr>
          <w:rFonts w:hint="eastAsia" w:ascii="宋体" w:hAnsi="宋体" w:cs="宋体"/>
          <w:szCs w:val="21"/>
        </w:rPr>
        <w:t xml:space="preserve"> 金额：</w:t>
      </w:r>
      <w:r>
        <w:rPr>
          <w:rFonts w:hint="eastAsia" w:ascii="宋体" w:hAnsi="宋体" w:cs="宋体"/>
          <w:szCs w:val="21"/>
          <w:u w:val="single"/>
        </w:rPr>
        <w:t xml:space="preserve">        </w:t>
      </w:r>
    </w:p>
    <w:p>
      <w:pPr>
        <w:numPr>
          <w:ilvl w:val="255"/>
          <w:numId w:val="0"/>
        </w:numPr>
        <w:adjustRightInd w:val="0"/>
        <w:snapToGrid w:val="0"/>
        <w:spacing w:line="400" w:lineRule="exact"/>
        <w:ind w:firstLine="840" w:firstLineChars="400"/>
        <w:rPr>
          <w:rFonts w:ascii="宋体" w:hAnsi="宋体"/>
          <w:szCs w:val="21"/>
        </w:rPr>
      </w:pPr>
      <w:r>
        <w:rPr>
          <w:rFonts w:hint="eastAsia" w:ascii="宋体" w:hAnsi="宋体" w:cs="宋体"/>
          <w:szCs w:val="21"/>
        </w:rPr>
        <w:t xml:space="preserve">        国别：</w:t>
      </w:r>
      <w:r>
        <w:rPr>
          <w:rFonts w:hint="eastAsia" w:ascii="宋体" w:hAnsi="宋体" w:cs="宋体"/>
          <w:szCs w:val="21"/>
          <w:u w:val="single"/>
        </w:rPr>
        <w:t xml:space="preserve">        </w:t>
      </w:r>
      <w:r>
        <w:rPr>
          <w:rFonts w:hint="eastAsia" w:ascii="宋体" w:hAnsi="宋体" w:cs="宋体"/>
          <w:szCs w:val="21"/>
        </w:rPr>
        <w:t xml:space="preserve"> 品牌：</w:t>
      </w:r>
      <w:r>
        <w:rPr>
          <w:rFonts w:hint="eastAsia" w:ascii="宋体" w:hAnsi="宋体" w:cs="宋体"/>
          <w:szCs w:val="21"/>
          <w:u w:val="single"/>
        </w:rPr>
        <w:t xml:space="preserve">        </w:t>
      </w:r>
      <w:r>
        <w:rPr>
          <w:rFonts w:hint="eastAsia" w:ascii="宋体" w:hAnsi="宋体" w:cs="宋体"/>
          <w:szCs w:val="21"/>
        </w:rPr>
        <w:t xml:space="preserve"> 规格型号：</w:t>
      </w:r>
      <w:r>
        <w:rPr>
          <w:rFonts w:hint="eastAsia" w:ascii="宋体" w:hAnsi="宋体" w:cs="宋体"/>
          <w:szCs w:val="21"/>
          <w:u w:val="single"/>
        </w:rPr>
        <w:t xml:space="preserve">        </w:t>
      </w:r>
      <w:r>
        <w:rPr>
          <w:rFonts w:hint="eastAsia" w:ascii="宋体" w:hAnsi="宋体"/>
          <w:szCs w:val="21"/>
        </w:rPr>
        <w:t xml:space="preserve">      </w:t>
      </w:r>
    </w:p>
    <w:p>
      <w:pPr>
        <w:adjustRightInd w:val="0"/>
        <w:snapToGrid w:val="0"/>
        <w:spacing w:line="400" w:lineRule="exact"/>
        <w:ind w:firstLine="840" w:firstLineChars="400"/>
        <w:rPr>
          <w:rFonts w:ascii="宋体" w:hAnsi="宋体"/>
          <w:szCs w:val="21"/>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否</w:t>
      </w:r>
    </w:p>
    <w:p>
      <w:pPr>
        <w:numPr>
          <w:ilvl w:val="255"/>
          <w:numId w:val="0"/>
        </w:numPr>
        <w:tabs>
          <w:tab w:val="left" w:pos="740"/>
        </w:tabs>
        <w:adjustRightInd w:val="0"/>
        <w:snapToGrid w:val="0"/>
        <w:spacing w:line="400" w:lineRule="exact"/>
        <w:rPr>
          <w:rFonts w:ascii="宋体" w:hAnsi="宋体"/>
          <w:szCs w:val="21"/>
        </w:rPr>
      </w:pPr>
      <w:r>
        <w:rPr>
          <w:rFonts w:hint="eastAsia" w:ascii="宋体" w:hAnsi="宋体"/>
          <w:szCs w:val="21"/>
        </w:rPr>
        <w:t xml:space="preserve">    （1</w:t>
      </w:r>
      <w:r>
        <w:rPr>
          <w:rFonts w:ascii="宋体" w:hAnsi="宋体"/>
          <w:szCs w:val="21"/>
        </w:rPr>
        <w:t>0</w:t>
      </w:r>
      <w:r>
        <w:rPr>
          <w:rFonts w:hint="eastAsia" w:ascii="宋体" w:hAnsi="宋体"/>
          <w:szCs w:val="21"/>
        </w:rPr>
        <w:t>）是否涉及节能产品：</w:t>
      </w:r>
    </w:p>
    <w:p>
      <w:pPr>
        <w:numPr>
          <w:ilvl w:val="255"/>
          <w:numId w:val="0"/>
        </w:numPr>
        <w:tabs>
          <w:tab w:val="left" w:pos="740"/>
        </w:tabs>
        <w:adjustRightInd w:val="0"/>
        <w:snapToGrid w:val="0"/>
        <w:spacing w:line="400" w:lineRule="exact"/>
        <w:rPr>
          <w:rFonts w:ascii="宋体" w:hAnsi="宋体"/>
          <w:iCs/>
          <w:szCs w:val="21"/>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是，《节能产品政府采购品目清单》的底级品目名称：</w:t>
      </w:r>
      <w:r>
        <w:rPr>
          <w:rFonts w:hint="eastAsia" w:ascii="宋体" w:hAnsi="宋体"/>
          <w:szCs w:val="21"/>
          <w:u w:val="single"/>
        </w:rPr>
        <w:t xml:space="preserve">         </w:t>
      </w:r>
      <w:r>
        <w:rPr>
          <w:rFonts w:hint="eastAsia" w:ascii="宋体" w:hAnsi="宋体"/>
          <w:iCs/>
          <w:szCs w:val="21"/>
        </w:rPr>
        <w:t xml:space="preserve">     </w:t>
      </w:r>
    </w:p>
    <w:p>
      <w:pPr>
        <w:numPr>
          <w:ilvl w:val="255"/>
          <w:numId w:val="0"/>
        </w:numPr>
        <w:tabs>
          <w:tab w:val="left" w:pos="740"/>
        </w:tabs>
        <w:adjustRightInd w:val="0"/>
        <w:snapToGrid w:val="0"/>
        <w:spacing w:line="400" w:lineRule="exact"/>
        <w:rPr>
          <w:rFonts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强制采购       </w:t>
      </w:r>
      <w:r>
        <w:rPr>
          <w:rFonts w:hint="eastAsia" w:ascii="宋体" w:hAnsi="宋体"/>
          <w:iCs/>
          <w:szCs w:val="21"/>
        </w:rPr>
        <w:sym w:font="Wingdings" w:char="00A8"/>
      </w:r>
      <w:r>
        <w:rPr>
          <w:rFonts w:hint="eastAsia" w:ascii="宋体" w:hAnsi="宋体"/>
          <w:iCs/>
          <w:szCs w:val="21"/>
        </w:rPr>
        <w:t xml:space="preserve">优先采购    </w:t>
      </w:r>
    </w:p>
    <w:p>
      <w:pPr>
        <w:numPr>
          <w:ilvl w:val="255"/>
          <w:numId w:val="0"/>
        </w:numPr>
        <w:tabs>
          <w:tab w:val="left" w:pos="740"/>
        </w:tabs>
        <w:adjustRightInd w:val="0"/>
        <w:snapToGrid w:val="0"/>
        <w:spacing w:line="400" w:lineRule="exact"/>
        <w:rPr>
          <w:rFonts w:ascii="宋体" w:hAnsi="宋体"/>
          <w:szCs w:val="21"/>
        </w:rPr>
      </w:pPr>
      <w:r>
        <w:rPr>
          <w:rFonts w:hint="eastAsia" w:ascii="宋体" w:hAnsi="宋体"/>
          <w:iCs/>
          <w:szCs w:val="21"/>
        </w:rPr>
        <w:t xml:space="preserve">         </w:t>
      </w:r>
      <w:r>
        <w:rPr>
          <w:rFonts w:hint="eastAsia" w:ascii="宋体" w:hAnsi="宋体"/>
          <w:szCs w:val="21"/>
        </w:rPr>
        <w:sym w:font="Wingdings" w:char="00A8"/>
      </w:r>
      <w:r>
        <w:rPr>
          <w:rFonts w:hint="eastAsia" w:ascii="宋体" w:hAnsi="宋体"/>
          <w:szCs w:val="21"/>
        </w:rPr>
        <w:t>否</w:t>
      </w:r>
    </w:p>
    <w:p>
      <w:pPr>
        <w:numPr>
          <w:ilvl w:val="255"/>
          <w:numId w:val="0"/>
        </w:numPr>
        <w:tabs>
          <w:tab w:val="left" w:pos="740"/>
        </w:tabs>
        <w:adjustRightInd w:val="0"/>
        <w:snapToGrid w:val="0"/>
        <w:spacing w:line="400" w:lineRule="exact"/>
        <w:rPr>
          <w:rFonts w:ascii="宋体" w:hAnsi="宋体"/>
          <w:szCs w:val="21"/>
        </w:rPr>
      </w:pPr>
      <w:r>
        <w:rPr>
          <w:rFonts w:hint="eastAsia" w:ascii="宋体" w:hAnsi="宋体"/>
          <w:szCs w:val="21"/>
        </w:rPr>
        <w:t xml:space="preserve">          是否涉及环境标志产品：</w:t>
      </w:r>
    </w:p>
    <w:p>
      <w:pPr>
        <w:numPr>
          <w:ilvl w:val="255"/>
          <w:numId w:val="0"/>
        </w:numPr>
        <w:tabs>
          <w:tab w:val="left" w:pos="740"/>
        </w:tabs>
        <w:adjustRightInd w:val="0"/>
        <w:snapToGrid w:val="0"/>
        <w:spacing w:line="400" w:lineRule="exact"/>
        <w:rPr>
          <w:rFonts w:ascii="宋体" w:hAnsi="宋体"/>
          <w:szCs w:val="21"/>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是，《环境标志产品政府采购品目清单》的底级品目名称：</w:t>
      </w:r>
      <w:r>
        <w:rPr>
          <w:rFonts w:hint="eastAsia" w:ascii="宋体" w:hAnsi="宋体"/>
          <w:szCs w:val="21"/>
          <w:u w:val="single"/>
        </w:rPr>
        <w:t xml:space="preserve">         </w:t>
      </w:r>
      <w:r>
        <w:rPr>
          <w:rFonts w:hint="eastAsia" w:ascii="宋体" w:hAnsi="宋体"/>
          <w:iCs/>
          <w:szCs w:val="21"/>
        </w:rPr>
        <w:t xml:space="preserve"> </w:t>
      </w:r>
    </w:p>
    <w:p>
      <w:pPr>
        <w:numPr>
          <w:ilvl w:val="255"/>
          <w:numId w:val="0"/>
        </w:numPr>
        <w:tabs>
          <w:tab w:val="left" w:pos="740"/>
        </w:tabs>
        <w:adjustRightInd w:val="0"/>
        <w:snapToGrid w:val="0"/>
        <w:spacing w:line="400" w:lineRule="exact"/>
        <w:rPr>
          <w:rFonts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强制采购       </w:t>
      </w:r>
      <w:r>
        <w:rPr>
          <w:rFonts w:hint="eastAsia" w:ascii="宋体" w:hAnsi="宋体"/>
          <w:iCs/>
          <w:szCs w:val="21"/>
        </w:rPr>
        <w:sym w:font="Wingdings" w:char="00A8"/>
      </w:r>
      <w:r>
        <w:rPr>
          <w:rFonts w:hint="eastAsia" w:ascii="宋体" w:hAnsi="宋体"/>
          <w:iCs/>
          <w:szCs w:val="21"/>
        </w:rPr>
        <w:t xml:space="preserve">优先采购    </w:t>
      </w:r>
    </w:p>
    <w:p>
      <w:pPr>
        <w:numPr>
          <w:ilvl w:val="255"/>
          <w:numId w:val="0"/>
        </w:numPr>
        <w:tabs>
          <w:tab w:val="left" w:pos="740"/>
        </w:tabs>
        <w:adjustRightInd w:val="0"/>
        <w:snapToGrid w:val="0"/>
        <w:spacing w:line="400" w:lineRule="exact"/>
        <w:rPr>
          <w:rFonts w:ascii="宋体" w:hAnsi="宋体"/>
          <w:szCs w:val="21"/>
        </w:rPr>
      </w:pPr>
      <w:r>
        <w:rPr>
          <w:rFonts w:hint="eastAsia" w:ascii="宋体" w:hAnsi="宋体"/>
          <w:iCs/>
          <w:szCs w:val="21"/>
        </w:rPr>
        <w:t xml:space="preserve">         </w:t>
      </w:r>
      <w:r>
        <w:rPr>
          <w:rFonts w:hint="eastAsia" w:ascii="宋体" w:hAnsi="宋体"/>
          <w:szCs w:val="21"/>
        </w:rPr>
        <w:sym w:font="Wingdings" w:char="00A8"/>
      </w:r>
      <w:r>
        <w:rPr>
          <w:rFonts w:hint="eastAsia" w:ascii="宋体" w:hAnsi="宋体"/>
          <w:szCs w:val="21"/>
        </w:rPr>
        <w:t>否</w:t>
      </w:r>
    </w:p>
    <w:p>
      <w:pPr>
        <w:pStyle w:val="146"/>
        <w:numPr>
          <w:ilvl w:val="255"/>
          <w:numId w:val="0"/>
        </w:numPr>
        <w:snapToGrid w:val="0"/>
        <w:rPr>
          <w:rFonts w:ascii="宋体" w:hAnsi="宋体" w:eastAsia="宋体" w:cs="Times New Roman"/>
          <w:kern w:val="2"/>
          <w:sz w:val="21"/>
        </w:rPr>
      </w:pPr>
      <w:r>
        <w:rPr>
          <w:rFonts w:hint="eastAsia" w:ascii="宋体" w:hAnsi="宋体"/>
          <w:sz w:val="21"/>
        </w:rPr>
        <w:t xml:space="preserve">          </w:t>
      </w:r>
      <w:r>
        <w:rPr>
          <w:rFonts w:hint="eastAsia" w:ascii="宋体" w:hAnsi="宋体" w:eastAsia="宋体" w:cs="Times New Roman"/>
          <w:kern w:val="2"/>
          <w:sz w:val="21"/>
        </w:rPr>
        <w:t xml:space="preserve">是否涉及绿色产品： </w:t>
      </w:r>
    </w:p>
    <w:p>
      <w:pPr>
        <w:pStyle w:val="146"/>
        <w:ind w:firstLine="420" w:firstLineChars="0"/>
        <w:rPr>
          <w:rFonts w:ascii="宋体" w:hAnsi="宋体" w:eastAsia="宋体"/>
          <w:u w:val="single"/>
        </w:rPr>
      </w:pPr>
      <w:r>
        <w:rPr>
          <w:rFonts w:hint="eastAsia" w:ascii="宋体" w:hAnsi="宋体" w:eastAsia="宋体" w:cs="Times New Roman"/>
          <w:kern w:val="2"/>
          <w:sz w:val="21"/>
        </w:rPr>
        <w:t xml:space="preserve">     </w:t>
      </w:r>
      <w:r>
        <w:rPr>
          <w:rFonts w:hint="eastAsia" w:ascii="宋体" w:hAnsi="宋体" w:eastAsia="宋体" w:cs="Times New Roman"/>
          <w:kern w:val="2"/>
          <w:sz w:val="21"/>
        </w:rPr>
        <w:sym w:font="Wingdings" w:char="00A8"/>
      </w:r>
      <w:r>
        <w:rPr>
          <w:rFonts w:hint="eastAsia" w:ascii="宋体" w:hAnsi="宋体" w:eastAsia="宋体" w:cs="Times New Roman"/>
          <w:kern w:val="2"/>
          <w:sz w:val="21"/>
        </w:rPr>
        <w:t>是，绿色产品政府采购相关政策确定的底级品目名称：</w:t>
      </w:r>
      <w:r>
        <w:rPr>
          <w:rFonts w:hint="eastAsia" w:ascii="宋体" w:hAnsi="宋体" w:eastAsia="宋体"/>
          <w:u w:val="single"/>
        </w:rPr>
        <w:t xml:space="preserve">         </w:t>
      </w:r>
    </w:p>
    <w:p>
      <w:pPr>
        <w:numPr>
          <w:ilvl w:val="255"/>
          <w:numId w:val="0"/>
        </w:numPr>
        <w:tabs>
          <w:tab w:val="left" w:pos="740"/>
        </w:tabs>
        <w:adjustRightInd w:val="0"/>
        <w:snapToGrid w:val="0"/>
        <w:spacing w:line="400" w:lineRule="exact"/>
        <w:rPr>
          <w:rFonts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强制采购       </w:t>
      </w:r>
      <w:r>
        <w:rPr>
          <w:rFonts w:hint="eastAsia" w:ascii="宋体" w:hAnsi="宋体"/>
          <w:iCs/>
          <w:szCs w:val="21"/>
        </w:rPr>
        <w:sym w:font="Wingdings" w:char="00A8"/>
      </w:r>
      <w:r>
        <w:rPr>
          <w:rFonts w:hint="eastAsia" w:ascii="宋体" w:hAnsi="宋体"/>
          <w:iCs/>
          <w:szCs w:val="21"/>
        </w:rPr>
        <w:t xml:space="preserve">优先采购    </w:t>
      </w:r>
    </w:p>
    <w:p>
      <w:pPr>
        <w:pStyle w:val="146"/>
        <w:ind w:firstLine="420" w:firstLineChars="0"/>
        <w:rPr>
          <w:rFonts w:ascii="宋体" w:hAnsi="宋体"/>
          <w:sz w:val="21"/>
        </w:rPr>
      </w:pPr>
      <w:r>
        <w:rPr>
          <w:rFonts w:hint="eastAsia" w:ascii="宋体" w:hAnsi="宋体" w:eastAsia="宋体" w:cs="Times New Roman"/>
          <w:kern w:val="2"/>
          <w:sz w:val="21"/>
        </w:rPr>
        <w:t xml:space="preserve">     </w:t>
      </w:r>
      <w:r>
        <w:rPr>
          <w:rFonts w:hint="eastAsia" w:ascii="宋体" w:hAnsi="宋体" w:eastAsia="宋体" w:cs="Times New Roman"/>
          <w:kern w:val="2"/>
          <w:sz w:val="21"/>
        </w:rPr>
        <w:sym w:font="Wingdings" w:char="00A8"/>
      </w:r>
      <w:r>
        <w:rPr>
          <w:rFonts w:hint="eastAsia" w:ascii="宋体" w:hAnsi="宋体" w:eastAsia="宋体" w:cs="Times New Roman"/>
          <w:kern w:val="2"/>
          <w:sz w:val="21"/>
        </w:rPr>
        <w:t>否</w:t>
      </w:r>
    </w:p>
    <w:p>
      <w:pPr>
        <w:numPr>
          <w:ilvl w:val="255"/>
          <w:numId w:val="0"/>
        </w:numPr>
        <w:adjustRightInd w:val="0"/>
        <w:snapToGrid w:val="0"/>
        <w:spacing w:line="400" w:lineRule="exact"/>
        <w:rPr>
          <w:rFonts w:ascii="宋体" w:hAnsi="宋体"/>
          <w:szCs w:val="21"/>
        </w:rPr>
      </w:pPr>
      <w:r>
        <w:rPr>
          <w:rFonts w:hint="eastAsia" w:ascii="宋体" w:hAnsi="宋体"/>
          <w:szCs w:val="21"/>
        </w:rPr>
        <w:t xml:space="preserve">    （1</w:t>
      </w:r>
      <w:r>
        <w:rPr>
          <w:rFonts w:ascii="宋体" w:hAnsi="宋体"/>
          <w:szCs w:val="21"/>
        </w:rPr>
        <w:t>1</w:t>
      </w:r>
      <w:r>
        <w:rPr>
          <w:rFonts w:hint="eastAsia" w:ascii="宋体" w:hAnsi="宋体"/>
          <w:szCs w:val="21"/>
        </w:rPr>
        <w:t>）涉及商品包装和快递包装的，是否参考《商品包装政府采购需求标准（试行）》、《快递包装政府采购需求标准（试行）》明确产品及相关快递服务的具体包装要求：</w:t>
      </w:r>
    </w:p>
    <w:p>
      <w:pPr>
        <w:numPr>
          <w:ilvl w:val="255"/>
          <w:numId w:val="0"/>
        </w:numPr>
        <w:adjustRightInd w:val="0"/>
        <w:snapToGrid w:val="0"/>
        <w:spacing w:line="400" w:lineRule="exact"/>
        <w:ind w:firstLine="840" w:firstLineChars="400"/>
        <w:rPr>
          <w:rFonts w:ascii="宋体" w:hAnsi="宋体"/>
          <w:szCs w:val="21"/>
        </w:rPr>
      </w:pPr>
      <w:r>
        <w:rPr>
          <w:rFonts w:hint="eastAsia" w:ascii="宋体" w:hAnsi="宋体"/>
          <w:szCs w:val="21"/>
        </w:rPr>
        <w:sym w:font="Wingdings" w:char="00A8"/>
      </w:r>
      <w:r>
        <w:rPr>
          <w:rFonts w:hint="eastAsia" w:ascii="宋体" w:hAnsi="宋体"/>
          <w:szCs w:val="21"/>
        </w:rPr>
        <w:t xml:space="preserve">是       </w:t>
      </w:r>
      <w:r>
        <w:rPr>
          <w:rFonts w:hint="eastAsia" w:ascii="宋体" w:hAnsi="宋体"/>
          <w:szCs w:val="21"/>
        </w:rPr>
        <w:sym w:font="Wingdings" w:char="00A8"/>
      </w:r>
      <w:r>
        <w:rPr>
          <w:rFonts w:hint="eastAsia" w:ascii="宋体" w:hAnsi="宋体"/>
          <w:szCs w:val="21"/>
        </w:rPr>
        <w:t xml:space="preserve">否      </w:t>
      </w:r>
      <w:r>
        <w:rPr>
          <w:rFonts w:hint="eastAsia" w:ascii="宋体" w:hAnsi="宋体"/>
          <w:szCs w:val="21"/>
        </w:rPr>
        <w:sym w:font="Wingdings" w:char="00A8"/>
      </w:r>
      <w:r>
        <w:rPr>
          <w:rFonts w:hint="eastAsia" w:ascii="宋体" w:hAnsi="宋体"/>
          <w:szCs w:val="21"/>
        </w:rPr>
        <w:t>不涉及</w:t>
      </w:r>
    </w:p>
    <w:p>
      <w:pPr>
        <w:numPr>
          <w:ilvl w:val="0"/>
          <w:numId w:val="15"/>
        </w:numPr>
        <w:adjustRightInd w:val="0"/>
        <w:snapToGrid w:val="0"/>
        <w:spacing w:line="400" w:lineRule="exact"/>
        <w:ind w:firstLine="422" w:firstLineChars="200"/>
        <w:rPr>
          <w:rFonts w:ascii="宋体" w:hAnsi="宋体"/>
          <w:b/>
          <w:szCs w:val="21"/>
        </w:rPr>
      </w:pPr>
      <w:r>
        <w:rPr>
          <w:rFonts w:hint="eastAsia" w:ascii="宋体" w:hAnsi="宋体"/>
          <w:b/>
          <w:szCs w:val="21"/>
        </w:rPr>
        <w:t>合同金额</w:t>
      </w:r>
    </w:p>
    <w:p>
      <w:pPr>
        <w:adjustRightInd w:val="0"/>
        <w:snapToGrid w:val="0"/>
        <w:spacing w:line="400" w:lineRule="exact"/>
        <w:ind w:firstLine="420" w:firstLineChars="200"/>
        <w:rPr>
          <w:rFonts w:ascii="宋体" w:hAnsi="宋体"/>
          <w:szCs w:val="21"/>
        </w:rPr>
      </w:pPr>
      <w:r>
        <w:rPr>
          <w:rFonts w:hint="eastAsia" w:ascii="宋体" w:hAnsi="宋体"/>
          <w:szCs w:val="21"/>
        </w:rPr>
        <w:t>（1）合同金额小写：</w:t>
      </w:r>
      <w:r>
        <w:rPr>
          <w:rFonts w:hint="eastAsia" w:ascii="宋体" w:hAnsi="宋体"/>
          <w:szCs w:val="21"/>
          <w:u w:val="single"/>
        </w:rPr>
        <w:t xml:space="preserve">                           </w:t>
      </w:r>
    </w:p>
    <w:p>
      <w:pPr>
        <w:adjustRightInd w:val="0"/>
        <w:snapToGrid w:val="0"/>
        <w:spacing w:line="400" w:lineRule="exact"/>
        <w:rPr>
          <w:rFonts w:ascii="宋体" w:hAnsi="宋体"/>
          <w:szCs w:val="21"/>
          <w:u w:val="single"/>
        </w:rPr>
      </w:pPr>
      <w:r>
        <w:rPr>
          <w:rFonts w:hint="eastAsia" w:ascii="宋体" w:hAnsi="宋体"/>
          <w:szCs w:val="21"/>
        </w:rPr>
        <w:t xml:space="preserve">                 大写：</w:t>
      </w:r>
      <w:r>
        <w:rPr>
          <w:rFonts w:hint="eastAsia" w:ascii="宋体" w:hAnsi="宋体"/>
          <w:szCs w:val="21"/>
          <w:u w:val="single"/>
        </w:rPr>
        <w:t xml:space="preserve">                           </w:t>
      </w:r>
    </w:p>
    <w:p>
      <w:pPr>
        <w:adjustRightInd w:val="0"/>
        <w:snapToGrid w:val="0"/>
        <w:spacing w:line="400" w:lineRule="exact"/>
        <w:rPr>
          <w:rFonts w:ascii="宋体" w:hAnsi="宋体"/>
          <w:szCs w:val="21"/>
        </w:rPr>
      </w:pPr>
      <w:r>
        <w:rPr>
          <w:rFonts w:hint="eastAsia" w:ascii="宋体" w:hAnsi="宋体"/>
          <w:szCs w:val="21"/>
        </w:rPr>
        <w:t xml:space="preserve">         分包金额（如有）小写：</w:t>
      </w:r>
      <w:r>
        <w:rPr>
          <w:rFonts w:hint="eastAsia" w:ascii="宋体" w:hAnsi="宋体"/>
          <w:szCs w:val="21"/>
          <w:u w:val="single"/>
        </w:rPr>
        <w:t xml:space="preserve">                   </w:t>
      </w:r>
    </w:p>
    <w:p>
      <w:pPr>
        <w:adjustRightInd w:val="0"/>
        <w:snapToGrid w:val="0"/>
        <w:spacing w:line="400" w:lineRule="exact"/>
        <w:rPr>
          <w:rFonts w:ascii="宋体" w:hAnsi="宋体"/>
          <w:szCs w:val="21"/>
          <w:u w:val="single"/>
        </w:rPr>
      </w:pPr>
      <w:r>
        <w:rPr>
          <w:rFonts w:hint="eastAsia" w:ascii="宋体" w:hAnsi="宋体"/>
          <w:szCs w:val="21"/>
        </w:rPr>
        <w:t xml:space="preserve">                     大写：</w:t>
      </w:r>
      <w:r>
        <w:rPr>
          <w:rFonts w:hint="eastAsia" w:ascii="宋体" w:hAnsi="宋体"/>
          <w:szCs w:val="21"/>
          <w:u w:val="single"/>
        </w:rPr>
        <w:t xml:space="preserve">                       </w:t>
      </w:r>
    </w:p>
    <w:p>
      <w:pPr>
        <w:adjustRightInd w:val="0"/>
        <w:snapToGrid w:val="0"/>
        <w:spacing w:line="400" w:lineRule="exact"/>
        <w:rPr>
          <w:rFonts w:ascii="宋体" w:hAnsi="宋体"/>
          <w:szCs w:val="21"/>
        </w:rPr>
      </w:pPr>
      <w:r>
        <w:rPr>
          <w:rFonts w:hint="eastAsia" w:ascii="宋体" w:hAnsi="宋体"/>
          <w:szCs w:val="21"/>
        </w:rPr>
        <w:t xml:space="preserve">    （注：固定单价合同应填写单价和最高限价）</w:t>
      </w:r>
    </w:p>
    <w:p>
      <w:pPr>
        <w:numPr>
          <w:ilvl w:val="255"/>
          <w:numId w:val="0"/>
        </w:numPr>
        <w:adjustRightInd w:val="0"/>
        <w:snapToGrid w:val="0"/>
        <w:spacing w:line="400" w:lineRule="exact"/>
        <w:rPr>
          <w:rFonts w:ascii="宋体" w:hAnsi="宋体"/>
          <w:szCs w:val="21"/>
        </w:rPr>
      </w:pPr>
      <w:r>
        <w:rPr>
          <w:rFonts w:hint="eastAsia" w:ascii="宋体" w:hAnsi="宋体"/>
          <w:szCs w:val="21"/>
        </w:rPr>
        <w:t xml:space="preserve">    （2）合同定价方式（采用组合定价方式的，可以勾选多项）：</w:t>
      </w:r>
    </w:p>
    <w:p>
      <w:pPr>
        <w:adjustRightInd w:val="0"/>
        <w:snapToGrid w:val="0"/>
        <w:spacing w:line="400" w:lineRule="exact"/>
        <w:ind w:firstLine="420" w:firstLineChars="200"/>
        <w:rPr>
          <w:rFonts w:ascii="宋体" w:hAnsi="宋体"/>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固定费率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 xml:space="preserve">绩效激励 </w:t>
      </w:r>
      <w:r>
        <w:rPr>
          <w:rFonts w:hint="eastAsia" w:ascii="宋体" w:hAnsi="宋体"/>
          <w:iCs/>
          <w:szCs w:val="21"/>
        </w:rPr>
        <w:sym w:font="Wingdings" w:char="00A8"/>
      </w:r>
      <w:r>
        <w:rPr>
          <w:rFonts w:hint="eastAsia" w:ascii="宋体" w:hAnsi="宋体"/>
          <w:iCs/>
          <w:szCs w:val="21"/>
        </w:rPr>
        <w:t>其他</w:t>
      </w:r>
      <w:r>
        <w:rPr>
          <w:rFonts w:hint="eastAsia" w:ascii="宋体" w:hAnsi="宋体"/>
          <w:szCs w:val="21"/>
          <w:u w:val="single"/>
        </w:rPr>
        <w:t xml:space="preserve">       </w:t>
      </w:r>
    </w:p>
    <w:p>
      <w:pPr>
        <w:pStyle w:val="96"/>
        <w:spacing w:line="400" w:lineRule="exact"/>
      </w:pPr>
      <w:r>
        <w:rPr>
          <w:rFonts w:hint="eastAsia" w:ascii="宋体" w:hAnsi="宋体"/>
        </w:rPr>
        <w:t>（3）付款方式（按项目实际勾选填写）：</w:t>
      </w:r>
    </w:p>
    <w:p>
      <w:pPr>
        <w:adjustRightInd w:val="0"/>
        <w:snapToGrid w:val="0"/>
        <w:spacing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（应明确一次性支付合同款项的条件）                    </w:t>
      </w:r>
    </w:p>
    <w:p>
      <w:pPr>
        <w:snapToGrid w:val="0"/>
        <w:spacing w:line="400" w:lineRule="exact"/>
        <w:ind w:firstLine="630" w:firstLineChars="300"/>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（应明确分期支付合同款项的各期比例和支付条件，各期支付条件应与分期履约验收情况挂钩） </w:t>
      </w:r>
      <w:r>
        <w:rPr>
          <w:rFonts w:hint="eastAsia" w:ascii="宋体" w:hAnsi="宋体"/>
          <w:szCs w:val="21"/>
        </w:rPr>
        <w:t>，其中涉及预付款的：</w:t>
      </w:r>
      <w:r>
        <w:rPr>
          <w:rFonts w:hint="eastAsia" w:ascii="宋体" w:hAnsi="宋体"/>
          <w:szCs w:val="21"/>
          <w:u w:val="single"/>
        </w:rPr>
        <w:t xml:space="preserve"> （应明确预付款的支付比例和支付条件） </w:t>
      </w:r>
    </w:p>
    <w:p>
      <w:pPr>
        <w:adjustRightInd w:val="0"/>
        <w:snapToGrid w:val="0"/>
        <w:spacing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pPr>
        <w:adjustRightInd w:val="0"/>
        <w:snapToGrid w:val="0"/>
        <w:spacing w:line="400" w:lineRule="exact"/>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pPr>
        <w:numPr>
          <w:ilvl w:val="0"/>
          <w:numId w:val="15"/>
        </w:numPr>
        <w:adjustRightInd w:val="0"/>
        <w:snapToGrid w:val="0"/>
        <w:spacing w:line="400" w:lineRule="exact"/>
        <w:ind w:firstLine="422" w:firstLineChars="200"/>
        <w:rPr>
          <w:rFonts w:ascii="宋体" w:hAnsi="宋体"/>
          <w:b/>
          <w:szCs w:val="21"/>
          <w:u w:val="single"/>
        </w:rPr>
      </w:pPr>
      <w:r>
        <w:rPr>
          <w:rFonts w:hint="eastAsia" w:ascii="宋体" w:hAnsi="宋体"/>
          <w:b/>
          <w:szCs w:val="21"/>
        </w:rPr>
        <w:t>合同履行</w:t>
      </w:r>
    </w:p>
    <w:p>
      <w:pPr>
        <w:adjustRightInd w:val="0"/>
        <w:snapToGrid w:val="0"/>
        <w:spacing w:line="400" w:lineRule="exact"/>
        <w:ind w:firstLine="420" w:firstLineChars="200"/>
        <w:rPr>
          <w:rFonts w:ascii="宋体" w:hAnsi="宋体" w:cs="宋体"/>
          <w:szCs w:val="21"/>
        </w:rPr>
      </w:pPr>
      <w:r>
        <w:rPr>
          <w:rFonts w:hint="eastAsia" w:ascii="宋体" w:hAnsi="宋体" w:cs="宋体"/>
          <w:szCs w:val="21"/>
        </w:rPr>
        <w:t>（1）起始日期：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日，完成日期：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pPr>
        <w:adjustRightInd w:val="0"/>
        <w:snapToGrid w:val="0"/>
        <w:spacing w:line="400" w:lineRule="exact"/>
        <w:ind w:firstLine="420" w:firstLineChars="200"/>
        <w:rPr>
          <w:rFonts w:ascii="宋体" w:hAnsi="宋体" w:cs="宋体"/>
          <w:szCs w:val="21"/>
          <w:u w:val="single"/>
        </w:rPr>
      </w:pPr>
      <w:r>
        <w:rPr>
          <w:rFonts w:hint="eastAsia" w:ascii="宋体" w:hAnsi="宋体" w:cs="宋体"/>
          <w:szCs w:val="21"/>
        </w:rPr>
        <w:t>（2）履约地点</w:t>
      </w:r>
      <w:r>
        <w:rPr>
          <w:rFonts w:hint="eastAsia" w:ascii="宋体" w:hAnsi="宋体" w:cs="宋体"/>
          <w:bCs/>
          <w:szCs w:val="21"/>
        </w:rPr>
        <w:t>：</w:t>
      </w:r>
      <w:r>
        <w:rPr>
          <w:rFonts w:hint="eastAsia" w:ascii="宋体" w:hAnsi="宋体" w:cs="宋体"/>
          <w:szCs w:val="21"/>
          <w:u w:val="single"/>
        </w:rPr>
        <w:t xml:space="preserve">                             </w:t>
      </w:r>
    </w:p>
    <w:p>
      <w:pPr>
        <w:adjustRightInd w:val="0"/>
        <w:snapToGrid w:val="0"/>
        <w:spacing w:line="400" w:lineRule="exact"/>
        <w:ind w:firstLine="420" w:firstLineChars="200"/>
        <w:rPr>
          <w:rFonts w:ascii="宋体" w:hAnsi="宋体" w:cs="宋体"/>
          <w:szCs w:val="21"/>
        </w:rPr>
      </w:pPr>
      <w:r>
        <w:rPr>
          <w:rFonts w:hint="eastAsia" w:ascii="宋体" w:hAnsi="宋体" w:cs="宋体"/>
          <w:bCs/>
          <w:szCs w:val="21"/>
        </w:rPr>
        <w:t>（3）履约担保：</w:t>
      </w:r>
      <w:r>
        <w:rPr>
          <w:rFonts w:hint="eastAsia" w:ascii="宋体" w:hAnsi="宋体" w:cs="宋体"/>
        </w:rPr>
        <w:t>是否收取履约保证金：</w:t>
      </w:r>
      <w:r>
        <w:rPr>
          <w:rFonts w:hint="eastAsia" w:ascii="宋体" w:hAnsi="宋体" w:cs="宋体"/>
          <w:szCs w:val="21"/>
        </w:rPr>
        <w:sym w:font="Wingdings" w:char="00A8"/>
      </w:r>
      <w:r>
        <w:rPr>
          <w:rFonts w:hint="eastAsia" w:ascii="宋体" w:hAnsi="宋体" w:cs="宋体"/>
          <w:szCs w:val="21"/>
        </w:rPr>
        <w:t xml:space="preserve">是    </w:t>
      </w:r>
      <w:r>
        <w:rPr>
          <w:rFonts w:hint="eastAsia" w:ascii="宋体" w:hAnsi="宋体" w:cs="宋体"/>
          <w:szCs w:val="21"/>
        </w:rPr>
        <w:sym w:font="Wingdings" w:char="00A8"/>
      </w:r>
      <w:r>
        <w:rPr>
          <w:rFonts w:hint="eastAsia" w:ascii="宋体" w:hAnsi="宋体" w:cs="宋体"/>
          <w:szCs w:val="21"/>
        </w:rPr>
        <w:t>否</w:t>
      </w:r>
    </w:p>
    <w:p>
      <w:pPr>
        <w:pStyle w:val="146"/>
        <w:rPr>
          <w:rFonts w:ascii="宋体" w:hAnsi="宋体" w:eastAsia="宋体" w:cs="宋体"/>
          <w:sz w:val="21"/>
        </w:rPr>
      </w:pPr>
      <w:r>
        <w:rPr>
          <w:rFonts w:hint="eastAsia" w:ascii="宋体" w:hAnsi="宋体" w:cs="宋体"/>
          <w:bCs/>
        </w:rPr>
        <w:t xml:space="preserve">  </w:t>
      </w:r>
      <w:r>
        <w:rPr>
          <w:rFonts w:hint="eastAsia" w:ascii="宋体" w:hAnsi="宋体" w:eastAsia="宋体" w:cs="宋体"/>
          <w:sz w:val="21"/>
        </w:rPr>
        <w:t xml:space="preserve">  收取履约保证金形式：</w:t>
      </w:r>
      <w:r>
        <w:rPr>
          <w:rFonts w:hint="eastAsia" w:ascii="宋体" w:hAnsi="宋体" w:eastAsia="宋体" w:cs="宋体"/>
          <w:bCs/>
          <w:sz w:val="21"/>
          <w:u w:val="single"/>
        </w:rPr>
        <w:t xml:space="preserve">                            </w:t>
      </w:r>
    </w:p>
    <w:p>
      <w:pPr>
        <w:pStyle w:val="146"/>
        <w:ind w:firstLine="420"/>
        <w:rPr>
          <w:rFonts w:ascii="宋体" w:hAnsi="宋体" w:eastAsia="宋体" w:cs="宋体"/>
          <w:sz w:val="21"/>
        </w:rPr>
      </w:pPr>
      <w:r>
        <w:rPr>
          <w:rFonts w:hint="eastAsia" w:ascii="宋体" w:hAnsi="宋体" w:eastAsia="宋体" w:cs="宋体"/>
          <w:sz w:val="21"/>
        </w:rPr>
        <w:t xml:space="preserve">    收取履约保证金金额：</w:t>
      </w:r>
      <w:r>
        <w:rPr>
          <w:rFonts w:hint="eastAsia" w:ascii="宋体" w:hAnsi="宋体" w:eastAsia="宋体" w:cs="宋体"/>
          <w:bCs/>
          <w:sz w:val="21"/>
          <w:u w:val="single"/>
        </w:rPr>
        <w:t xml:space="preserve">                            </w:t>
      </w:r>
    </w:p>
    <w:p>
      <w:pPr>
        <w:snapToGrid w:val="0"/>
        <w:spacing w:line="400" w:lineRule="exact"/>
        <w:ind w:firstLine="420" w:firstLineChars="200"/>
        <w:rPr>
          <w:rFonts w:ascii="宋体" w:hAnsi="宋体" w:cs="宋体"/>
        </w:rPr>
      </w:pPr>
      <w:r>
        <w:rPr>
          <w:rFonts w:hint="eastAsia" w:ascii="宋体" w:hAnsi="宋体" w:cs="宋体"/>
          <w:bCs/>
          <w:szCs w:val="21"/>
        </w:rPr>
        <w:t xml:space="preserve">    履约担保期限：</w:t>
      </w:r>
      <w:r>
        <w:rPr>
          <w:rFonts w:hint="eastAsia" w:ascii="宋体" w:hAnsi="宋体" w:cs="宋体"/>
          <w:bCs/>
          <w:szCs w:val="21"/>
          <w:u w:val="single"/>
        </w:rPr>
        <w:t xml:space="preserve">                                  </w:t>
      </w:r>
    </w:p>
    <w:p>
      <w:pPr>
        <w:adjustRightInd w:val="0"/>
        <w:snapToGrid w:val="0"/>
        <w:spacing w:line="400" w:lineRule="exact"/>
        <w:ind w:firstLine="420" w:firstLineChars="200"/>
        <w:rPr>
          <w:rFonts w:ascii="宋体" w:hAnsi="宋体" w:cs="宋体"/>
          <w:bCs/>
          <w:szCs w:val="21"/>
        </w:rPr>
      </w:pPr>
      <w:r>
        <w:rPr>
          <w:rFonts w:hint="eastAsia" w:ascii="宋体" w:hAnsi="宋体" w:cs="宋体"/>
          <w:bCs/>
          <w:szCs w:val="21"/>
        </w:rPr>
        <w:t>（4）分期履行要求：</w:t>
      </w:r>
      <w:r>
        <w:rPr>
          <w:rFonts w:hint="eastAsia" w:ascii="宋体" w:hAnsi="宋体" w:cs="宋体"/>
          <w:bCs/>
          <w:szCs w:val="21"/>
          <w:u w:val="single"/>
        </w:rPr>
        <w:t xml:space="preserve">                                                        </w:t>
      </w:r>
    </w:p>
    <w:p>
      <w:pPr>
        <w:adjustRightInd w:val="0"/>
        <w:snapToGrid w:val="0"/>
        <w:spacing w:line="400" w:lineRule="exact"/>
        <w:ind w:firstLine="420" w:firstLineChars="200"/>
        <w:rPr>
          <w:rFonts w:ascii="宋体" w:hAnsi="宋体" w:cs="宋体"/>
          <w:szCs w:val="21"/>
          <w:u w:val="single"/>
        </w:rPr>
      </w:pPr>
      <w:r>
        <w:rPr>
          <w:rFonts w:hint="eastAsia" w:ascii="宋体" w:hAnsi="宋体" w:cs="宋体"/>
          <w:bCs/>
          <w:szCs w:val="21"/>
        </w:rPr>
        <w:t>（5）风险处置措施和替代方案：</w:t>
      </w:r>
      <w:r>
        <w:rPr>
          <w:rFonts w:hint="eastAsia" w:ascii="宋体" w:hAnsi="宋体" w:cs="宋体"/>
          <w:szCs w:val="21"/>
          <w:u w:val="single"/>
        </w:rPr>
        <w:t xml:space="preserve">                                                               </w:t>
      </w:r>
    </w:p>
    <w:p>
      <w:pPr>
        <w:numPr>
          <w:ilvl w:val="0"/>
          <w:numId w:val="15"/>
        </w:numPr>
        <w:adjustRightInd w:val="0"/>
        <w:snapToGrid w:val="0"/>
        <w:spacing w:line="400" w:lineRule="exact"/>
        <w:ind w:firstLine="422" w:firstLineChars="200"/>
        <w:rPr>
          <w:rFonts w:ascii="宋体" w:hAnsi="宋体"/>
          <w:b/>
          <w:szCs w:val="21"/>
        </w:rPr>
      </w:pPr>
      <w:r>
        <w:rPr>
          <w:rFonts w:hint="eastAsia" w:ascii="宋体" w:hAnsi="宋体"/>
          <w:b/>
          <w:szCs w:val="21"/>
        </w:rPr>
        <w:t>合同验收</w:t>
      </w:r>
    </w:p>
    <w:p>
      <w:pPr>
        <w:numPr>
          <w:ilvl w:val="0"/>
          <w:numId w:val="17"/>
        </w:numPr>
        <w:adjustRightInd w:val="0"/>
        <w:snapToGrid w:val="0"/>
        <w:spacing w:line="400" w:lineRule="exact"/>
        <w:ind w:firstLine="420" w:firstLineChars="200"/>
        <w:rPr>
          <w:rFonts w:ascii="宋体" w:hAnsi="宋体"/>
          <w:bCs/>
          <w:szCs w:val="21"/>
        </w:rPr>
      </w:pPr>
      <w:r>
        <w:rPr>
          <w:rFonts w:hint="eastAsia" w:ascii="宋体" w:hAnsi="宋体"/>
          <w:bCs/>
          <w:szCs w:val="21"/>
        </w:rPr>
        <w:t>验收组织方式：</w:t>
      </w:r>
      <w:r>
        <w:rPr>
          <w:rFonts w:hint="eastAsia" w:ascii="宋体" w:hAnsi="宋体" w:cs="宋体"/>
          <w:szCs w:val="21"/>
        </w:rPr>
        <w:sym w:font="Wingdings" w:char="00A8"/>
      </w:r>
      <w:r>
        <w:rPr>
          <w:rFonts w:hint="eastAsia" w:ascii="宋体" w:hAnsi="宋体"/>
          <w:bCs/>
          <w:szCs w:val="21"/>
        </w:rPr>
        <w:t xml:space="preserve">自行组织 </w:t>
      </w:r>
      <w:r>
        <w:rPr>
          <w:rFonts w:hint="eastAsia" w:ascii="宋体" w:hAnsi="宋体" w:cs="宋体"/>
          <w:szCs w:val="21"/>
        </w:rPr>
        <w:sym w:font="Wingdings" w:char="00A8"/>
      </w:r>
      <w:r>
        <w:rPr>
          <w:rFonts w:hint="eastAsia" w:ascii="宋体" w:hAnsi="宋体"/>
          <w:bCs/>
          <w:szCs w:val="21"/>
        </w:rPr>
        <w:t>委托第三方组织</w:t>
      </w:r>
    </w:p>
    <w:p>
      <w:pPr>
        <w:adjustRightInd w:val="0"/>
        <w:snapToGrid w:val="0"/>
        <w:spacing w:line="400" w:lineRule="exact"/>
        <w:rPr>
          <w:rFonts w:ascii="宋体" w:hAnsi="宋体"/>
          <w:bCs/>
          <w:szCs w:val="21"/>
        </w:rPr>
      </w:pPr>
      <w:r>
        <w:rPr>
          <w:rFonts w:hint="eastAsia" w:ascii="宋体" w:hAnsi="宋体"/>
          <w:bCs/>
          <w:szCs w:val="21"/>
        </w:rPr>
        <w:t xml:space="preserve">         验收主体：</w:t>
      </w:r>
      <w:r>
        <w:rPr>
          <w:rFonts w:hint="eastAsia" w:ascii="宋体" w:hAnsi="宋体"/>
          <w:bCs/>
          <w:szCs w:val="21"/>
          <w:u w:val="single"/>
        </w:rPr>
        <w:t xml:space="preserve">                  </w:t>
      </w:r>
    </w:p>
    <w:p>
      <w:pPr>
        <w:adjustRightInd w:val="0"/>
        <w:snapToGrid w:val="0"/>
        <w:spacing w:line="400" w:lineRule="exact"/>
        <w:rPr>
          <w:rFonts w:ascii="宋体" w:hAnsi="宋体"/>
          <w:bCs/>
          <w:szCs w:val="21"/>
        </w:rPr>
      </w:pPr>
      <w:r>
        <w:rPr>
          <w:rFonts w:hint="eastAsia" w:ascii="宋体" w:hAnsi="宋体"/>
          <w:bCs/>
          <w:szCs w:val="21"/>
        </w:rPr>
        <w:t xml:space="preserve">        是否邀请本项目的其他供应商参加验收：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pPr>
        <w:adjustRightInd w:val="0"/>
        <w:snapToGrid w:val="0"/>
        <w:spacing w:line="400" w:lineRule="exact"/>
        <w:ind w:firstLine="840" w:firstLineChars="400"/>
        <w:rPr>
          <w:rFonts w:ascii="宋体" w:hAnsi="宋体"/>
          <w:bCs/>
          <w:szCs w:val="21"/>
        </w:rPr>
      </w:pPr>
      <w:r>
        <w:rPr>
          <w:rFonts w:hint="eastAsia" w:ascii="宋体" w:hAnsi="宋体"/>
          <w:bCs/>
          <w:szCs w:val="21"/>
        </w:rPr>
        <w:t>是否邀请专家参加验收：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pPr>
        <w:adjustRightInd w:val="0"/>
        <w:snapToGrid w:val="0"/>
        <w:spacing w:line="400" w:lineRule="exact"/>
        <w:ind w:firstLine="840" w:firstLineChars="400"/>
        <w:rPr>
          <w:rFonts w:ascii="宋体" w:hAnsi="宋体"/>
          <w:bCs/>
          <w:szCs w:val="21"/>
        </w:rPr>
      </w:pPr>
      <w:r>
        <w:rPr>
          <w:rFonts w:hint="eastAsia" w:ascii="宋体" w:hAnsi="宋体"/>
          <w:bCs/>
          <w:szCs w:val="21"/>
        </w:rPr>
        <w:t>是否邀请服务对象参加验收：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pPr>
        <w:adjustRightInd w:val="0"/>
        <w:snapToGrid w:val="0"/>
        <w:spacing w:line="400" w:lineRule="exact"/>
        <w:ind w:firstLine="840" w:firstLineChars="400"/>
        <w:rPr>
          <w:rFonts w:ascii="宋体" w:hAnsi="宋体"/>
          <w:bCs/>
          <w:szCs w:val="21"/>
        </w:rPr>
      </w:pPr>
      <w:r>
        <w:rPr>
          <w:rFonts w:hint="eastAsia" w:ascii="宋体" w:hAnsi="宋体"/>
          <w:bCs/>
          <w:szCs w:val="21"/>
        </w:rPr>
        <w:t>是否邀请第三方检测机构参加验收：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pPr>
        <w:adjustRightInd w:val="0"/>
        <w:snapToGrid w:val="0"/>
        <w:spacing w:line="400" w:lineRule="exact"/>
        <w:ind w:firstLine="840" w:firstLineChars="400"/>
        <w:rPr>
          <w:rFonts w:ascii="宋体" w:hAnsi="宋体"/>
          <w:bCs/>
          <w:szCs w:val="21"/>
        </w:rPr>
      </w:pPr>
      <w:r>
        <w:rPr>
          <w:rFonts w:hint="eastAsia" w:ascii="宋体" w:hAnsi="宋体"/>
          <w:bCs/>
          <w:szCs w:val="21"/>
        </w:rPr>
        <w:t>是否进行抽查检测：</w:t>
      </w:r>
      <w:r>
        <w:rPr>
          <w:rFonts w:hint="eastAsia" w:ascii="宋体" w:hAnsi="宋体" w:cs="宋体"/>
          <w:szCs w:val="21"/>
        </w:rPr>
        <w:sym w:font="Wingdings" w:char="00A8"/>
      </w:r>
      <w:r>
        <w:rPr>
          <w:rFonts w:hint="eastAsia" w:ascii="宋体" w:hAnsi="宋体"/>
          <w:bCs/>
          <w:szCs w:val="21"/>
        </w:rPr>
        <w:t>是，抽查比例：</w:t>
      </w:r>
      <w:r>
        <w:rPr>
          <w:rFonts w:hint="eastAsia" w:ascii="宋体" w:hAnsi="宋体"/>
          <w:bCs/>
          <w:szCs w:val="21"/>
          <w:u w:val="single"/>
        </w:rPr>
        <w:t xml:space="preserve">        </w:t>
      </w:r>
      <w:r>
        <w:rPr>
          <w:rFonts w:hint="eastAsia" w:ascii="宋体" w:hAnsi="宋体"/>
          <w:bCs/>
          <w:szCs w:val="21"/>
        </w:rPr>
        <w:t xml:space="preserve"> </w:t>
      </w:r>
      <w:r>
        <w:rPr>
          <w:rFonts w:hint="eastAsia" w:ascii="宋体" w:hAnsi="宋体" w:cs="宋体"/>
          <w:szCs w:val="21"/>
        </w:rPr>
        <w:sym w:font="Wingdings" w:char="00A8"/>
      </w:r>
      <w:r>
        <w:rPr>
          <w:rFonts w:hint="eastAsia" w:ascii="宋体" w:hAnsi="宋体"/>
          <w:bCs/>
          <w:szCs w:val="21"/>
        </w:rPr>
        <w:t>否</w:t>
      </w:r>
    </w:p>
    <w:p>
      <w:pPr>
        <w:adjustRightInd w:val="0"/>
        <w:snapToGrid w:val="0"/>
        <w:spacing w:line="400" w:lineRule="exact"/>
        <w:ind w:firstLine="840" w:firstLineChars="400"/>
        <w:rPr>
          <w:rFonts w:ascii="宋体" w:hAnsi="宋体"/>
          <w:bCs/>
          <w:szCs w:val="21"/>
          <w:u w:val="single"/>
        </w:rPr>
      </w:pPr>
      <w:r>
        <w:rPr>
          <w:rFonts w:hint="eastAsia" w:ascii="宋体" w:hAnsi="宋体"/>
          <w:bCs/>
          <w:szCs w:val="21"/>
        </w:rPr>
        <w:t>是否存在破坏性检测：</w:t>
      </w:r>
      <w:r>
        <w:rPr>
          <w:rFonts w:hint="eastAsia" w:ascii="宋体" w:hAnsi="宋体" w:cs="宋体"/>
          <w:szCs w:val="21"/>
        </w:rPr>
        <w:sym w:font="Wingdings" w:char="00A8"/>
      </w:r>
      <w:r>
        <w:rPr>
          <w:rFonts w:hint="eastAsia" w:ascii="宋体" w:hAnsi="宋体"/>
          <w:bCs/>
          <w:szCs w:val="21"/>
        </w:rPr>
        <w:t>是，</w:t>
      </w:r>
      <w:r>
        <w:rPr>
          <w:rFonts w:hint="eastAsia" w:ascii="宋体" w:hAnsi="宋体"/>
          <w:bCs/>
          <w:szCs w:val="21"/>
          <w:u w:val="single"/>
        </w:rPr>
        <w:t>（应明确对被破坏的检测产品的处理方式）</w:t>
      </w:r>
    </w:p>
    <w:p>
      <w:pPr>
        <w:adjustRightInd w:val="0"/>
        <w:snapToGrid w:val="0"/>
        <w:spacing w:line="400" w:lineRule="exact"/>
        <w:ind w:firstLine="840" w:firstLineChars="400"/>
        <w:rPr>
          <w:rFonts w:ascii="宋体" w:hAnsi="宋体"/>
          <w:bCs/>
          <w:szCs w:val="21"/>
        </w:rPr>
      </w:pPr>
      <w:r>
        <w:rPr>
          <w:rFonts w:hint="eastAsia" w:ascii="宋体" w:hAnsi="宋体"/>
          <w:bCs/>
          <w:szCs w:val="21"/>
        </w:rPr>
        <w:t xml:space="preserve">                    </w:t>
      </w:r>
      <w:r>
        <w:rPr>
          <w:rFonts w:hint="eastAsia" w:ascii="宋体" w:hAnsi="宋体" w:cs="宋体"/>
          <w:szCs w:val="21"/>
        </w:rPr>
        <w:sym w:font="Wingdings" w:char="00A8"/>
      </w:r>
      <w:r>
        <w:rPr>
          <w:rFonts w:hint="eastAsia" w:ascii="宋体" w:hAnsi="宋体"/>
          <w:bCs/>
          <w:szCs w:val="21"/>
        </w:rPr>
        <w:t>否</w:t>
      </w:r>
    </w:p>
    <w:p>
      <w:pPr>
        <w:adjustRightInd w:val="0"/>
        <w:snapToGrid w:val="0"/>
        <w:spacing w:line="400" w:lineRule="exact"/>
        <w:ind w:firstLine="840" w:firstLineChars="400"/>
        <w:rPr>
          <w:rFonts w:ascii="宋体" w:hAnsi="宋体"/>
          <w:bCs/>
          <w:szCs w:val="21"/>
          <w:u w:val="single"/>
        </w:rPr>
      </w:pPr>
      <w:r>
        <w:rPr>
          <w:rFonts w:hint="eastAsia" w:ascii="宋体" w:hAnsi="宋体"/>
          <w:bCs/>
          <w:szCs w:val="21"/>
        </w:rPr>
        <w:t>验收组织的其他事项：</w:t>
      </w:r>
      <w:r>
        <w:rPr>
          <w:rFonts w:hint="eastAsia" w:ascii="宋体" w:hAnsi="宋体"/>
          <w:bCs/>
          <w:szCs w:val="21"/>
          <w:u w:val="single"/>
        </w:rPr>
        <w:t xml:space="preserve">                </w:t>
      </w:r>
    </w:p>
    <w:p>
      <w:pPr>
        <w:adjustRightInd w:val="0"/>
        <w:snapToGrid w:val="0"/>
        <w:spacing w:line="400" w:lineRule="exact"/>
        <w:ind w:firstLine="420" w:firstLineChars="200"/>
        <w:rPr>
          <w:rFonts w:ascii="宋体" w:hAnsi="宋体"/>
          <w:bCs/>
          <w:szCs w:val="21"/>
          <w:u w:val="single"/>
        </w:rPr>
      </w:pPr>
      <w:r>
        <w:rPr>
          <w:rFonts w:hint="eastAsia" w:ascii="宋体" w:hAnsi="宋体"/>
          <w:bCs/>
          <w:szCs w:val="21"/>
        </w:rPr>
        <w:t>（2）履约验收时间：</w:t>
      </w:r>
      <w:r>
        <w:rPr>
          <w:rFonts w:hint="eastAsia" w:ascii="宋体" w:hAnsi="宋体"/>
          <w:bCs/>
          <w:szCs w:val="21"/>
          <w:u w:val="single"/>
        </w:rPr>
        <w:t xml:space="preserve">（计划于何时验收/供应商提出验收申请之日起   日内组织验收） </w:t>
      </w:r>
    </w:p>
    <w:p>
      <w:pPr>
        <w:adjustRightInd w:val="0"/>
        <w:snapToGrid w:val="0"/>
        <w:spacing w:line="400" w:lineRule="exact"/>
        <w:ind w:firstLine="420" w:firstLineChars="200"/>
        <w:rPr>
          <w:rFonts w:ascii="宋体" w:hAnsi="宋体"/>
          <w:bCs/>
          <w:szCs w:val="21"/>
        </w:rPr>
      </w:pPr>
      <w:r>
        <w:rPr>
          <w:rFonts w:hint="eastAsia" w:ascii="宋体" w:hAnsi="宋体"/>
          <w:bCs/>
          <w:szCs w:val="21"/>
        </w:rPr>
        <w:t>（3）履约验收方式：</w:t>
      </w:r>
      <w:r>
        <w:rPr>
          <w:rFonts w:hint="eastAsia" w:ascii="宋体" w:hAnsi="宋体" w:cs="宋体"/>
          <w:szCs w:val="21"/>
        </w:rPr>
        <w:sym w:font="Wingdings" w:char="00A8"/>
      </w:r>
      <w:r>
        <w:rPr>
          <w:rFonts w:hint="eastAsia" w:ascii="宋体" w:hAnsi="宋体"/>
          <w:bCs/>
          <w:szCs w:val="21"/>
        </w:rPr>
        <w:t xml:space="preserve">一次性验收         </w:t>
      </w:r>
    </w:p>
    <w:p>
      <w:pPr>
        <w:adjustRightInd w:val="0"/>
        <w:snapToGrid w:val="0"/>
        <w:spacing w:line="400" w:lineRule="exact"/>
        <w:rPr>
          <w:rFonts w:ascii="宋体" w:hAnsi="宋体"/>
          <w:bCs/>
          <w:szCs w:val="21"/>
        </w:rPr>
      </w:pPr>
      <w:r>
        <w:rPr>
          <w:rFonts w:hint="eastAsia" w:ascii="宋体" w:hAnsi="宋体"/>
          <w:bCs/>
          <w:szCs w:val="21"/>
        </w:rPr>
        <w:t xml:space="preserve">                       </w:t>
      </w:r>
      <w:r>
        <w:rPr>
          <w:rFonts w:hint="eastAsia" w:ascii="宋体" w:hAnsi="宋体" w:cs="宋体"/>
          <w:szCs w:val="21"/>
        </w:rPr>
        <w:sym w:font="Wingdings" w:char="00A8"/>
      </w:r>
      <w:r>
        <w:rPr>
          <w:rFonts w:hint="eastAsia" w:ascii="宋体" w:hAnsi="宋体"/>
          <w:bCs/>
          <w:szCs w:val="21"/>
        </w:rPr>
        <w:t>分期/分项验收：</w:t>
      </w:r>
      <w:r>
        <w:rPr>
          <w:rFonts w:hint="eastAsia" w:ascii="宋体" w:hAnsi="宋体"/>
          <w:bCs/>
          <w:szCs w:val="21"/>
          <w:u w:val="single"/>
        </w:rPr>
        <w:t xml:space="preserve"> （应明确分期</w:t>
      </w:r>
      <w:r>
        <w:rPr>
          <w:rFonts w:ascii="宋体" w:hAnsi="宋体"/>
          <w:bCs/>
          <w:szCs w:val="21"/>
          <w:u w:val="single"/>
        </w:rPr>
        <w:t>/</w:t>
      </w:r>
      <w:r>
        <w:rPr>
          <w:rFonts w:hint="eastAsia" w:ascii="宋体" w:hAnsi="宋体"/>
          <w:bCs/>
          <w:szCs w:val="21"/>
          <w:u w:val="single"/>
        </w:rPr>
        <w:t xml:space="preserve">分项验收的工作安排）  </w:t>
      </w:r>
    </w:p>
    <w:p>
      <w:pPr>
        <w:adjustRightInd w:val="0"/>
        <w:snapToGrid w:val="0"/>
        <w:spacing w:line="400" w:lineRule="exact"/>
        <w:ind w:firstLine="420" w:firstLineChars="200"/>
        <w:rPr>
          <w:rFonts w:ascii="宋体" w:hAnsi="宋体"/>
          <w:bCs/>
          <w:szCs w:val="21"/>
        </w:rPr>
      </w:pPr>
      <w:r>
        <w:rPr>
          <w:rFonts w:hint="eastAsia" w:ascii="宋体" w:hAnsi="宋体"/>
          <w:bCs/>
          <w:szCs w:val="21"/>
        </w:rPr>
        <w:t>（4）履约验收程序：</w:t>
      </w:r>
      <w:r>
        <w:rPr>
          <w:rFonts w:hint="eastAsia" w:ascii="宋体" w:hAnsi="宋体"/>
          <w:bCs/>
          <w:szCs w:val="21"/>
          <w:u w:val="single"/>
        </w:rPr>
        <w:t xml:space="preserve">                                         </w:t>
      </w:r>
    </w:p>
    <w:p>
      <w:pPr>
        <w:adjustRightInd w:val="0"/>
        <w:snapToGrid w:val="0"/>
        <w:spacing w:line="400" w:lineRule="exact"/>
        <w:ind w:firstLine="420" w:firstLineChars="200"/>
        <w:rPr>
          <w:rFonts w:ascii="宋体" w:hAnsi="宋体"/>
          <w:bCs/>
          <w:szCs w:val="21"/>
          <w:u w:val="single"/>
        </w:rPr>
      </w:pPr>
      <w:r>
        <w:rPr>
          <w:rFonts w:hint="eastAsia" w:ascii="宋体" w:hAnsi="宋体"/>
          <w:bCs/>
          <w:szCs w:val="21"/>
        </w:rPr>
        <w:t>（5）履约验收的内容：</w:t>
      </w:r>
      <w:r>
        <w:rPr>
          <w:rFonts w:hint="eastAsia" w:ascii="宋体" w:hAnsi="宋体"/>
          <w:bCs/>
          <w:szCs w:val="21"/>
          <w:u w:val="single"/>
        </w:rPr>
        <w:t xml:space="preserve"> （应当包括每一项技术和商务要求的履约情况，特别是落实政府采购扶持中小企业，支持绿色发展和乡村振兴等政策情况）                                      </w:t>
      </w:r>
    </w:p>
    <w:p>
      <w:pPr>
        <w:adjustRightInd w:val="0"/>
        <w:snapToGrid w:val="0"/>
        <w:spacing w:line="400" w:lineRule="exact"/>
        <w:ind w:firstLine="420" w:firstLineChars="200"/>
        <w:rPr>
          <w:rFonts w:ascii="宋体" w:hAnsi="宋体"/>
          <w:bCs/>
          <w:szCs w:val="21"/>
          <w:u w:val="single"/>
        </w:rPr>
      </w:pPr>
      <w:r>
        <w:rPr>
          <w:rFonts w:hint="eastAsia" w:ascii="宋体" w:hAnsi="宋体"/>
          <w:bCs/>
          <w:szCs w:val="21"/>
        </w:rPr>
        <w:t>（6）履约验收标准：</w:t>
      </w:r>
      <w:r>
        <w:rPr>
          <w:rFonts w:hint="eastAsia" w:ascii="宋体" w:hAnsi="宋体"/>
          <w:bCs/>
          <w:szCs w:val="21"/>
          <w:u w:val="single"/>
        </w:rPr>
        <w:t xml:space="preserve">                                         </w:t>
      </w:r>
    </w:p>
    <w:p>
      <w:pPr>
        <w:pStyle w:val="146"/>
        <w:ind w:firstLine="420"/>
        <w:rPr>
          <w:rFonts w:ascii="宋体" w:hAnsi="宋体" w:eastAsia="宋体" w:cs="宋体"/>
          <w:sz w:val="21"/>
        </w:rPr>
      </w:pPr>
      <w:r>
        <w:rPr>
          <w:rFonts w:hint="eastAsia" w:ascii="宋体" w:hAnsi="宋体" w:eastAsia="宋体" w:cs="宋体"/>
          <w:bCs/>
          <w:sz w:val="21"/>
        </w:rPr>
        <w:t>（7）是否以采购活动中供应商提供的样品作为参考：</w:t>
      </w:r>
      <w:r>
        <w:rPr>
          <w:rFonts w:hint="eastAsia" w:ascii="宋体" w:hAnsi="宋体" w:eastAsia="宋体" w:cs="宋体"/>
          <w:sz w:val="21"/>
        </w:rPr>
        <w:sym w:font="Wingdings" w:char="00A8"/>
      </w:r>
      <w:r>
        <w:rPr>
          <w:rFonts w:hint="eastAsia" w:ascii="宋体" w:hAnsi="宋体" w:eastAsia="宋体" w:cs="宋体"/>
          <w:bCs/>
          <w:sz w:val="21"/>
        </w:rPr>
        <w:t xml:space="preserve">是  </w:t>
      </w:r>
      <w:r>
        <w:rPr>
          <w:rFonts w:hint="eastAsia" w:ascii="宋体" w:hAnsi="宋体" w:eastAsia="宋体" w:cs="宋体"/>
          <w:sz w:val="21"/>
        </w:rPr>
        <w:sym w:font="Wingdings" w:char="00A8"/>
      </w:r>
      <w:r>
        <w:rPr>
          <w:rFonts w:hint="eastAsia" w:ascii="宋体" w:hAnsi="宋体" w:eastAsia="宋体" w:cs="宋体"/>
          <w:bCs/>
          <w:sz w:val="21"/>
        </w:rPr>
        <w:t>否</w:t>
      </w:r>
    </w:p>
    <w:p>
      <w:pPr>
        <w:adjustRightInd w:val="0"/>
        <w:snapToGrid w:val="0"/>
        <w:spacing w:line="400" w:lineRule="exact"/>
        <w:ind w:firstLine="420" w:firstLineChars="200"/>
        <w:rPr>
          <w:rFonts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（产权过户登记等）          </w:t>
      </w:r>
    </w:p>
    <w:p>
      <w:pPr>
        <w:numPr>
          <w:ilvl w:val="0"/>
          <w:numId w:val="15"/>
        </w:numPr>
        <w:adjustRightInd w:val="0"/>
        <w:snapToGrid w:val="0"/>
        <w:spacing w:line="400" w:lineRule="exact"/>
        <w:ind w:firstLine="422" w:firstLineChars="200"/>
        <w:rPr>
          <w:rFonts w:ascii="宋体" w:hAnsi="宋体"/>
          <w:b/>
          <w:szCs w:val="21"/>
        </w:rPr>
      </w:pPr>
      <w:r>
        <w:rPr>
          <w:rFonts w:hint="eastAsia" w:ascii="宋体" w:hAnsi="宋体"/>
          <w:b/>
          <w:szCs w:val="21"/>
        </w:rPr>
        <w:t>组成合同的文件</w:t>
      </w:r>
    </w:p>
    <w:p>
      <w:pPr>
        <w:adjustRightInd w:val="0"/>
        <w:snapToGrid w:val="0"/>
        <w:spacing w:line="400" w:lineRule="exact"/>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pPr>
        <w:adjustRightInd w:val="0"/>
        <w:snapToGrid w:val="0"/>
        <w:spacing w:line="400" w:lineRule="exact"/>
        <w:ind w:firstLine="420" w:firstLineChars="200"/>
        <w:rPr>
          <w:rFonts w:ascii="宋体" w:hAnsi="宋体"/>
          <w:szCs w:val="21"/>
        </w:rPr>
      </w:pPr>
      <w:r>
        <w:rPr>
          <w:rFonts w:hint="eastAsia" w:ascii="宋体" w:hAnsi="宋体"/>
          <w:szCs w:val="21"/>
        </w:rPr>
        <w:t>（1）政府采购合同协议书及其变更、补充协议</w:t>
      </w:r>
    </w:p>
    <w:p>
      <w:pPr>
        <w:adjustRightInd w:val="0"/>
        <w:snapToGrid w:val="0"/>
        <w:spacing w:line="400" w:lineRule="exact"/>
        <w:ind w:firstLine="420" w:firstLineChars="200"/>
        <w:rPr>
          <w:rFonts w:ascii="宋体" w:hAnsi="宋体"/>
          <w:szCs w:val="21"/>
        </w:rPr>
      </w:pPr>
      <w:r>
        <w:rPr>
          <w:rFonts w:hint="eastAsia" w:ascii="宋体" w:hAnsi="宋体"/>
          <w:szCs w:val="21"/>
        </w:rPr>
        <w:t>（2）政府采购合同专用条款</w:t>
      </w:r>
    </w:p>
    <w:p>
      <w:pPr>
        <w:adjustRightInd w:val="0"/>
        <w:snapToGrid w:val="0"/>
        <w:spacing w:line="400" w:lineRule="exact"/>
        <w:ind w:firstLine="420" w:firstLineChars="200"/>
        <w:rPr>
          <w:rFonts w:ascii="宋体" w:hAnsi="宋体"/>
          <w:szCs w:val="21"/>
        </w:rPr>
      </w:pPr>
      <w:r>
        <w:rPr>
          <w:rFonts w:hint="eastAsia" w:ascii="宋体" w:hAnsi="宋体"/>
          <w:szCs w:val="21"/>
        </w:rPr>
        <w:t>（3）政府采购合同通用条款</w:t>
      </w:r>
    </w:p>
    <w:p>
      <w:pPr>
        <w:adjustRightInd w:val="0"/>
        <w:snapToGrid w:val="0"/>
        <w:spacing w:line="400" w:lineRule="exact"/>
        <w:ind w:firstLine="420" w:firstLineChars="200"/>
        <w:rPr>
          <w:rFonts w:ascii="宋体" w:hAnsi="宋体"/>
          <w:szCs w:val="21"/>
        </w:rPr>
      </w:pPr>
      <w:r>
        <w:rPr>
          <w:rFonts w:hint="eastAsia" w:ascii="宋体" w:hAnsi="宋体"/>
          <w:szCs w:val="21"/>
        </w:rPr>
        <w:t>（4）中标（成交）通知书</w:t>
      </w:r>
    </w:p>
    <w:p>
      <w:pPr>
        <w:adjustRightInd w:val="0"/>
        <w:snapToGrid w:val="0"/>
        <w:spacing w:line="400" w:lineRule="exact"/>
        <w:ind w:firstLine="420" w:firstLineChars="200"/>
        <w:rPr>
          <w:rFonts w:ascii="宋体" w:hAnsi="宋体"/>
          <w:szCs w:val="21"/>
        </w:rPr>
      </w:pPr>
      <w:r>
        <w:rPr>
          <w:rFonts w:hint="eastAsia" w:ascii="宋体" w:hAnsi="宋体"/>
          <w:szCs w:val="21"/>
        </w:rPr>
        <w:t>（5）投标（响应）文件</w:t>
      </w:r>
    </w:p>
    <w:p>
      <w:pPr>
        <w:adjustRightInd w:val="0"/>
        <w:snapToGrid w:val="0"/>
        <w:spacing w:line="400" w:lineRule="exact"/>
        <w:ind w:firstLine="420" w:firstLineChars="200"/>
        <w:rPr>
          <w:rFonts w:ascii="宋体" w:hAnsi="宋体"/>
          <w:szCs w:val="21"/>
        </w:rPr>
      </w:pPr>
      <w:r>
        <w:rPr>
          <w:rFonts w:hint="eastAsia" w:ascii="宋体" w:hAnsi="宋体"/>
          <w:szCs w:val="21"/>
        </w:rPr>
        <w:t>（6）采购文件</w:t>
      </w:r>
    </w:p>
    <w:p>
      <w:pPr>
        <w:adjustRightInd w:val="0"/>
        <w:snapToGrid w:val="0"/>
        <w:spacing w:line="400" w:lineRule="exact"/>
        <w:ind w:firstLine="420" w:firstLineChars="200"/>
        <w:rPr>
          <w:rFonts w:ascii="宋体" w:hAnsi="宋体"/>
          <w:szCs w:val="21"/>
        </w:rPr>
      </w:pPr>
      <w:r>
        <w:rPr>
          <w:rFonts w:hint="eastAsia" w:ascii="宋体" w:hAnsi="宋体"/>
          <w:szCs w:val="21"/>
        </w:rPr>
        <w:t>（7）有关技术文件，图纸</w:t>
      </w:r>
    </w:p>
    <w:p>
      <w:pPr>
        <w:pStyle w:val="146"/>
        <w:ind w:firstLine="420"/>
        <w:rPr>
          <w:rFonts w:ascii="宋体" w:hAnsi="宋体" w:eastAsia="宋体" w:cs="宋体"/>
          <w:kern w:val="2"/>
          <w:sz w:val="21"/>
        </w:rPr>
      </w:pPr>
      <w:r>
        <w:rPr>
          <w:rFonts w:hint="eastAsia" w:ascii="宋体" w:hAnsi="宋体" w:eastAsia="宋体" w:cs="宋体"/>
          <w:sz w:val="21"/>
        </w:rPr>
        <w:t>（8）</w:t>
      </w:r>
      <w:r>
        <w:rPr>
          <w:rFonts w:hint="eastAsia" w:ascii="宋体" w:hAnsi="宋体" w:eastAsia="宋体" w:cs="宋体"/>
          <w:kern w:val="2"/>
          <w:sz w:val="21"/>
        </w:rPr>
        <w:t>国家法律、行政法规和规章制度规定或合同约定的作为合同组成部分的其他文件</w:t>
      </w:r>
    </w:p>
    <w:p>
      <w:pPr>
        <w:numPr>
          <w:ilvl w:val="0"/>
          <w:numId w:val="15"/>
        </w:numPr>
        <w:adjustRightInd w:val="0"/>
        <w:snapToGrid w:val="0"/>
        <w:spacing w:line="400" w:lineRule="exact"/>
        <w:ind w:firstLine="422" w:firstLineChars="200"/>
        <w:rPr>
          <w:rFonts w:ascii="宋体" w:hAnsi="宋体"/>
          <w:b/>
          <w:szCs w:val="21"/>
        </w:rPr>
      </w:pPr>
      <w:r>
        <w:rPr>
          <w:rFonts w:hint="eastAsia" w:ascii="宋体" w:hAnsi="宋体"/>
          <w:b/>
          <w:szCs w:val="21"/>
        </w:rPr>
        <w:t>合同生效</w:t>
      </w:r>
    </w:p>
    <w:p>
      <w:pPr>
        <w:adjustRightInd w:val="0"/>
        <w:snapToGrid w:val="0"/>
        <w:spacing w:line="400" w:lineRule="exact"/>
        <w:ind w:firstLine="42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pPr>
        <w:numPr>
          <w:ilvl w:val="0"/>
          <w:numId w:val="15"/>
        </w:numPr>
        <w:adjustRightInd w:val="0"/>
        <w:snapToGrid w:val="0"/>
        <w:spacing w:line="400" w:lineRule="exact"/>
        <w:ind w:firstLine="422" w:firstLineChars="200"/>
        <w:rPr>
          <w:rFonts w:ascii="宋体" w:hAnsi="宋体"/>
          <w:b/>
          <w:szCs w:val="21"/>
        </w:rPr>
      </w:pPr>
      <w:r>
        <w:rPr>
          <w:rFonts w:hint="eastAsia" w:ascii="宋体" w:hAnsi="宋体"/>
          <w:b/>
          <w:szCs w:val="21"/>
        </w:rPr>
        <w:t>合同份数</w:t>
      </w:r>
    </w:p>
    <w:p>
      <w:pPr>
        <w:adjustRightInd w:val="0"/>
        <w:snapToGrid w:val="0"/>
        <w:spacing w:line="400" w:lineRule="exact"/>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份，甲方执</w:t>
      </w:r>
      <w:r>
        <w:rPr>
          <w:rFonts w:hint="eastAsia" w:ascii="宋体" w:hAnsi="宋体"/>
          <w:szCs w:val="21"/>
          <w:u w:val="single"/>
        </w:rPr>
        <w:t xml:space="preserve">    </w:t>
      </w:r>
      <w:r>
        <w:rPr>
          <w:rFonts w:hint="eastAsia" w:ascii="宋体" w:hAnsi="宋体"/>
          <w:szCs w:val="21"/>
        </w:rPr>
        <w:t>份，乙方执</w:t>
      </w:r>
      <w:r>
        <w:rPr>
          <w:rFonts w:hint="eastAsia" w:ascii="宋体" w:hAnsi="宋体"/>
          <w:szCs w:val="21"/>
          <w:u w:val="single"/>
        </w:rPr>
        <w:t xml:space="preserve">    </w:t>
      </w:r>
      <w:r>
        <w:rPr>
          <w:rFonts w:hint="eastAsia" w:ascii="宋体" w:hAnsi="宋体"/>
          <w:szCs w:val="21"/>
        </w:rPr>
        <w:t>份，均具有同等法律效力。</w:t>
      </w:r>
    </w:p>
    <w:p>
      <w:pPr>
        <w:adjustRightInd w:val="0"/>
        <w:snapToGrid w:val="0"/>
        <w:spacing w:line="400" w:lineRule="exact"/>
        <w:ind w:firstLine="420" w:firstLineChars="20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adjustRightInd w:val="0"/>
        <w:snapToGrid w:val="0"/>
        <w:spacing w:line="400" w:lineRule="exact"/>
        <w:ind w:firstLine="420" w:firstLineChars="200"/>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pPr>
        <w:adjustRightInd w:val="0"/>
        <w:snapToGrid w:val="0"/>
        <w:spacing w:line="400" w:lineRule="exact"/>
        <w:ind w:firstLine="420" w:firstLineChars="200"/>
      </w:pPr>
      <w:r>
        <w:rPr>
          <w:rFonts w:hint="eastAsia" w:ascii="宋体" w:hAnsi="宋体"/>
          <w:szCs w:val="21"/>
        </w:rPr>
        <w:t>附件：具体标的及其技术要求和商务要求、联合协议、分包意向协议等。</w:t>
      </w:r>
    </w:p>
    <w:p>
      <w:pPr>
        <w:pStyle w:val="96"/>
        <w:spacing w:line="400" w:lineRule="exact"/>
      </w:pPr>
    </w:p>
    <w:p>
      <w:pPr>
        <w:pStyle w:val="4"/>
        <w:rPr>
          <w:rFonts w:ascii="宋体" w:hAnsi="宋体"/>
          <w:b w:val="0"/>
          <w:bCs w:val="0"/>
          <w:sz w:val="21"/>
          <w:szCs w:val="21"/>
        </w:rPr>
      </w:pPr>
      <w:r>
        <w:t xml:space="preserve">   </w:t>
      </w:r>
    </w:p>
    <w:p>
      <w:r>
        <w:rPr>
          <w:rFonts w:hint="eastAsia"/>
        </w:rPr>
        <w:br w:type="page"/>
      </w:r>
    </w:p>
    <w:p>
      <w:pPr>
        <w:pStyle w:val="96"/>
      </w:pPr>
    </w:p>
    <w:tbl>
      <w:tblPr>
        <w:tblStyle w:val="42"/>
        <w:tblW w:w="9990"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250"/>
        <w:gridCol w:w="2869"/>
        <w:gridCol w:w="2354"/>
        <w:gridCol w:w="2517"/>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5119" w:type="dxa"/>
            <w:gridSpan w:val="2"/>
            <w:tcBorders>
              <w:bottom w:val="single" w:color="auto" w:sz="2" w:space="0"/>
              <w:right w:val="single" w:color="auto" w:sz="2" w:space="0"/>
            </w:tcBorders>
            <w:vAlign w:val="center"/>
          </w:tcPr>
          <w:p>
            <w:pPr>
              <w:adjustRightInd w:val="0"/>
              <w:snapToGrid w:val="0"/>
              <w:spacing w:line="300" w:lineRule="exact"/>
              <w:jc w:val="center"/>
            </w:pPr>
            <w:r>
              <w:rPr>
                <w:szCs w:val="21"/>
              </w:rPr>
              <w:t>甲方</w:t>
            </w:r>
            <w:r>
              <w:rPr>
                <w:rFonts w:hint="eastAsia"/>
                <w:szCs w:val="21"/>
              </w:rPr>
              <w:t>（采购人</w:t>
            </w:r>
            <w:r>
              <w:rPr>
                <w:rFonts w:hint="eastAsia" w:ascii="宋体" w:hAnsi="宋体"/>
                <w:szCs w:val="21"/>
              </w:rPr>
              <w:t>、受采购人委托签订合同的单位或</w:t>
            </w:r>
            <w:r>
              <w:rPr>
                <w:rFonts w:hint="eastAsia"/>
                <w:szCs w:val="21"/>
              </w:rPr>
              <w:t>采购文件约定的合同甲方）</w:t>
            </w:r>
          </w:p>
        </w:tc>
        <w:tc>
          <w:tcPr>
            <w:tcW w:w="4871" w:type="dxa"/>
            <w:gridSpan w:val="2"/>
            <w:tcBorders>
              <w:left w:val="single" w:color="auto" w:sz="2" w:space="0"/>
              <w:bottom w:val="single" w:color="auto" w:sz="2" w:space="0"/>
            </w:tcBorders>
            <w:vAlign w:val="center"/>
          </w:tcPr>
          <w:p>
            <w:pPr>
              <w:adjustRightInd w:val="0"/>
              <w:snapToGrid w:val="0"/>
              <w:spacing w:line="300" w:lineRule="exact"/>
              <w:jc w:val="center"/>
            </w:pPr>
            <w:r>
              <w:rPr>
                <w:szCs w:val="21"/>
              </w:rPr>
              <w:t>乙方</w:t>
            </w:r>
            <w:r>
              <w:rPr>
                <w:rFonts w:hint="eastAsia"/>
                <w:szCs w:val="21"/>
              </w:rPr>
              <w:t>（供应商）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2250"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单位名称</w:t>
            </w:r>
            <w:r>
              <w:rPr>
                <w:rFonts w:hint="eastAsia"/>
                <w:szCs w:val="21"/>
              </w:rPr>
              <w:t>（公章或合同章）</w:t>
            </w:r>
          </w:p>
        </w:tc>
        <w:tc>
          <w:tcPr>
            <w:tcW w:w="286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235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单位名称</w:t>
            </w:r>
            <w:r>
              <w:rPr>
                <w:rFonts w:hint="eastAsia"/>
                <w:szCs w:val="21"/>
              </w:rPr>
              <w:t>（公章或合同章）</w:t>
            </w:r>
          </w:p>
        </w:tc>
        <w:tc>
          <w:tcPr>
            <w:tcW w:w="2517"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250" w:type="dxa"/>
            <w:vMerge w:val="restart"/>
            <w:tcBorders>
              <w:top w:val="single" w:color="auto" w:sz="2" w:space="0"/>
              <w:right w:val="single" w:color="auto" w:sz="2" w:space="0"/>
            </w:tcBorders>
            <w:vAlign w:val="center"/>
          </w:tcPr>
          <w:p>
            <w:pPr>
              <w:adjustRightInd w:val="0"/>
              <w:snapToGrid w:val="0"/>
              <w:spacing w:line="300" w:lineRule="exact"/>
              <w:jc w:val="center"/>
              <w:rPr>
                <w:szCs w:val="21"/>
              </w:rPr>
            </w:pPr>
            <w:r>
              <w:rPr>
                <w:szCs w:val="21"/>
              </w:rPr>
              <w:t>法定代表人</w:t>
            </w:r>
          </w:p>
          <w:p>
            <w:pPr>
              <w:adjustRightInd w:val="0"/>
              <w:snapToGrid w:val="0"/>
              <w:spacing w:line="300" w:lineRule="exact"/>
              <w:ind w:firstLine="100" w:firstLineChars="48"/>
              <w:jc w:val="center"/>
              <w:rPr>
                <w:szCs w:val="21"/>
              </w:rPr>
            </w:pPr>
            <w:r>
              <w:rPr>
                <w:rFonts w:hint="eastAsia"/>
                <w:szCs w:val="21"/>
              </w:rPr>
              <w:t>或其</w:t>
            </w:r>
            <w:r>
              <w:rPr>
                <w:szCs w:val="21"/>
              </w:rPr>
              <w:t>委托代理人</w:t>
            </w:r>
            <w:r>
              <w:rPr>
                <w:rFonts w:hint="eastAsia"/>
                <w:szCs w:val="21"/>
              </w:rPr>
              <w:t>（签章）</w:t>
            </w:r>
          </w:p>
        </w:tc>
        <w:tc>
          <w:tcPr>
            <w:tcW w:w="2869" w:type="dxa"/>
            <w:vMerge w:val="restart"/>
            <w:tcBorders>
              <w:top w:val="single" w:color="auto" w:sz="2" w:space="0"/>
              <w:left w:val="single" w:color="auto" w:sz="2" w:space="0"/>
              <w:right w:val="single" w:color="auto" w:sz="2" w:space="0"/>
            </w:tcBorders>
            <w:vAlign w:val="center"/>
          </w:tcPr>
          <w:p>
            <w:pPr>
              <w:adjustRightInd w:val="0"/>
              <w:snapToGrid w:val="0"/>
              <w:spacing w:line="300" w:lineRule="exact"/>
              <w:jc w:val="center"/>
              <w:rPr>
                <w:szCs w:val="21"/>
              </w:rPr>
            </w:pPr>
          </w:p>
        </w:tc>
        <w:tc>
          <w:tcPr>
            <w:tcW w:w="2354" w:type="dxa"/>
            <w:tcBorders>
              <w:top w:val="single" w:color="auto" w:sz="2" w:space="0"/>
              <w:left w:val="single" w:color="auto" w:sz="2" w:space="0"/>
              <w:right w:val="single" w:color="auto" w:sz="2" w:space="0"/>
            </w:tcBorders>
            <w:vAlign w:val="center"/>
          </w:tcPr>
          <w:p>
            <w:pPr>
              <w:adjustRightInd w:val="0"/>
              <w:snapToGrid w:val="0"/>
              <w:spacing w:line="300" w:lineRule="exact"/>
              <w:jc w:val="center"/>
              <w:rPr>
                <w:szCs w:val="21"/>
              </w:rPr>
            </w:pPr>
            <w:r>
              <w:rPr>
                <w:szCs w:val="21"/>
              </w:rPr>
              <w:t>法定代表人</w:t>
            </w:r>
          </w:p>
          <w:p>
            <w:pPr>
              <w:adjustRightInd w:val="0"/>
              <w:snapToGrid w:val="0"/>
              <w:spacing w:line="300" w:lineRule="exact"/>
              <w:jc w:val="center"/>
              <w:rPr>
                <w:szCs w:val="21"/>
              </w:rPr>
            </w:pPr>
            <w:r>
              <w:rPr>
                <w:rFonts w:hint="eastAsia"/>
                <w:szCs w:val="21"/>
              </w:rPr>
              <w:t>或其</w:t>
            </w:r>
            <w:r>
              <w:rPr>
                <w:szCs w:val="21"/>
              </w:rPr>
              <w:t>委托代理人</w:t>
            </w:r>
            <w:r>
              <w:rPr>
                <w:rFonts w:hint="eastAsia"/>
                <w:szCs w:val="21"/>
              </w:rPr>
              <w:t>（签章）</w:t>
            </w:r>
          </w:p>
        </w:tc>
        <w:tc>
          <w:tcPr>
            <w:tcW w:w="2517"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250" w:type="dxa"/>
            <w:vMerge w:val="continue"/>
            <w:tcBorders>
              <w:bottom w:val="single" w:color="auto" w:sz="2" w:space="0"/>
              <w:right w:val="single" w:color="auto" w:sz="2" w:space="0"/>
            </w:tcBorders>
            <w:vAlign w:val="center"/>
          </w:tcPr>
          <w:p>
            <w:pPr>
              <w:adjustRightInd w:val="0"/>
              <w:snapToGrid w:val="0"/>
              <w:spacing w:line="300" w:lineRule="exact"/>
              <w:jc w:val="center"/>
              <w:rPr>
                <w:szCs w:val="21"/>
              </w:rPr>
            </w:pPr>
          </w:p>
        </w:tc>
        <w:tc>
          <w:tcPr>
            <w:tcW w:w="2869" w:type="dxa"/>
            <w:vMerge w:val="continue"/>
            <w:tcBorders>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235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rPr>
              <w:t>拥有者性别</w:t>
            </w:r>
          </w:p>
        </w:tc>
        <w:tc>
          <w:tcPr>
            <w:tcW w:w="2517"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250"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rPr>
              <w:t>住  所</w:t>
            </w:r>
          </w:p>
        </w:tc>
        <w:tc>
          <w:tcPr>
            <w:tcW w:w="286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235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rPr>
              <w:t>住  所</w:t>
            </w:r>
          </w:p>
        </w:tc>
        <w:tc>
          <w:tcPr>
            <w:tcW w:w="2517"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250"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联 系 人</w:t>
            </w:r>
          </w:p>
        </w:tc>
        <w:tc>
          <w:tcPr>
            <w:tcW w:w="286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235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联 系 人</w:t>
            </w:r>
          </w:p>
        </w:tc>
        <w:tc>
          <w:tcPr>
            <w:tcW w:w="2517"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250"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联系电话</w:t>
            </w:r>
          </w:p>
        </w:tc>
        <w:tc>
          <w:tcPr>
            <w:tcW w:w="286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235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联系电话</w:t>
            </w:r>
          </w:p>
        </w:tc>
        <w:tc>
          <w:tcPr>
            <w:tcW w:w="2517"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250"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rPr>
              <w:t>通信地址</w:t>
            </w:r>
          </w:p>
        </w:tc>
        <w:tc>
          <w:tcPr>
            <w:tcW w:w="286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235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rPr>
              <w:t>通信地址</w:t>
            </w:r>
          </w:p>
        </w:tc>
        <w:tc>
          <w:tcPr>
            <w:tcW w:w="2517"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250"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邮政编码</w:t>
            </w:r>
          </w:p>
        </w:tc>
        <w:tc>
          <w:tcPr>
            <w:tcW w:w="286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235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邮政编码</w:t>
            </w:r>
          </w:p>
        </w:tc>
        <w:tc>
          <w:tcPr>
            <w:tcW w:w="2517"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250"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rPr>
              <w:t>电子邮箱</w:t>
            </w:r>
          </w:p>
        </w:tc>
        <w:tc>
          <w:tcPr>
            <w:tcW w:w="286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235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rPr>
              <w:t>电子邮箱</w:t>
            </w:r>
          </w:p>
        </w:tc>
        <w:tc>
          <w:tcPr>
            <w:tcW w:w="2517"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250"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rPr>
              <w:t>统一社会信用代码</w:t>
            </w:r>
          </w:p>
        </w:tc>
        <w:tc>
          <w:tcPr>
            <w:tcW w:w="286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235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rFonts w:hint="eastAsia"/>
                <w:szCs w:val="21"/>
              </w:rPr>
              <w:t>统一社会信用代码</w:t>
            </w:r>
          </w:p>
        </w:tc>
        <w:tc>
          <w:tcPr>
            <w:tcW w:w="2517"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250"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286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235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开户名称</w:t>
            </w:r>
          </w:p>
        </w:tc>
        <w:tc>
          <w:tcPr>
            <w:tcW w:w="2517"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250"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286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235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开户银行</w:t>
            </w:r>
          </w:p>
        </w:tc>
        <w:tc>
          <w:tcPr>
            <w:tcW w:w="2517"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250" w:type="dxa"/>
            <w:tcBorders>
              <w:top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2869"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p>
        </w:tc>
        <w:tc>
          <w:tcPr>
            <w:tcW w:w="2354" w:type="dxa"/>
            <w:tcBorders>
              <w:top w:val="single" w:color="auto" w:sz="2" w:space="0"/>
              <w:left w:val="single" w:color="auto" w:sz="2" w:space="0"/>
              <w:bottom w:val="single" w:color="auto" w:sz="2" w:space="0"/>
              <w:right w:val="single" w:color="auto" w:sz="2" w:space="0"/>
            </w:tcBorders>
            <w:vAlign w:val="center"/>
          </w:tcPr>
          <w:p>
            <w:pPr>
              <w:adjustRightInd w:val="0"/>
              <w:snapToGrid w:val="0"/>
              <w:spacing w:line="300" w:lineRule="exact"/>
              <w:jc w:val="center"/>
              <w:rPr>
                <w:szCs w:val="21"/>
              </w:rPr>
            </w:pPr>
            <w:r>
              <w:rPr>
                <w:szCs w:val="21"/>
              </w:rPr>
              <w:t>银行账号</w:t>
            </w:r>
          </w:p>
        </w:tc>
        <w:tc>
          <w:tcPr>
            <w:tcW w:w="2517" w:type="dxa"/>
            <w:tcBorders>
              <w:top w:val="single" w:color="auto" w:sz="2" w:space="0"/>
              <w:left w:val="single" w:color="auto" w:sz="2" w:space="0"/>
              <w:bottom w:val="single" w:color="auto" w:sz="2" w:space="0"/>
            </w:tcBorders>
            <w:vAlign w:val="center"/>
          </w:tcPr>
          <w:p>
            <w:pPr>
              <w:adjustRightInd w:val="0"/>
              <w:snapToGrid w:val="0"/>
              <w:spacing w:line="300" w:lineRule="exact"/>
              <w:jc w:val="center"/>
              <w:rPr>
                <w:spacing w:val="20"/>
                <w:szCs w:val="21"/>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9990" w:type="dxa"/>
            <w:gridSpan w:val="4"/>
            <w:tcBorders>
              <w:top w:val="single" w:color="auto" w:sz="2" w:space="0"/>
            </w:tcBorders>
            <w:vAlign w:val="center"/>
          </w:tcPr>
          <w:p>
            <w:pPr>
              <w:pStyle w:val="20"/>
              <w:adjustRightInd w:val="0"/>
              <w:snapToGrid w:val="0"/>
              <w:spacing w:before="156" w:beforeLines="50" w:line="360" w:lineRule="auto"/>
              <w:ind w:firstLine="1126"/>
              <w:jc w:val="left"/>
              <w:rPr>
                <w:spacing w:val="20"/>
                <w:szCs w:val="21"/>
              </w:rPr>
            </w:pPr>
            <w:r>
              <w:rPr>
                <w:rFonts w:hint="eastAsia" w:ascii="宋体" w:hAnsi="宋体"/>
                <w:szCs w:val="21"/>
              </w:rPr>
              <w:t>注：涉及联合体或其他合同主体的信息应按上表格式加列。</w:t>
            </w:r>
          </w:p>
        </w:tc>
      </w:tr>
    </w:tbl>
    <w:p>
      <w:pPr>
        <w:pStyle w:val="4"/>
        <w:adjustRightInd w:val="0"/>
        <w:snapToGrid w:val="0"/>
        <w:spacing w:before="156" w:beforeLines="50"/>
        <w:jc w:val="center"/>
        <w:rPr>
          <w:rFonts w:ascii="黑体" w:hAnsi="黑体"/>
          <w:sz w:val="28"/>
          <w:szCs w:val="28"/>
        </w:rPr>
      </w:pPr>
      <w:r>
        <w:rPr>
          <w:rFonts w:ascii="宋体" w:hAnsi="宋体"/>
          <w:sz w:val="21"/>
          <w:szCs w:val="21"/>
          <w:u w:val="single"/>
        </w:rPr>
        <w:br w:type="page"/>
      </w:r>
      <w:bookmarkStart w:id="126" w:name="_Toc27624"/>
      <w:r>
        <w:rPr>
          <w:rFonts w:hint="eastAsia" w:ascii="黑体" w:hAnsi="黑体"/>
          <w:b w:val="0"/>
          <w:bCs w:val="0"/>
          <w:sz w:val="28"/>
          <w:szCs w:val="28"/>
        </w:rPr>
        <w:t>第二节 政府采购合同通用条款</w:t>
      </w:r>
      <w:bookmarkEnd w:id="126"/>
    </w:p>
    <w:p>
      <w:pPr>
        <w:tabs>
          <w:tab w:val="left" w:pos="8820"/>
          <w:tab w:val="left" w:pos="9345"/>
          <w:tab w:val="left" w:pos="9765"/>
        </w:tabs>
        <w:adjustRightInd w:val="0"/>
        <w:snapToGrid w:val="0"/>
        <w:spacing w:line="400" w:lineRule="exact"/>
        <w:jc w:val="left"/>
        <w:rPr>
          <w:rFonts w:ascii="宋体" w:hAnsi="宋体"/>
          <w:b/>
          <w:bCs/>
          <w:sz w:val="24"/>
        </w:rPr>
      </w:pPr>
      <w:r>
        <w:rPr>
          <w:rFonts w:hint="eastAsia" w:ascii="宋体" w:hAnsi="宋体"/>
          <w:b/>
          <w:sz w:val="24"/>
        </w:rPr>
        <w:t xml:space="preserve">1. </w:t>
      </w:r>
      <w:r>
        <w:rPr>
          <w:rFonts w:hint="eastAsia" w:ascii="宋体" w:hAnsi="宋体"/>
          <w:b/>
          <w:bCs/>
          <w:sz w:val="24"/>
        </w:rPr>
        <w:t>定义</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1.1合同当事人</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（1）采购人（以下称甲方）是指使用财政性资金，通过政府采购方式向供应商购买货物及其相关服务的国家机关、事业单位、团体组织。</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（2）供应商（以下称乙方）是指参加政府采购活动并且中标（成交），向采购人提供合同约定的货物及其相关服务的法人、非法人组织或者自然人。</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（3）其他合同主体是指除采购人和供应商以外，</w:t>
      </w:r>
      <w:r>
        <w:rPr>
          <w:rFonts w:hint="eastAsia" w:ascii="宋体" w:hAnsi="宋体" w:cs="宋体"/>
          <w:bCs/>
          <w:szCs w:val="21"/>
        </w:rPr>
        <w:t>依法参与合同缔结或履行，享有权利、承担义务的合同当事人</w:t>
      </w:r>
      <w:r>
        <w:rPr>
          <w:rFonts w:hint="eastAsia" w:ascii="宋体" w:hAnsi="宋体"/>
          <w:szCs w:val="21"/>
        </w:rPr>
        <w:t>。</w:t>
      </w:r>
    </w:p>
    <w:p>
      <w:pPr>
        <w:tabs>
          <w:tab w:val="left" w:pos="570"/>
          <w:tab w:val="left" w:pos="9240"/>
          <w:tab w:val="left" w:pos="9555"/>
        </w:tabs>
        <w:adjustRightInd w:val="0"/>
        <w:snapToGrid w:val="0"/>
        <w:spacing w:line="400" w:lineRule="exact"/>
        <w:ind w:firstLine="420" w:firstLineChars="200"/>
        <w:jc w:val="left"/>
        <w:rPr>
          <w:rFonts w:ascii="宋体" w:hAnsi="宋体"/>
          <w:szCs w:val="21"/>
        </w:rPr>
      </w:pPr>
      <w:r>
        <w:rPr>
          <w:rFonts w:hint="eastAsia" w:ascii="宋体" w:hAnsi="宋体"/>
          <w:szCs w:val="21"/>
        </w:rPr>
        <w:t>1.2本合同下列术语应解释为：</w:t>
      </w:r>
    </w:p>
    <w:p>
      <w:pPr>
        <w:adjustRightInd w:val="0"/>
        <w:snapToGrid w:val="0"/>
        <w:spacing w:line="400" w:lineRule="exact"/>
        <w:ind w:firstLine="420" w:firstLineChars="200"/>
        <w:jc w:val="left"/>
        <w:rPr>
          <w:rFonts w:ascii="宋体" w:hAnsi="宋体"/>
          <w:szCs w:val="21"/>
        </w:rPr>
      </w:pPr>
      <w:r>
        <w:rPr>
          <w:rFonts w:hint="eastAsia" w:ascii="宋体" w:hAnsi="宋体"/>
          <w:szCs w:val="21"/>
        </w:rPr>
        <w:t>（1）“合同”系指</w:t>
      </w:r>
      <w:r>
        <w:rPr>
          <w:rFonts w:hint="eastAsia" w:ascii="宋体" w:hAnsi="宋体" w:cs="宋体"/>
          <w:bCs/>
          <w:szCs w:val="21"/>
        </w:rPr>
        <w:t>合同当事人意思表示达成一致的任何协议，包括签署的</w:t>
      </w:r>
      <w:r>
        <w:rPr>
          <w:rFonts w:hint="eastAsia" w:ascii="宋体" w:hAnsi="宋体"/>
          <w:szCs w:val="21"/>
        </w:rPr>
        <w:t>政府采购合同协议书及其变更、补充协议，政府采购合同专用条款，政府采购合同通用条款，中标（成交）通知书，投标（响应）文件，采购文件，有关技术文件和图纸，以及</w:t>
      </w:r>
      <w:r>
        <w:rPr>
          <w:rFonts w:hint="eastAsia" w:ascii="宋体" w:hAnsi="宋体" w:cs="宋体"/>
          <w:szCs w:val="21"/>
        </w:rPr>
        <w:t>国家法律、行政法规和规章制度规定或合同约定的作为合同组成部分的其他文件</w:t>
      </w:r>
      <w:r>
        <w:rPr>
          <w:rFonts w:hint="eastAsia" w:ascii="宋体" w:hAnsi="宋体"/>
          <w:szCs w:val="21"/>
        </w:rPr>
        <w:t>。</w:t>
      </w:r>
    </w:p>
    <w:p>
      <w:pPr>
        <w:tabs>
          <w:tab w:val="left" w:pos="570"/>
          <w:tab w:val="left" w:pos="9240"/>
          <w:tab w:val="left" w:pos="9555"/>
        </w:tabs>
        <w:adjustRightInd w:val="0"/>
        <w:snapToGrid w:val="0"/>
        <w:spacing w:line="400" w:lineRule="exact"/>
        <w:ind w:firstLine="420" w:firstLineChars="200"/>
        <w:jc w:val="left"/>
        <w:rPr>
          <w:rFonts w:ascii="宋体" w:hAnsi="宋体"/>
          <w:szCs w:val="21"/>
        </w:rPr>
      </w:pPr>
      <w:r>
        <w:rPr>
          <w:rFonts w:hint="eastAsia" w:ascii="宋体" w:hAnsi="宋体"/>
          <w:szCs w:val="21"/>
        </w:rPr>
        <w:t>（2）“合同价款”系指根据本合同规定乙方在全面履行合同义务后甲方应支付给乙方的价款。</w:t>
      </w:r>
    </w:p>
    <w:p>
      <w:pPr>
        <w:tabs>
          <w:tab w:val="left" w:pos="570"/>
          <w:tab w:val="left" w:pos="9240"/>
          <w:tab w:val="left" w:pos="9555"/>
        </w:tabs>
        <w:adjustRightInd w:val="0"/>
        <w:snapToGrid w:val="0"/>
        <w:spacing w:line="400" w:lineRule="exact"/>
        <w:ind w:firstLine="420" w:firstLineChars="200"/>
        <w:jc w:val="left"/>
        <w:rPr>
          <w:rFonts w:ascii="宋体" w:hAnsi="宋体"/>
          <w:szCs w:val="21"/>
        </w:rPr>
      </w:pPr>
      <w:r>
        <w:rPr>
          <w:rFonts w:hint="eastAsia" w:ascii="宋体" w:hAnsi="宋体"/>
          <w:szCs w:val="21"/>
        </w:rPr>
        <w:t>（3）“货物”系指乙方根据本合同规定须向甲方提供的各种形态和种类的物品，包括原材料、设备、产品（包括软件）及相关的其备品备件、工具、手册及</w:t>
      </w:r>
      <w:r>
        <w:rPr>
          <w:rFonts w:ascii="宋体" w:hAnsi="宋体"/>
          <w:szCs w:val="21"/>
        </w:rPr>
        <w:t>其他</w:t>
      </w:r>
      <w:r>
        <w:rPr>
          <w:rFonts w:hint="eastAsia" w:ascii="宋体" w:hAnsi="宋体"/>
          <w:szCs w:val="21"/>
        </w:rPr>
        <w:t>技术资料和材料等。</w:t>
      </w:r>
    </w:p>
    <w:p>
      <w:pPr>
        <w:adjustRightInd w:val="0"/>
        <w:snapToGrid w:val="0"/>
        <w:spacing w:line="400" w:lineRule="exact"/>
        <w:ind w:firstLine="420" w:firstLineChars="200"/>
        <w:jc w:val="left"/>
        <w:rPr>
          <w:rFonts w:ascii="宋体" w:hAnsi="宋体"/>
          <w:szCs w:val="21"/>
        </w:rPr>
      </w:pPr>
      <w:r>
        <w:rPr>
          <w:rFonts w:hint="eastAsia" w:ascii="宋体" w:hAnsi="宋体"/>
          <w:szCs w:val="21"/>
        </w:rPr>
        <w:t>（4）“相关服务”系指根据合同规定，乙方应提供的与货物有关的技术、管理和</w:t>
      </w:r>
      <w:r>
        <w:rPr>
          <w:rFonts w:ascii="宋体" w:hAnsi="宋体"/>
          <w:szCs w:val="21"/>
        </w:rPr>
        <w:t>其他</w:t>
      </w:r>
      <w:r>
        <w:rPr>
          <w:rFonts w:hint="eastAsia" w:ascii="宋体" w:hAnsi="宋体"/>
          <w:szCs w:val="21"/>
        </w:rPr>
        <w:t>服务，包括但不限于：管理和质量保证、运输、保险、检验、现场准备、安装、集成、调试、培训、维修、废弃处置、技术支持等以及合同中规定乙方应承担的</w:t>
      </w:r>
      <w:r>
        <w:rPr>
          <w:rFonts w:ascii="宋体" w:hAnsi="宋体"/>
          <w:szCs w:val="21"/>
        </w:rPr>
        <w:t>其他</w:t>
      </w:r>
      <w:r>
        <w:rPr>
          <w:rFonts w:hint="eastAsia" w:ascii="宋体" w:hAnsi="宋体"/>
          <w:szCs w:val="21"/>
        </w:rPr>
        <w:t>义务。</w:t>
      </w:r>
    </w:p>
    <w:p>
      <w:pPr>
        <w:adjustRightInd w:val="0"/>
        <w:snapToGrid w:val="0"/>
        <w:spacing w:line="400" w:lineRule="exact"/>
        <w:ind w:firstLine="420" w:firstLineChars="200"/>
        <w:jc w:val="left"/>
        <w:rPr>
          <w:rFonts w:ascii="宋体" w:hAnsi="宋体"/>
          <w:szCs w:val="21"/>
        </w:rPr>
      </w:pPr>
      <w:r>
        <w:rPr>
          <w:rFonts w:hint="eastAsia" w:ascii="宋体" w:hAnsi="宋体"/>
          <w:szCs w:val="21"/>
        </w:rPr>
        <w:t>（5）“分包”系指中标（成交）供应商按采购文件、投标（响应）文件的规定，根据分包意向协议，将中标（成交）项目中的部分履约内容，分给具有相应资质条件的供应商履行合同的行为。</w:t>
      </w:r>
    </w:p>
    <w:p>
      <w:pPr>
        <w:tabs>
          <w:tab w:val="left" w:pos="570"/>
          <w:tab w:val="left" w:pos="9240"/>
          <w:tab w:val="left" w:pos="9555"/>
        </w:tabs>
        <w:adjustRightInd w:val="0"/>
        <w:snapToGrid w:val="0"/>
        <w:spacing w:line="400" w:lineRule="exact"/>
        <w:ind w:firstLine="420" w:firstLineChars="200"/>
        <w:jc w:val="left"/>
        <w:rPr>
          <w:rFonts w:ascii="宋体" w:hAnsi="宋体"/>
          <w:szCs w:val="21"/>
        </w:rPr>
      </w:pPr>
      <w:r>
        <w:rPr>
          <w:rFonts w:hint="eastAsia" w:ascii="宋体" w:hAnsi="宋体"/>
          <w:szCs w:val="21"/>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szCs w:val="21"/>
        </w:rPr>
        <w:t>政府采购合同专用条款</w:t>
      </w:r>
      <w:r>
        <w:rPr>
          <w:rFonts w:hint="eastAsia" w:ascii="宋体" w:hAnsi="宋体"/>
          <w:szCs w:val="21"/>
        </w:rPr>
        <w:t>】。</w:t>
      </w:r>
    </w:p>
    <w:p>
      <w:pPr>
        <w:tabs>
          <w:tab w:val="left" w:pos="570"/>
          <w:tab w:val="left" w:pos="9240"/>
          <w:tab w:val="left" w:pos="9555"/>
        </w:tabs>
        <w:adjustRightInd w:val="0"/>
        <w:snapToGrid w:val="0"/>
        <w:spacing w:line="400" w:lineRule="exact"/>
        <w:ind w:firstLine="420" w:firstLineChars="200"/>
        <w:jc w:val="left"/>
        <w:rPr>
          <w:rFonts w:ascii="宋体" w:hAnsi="宋体"/>
          <w:szCs w:val="21"/>
        </w:rPr>
      </w:pPr>
      <w:r>
        <w:rPr>
          <w:rFonts w:hint="eastAsia" w:ascii="宋体" w:hAnsi="宋体"/>
          <w:szCs w:val="21"/>
        </w:rPr>
        <w:t>（7）其他术语解释，见【</w:t>
      </w:r>
      <w:r>
        <w:rPr>
          <w:rFonts w:hint="eastAsia" w:ascii="宋体" w:hAnsi="宋体"/>
          <w:b/>
          <w:bCs/>
          <w:szCs w:val="21"/>
        </w:rPr>
        <w:t>政府采购合同专用条款</w:t>
      </w:r>
      <w:r>
        <w:rPr>
          <w:rFonts w:hint="eastAsia" w:ascii="宋体" w:hAnsi="宋体"/>
          <w:szCs w:val="21"/>
        </w:rPr>
        <w:t>】。</w:t>
      </w:r>
    </w:p>
    <w:p>
      <w:pPr>
        <w:numPr>
          <w:ilvl w:val="0"/>
          <w:numId w:val="18"/>
        </w:numPr>
        <w:autoSpaceDE w:val="0"/>
        <w:autoSpaceDN w:val="0"/>
        <w:adjustRightInd w:val="0"/>
        <w:snapToGrid w:val="0"/>
        <w:spacing w:line="400" w:lineRule="exact"/>
        <w:jc w:val="left"/>
        <w:rPr>
          <w:rFonts w:ascii="宋体" w:hAnsi="宋体"/>
          <w:b/>
          <w:bCs/>
          <w:sz w:val="24"/>
        </w:rPr>
      </w:pPr>
      <w:r>
        <w:rPr>
          <w:rFonts w:hint="eastAsia" w:ascii="宋体" w:hAnsi="宋体"/>
          <w:b/>
          <w:sz w:val="24"/>
        </w:rPr>
        <w:t>合同标的及金额</w:t>
      </w:r>
    </w:p>
    <w:p>
      <w:pPr>
        <w:autoSpaceDE w:val="0"/>
        <w:autoSpaceDN w:val="0"/>
        <w:adjustRightInd w:val="0"/>
        <w:snapToGrid w:val="0"/>
        <w:spacing w:line="400" w:lineRule="exact"/>
        <w:ind w:firstLine="420" w:firstLineChars="200"/>
        <w:jc w:val="left"/>
        <w:rPr>
          <w:rFonts w:ascii="宋体" w:hAnsi="宋体"/>
          <w:b/>
          <w:bCs/>
          <w:i/>
          <w:iCs/>
          <w:szCs w:val="21"/>
        </w:rPr>
      </w:pPr>
      <w:r>
        <w:rPr>
          <w:rFonts w:hint="eastAsia" w:ascii="宋体" w:hAnsi="宋体"/>
          <w:szCs w:val="21"/>
        </w:rPr>
        <w:t>2.1 合同标的及金额应与中标（成交）结果一致。乙方为履行本合同而发生的所有费用均应包含在合同价款中，甲方不再另行支付</w:t>
      </w:r>
      <w:r>
        <w:rPr>
          <w:rFonts w:ascii="宋体" w:hAnsi="宋体"/>
          <w:szCs w:val="21"/>
        </w:rPr>
        <w:t>其他</w:t>
      </w:r>
      <w:r>
        <w:rPr>
          <w:rFonts w:hint="eastAsia" w:ascii="宋体" w:hAnsi="宋体"/>
          <w:szCs w:val="21"/>
        </w:rPr>
        <w:t>任何费用。</w:t>
      </w:r>
    </w:p>
    <w:p>
      <w:pPr>
        <w:adjustRightInd w:val="0"/>
        <w:snapToGrid w:val="0"/>
        <w:spacing w:line="400" w:lineRule="exact"/>
        <w:jc w:val="left"/>
        <w:rPr>
          <w:rFonts w:ascii="宋体" w:hAnsi="宋体"/>
          <w:b/>
          <w:sz w:val="24"/>
        </w:rPr>
      </w:pPr>
      <w:r>
        <w:rPr>
          <w:rFonts w:hint="eastAsia" w:ascii="宋体" w:hAnsi="宋体"/>
          <w:b/>
          <w:sz w:val="24"/>
        </w:rPr>
        <w:t>3. 履行合同的时间、地点和方式</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 xml:space="preserve">3.1 </w:t>
      </w:r>
      <w:r>
        <w:rPr>
          <w:rFonts w:hint="eastAsia" w:ascii="宋体" w:hAnsi="宋体" w:cs="宋体"/>
          <w:szCs w:val="21"/>
        </w:rPr>
        <w:t>乙方应当在约定的时间、地点，按照约定方式履行合同。</w:t>
      </w:r>
    </w:p>
    <w:p>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4. 甲方的权利和义务</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4.1</w:t>
      </w:r>
      <w:r>
        <w:rPr>
          <w:rFonts w:ascii="宋体" w:hAnsi="宋体"/>
          <w:szCs w:val="21"/>
        </w:rPr>
        <w:t xml:space="preserve"> 签署合同后，甲方</w:t>
      </w:r>
      <w:r>
        <w:rPr>
          <w:rFonts w:hint="eastAsia" w:ascii="宋体" w:hAnsi="宋体"/>
          <w:szCs w:val="21"/>
        </w:rPr>
        <w:t>应</w:t>
      </w:r>
      <w:r>
        <w:rPr>
          <w:rFonts w:ascii="宋体" w:hAnsi="宋体"/>
          <w:szCs w:val="21"/>
        </w:rPr>
        <w:t>确定</w:t>
      </w:r>
      <w:r>
        <w:rPr>
          <w:rFonts w:hint="eastAsia" w:ascii="宋体" w:hAnsi="宋体"/>
          <w:szCs w:val="21"/>
        </w:rPr>
        <w:t>项目负责人（或项目联系人）</w:t>
      </w:r>
      <w:r>
        <w:rPr>
          <w:rFonts w:ascii="宋体" w:hAnsi="宋体"/>
          <w:szCs w:val="21"/>
        </w:rPr>
        <w:t>，负责与本合同有关的事务。</w:t>
      </w:r>
      <w:r>
        <w:rPr>
          <w:rFonts w:hint="eastAsia" w:ascii="宋体" w:hAnsi="宋体"/>
          <w:szCs w:val="21"/>
        </w:rPr>
        <w:t>甲方有权对乙方的履约行为进行检查，并</w:t>
      </w:r>
      <w:r>
        <w:rPr>
          <w:rFonts w:ascii="宋体" w:hAnsi="宋体"/>
          <w:szCs w:val="21"/>
        </w:rPr>
        <w:t>及时确认乙方提交的事项</w:t>
      </w:r>
      <w:r>
        <w:rPr>
          <w:rFonts w:hint="eastAsia" w:ascii="宋体" w:hAnsi="宋体"/>
          <w:szCs w:val="21"/>
        </w:rPr>
        <w:t>。甲方应当</w:t>
      </w:r>
      <w:r>
        <w:rPr>
          <w:rFonts w:ascii="宋体" w:hAnsi="宋体"/>
          <w:szCs w:val="21"/>
        </w:rPr>
        <w:t>配合乙方完成</w:t>
      </w:r>
      <w:r>
        <w:rPr>
          <w:rFonts w:hint="eastAsia" w:ascii="宋体" w:hAnsi="宋体"/>
          <w:szCs w:val="21"/>
        </w:rPr>
        <w:t>相关项目</w:t>
      </w:r>
      <w:r>
        <w:rPr>
          <w:rFonts w:ascii="宋体" w:hAnsi="宋体"/>
          <w:szCs w:val="21"/>
        </w:rPr>
        <w:t>实施工作。</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 xml:space="preserve">4.2 </w:t>
      </w:r>
      <w:r>
        <w:rPr>
          <w:rFonts w:ascii="宋体" w:hAnsi="宋体"/>
          <w:szCs w:val="21"/>
        </w:rPr>
        <w:t>甲方有权要求乙方按时提交各阶段有关</w:t>
      </w:r>
      <w:r>
        <w:rPr>
          <w:rFonts w:hint="eastAsia" w:ascii="宋体" w:hAnsi="宋体"/>
          <w:szCs w:val="21"/>
        </w:rPr>
        <w:t>安排计划</w:t>
      </w:r>
      <w:r>
        <w:rPr>
          <w:rFonts w:ascii="宋体" w:hAnsi="宋体"/>
          <w:szCs w:val="21"/>
        </w:rPr>
        <w:t>，并有权</w:t>
      </w:r>
      <w:r>
        <w:rPr>
          <w:rFonts w:hint="eastAsia" w:ascii="宋体" w:hAnsi="宋体"/>
          <w:szCs w:val="21"/>
        </w:rPr>
        <w:t>定期核对乙方提供货物数量、规格、质量等内容。甲方</w:t>
      </w:r>
      <w:r>
        <w:rPr>
          <w:rFonts w:ascii="宋体" w:hAnsi="宋体"/>
          <w:szCs w:val="21"/>
        </w:rPr>
        <w:t>有权督促乙方工作并要求乙方</w:t>
      </w:r>
      <w:r>
        <w:rPr>
          <w:rFonts w:hint="eastAsia" w:ascii="宋体" w:hAnsi="宋体"/>
          <w:szCs w:val="21"/>
        </w:rPr>
        <w:t>更</w:t>
      </w:r>
      <w:r>
        <w:rPr>
          <w:rFonts w:ascii="宋体" w:hAnsi="宋体"/>
          <w:szCs w:val="21"/>
        </w:rPr>
        <w:t>换不符合要求的</w:t>
      </w:r>
      <w:r>
        <w:rPr>
          <w:rFonts w:hint="eastAsia" w:ascii="宋体" w:hAnsi="宋体"/>
          <w:szCs w:val="21"/>
        </w:rPr>
        <w:t>货物</w:t>
      </w:r>
      <w:r>
        <w:rPr>
          <w:rFonts w:ascii="宋体" w:hAnsi="宋体"/>
          <w:szCs w:val="21"/>
        </w:rPr>
        <w:t>。</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4.</w:t>
      </w:r>
      <w:r>
        <w:rPr>
          <w:rFonts w:ascii="宋体" w:hAnsi="宋体"/>
          <w:szCs w:val="21"/>
        </w:rPr>
        <w:t>3</w:t>
      </w:r>
      <w:r>
        <w:rPr>
          <w:rFonts w:hint="eastAsia" w:ascii="宋体" w:hAnsi="宋体"/>
          <w:szCs w:val="21"/>
        </w:rPr>
        <w:t xml:space="preserve"> </w:t>
      </w:r>
      <w:r>
        <w:rPr>
          <w:rFonts w:ascii="宋体" w:hAnsi="宋体"/>
          <w:szCs w:val="21"/>
        </w:rPr>
        <w:t>甲方</w:t>
      </w:r>
      <w:r>
        <w:rPr>
          <w:rFonts w:hint="eastAsia" w:ascii="宋体" w:hAnsi="宋体"/>
          <w:szCs w:val="21"/>
        </w:rPr>
        <w:t>有权要求乙方对缺陷部分予以修复，并按合同约定享有货物保修及其他合同约定的权利。</w:t>
      </w:r>
    </w:p>
    <w:p>
      <w:pPr>
        <w:snapToGrid w:val="0"/>
        <w:spacing w:line="400" w:lineRule="exact"/>
        <w:ind w:firstLine="420" w:firstLineChars="200"/>
        <w:rPr>
          <w:rFonts w:eastAsia="华文楷体"/>
        </w:rPr>
      </w:pPr>
      <w:r>
        <w:rPr>
          <w:rFonts w:ascii="宋体" w:hAnsi="宋体"/>
          <w:szCs w:val="21"/>
        </w:rPr>
        <w:t>4.4 甲方应当按照合同约定及时对交付的货物进行验收</w:t>
      </w:r>
      <w:r>
        <w:rPr>
          <w:rFonts w:hint="eastAsia" w:ascii="宋体" w:hAnsi="宋体"/>
          <w:szCs w:val="21"/>
        </w:rPr>
        <w:t>，</w:t>
      </w:r>
      <w:r>
        <w:rPr>
          <w:rFonts w:hint="eastAsia" w:ascii="宋体" w:hAnsi="宋体" w:cs="宋体"/>
          <w:szCs w:val="21"/>
        </w:rPr>
        <w:t>未</w:t>
      </w:r>
      <w:r>
        <w:rPr>
          <w:rFonts w:hint="eastAsia" w:ascii="宋体" w:hAnsi="宋体"/>
          <w:szCs w:val="21"/>
        </w:rPr>
        <w:t>在</w:t>
      </w:r>
      <w:r>
        <w:rPr>
          <w:rFonts w:hint="eastAsia" w:ascii="宋体" w:hAnsi="宋体" w:cs="宋体"/>
          <w:b/>
          <w:bCs/>
          <w:szCs w:val="21"/>
        </w:rPr>
        <w:t>【政府采购合同专用条款】</w:t>
      </w:r>
      <w:r>
        <w:rPr>
          <w:rFonts w:hint="eastAsia" w:ascii="宋体" w:hAnsi="宋体" w:cs="宋体"/>
          <w:szCs w:val="21"/>
        </w:rPr>
        <w:t>约定的期限内对乙方履约提出任何异议或者向乙方作出任何说明的，</w:t>
      </w:r>
      <w:r>
        <w:rPr>
          <w:rFonts w:hint="eastAsia" w:ascii="宋体" w:hAnsi="宋体"/>
          <w:szCs w:val="21"/>
        </w:rPr>
        <w:t>视为验收通过。</w:t>
      </w:r>
    </w:p>
    <w:p>
      <w:pPr>
        <w:autoSpaceDE w:val="0"/>
        <w:autoSpaceDN w:val="0"/>
        <w:adjustRightInd w:val="0"/>
        <w:snapToGrid w:val="0"/>
        <w:spacing w:line="400" w:lineRule="exact"/>
        <w:ind w:firstLine="420" w:firstLineChars="200"/>
        <w:jc w:val="left"/>
        <w:rPr>
          <w:rFonts w:ascii="宋体" w:hAnsi="宋体"/>
          <w:szCs w:val="21"/>
        </w:rPr>
      </w:pPr>
      <w:r>
        <w:rPr>
          <w:rFonts w:ascii="宋体" w:hAnsi="宋体"/>
          <w:szCs w:val="21"/>
        </w:rPr>
        <w:t>4</w:t>
      </w:r>
      <w:r>
        <w:rPr>
          <w:rFonts w:hint="eastAsia" w:ascii="宋体" w:hAnsi="宋体"/>
          <w:szCs w:val="21"/>
        </w:rPr>
        <w:t>.</w:t>
      </w:r>
      <w:r>
        <w:rPr>
          <w:rFonts w:ascii="宋体" w:hAnsi="宋体"/>
          <w:szCs w:val="21"/>
        </w:rPr>
        <w:t xml:space="preserve">5 </w:t>
      </w:r>
      <w:r>
        <w:rPr>
          <w:rFonts w:hint="eastAsia" w:ascii="宋体" w:hAnsi="宋体"/>
          <w:szCs w:val="21"/>
        </w:rPr>
        <w:t>甲方应当根据合同约定及时向乙方支付合同价款</w:t>
      </w:r>
      <w:r>
        <w:rPr>
          <w:rFonts w:ascii="宋体" w:hAnsi="宋体"/>
          <w:szCs w:val="21"/>
        </w:rPr>
        <w:t>，不得以内部人员变更、履行内部付款流程等为由，拒绝或迟延支付。</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4.6</w:t>
      </w:r>
      <w:r>
        <w:rPr>
          <w:rFonts w:ascii="宋体" w:hAnsi="宋体"/>
          <w:szCs w:val="21"/>
        </w:rPr>
        <w:t xml:space="preserve"> </w:t>
      </w:r>
      <w:r>
        <w:rPr>
          <w:rFonts w:hint="eastAsia" w:ascii="宋体" w:hAnsi="宋体"/>
          <w:szCs w:val="21"/>
        </w:rPr>
        <w:t>国家法律法规规定及</w:t>
      </w:r>
      <w:r>
        <w:rPr>
          <w:rFonts w:hint="eastAsia" w:ascii="宋体" w:hAnsi="宋体" w:cs="宋体"/>
          <w:b/>
          <w:bCs/>
          <w:szCs w:val="21"/>
        </w:rPr>
        <w:t>【政府采购合同专用条款】</w:t>
      </w:r>
      <w:r>
        <w:rPr>
          <w:rFonts w:hint="eastAsia" w:ascii="宋体" w:hAnsi="宋体"/>
          <w:szCs w:val="21"/>
        </w:rPr>
        <w:t>约定应由甲方承担的其他义务和责任。</w:t>
      </w:r>
    </w:p>
    <w:p>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5. 乙方的权利和义务</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 xml:space="preserve">5.1 </w:t>
      </w:r>
      <w:r>
        <w:rPr>
          <w:rFonts w:ascii="宋体" w:hAnsi="宋体"/>
          <w:szCs w:val="21"/>
        </w:rPr>
        <w:t>签署合同后，乙方</w:t>
      </w:r>
      <w:r>
        <w:rPr>
          <w:rFonts w:hint="eastAsia" w:ascii="宋体" w:hAnsi="宋体"/>
          <w:szCs w:val="21"/>
        </w:rPr>
        <w:t>应</w:t>
      </w:r>
      <w:r>
        <w:rPr>
          <w:rFonts w:ascii="宋体" w:hAnsi="宋体"/>
          <w:szCs w:val="21"/>
        </w:rPr>
        <w:t>确定</w:t>
      </w:r>
      <w:r>
        <w:rPr>
          <w:rFonts w:hint="eastAsia" w:ascii="宋体" w:hAnsi="宋体"/>
          <w:szCs w:val="21"/>
        </w:rPr>
        <w:t>项目负责人（或项目联系人）</w:t>
      </w:r>
      <w:r>
        <w:rPr>
          <w:rFonts w:ascii="宋体" w:hAnsi="宋体"/>
          <w:szCs w:val="21"/>
        </w:rPr>
        <w:t>，负责与本合同有关的事务。</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5.</w:t>
      </w:r>
      <w:r>
        <w:rPr>
          <w:rFonts w:ascii="宋体" w:hAnsi="宋体"/>
          <w:szCs w:val="21"/>
        </w:rPr>
        <w:t>2 乙方应按照合同要求</w:t>
      </w:r>
      <w:r>
        <w:rPr>
          <w:rFonts w:hint="eastAsia" w:ascii="宋体" w:hAnsi="宋体"/>
          <w:szCs w:val="21"/>
        </w:rPr>
        <w:t>履约</w:t>
      </w:r>
      <w:r>
        <w:rPr>
          <w:rFonts w:ascii="宋体" w:hAnsi="宋体"/>
          <w:szCs w:val="21"/>
        </w:rPr>
        <w:t>，充分合理安排，确保</w:t>
      </w:r>
      <w:r>
        <w:rPr>
          <w:rFonts w:hint="eastAsia" w:ascii="宋体" w:hAnsi="宋体"/>
          <w:szCs w:val="21"/>
        </w:rPr>
        <w:t>提供的货物及相关服务符合合同有关</w:t>
      </w:r>
      <w:r>
        <w:rPr>
          <w:rFonts w:ascii="宋体" w:hAnsi="宋体"/>
          <w:szCs w:val="21"/>
        </w:rPr>
        <w:t>要求</w:t>
      </w:r>
      <w:r>
        <w:rPr>
          <w:rFonts w:hint="eastAsia" w:ascii="宋体" w:hAnsi="宋体"/>
          <w:szCs w:val="21"/>
        </w:rPr>
        <w:t>。接受项目行业管理部门及政府有关部门的指导，配合甲方的履约检查及验收，并</w:t>
      </w:r>
      <w:r>
        <w:rPr>
          <w:rFonts w:ascii="宋体" w:hAnsi="宋体"/>
          <w:szCs w:val="21"/>
        </w:rPr>
        <w:t>负责项目实施过程中的所有协调工作。</w:t>
      </w:r>
    </w:p>
    <w:p>
      <w:pPr>
        <w:pStyle w:val="18"/>
        <w:spacing w:line="400" w:lineRule="exact"/>
        <w:ind w:firstLine="422" w:firstLineChars="176"/>
        <w:rPr>
          <w:rFonts w:ascii="宋体" w:hAnsi="宋体" w:cs="宋体"/>
          <w:szCs w:val="21"/>
        </w:rPr>
      </w:pPr>
      <w:r>
        <w:rPr>
          <w:rFonts w:hint="eastAsia" w:ascii="宋体" w:hAnsi="宋体"/>
          <w:szCs w:val="21"/>
        </w:rPr>
        <w:t>5.</w:t>
      </w:r>
      <w:r>
        <w:rPr>
          <w:rFonts w:ascii="宋体" w:hAnsi="宋体"/>
          <w:szCs w:val="21"/>
        </w:rPr>
        <w:t>3</w:t>
      </w:r>
      <w:r>
        <w:rPr>
          <w:rFonts w:hint="eastAsia" w:ascii="宋体" w:hAnsi="宋体"/>
          <w:szCs w:val="21"/>
        </w:rPr>
        <w:t>乙方有权</w:t>
      </w:r>
      <w:r>
        <w:rPr>
          <w:rFonts w:hint="eastAsia" w:ascii="宋体" w:hAnsi="宋体" w:cs="宋体"/>
          <w:szCs w:val="21"/>
        </w:rPr>
        <w:t>根据合同约定向甲方收取合同价款。</w:t>
      </w:r>
    </w:p>
    <w:p>
      <w:pPr>
        <w:pStyle w:val="18"/>
        <w:spacing w:line="400" w:lineRule="exact"/>
        <w:ind w:firstLine="422" w:firstLineChars="176"/>
        <w:rPr>
          <w:rFonts w:ascii="宋体" w:hAnsi="宋体" w:cs="宋体"/>
          <w:szCs w:val="21"/>
        </w:rPr>
      </w:pPr>
      <w:r>
        <w:rPr>
          <w:rFonts w:hint="eastAsia" w:ascii="宋体" w:hAnsi="宋体"/>
          <w:szCs w:val="21"/>
        </w:rPr>
        <w:t>5.</w:t>
      </w:r>
      <w:r>
        <w:rPr>
          <w:rFonts w:ascii="宋体" w:hAnsi="宋体"/>
          <w:szCs w:val="21"/>
        </w:rPr>
        <w:t>4</w:t>
      </w:r>
      <w:r>
        <w:rPr>
          <w:rFonts w:hint="eastAsia" w:ascii="宋体" w:hAnsi="宋体" w:cs="宋体"/>
          <w:szCs w:val="21"/>
        </w:rPr>
        <w:t>国家法律法规规定</w:t>
      </w:r>
      <w:r>
        <w:rPr>
          <w:rFonts w:hint="eastAsia" w:ascii="宋体" w:hAnsi="宋体"/>
          <w:szCs w:val="21"/>
        </w:rPr>
        <w:t>及</w:t>
      </w:r>
      <w:r>
        <w:rPr>
          <w:rFonts w:hint="eastAsia" w:ascii="宋体" w:hAnsi="宋体" w:cs="宋体"/>
          <w:b/>
          <w:bCs/>
          <w:szCs w:val="21"/>
        </w:rPr>
        <w:t>【政府采购合同专用条款】</w:t>
      </w:r>
      <w:r>
        <w:rPr>
          <w:rFonts w:hint="eastAsia" w:ascii="宋体" w:hAnsi="宋体" w:cs="宋体"/>
          <w:szCs w:val="21"/>
        </w:rPr>
        <w:t>约定应由乙方承担的其他义务和责任。</w:t>
      </w:r>
    </w:p>
    <w:p>
      <w:pPr>
        <w:numPr>
          <w:ilvl w:val="0"/>
          <w:numId w:val="19"/>
        </w:numPr>
        <w:autoSpaceDE w:val="0"/>
        <w:autoSpaceDN w:val="0"/>
        <w:adjustRightInd w:val="0"/>
        <w:snapToGrid w:val="0"/>
        <w:spacing w:line="400" w:lineRule="exact"/>
        <w:jc w:val="left"/>
        <w:rPr>
          <w:rFonts w:ascii="宋体" w:hAnsi="宋体"/>
          <w:b/>
          <w:bCs/>
          <w:sz w:val="24"/>
        </w:rPr>
      </w:pPr>
      <w:r>
        <w:rPr>
          <w:rFonts w:hint="eastAsia" w:ascii="宋体" w:hAnsi="宋体"/>
          <w:b/>
          <w:bCs/>
          <w:sz w:val="24"/>
        </w:rPr>
        <w:t>合同履行</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6.1 甲乙双方应当按照</w:t>
      </w:r>
      <w:r>
        <w:rPr>
          <w:rFonts w:hint="eastAsia" w:ascii="宋体" w:hAnsi="宋体" w:cs="宋体"/>
          <w:b/>
          <w:bCs/>
          <w:szCs w:val="21"/>
        </w:rPr>
        <w:t>【政府采购合同专用条款】</w:t>
      </w:r>
      <w:r>
        <w:rPr>
          <w:rFonts w:hint="eastAsia" w:ascii="宋体" w:hAnsi="宋体"/>
          <w:szCs w:val="21"/>
        </w:rPr>
        <w:t>约定顺序履行合同义务；如果没有先后顺序的，应当同时履行。</w:t>
      </w:r>
    </w:p>
    <w:p>
      <w:pPr>
        <w:autoSpaceDE w:val="0"/>
        <w:autoSpaceDN w:val="0"/>
        <w:adjustRightInd w:val="0"/>
        <w:snapToGrid w:val="0"/>
        <w:spacing w:line="400" w:lineRule="exact"/>
        <w:ind w:firstLine="420" w:firstLineChars="200"/>
        <w:jc w:val="left"/>
      </w:pPr>
      <w:r>
        <w:rPr>
          <w:rFonts w:hint="eastAsia" w:ascii="宋体" w:hAnsi="宋体"/>
          <w:szCs w:val="21"/>
        </w:rPr>
        <w:t>6.2 甲乙双方按照合同约定顺序履行合同义务时，应当先履行一方未履行的，后履行一方有权拒绝其履行请求。先履行一方履行不符合约定的，后履行一方有权拒绝其相应的履行请求。</w:t>
      </w:r>
    </w:p>
    <w:p>
      <w:pPr>
        <w:adjustRightInd w:val="0"/>
        <w:snapToGrid w:val="0"/>
        <w:spacing w:line="400" w:lineRule="exact"/>
        <w:jc w:val="left"/>
        <w:rPr>
          <w:rFonts w:ascii="宋体" w:hAnsi="宋体"/>
          <w:b/>
          <w:bCs/>
          <w:sz w:val="24"/>
        </w:rPr>
      </w:pPr>
      <w:r>
        <w:rPr>
          <w:rFonts w:hint="eastAsia" w:ascii="宋体" w:hAnsi="宋体"/>
          <w:b/>
          <w:bCs/>
          <w:sz w:val="24"/>
        </w:rPr>
        <w:t>7. 货物包装、运输、保险和交付要求</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7.1 本合同</w:t>
      </w:r>
      <w:r>
        <w:rPr>
          <w:rFonts w:hint="eastAsia" w:ascii="宋体" w:hAnsi="宋体"/>
          <w:bCs/>
          <w:szCs w:val="21"/>
        </w:rPr>
        <w:t>涉及商品包装、快递包装的，</w:t>
      </w:r>
      <w:r>
        <w:rPr>
          <w:rFonts w:hint="eastAsia" w:ascii="宋体" w:hAnsi="宋体"/>
          <w:szCs w:val="21"/>
        </w:rPr>
        <w:t>除</w:t>
      </w:r>
      <w:r>
        <w:rPr>
          <w:rFonts w:hint="eastAsia" w:ascii="宋体" w:hAnsi="宋体"/>
          <w:b/>
          <w:szCs w:val="21"/>
        </w:rPr>
        <w:t>【政府采购合同专用条款】</w:t>
      </w:r>
      <w:r>
        <w:rPr>
          <w:rFonts w:hint="eastAsia" w:ascii="宋体" w:hAnsi="宋体"/>
          <w:bCs/>
          <w:szCs w:val="21"/>
        </w:rPr>
        <w:t>另有约定外，</w:t>
      </w:r>
      <w:r>
        <w:rPr>
          <w:rFonts w:hint="eastAsia" w:ascii="宋体" w:hAnsi="宋体"/>
          <w:szCs w:val="21"/>
        </w:rPr>
        <w:t>包装应适应远距离运输、防潮、防震、防锈和防野蛮装卸等要求，确保货物安全无损地运抵</w:t>
      </w:r>
      <w:r>
        <w:rPr>
          <w:rFonts w:hint="eastAsia" w:ascii="宋体" w:hAnsi="宋体"/>
          <w:b/>
          <w:szCs w:val="21"/>
        </w:rPr>
        <w:t>【政府采购合同专用条款】</w:t>
      </w:r>
      <w:r>
        <w:rPr>
          <w:rFonts w:hint="eastAsia" w:ascii="宋体" w:hAnsi="宋体"/>
          <w:bCs/>
          <w:szCs w:val="21"/>
        </w:rPr>
        <w:t>约定的</w:t>
      </w:r>
      <w:r>
        <w:rPr>
          <w:rFonts w:hint="eastAsia" w:ascii="宋体" w:hAnsi="宋体"/>
          <w:szCs w:val="21"/>
        </w:rPr>
        <w:t>指定现场。</w:t>
      </w:r>
    </w:p>
    <w:p>
      <w:pPr>
        <w:adjustRightInd w:val="0"/>
        <w:snapToGrid w:val="0"/>
        <w:spacing w:line="400" w:lineRule="exact"/>
        <w:ind w:firstLine="420" w:firstLineChars="200"/>
        <w:jc w:val="left"/>
        <w:rPr>
          <w:rFonts w:ascii="宋体" w:hAnsi="宋体"/>
          <w:szCs w:val="21"/>
        </w:rPr>
      </w:pPr>
      <w:r>
        <w:rPr>
          <w:rFonts w:hint="eastAsia" w:ascii="宋体" w:hAnsi="宋体"/>
          <w:szCs w:val="21"/>
        </w:rPr>
        <w:t>7.2 除</w:t>
      </w:r>
      <w:r>
        <w:rPr>
          <w:rFonts w:hint="eastAsia" w:ascii="宋体" w:hAnsi="宋体"/>
          <w:b/>
          <w:szCs w:val="21"/>
        </w:rPr>
        <w:t>【政府采购合同专用条款】</w:t>
      </w:r>
      <w:r>
        <w:rPr>
          <w:rFonts w:hint="eastAsia" w:ascii="宋体" w:hAnsi="宋体"/>
          <w:bCs/>
          <w:szCs w:val="21"/>
        </w:rPr>
        <w:t>另有约定外，</w:t>
      </w:r>
      <w:r>
        <w:rPr>
          <w:rFonts w:hint="eastAsia" w:ascii="宋体" w:hAnsi="宋体"/>
          <w:szCs w:val="21"/>
        </w:rPr>
        <w:t>乙方负责办理将货物运抵本合同规定的交货地点，并装卸、交付至甲方的一切运输事项，相关费用应包含在合同价款中。</w:t>
      </w:r>
    </w:p>
    <w:p>
      <w:pPr>
        <w:adjustRightInd w:val="0"/>
        <w:snapToGrid w:val="0"/>
        <w:spacing w:line="400" w:lineRule="exact"/>
        <w:ind w:firstLine="420" w:firstLineChars="200"/>
        <w:jc w:val="left"/>
        <w:rPr>
          <w:rFonts w:ascii="宋体" w:hAnsi="宋体"/>
          <w:szCs w:val="21"/>
        </w:rPr>
      </w:pPr>
      <w:r>
        <w:rPr>
          <w:rFonts w:hint="eastAsia" w:ascii="宋体" w:hAnsi="宋体"/>
          <w:szCs w:val="21"/>
        </w:rPr>
        <w:t>7.3 货物保险要求按</w:t>
      </w:r>
      <w:r>
        <w:rPr>
          <w:rFonts w:hint="eastAsia" w:ascii="宋体" w:hAnsi="宋体"/>
          <w:b/>
          <w:szCs w:val="21"/>
        </w:rPr>
        <w:t>【政府采购合同专用条款】</w:t>
      </w:r>
      <w:r>
        <w:rPr>
          <w:rFonts w:hint="eastAsia" w:ascii="宋体" w:hAnsi="宋体"/>
          <w:bCs/>
          <w:szCs w:val="21"/>
        </w:rPr>
        <w:t>规定执行</w:t>
      </w:r>
      <w:r>
        <w:rPr>
          <w:rFonts w:hint="eastAsia" w:ascii="宋体" w:hAnsi="宋体"/>
          <w:szCs w:val="21"/>
        </w:rPr>
        <w:t>。</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 xml:space="preserve">7.5 </w:t>
      </w:r>
      <w:r>
        <w:rPr>
          <w:rFonts w:hint="eastAsia" w:ascii="宋体" w:hAnsi="宋体" w:cs="宋体"/>
          <w:szCs w:val="21"/>
        </w:rPr>
        <w:t>乙方在运输到达之前应提前通知甲方，并提示货物运输装卸的注意事项，甲方配合乙方做好货物的接收工作。</w:t>
      </w:r>
    </w:p>
    <w:p>
      <w:pPr>
        <w:pStyle w:val="146"/>
        <w:ind w:firstLine="420"/>
        <w:rPr>
          <w:sz w:val="21"/>
        </w:rPr>
      </w:pPr>
      <w:r>
        <w:rPr>
          <w:rFonts w:hint="eastAsia" w:ascii="宋体" w:hAnsi="宋体" w:eastAsia="宋体" w:cs="Times New Roman"/>
          <w:kern w:val="2"/>
          <w:sz w:val="21"/>
        </w:rPr>
        <w:t>7.6 如因包装、运输问题导致货物损毁、丢失或者品质下降，甲方有权要求降价、换货、拒收部分或整批货物，由此产生的费用和损失，均由乙方承担。</w:t>
      </w:r>
    </w:p>
    <w:p>
      <w:pPr>
        <w:adjustRightInd w:val="0"/>
        <w:snapToGrid w:val="0"/>
        <w:spacing w:line="400" w:lineRule="exact"/>
        <w:jc w:val="left"/>
        <w:rPr>
          <w:rFonts w:ascii="宋体" w:hAnsi="宋体"/>
          <w:b/>
          <w:sz w:val="24"/>
        </w:rPr>
      </w:pPr>
      <w:r>
        <w:rPr>
          <w:rFonts w:hint="eastAsia" w:ascii="宋体" w:hAnsi="宋体"/>
          <w:b/>
          <w:sz w:val="24"/>
        </w:rPr>
        <w:t>8. 质量标准和保证</w:t>
      </w:r>
    </w:p>
    <w:p>
      <w:pPr>
        <w:pStyle w:val="23"/>
        <w:adjustRightInd w:val="0"/>
        <w:snapToGrid w:val="0"/>
        <w:spacing w:line="400" w:lineRule="exact"/>
        <w:ind w:firstLine="420" w:firstLineChars="200"/>
        <w:jc w:val="left"/>
        <w:rPr>
          <w:rFonts w:hAnsi="宋体"/>
          <w:b/>
        </w:rPr>
      </w:pPr>
      <w:r>
        <w:rPr>
          <w:rFonts w:hint="eastAsia" w:hAnsi="宋体"/>
        </w:rPr>
        <w:t>8.1 质量标准</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（1）本合同下提供的货物应符合合同</w:t>
      </w:r>
      <w:r>
        <w:rPr>
          <w:rFonts w:hint="eastAsia" w:ascii="宋体" w:hAnsi="宋体" w:cs="宋体"/>
          <w:szCs w:val="21"/>
        </w:rPr>
        <w:t>约定的品牌、规格型号、技术性能、配置、质量、数量等要求。</w:t>
      </w:r>
      <w:r>
        <w:rPr>
          <w:rFonts w:hint="eastAsia" w:ascii="宋体" w:hAnsi="宋体"/>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pStyle w:val="23"/>
        <w:adjustRightInd w:val="0"/>
        <w:snapToGrid w:val="0"/>
        <w:spacing w:line="400" w:lineRule="exact"/>
        <w:ind w:firstLine="420" w:firstLineChars="200"/>
        <w:jc w:val="left"/>
        <w:rPr>
          <w:rFonts w:hAnsi="宋体"/>
        </w:rPr>
      </w:pPr>
      <w:r>
        <w:rPr>
          <w:rFonts w:hint="eastAsia" w:hAnsi="宋体"/>
        </w:rPr>
        <w:t>（2）采用中华人民共和国法定计量单位。</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（3）乙方所提供的货物应符合国家有关安全、环保、卫生的规定。</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（4）乙方应向甲方提交所提供货物的技术文件，包括相应的中文技术文件，如：产品目录、图纸、操作手册、使用说明、维护手册或服务指南等。上述文件应包装好随货物一同发运。</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8.2 保证</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（1）乙方应保证提供的货物完全符合合同规定的质量、规格和性能要求。乙方应保证货物在正确安装、正常使用和保养条件下，</w:t>
      </w:r>
      <w:r>
        <w:rPr>
          <w:rFonts w:hint="eastAsia" w:ascii="宋体" w:hAnsi="宋体" w:cs="宋体"/>
          <w:szCs w:val="21"/>
        </w:rPr>
        <w:t>在其使用寿命期内具备合同约定的性能</w:t>
      </w:r>
      <w:r>
        <w:rPr>
          <w:rFonts w:hint="eastAsia" w:ascii="宋体" w:hAnsi="宋体"/>
          <w:szCs w:val="21"/>
        </w:rPr>
        <w:t>。存在质量保证期的，货物最终交付验收合格后在</w:t>
      </w:r>
      <w:r>
        <w:rPr>
          <w:rFonts w:hint="eastAsia" w:ascii="宋体" w:hAnsi="宋体"/>
          <w:b/>
          <w:szCs w:val="21"/>
        </w:rPr>
        <w:t>【政府采购合同专用条款】</w:t>
      </w:r>
      <w:r>
        <w:rPr>
          <w:rFonts w:hint="eastAsia" w:ascii="宋体" w:hAnsi="宋体"/>
          <w:szCs w:val="21"/>
        </w:rPr>
        <w:t>规定或乙方书面承诺（两者以较长的为准）的质量保证期内，本保证保持有效。</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（2）在质量保证期内所发现的缺陷，甲方应尽快以书面形式通知乙方。</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（3）乙方收到通知后，应在</w:t>
      </w:r>
      <w:r>
        <w:rPr>
          <w:rFonts w:hint="eastAsia" w:ascii="宋体" w:hAnsi="宋体"/>
          <w:b/>
          <w:szCs w:val="21"/>
        </w:rPr>
        <w:t>【政府采购合同专用条款】</w:t>
      </w:r>
      <w:r>
        <w:rPr>
          <w:rFonts w:hint="eastAsia" w:ascii="宋体" w:hAnsi="宋体"/>
          <w:szCs w:val="21"/>
        </w:rPr>
        <w:t>规定的响应时间内以合理的速度免费维修或更换有缺陷的货物或部件。</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（4）在质量保证期内，如果货物的质量或规格与合同不符，或证实货物是有缺陷的，包括潜在的缺陷或使用不符合要求的材料等，甲方可以根据本合同第15.1条规定以书面形式追究乙方的违约责任。</w:t>
      </w:r>
    </w:p>
    <w:p>
      <w:pPr>
        <w:adjustRightInd w:val="0"/>
        <w:snapToGrid w:val="0"/>
        <w:spacing w:line="400" w:lineRule="exact"/>
        <w:ind w:firstLine="420" w:firstLineChars="200"/>
        <w:jc w:val="left"/>
      </w:pPr>
      <w:r>
        <w:rPr>
          <w:rFonts w:hint="eastAsia" w:ascii="宋体" w:hAnsi="宋体"/>
          <w:szCs w:val="21"/>
        </w:rPr>
        <w:t>（5）乙方在约定的时间内未能弥补缺陷，甲方可采取必要的补救措施，但其风险和费用将由乙方承担，甲方根据合同约定对乙方行使的其他权利不受影响。</w:t>
      </w:r>
    </w:p>
    <w:p>
      <w:pPr>
        <w:adjustRightInd w:val="0"/>
        <w:snapToGrid w:val="0"/>
        <w:spacing w:line="400" w:lineRule="exact"/>
        <w:jc w:val="left"/>
        <w:rPr>
          <w:rFonts w:ascii="宋体" w:hAnsi="宋体"/>
          <w:b/>
          <w:bCs/>
          <w:sz w:val="24"/>
        </w:rPr>
      </w:pPr>
      <w:r>
        <w:rPr>
          <w:rFonts w:hint="eastAsia" w:ascii="宋体" w:hAnsi="宋体"/>
          <w:b/>
          <w:bCs/>
          <w:sz w:val="24"/>
        </w:rPr>
        <w:t>9. 权利瑕疵担保</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9.1 乙方保证对其出售的货物享有合法的权利。</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 xml:space="preserve">9.2 </w:t>
      </w:r>
      <w:r>
        <w:rPr>
          <w:rFonts w:hint="eastAsia" w:ascii="宋体" w:hAnsi="宋体" w:cs="宋体"/>
          <w:szCs w:val="15"/>
        </w:rPr>
        <w:t>乙方保证在交付的货物上不存在抵押权等担保物权。</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9.3 如甲方使用上述货物构成对第三人侵权的，则由乙方承担全部责任。</w:t>
      </w:r>
    </w:p>
    <w:p>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10. 知识产权保护</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10.1 乙方对其所销售的货物应当享有知识产权或经权利人合法授权，保证没有侵犯任何第三人的知识产权等权利。</w:t>
      </w:r>
      <w:bookmarkStart w:id="127" w:name="_Hlk163047038"/>
      <w:r>
        <w:rPr>
          <w:rFonts w:hint="eastAsia" w:ascii="宋体" w:hAnsi="宋体" w:cs="宋体"/>
          <w:szCs w:val="15"/>
        </w:rPr>
        <w:t>因违反前述约定对第三人构成侵权的，应当由乙方向第三人承担法律责任；甲方依法向第三人赔偿后，有权向乙方追偿。甲方有其他损失的，乙方应当赔偿</w:t>
      </w:r>
      <w:bookmarkEnd w:id="127"/>
      <w:r>
        <w:rPr>
          <w:rFonts w:hint="eastAsia" w:ascii="宋体" w:hAnsi="宋体"/>
          <w:szCs w:val="21"/>
        </w:rPr>
        <w:t>。</w:t>
      </w:r>
    </w:p>
    <w:p>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11. 保密义务</w:t>
      </w:r>
    </w:p>
    <w:p>
      <w:pPr>
        <w:autoSpaceDE w:val="0"/>
        <w:autoSpaceDN w:val="0"/>
        <w:adjustRightInd w:val="0"/>
        <w:snapToGrid w:val="0"/>
        <w:spacing w:line="400" w:lineRule="exact"/>
        <w:ind w:firstLine="420" w:firstLineChars="200"/>
        <w:jc w:val="left"/>
        <w:rPr>
          <w:rFonts w:ascii="宋体" w:hAnsi="宋体" w:cs="宋体"/>
          <w:szCs w:val="15"/>
        </w:rPr>
      </w:pPr>
      <w:r>
        <w:rPr>
          <w:rFonts w:hint="eastAsia" w:ascii="宋体" w:hAnsi="宋体" w:cs="宋体"/>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szCs w:val="15"/>
        </w:rPr>
        <w:t>【政府采购合同专用条款】</w:t>
      </w:r>
      <w:r>
        <w:rPr>
          <w:rFonts w:hint="eastAsia" w:ascii="宋体" w:hAnsi="宋体" w:cs="宋体"/>
          <w:szCs w:val="15"/>
        </w:rPr>
        <w:t>中约定。</w:t>
      </w:r>
    </w:p>
    <w:p>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12. 合同价款支付</w:t>
      </w:r>
    </w:p>
    <w:p>
      <w:pPr>
        <w:adjustRightInd w:val="0"/>
        <w:snapToGrid w:val="0"/>
        <w:spacing w:line="400" w:lineRule="exact"/>
        <w:ind w:firstLine="420" w:firstLineChars="200"/>
        <w:jc w:val="left"/>
        <w:rPr>
          <w:rFonts w:ascii="宋体" w:hAnsi="宋体"/>
          <w:szCs w:val="21"/>
        </w:rPr>
      </w:pPr>
      <w:r>
        <w:rPr>
          <w:rFonts w:hint="eastAsia" w:ascii="宋体" w:hAnsi="宋体"/>
          <w:szCs w:val="21"/>
        </w:rPr>
        <w:t>12.1 合同价款支付按照国库集中支付制度及财政管理相关规定执行。</w:t>
      </w:r>
    </w:p>
    <w:p>
      <w:pPr>
        <w:pStyle w:val="4"/>
        <w:ind w:firstLine="420" w:firstLineChars="200"/>
        <w:rPr>
          <w:rFonts w:eastAsia="宋体"/>
        </w:rPr>
      </w:pPr>
      <w:r>
        <w:rPr>
          <w:rFonts w:hint="eastAsia" w:ascii="宋体" w:hAnsi="宋体"/>
          <w:b w:val="0"/>
          <w:bCs w:val="0"/>
          <w:sz w:val="21"/>
          <w:szCs w:val="21"/>
        </w:rPr>
        <w:t xml:space="preserve">12.2 </w:t>
      </w:r>
      <w:r>
        <w:rPr>
          <w:rFonts w:hint="eastAsia" w:ascii="宋体" w:hAnsi="宋体" w:eastAsia="宋体"/>
          <w:b w:val="0"/>
          <w:bCs w:val="0"/>
          <w:sz w:val="21"/>
          <w:szCs w:val="21"/>
        </w:rPr>
        <w:t>对于满足合同约定支付条件的，甲方原则上应当自收到发票后10个工作日内将资金支付到合同约定的</w:t>
      </w:r>
      <w:r>
        <w:rPr>
          <w:rFonts w:hint="eastAsia" w:ascii="宋体" w:hAnsi="宋体"/>
          <w:b w:val="0"/>
          <w:bCs w:val="0"/>
          <w:sz w:val="21"/>
          <w:szCs w:val="21"/>
        </w:rPr>
        <w:t>乙方</w:t>
      </w:r>
      <w:r>
        <w:rPr>
          <w:rFonts w:hint="eastAsia" w:ascii="宋体" w:hAnsi="宋体" w:eastAsia="宋体"/>
          <w:b w:val="0"/>
          <w:bCs w:val="0"/>
          <w:sz w:val="21"/>
          <w:szCs w:val="21"/>
        </w:rPr>
        <w:t>账户，不得以机构变动、人员更替、政策调整等为由迟延付款，不得将采购文件和合同中未规定的义务作为向乙方付款的条件。具体合同价款支付时间在【</w:t>
      </w:r>
      <w:r>
        <w:rPr>
          <w:rFonts w:hint="eastAsia" w:ascii="宋体" w:hAnsi="宋体" w:eastAsia="宋体"/>
          <w:sz w:val="21"/>
          <w:szCs w:val="21"/>
        </w:rPr>
        <w:t>政府采购合同专用条款</w:t>
      </w:r>
      <w:r>
        <w:rPr>
          <w:rFonts w:hint="eastAsia" w:ascii="宋体" w:hAnsi="宋体" w:eastAsia="宋体"/>
          <w:b w:val="0"/>
          <w:bCs w:val="0"/>
          <w:sz w:val="21"/>
          <w:szCs w:val="21"/>
        </w:rPr>
        <w:t>】中</w:t>
      </w:r>
      <w:r>
        <w:rPr>
          <w:rFonts w:hint="eastAsia" w:ascii="宋体" w:hAnsi="宋体"/>
          <w:b w:val="0"/>
          <w:bCs w:val="0"/>
          <w:sz w:val="21"/>
          <w:szCs w:val="21"/>
        </w:rPr>
        <w:t>约</w:t>
      </w:r>
      <w:r>
        <w:rPr>
          <w:rFonts w:hint="eastAsia" w:ascii="宋体" w:hAnsi="宋体" w:eastAsia="宋体"/>
          <w:b w:val="0"/>
          <w:bCs w:val="0"/>
          <w:sz w:val="21"/>
          <w:szCs w:val="21"/>
        </w:rPr>
        <w:t>定。</w:t>
      </w:r>
    </w:p>
    <w:p>
      <w:pPr>
        <w:pStyle w:val="18"/>
        <w:spacing w:line="400" w:lineRule="exact"/>
        <w:rPr>
          <w:rFonts w:ascii="宋体" w:hAnsi="宋体"/>
          <w:b/>
          <w:bCs/>
        </w:rPr>
      </w:pPr>
      <w:r>
        <w:rPr>
          <w:rFonts w:hint="eastAsia" w:ascii="宋体" w:hAnsi="宋体"/>
          <w:b/>
          <w:bCs/>
        </w:rPr>
        <w:t>13. 履约保证金</w:t>
      </w:r>
    </w:p>
    <w:p>
      <w:pPr>
        <w:adjustRightInd w:val="0"/>
        <w:snapToGrid w:val="0"/>
        <w:spacing w:line="400" w:lineRule="exact"/>
        <w:ind w:firstLine="420" w:firstLineChars="200"/>
        <w:jc w:val="left"/>
        <w:rPr>
          <w:rFonts w:ascii="宋体" w:hAnsi="宋体"/>
          <w:szCs w:val="21"/>
        </w:rPr>
      </w:pPr>
      <w:r>
        <w:rPr>
          <w:rFonts w:hint="eastAsia" w:ascii="宋体" w:hAnsi="宋体"/>
          <w:szCs w:val="21"/>
        </w:rPr>
        <w:t xml:space="preserve">13.1 </w:t>
      </w:r>
      <w:r>
        <w:rPr>
          <w:rFonts w:hint="eastAsia" w:ascii="宋体" w:hAnsi="宋体" w:cs="宋体"/>
          <w:szCs w:val="15"/>
        </w:rPr>
        <w:t>乙方应当以支票、汇票、本票或者金融机构、担保机构出具的保函等非现金形式提交。</w:t>
      </w:r>
    </w:p>
    <w:p>
      <w:pPr>
        <w:adjustRightInd w:val="0"/>
        <w:snapToGrid w:val="0"/>
        <w:spacing w:line="400" w:lineRule="exact"/>
        <w:ind w:firstLine="420" w:firstLineChars="200"/>
        <w:jc w:val="left"/>
        <w:rPr>
          <w:rFonts w:ascii="宋体" w:hAnsi="宋体"/>
          <w:szCs w:val="21"/>
        </w:rPr>
      </w:pPr>
      <w:r>
        <w:rPr>
          <w:rFonts w:hint="eastAsia" w:ascii="宋体" w:hAnsi="宋体"/>
          <w:szCs w:val="21"/>
        </w:rPr>
        <w:t>13.2 如果乙方出现</w:t>
      </w:r>
      <w:r>
        <w:rPr>
          <w:rFonts w:hint="eastAsia" w:ascii="宋体" w:hAnsi="宋体" w:cs="宋体"/>
          <w:b/>
          <w:bCs/>
          <w:szCs w:val="15"/>
        </w:rPr>
        <w:t>【政府采购合同专用条款】</w:t>
      </w:r>
      <w:r>
        <w:rPr>
          <w:rFonts w:hint="eastAsia" w:ascii="宋体" w:hAnsi="宋体" w:cs="宋体"/>
          <w:szCs w:val="15"/>
        </w:rPr>
        <w:t>约定情形的</w:t>
      </w:r>
      <w:r>
        <w:rPr>
          <w:rFonts w:hint="eastAsia" w:ascii="宋体" w:hAnsi="宋体"/>
          <w:szCs w:val="21"/>
        </w:rPr>
        <w:t>，履约保证金不予退还；如果乙方未能按合同约定全面履行义务，甲方有权从履约保证金中取得补偿或赔偿，且不影响甲方要求乙方承担合同约定的超过履约保证金的违约责任的权利。</w:t>
      </w:r>
    </w:p>
    <w:p>
      <w:pPr>
        <w:spacing w:line="400" w:lineRule="exact"/>
        <w:ind w:firstLine="420"/>
      </w:pPr>
      <w:r>
        <w:rPr>
          <w:rFonts w:hint="eastAsia" w:ascii="宋体" w:hAnsi="宋体"/>
          <w:szCs w:val="21"/>
        </w:rPr>
        <w:t>13.3 甲方在项目通过验收后按照</w:t>
      </w:r>
      <w:r>
        <w:rPr>
          <w:rFonts w:hint="eastAsia" w:ascii="宋体" w:hAnsi="宋体"/>
          <w:b/>
          <w:szCs w:val="21"/>
        </w:rPr>
        <w:t>【政府采购合同专用条款】</w:t>
      </w:r>
      <w:r>
        <w:rPr>
          <w:rFonts w:hint="eastAsia" w:ascii="宋体" w:hAnsi="宋体"/>
          <w:szCs w:val="21"/>
        </w:rPr>
        <w:t>规定的时间内将履约保证金退还乙方；逾期退还的，乙方可要求甲方支付违约金，违约金按照</w:t>
      </w:r>
      <w:r>
        <w:rPr>
          <w:rFonts w:hint="eastAsia" w:ascii="宋体" w:hAnsi="宋体"/>
          <w:b/>
          <w:szCs w:val="21"/>
        </w:rPr>
        <w:t>【政府采购合同专用条款】</w:t>
      </w:r>
      <w:r>
        <w:rPr>
          <w:rFonts w:hint="eastAsia" w:ascii="宋体" w:hAnsi="宋体"/>
          <w:szCs w:val="21"/>
        </w:rPr>
        <w:t>规定支付。</w:t>
      </w:r>
    </w:p>
    <w:p>
      <w:pPr>
        <w:autoSpaceDE w:val="0"/>
        <w:autoSpaceDN w:val="0"/>
        <w:adjustRightInd w:val="0"/>
        <w:snapToGrid w:val="0"/>
        <w:spacing w:line="400" w:lineRule="exact"/>
        <w:jc w:val="left"/>
        <w:rPr>
          <w:rFonts w:ascii="宋体" w:hAnsi="宋体"/>
          <w:b/>
          <w:sz w:val="24"/>
        </w:rPr>
      </w:pPr>
      <w:r>
        <w:rPr>
          <w:rFonts w:hint="eastAsia" w:ascii="宋体" w:hAnsi="宋体"/>
          <w:b/>
          <w:bCs/>
          <w:sz w:val="24"/>
        </w:rPr>
        <w:t xml:space="preserve">14. </w:t>
      </w:r>
      <w:r>
        <w:rPr>
          <w:rFonts w:hint="eastAsia"/>
          <w:b/>
          <w:sz w:val="24"/>
        </w:rPr>
        <w:t>售后</w:t>
      </w:r>
      <w:r>
        <w:rPr>
          <w:rFonts w:hint="eastAsia" w:ascii="宋体" w:hAnsi="宋体"/>
          <w:b/>
          <w:sz w:val="24"/>
        </w:rPr>
        <w:t>服务</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14.1 除项目不涉及或采购活动中明确约定无须承担外，乙方还应提供下列服务：</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（1）货物的现场移动、安装、调试、启动监督及技术支持；</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（2）提供货物组装和维修所需的专用工具和辅助材料；</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（3）在</w:t>
      </w:r>
      <w:r>
        <w:rPr>
          <w:rFonts w:hint="eastAsia" w:ascii="宋体" w:hAnsi="宋体" w:cs="宋体"/>
          <w:b/>
          <w:bCs/>
          <w:szCs w:val="15"/>
        </w:rPr>
        <w:t>【政府采购合同专用条款】</w:t>
      </w:r>
      <w:r>
        <w:rPr>
          <w:rFonts w:hint="eastAsia" w:ascii="宋体" w:hAnsi="宋体"/>
          <w:szCs w:val="21"/>
        </w:rPr>
        <w:t>约定的期限内对所有的货物实施运行监督、维修，但前提条件是该服务并不能免除乙方在质量保证期内所承担的义务；</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（4）在制造商所在地或指定现场就货物的安装、启动、运营、维护、废弃处置等对甲方操作人员进行培训</w:t>
      </w:r>
      <w:r>
        <w:rPr>
          <w:rFonts w:hint="eastAsia" w:ascii="宋体" w:hAnsi="宋体" w:cs="宋体"/>
          <w:szCs w:val="15"/>
        </w:rPr>
        <w:t>；</w:t>
      </w:r>
    </w:p>
    <w:p>
      <w:pPr>
        <w:pStyle w:val="146"/>
        <w:ind w:firstLine="420"/>
        <w:rPr>
          <w:rFonts w:ascii="宋体" w:hAnsi="宋体" w:eastAsia="宋体" w:cs="宋体"/>
          <w:sz w:val="21"/>
        </w:rPr>
      </w:pPr>
      <w:r>
        <w:rPr>
          <w:rFonts w:hint="eastAsia" w:ascii="宋体" w:hAnsi="宋体" w:eastAsia="宋体" w:cs="宋体"/>
          <w:sz w:val="21"/>
        </w:rPr>
        <w:t>（5）依照法律、行政法规的规定或者按照</w:t>
      </w:r>
      <w:r>
        <w:rPr>
          <w:rFonts w:hint="eastAsia" w:ascii="宋体" w:hAnsi="宋体" w:eastAsia="宋体" w:cs="宋体"/>
          <w:b/>
          <w:bCs/>
          <w:sz w:val="21"/>
        </w:rPr>
        <w:t>【政府采购合同专用条款】</w:t>
      </w:r>
      <w:r>
        <w:rPr>
          <w:rFonts w:hint="eastAsia" w:ascii="宋体" w:hAnsi="宋体" w:eastAsia="宋体" w:cs="宋体"/>
          <w:sz w:val="21"/>
        </w:rPr>
        <w:t>约定，货物在有效使用年限届满后应予回收的，乙方负有自行或者委托第三人对货物予以回收的义务；</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（6）</w:t>
      </w:r>
      <w:r>
        <w:rPr>
          <w:rFonts w:hint="eastAsia" w:ascii="宋体" w:hAnsi="宋体"/>
          <w:b/>
          <w:szCs w:val="21"/>
        </w:rPr>
        <w:t>【政府采购合同专用条款】</w:t>
      </w:r>
      <w:r>
        <w:rPr>
          <w:rFonts w:hint="eastAsia" w:ascii="宋体" w:hAnsi="宋体"/>
          <w:szCs w:val="21"/>
        </w:rPr>
        <w:t>规定由乙方提供的其他服务。</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14.2 乙方提供的售后服务的费用已包含在合同价款中，甲方不再另行支付。</w:t>
      </w:r>
    </w:p>
    <w:p>
      <w:pPr>
        <w:adjustRightInd w:val="0"/>
        <w:snapToGrid w:val="0"/>
        <w:spacing w:line="400" w:lineRule="exact"/>
        <w:jc w:val="left"/>
        <w:rPr>
          <w:rFonts w:ascii="宋体" w:hAnsi="宋体"/>
          <w:b/>
          <w:bCs/>
          <w:sz w:val="24"/>
        </w:rPr>
      </w:pPr>
      <w:r>
        <w:rPr>
          <w:rFonts w:hint="eastAsia" w:ascii="宋体" w:hAnsi="宋体"/>
          <w:b/>
          <w:bCs/>
          <w:sz w:val="24"/>
        </w:rPr>
        <w:t>15. 违约责任</w:t>
      </w:r>
    </w:p>
    <w:p>
      <w:pPr>
        <w:adjustRightInd w:val="0"/>
        <w:snapToGrid w:val="0"/>
        <w:spacing w:line="400" w:lineRule="exact"/>
        <w:ind w:firstLine="420" w:firstLineChars="200"/>
        <w:jc w:val="left"/>
        <w:rPr>
          <w:rFonts w:ascii="宋体" w:hAnsi="宋体"/>
          <w:bCs/>
          <w:szCs w:val="21"/>
        </w:rPr>
      </w:pPr>
      <w:r>
        <w:rPr>
          <w:rFonts w:hint="eastAsia" w:ascii="宋体" w:hAnsi="宋体"/>
          <w:bCs/>
          <w:szCs w:val="21"/>
        </w:rPr>
        <w:t>15.1质量瑕疵的违约责任</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乙方提供的产品不符合合同约定的质量标准或存在产品质量缺陷，甲方有权要求乙方根据</w:t>
      </w:r>
      <w:r>
        <w:rPr>
          <w:rFonts w:hint="eastAsia" w:ascii="宋体" w:hAnsi="宋体"/>
          <w:b/>
          <w:szCs w:val="21"/>
        </w:rPr>
        <w:t>【政府采购合同专用条款】</w:t>
      </w:r>
      <w:r>
        <w:rPr>
          <w:rFonts w:hint="eastAsia" w:ascii="宋体" w:hAnsi="宋体"/>
          <w:bCs/>
          <w:szCs w:val="21"/>
        </w:rPr>
        <w:t>要求</w:t>
      </w:r>
      <w:r>
        <w:rPr>
          <w:rFonts w:hint="eastAsia" w:ascii="宋体" w:hAnsi="宋体"/>
          <w:szCs w:val="21"/>
        </w:rPr>
        <w:t>及时修理、重作、更换，并承担由此给甲方造成的损失。</w:t>
      </w:r>
    </w:p>
    <w:p>
      <w:pPr>
        <w:autoSpaceDE w:val="0"/>
        <w:autoSpaceDN w:val="0"/>
        <w:adjustRightInd w:val="0"/>
        <w:snapToGrid w:val="0"/>
        <w:spacing w:line="400" w:lineRule="exact"/>
        <w:ind w:firstLine="420" w:firstLineChars="200"/>
        <w:jc w:val="left"/>
        <w:rPr>
          <w:rFonts w:ascii="宋体" w:hAnsi="宋体"/>
          <w:bCs/>
          <w:szCs w:val="21"/>
        </w:rPr>
      </w:pPr>
      <w:r>
        <w:rPr>
          <w:rFonts w:hint="eastAsia" w:ascii="宋体" w:hAnsi="宋体"/>
          <w:bCs/>
          <w:szCs w:val="21"/>
        </w:rPr>
        <w:t>15.2 迟延交货的违约责任</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（2）如果乙方没有按照合同规定的时间交货和提供相关服务，甲方有权从货款中扣除误期赔偿费而不影响合同项下的其他补救方法，赔偿费按</w:t>
      </w:r>
      <w:r>
        <w:rPr>
          <w:rFonts w:hint="eastAsia" w:ascii="宋体" w:hAnsi="宋体"/>
          <w:b/>
          <w:szCs w:val="21"/>
        </w:rPr>
        <w:t>【政府采购合同专用条款】</w:t>
      </w:r>
      <w:r>
        <w:rPr>
          <w:rFonts w:hint="eastAsia" w:ascii="宋体" w:hAnsi="宋体"/>
          <w:szCs w:val="21"/>
        </w:rPr>
        <w:t>规定执行。如果涉及公共利益，且赔偿金额无法弥补公共利益损失，甲方可要求继续履行或者采取其他补救措施。</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15.3 迟延支付的违约责任</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甲方存在迟延支付乙方合同款项的，应当承担</w:t>
      </w:r>
      <w:r>
        <w:rPr>
          <w:rFonts w:hint="eastAsia" w:ascii="宋体" w:hAnsi="宋体"/>
          <w:b/>
          <w:bCs/>
          <w:szCs w:val="21"/>
        </w:rPr>
        <w:t>【政府采购合同专用条款】</w:t>
      </w:r>
      <w:r>
        <w:rPr>
          <w:rFonts w:hint="eastAsia" w:ascii="宋体" w:hAnsi="宋体"/>
          <w:szCs w:val="21"/>
        </w:rPr>
        <w:t>规定的逾期付款利息。</w:t>
      </w:r>
    </w:p>
    <w:p>
      <w:pPr>
        <w:adjustRightInd w:val="0"/>
        <w:snapToGrid w:val="0"/>
        <w:spacing w:line="400" w:lineRule="exact"/>
        <w:ind w:firstLine="420" w:firstLineChars="200"/>
        <w:jc w:val="left"/>
        <w:rPr>
          <w:rFonts w:ascii="宋体" w:hAnsi="宋体"/>
          <w:szCs w:val="21"/>
        </w:rPr>
      </w:pPr>
      <w:r>
        <w:rPr>
          <w:rFonts w:hint="eastAsia" w:ascii="宋体" w:hAnsi="宋体"/>
          <w:bCs/>
          <w:szCs w:val="21"/>
        </w:rPr>
        <w:t>15.4其他违约责任根据项目实际需要按</w:t>
      </w:r>
      <w:r>
        <w:rPr>
          <w:rFonts w:hint="eastAsia" w:ascii="宋体" w:hAnsi="宋体"/>
          <w:b/>
          <w:bCs/>
          <w:szCs w:val="21"/>
        </w:rPr>
        <w:t>【政府采购合同专用条款】</w:t>
      </w:r>
      <w:r>
        <w:rPr>
          <w:rFonts w:hint="eastAsia" w:ascii="宋体" w:hAnsi="宋体"/>
          <w:szCs w:val="21"/>
        </w:rPr>
        <w:t>规定执行。</w:t>
      </w:r>
    </w:p>
    <w:p>
      <w:pPr>
        <w:numPr>
          <w:ilvl w:val="0"/>
          <w:numId w:val="20"/>
        </w:numPr>
        <w:autoSpaceDE w:val="0"/>
        <w:autoSpaceDN w:val="0"/>
        <w:adjustRightInd w:val="0"/>
        <w:snapToGrid w:val="0"/>
        <w:spacing w:line="400" w:lineRule="exact"/>
        <w:jc w:val="left"/>
        <w:rPr>
          <w:rFonts w:ascii="宋体" w:hAnsi="宋体"/>
          <w:b/>
          <w:sz w:val="24"/>
        </w:rPr>
      </w:pPr>
      <w:r>
        <w:rPr>
          <w:rFonts w:hint="eastAsia" w:ascii="宋体" w:hAnsi="宋体"/>
          <w:b/>
          <w:sz w:val="24"/>
        </w:rPr>
        <w:t>合同变更、中止与终止</w:t>
      </w:r>
    </w:p>
    <w:p>
      <w:pPr>
        <w:adjustRightInd w:val="0"/>
        <w:snapToGrid w:val="0"/>
        <w:spacing w:line="400" w:lineRule="exact"/>
        <w:jc w:val="left"/>
        <w:rPr>
          <w:rFonts w:ascii="宋体" w:hAnsi="宋体"/>
          <w:szCs w:val="21"/>
        </w:rPr>
      </w:pPr>
      <w:r>
        <w:rPr>
          <w:rFonts w:hint="eastAsia" w:ascii="宋体" w:hAnsi="宋体"/>
          <w:szCs w:val="21"/>
        </w:rPr>
        <w:t xml:space="preserve">    16.1合同的变更</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政府采购合同履行中，在不改变合同其他条款的前提下，甲方可以在合同价款10%的范围内追加与合同标的相同的货物，并就此与乙方协商一致后签订补充协议。</w:t>
      </w:r>
    </w:p>
    <w:p>
      <w:pPr>
        <w:adjustRightInd w:val="0"/>
        <w:snapToGrid w:val="0"/>
        <w:spacing w:line="400" w:lineRule="exact"/>
        <w:ind w:firstLine="420" w:firstLineChars="200"/>
        <w:jc w:val="left"/>
        <w:rPr>
          <w:rFonts w:ascii="宋体" w:hAnsi="宋体"/>
          <w:szCs w:val="21"/>
        </w:rPr>
      </w:pPr>
      <w:r>
        <w:rPr>
          <w:rFonts w:hint="eastAsia" w:ascii="宋体" w:hAnsi="宋体"/>
          <w:szCs w:val="21"/>
        </w:rPr>
        <w:t>16.2合同的中止</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（1）合同履行过程中因供应商就采购文件、采购过程或结果提起投诉的，甲方认为有必要的，可以中止合同的履行。</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pStyle w:val="146"/>
        <w:ind w:firstLine="420"/>
        <w:jc w:val="both"/>
        <w:rPr>
          <w:sz w:val="21"/>
        </w:rPr>
      </w:pPr>
      <w:r>
        <w:rPr>
          <w:rFonts w:hint="eastAsia" w:ascii="宋体" w:hAnsi="宋体" w:eastAsia="宋体" w:cs="宋体"/>
          <w:sz w:val="21"/>
        </w:rPr>
        <w:t>（3）乙方分立、合并或者变更住所的，应当及时以书面形式告知甲方。乙方没有及时告知甲方，致使合同履行发生困难的，甲方可以中止合同履行并要求乙方承担由此给甲方造成的损失。</w:t>
      </w:r>
    </w:p>
    <w:p>
      <w:pPr>
        <w:snapToGrid w:val="0"/>
        <w:spacing w:line="400" w:lineRule="exact"/>
        <w:ind w:firstLine="420" w:firstLineChars="200"/>
        <w:jc w:val="left"/>
      </w:pPr>
      <w:r>
        <w:rPr>
          <w:rFonts w:hint="eastAsia" w:ascii="宋体" w:hAnsi="宋体"/>
          <w:szCs w:val="21"/>
        </w:rPr>
        <w:t>（4）甲方不得以行政区划调整、政府换届、机构或者职能调整以及相关责任人更替为由中止合同。</w:t>
      </w:r>
    </w:p>
    <w:p>
      <w:pPr>
        <w:adjustRightInd w:val="0"/>
        <w:snapToGrid w:val="0"/>
        <w:spacing w:line="400" w:lineRule="exact"/>
        <w:ind w:firstLine="420" w:firstLineChars="200"/>
        <w:jc w:val="left"/>
        <w:rPr>
          <w:rFonts w:ascii="宋体" w:hAnsi="宋体"/>
          <w:szCs w:val="21"/>
        </w:rPr>
      </w:pPr>
      <w:r>
        <w:rPr>
          <w:rFonts w:hint="eastAsia" w:ascii="宋体" w:hAnsi="宋体"/>
          <w:szCs w:val="21"/>
        </w:rPr>
        <w:t>16.3合同的终止</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（1）合同因有效期限届满而终止；</w:t>
      </w:r>
    </w:p>
    <w:p>
      <w:pPr>
        <w:snapToGrid w:val="0"/>
        <w:spacing w:line="400" w:lineRule="exact"/>
        <w:ind w:firstLine="420" w:firstLineChars="200"/>
        <w:rPr>
          <w:rFonts w:ascii="宋体" w:hAnsi="宋体" w:cs="宋体"/>
          <w:szCs w:val="21"/>
        </w:rPr>
      </w:pPr>
      <w:r>
        <w:rPr>
          <w:rFonts w:hint="eastAsia" w:ascii="宋体" w:hAnsi="宋体"/>
          <w:szCs w:val="21"/>
        </w:rPr>
        <w:t>（2）乙方未按合同约定履行，构成根本性违约的，甲方有权终止合同，</w:t>
      </w:r>
      <w:r>
        <w:rPr>
          <w:rFonts w:hint="eastAsia" w:ascii="宋体" w:hAnsi="宋体" w:cs="宋体"/>
          <w:szCs w:val="21"/>
        </w:rPr>
        <w:t>并追究乙方的违约责任</w:t>
      </w:r>
      <w:r>
        <w:rPr>
          <w:rFonts w:hint="eastAsia" w:ascii="宋体" w:hAnsi="宋体"/>
          <w:szCs w:val="21"/>
        </w:rPr>
        <w:t>。</w:t>
      </w:r>
    </w:p>
    <w:p>
      <w:pPr>
        <w:pStyle w:val="146"/>
        <w:rPr>
          <w:rFonts w:ascii="宋体" w:hAnsi="宋体"/>
        </w:rPr>
      </w:pPr>
      <w:r>
        <w:rPr>
          <w:rFonts w:hint="eastAsia" w:ascii="宋体" w:hAnsi="宋体"/>
        </w:rPr>
        <w:t xml:space="preserve">16.4 </w:t>
      </w:r>
      <w:r>
        <w:rPr>
          <w:rFonts w:hint="eastAsia" w:ascii="宋体" w:hAnsi="宋体" w:eastAsia="宋体" w:cs="Times New Roman"/>
          <w:kern w:val="2"/>
          <w:sz w:val="21"/>
        </w:rPr>
        <w:t>涉及国家利益、社会公共利益的情形</w:t>
      </w:r>
    </w:p>
    <w:p>
      <w:pPr>
        <w:pStyle w:val="146"/>
        <w:ind w:firstLine="420"/>
        <w:jc w:val="both"/>
        <w:rPr>
          <w:sz w:val="21"/>
        </w:rPr>
      </w:pPr>
      <w:r>
        <w:rPr>
          <w:rFonts w:hint="eastAsia" w:ascii="宋体" w:hAnsi="宋体" w:eastAsia="宋体" w:cs="宋体"/>
          <w:sz w:val="21"/>
        </w:rPr>
        <w:t>政府采购合同继续履行将损害国家利益和社会公共利益的，双方当事人应当变更、中止或者终止合同。有过错的一方应当承担赔偿责任，双方都有过错的，各自承担相应的责任。</w:t>
      </w:r>
    </w:p>
    <w:p>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17. 合同分包</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17.1 乙方不得将合同转包给其他供应商。涉及合同分包的，乙方应根据采购文件和投标（响应）文件规定进行合同分包。</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17.2 乙方执行政府采购政策向中小企业依法分包的，乙方应当按采购文件和投标（响应）文件签订分包意向协议，分包意向协议属于本合同组成部分。</w:t>
      </w:r>
    </w:p>
    <w:p>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18. 不可抗力</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18.1 不可抗力是指合同双方不能预见、不能避免且不能克服的客观情况。</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18.2 任何一方对由于不可抗力造成的部分或全部不能履行合同不承担违约责任。但迟延履行后发生不可抗力的，不能免除责任。</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19. 解决争议的方法</w:t>
      </w:r>
    </w:p>
    <w:p>
      <w:pPr>
        <w:pStyle w:val="146"/>
        <w:ind w:firstLine="420"/>
        <w:jc w:val="both"/>
        <w:rPr>
          <w:rFonts w:ascii="宋体" w:hAnsi="宋体" w:eastAsia="宋体" w:cs="宋体"/>
          <w:sz w:val="21"/>
        </w:rPr>
      </w:pPr>
      <w:r>
        <w:rPr>
          <w:rFonts w:hint="eastAsia" w:ascii="宋体" w:hAnsi="宋体" w:eastAsia="宋体" w:cs="宋体"/>
          <w:sz w:val="21"/>
        </w:rPr>
        <w:t>19.1 因本合同及合同有关事项发生的争议，由甲乙双方友好协商解决。协商不成时，可以向有关组织申请调解。合同一方或双方不愿调解或调解不成的，可以通过仲裁或诉讼的方式解决争议。</w:t>
      </w:r>
    </w:p>
    <w:p>
      <w:pPr>
        <w:pStyle w:val="146"/>
        <w:ind w:firstLine="420"/>
        <w:jc w:val="both"/>
        <w:rPr>
          <w:rFonts w:ascii="宋体" w:hAnsi="宋体" w:eastAsia="宋体" w:cs="宋体"/>
          <w:sz w:val="21"/>
        </w:rPr>
      </w:pPr>
      <w:r>
        <w:rPr>
          <w:rFonts w:hint="eastAsia" w:ascii="宋体" w:hAnsi="宋体" w:eastAsia="宋体" w:cs="宋体"/>
          <w:sz w:val="21"/>
        </w:rPr>
        <w:t>19.2 选择仲裁的，应在</w:t>
      </w:r>
      <w:r>
        <w:rPr>
          <w:rFonts w:hint="eastAsia" w:ascii="宋体" w:hAnsi="宋体" w:eastAsia="宋体" w:cs="宋体"/>
          <w:b/>
          <w:bCs/>
          <w:sz w:val="21"/>
        </w:rPr>
        <w:t>【政府采购合同专用条款】</w:t>
      </w:r>
      <w:r>
        <w:rPr>
          <w:rFonts w:hint="eastAsia" w:ascii="宋体" w:hAnsi="宋体" w:eastAsia="宋体" w:cs="宋体"/>
          <w:sz w:val="21"/>
        </w:rPr>
        <w:t>中明确仲裁机构及仲裁地；通过诉讼方式解决的，可以在</w:t>
      </w:r>
      <w:r>
        <w:rPr>
          <w:rFonts w:hint="eastAsia" w:ascii="宋体" w:hAnsi="宋体" w:eastAsia="宋体" w:cs="宋体"/>
          <w:b/>
          <w:bCs/>
          <w:sz w:val="21"/>
        </w:rPr>
        <w:t>【政府采购合同专用条款】</w:t>
      </w:r>
      <w:r>
        <w:rPr>
          <w:rFonts w:hint="eastAsia" w:ascii="宋体" w:hAnsi="宋体" w:eastAsia="宋体" w:cs="宋体"/>
          <w:sz w:val="21"/>
        </w:rPr>
        <w:t>中进一步约定选择与争议有实际联系的地点的人民法院管辖，但管辖法院的约定不得违反级别管辖和专属管辖的规定。</w:t>
      </w:r>
    </w:p>
    <w:p>
      <w:pPr>
        <w:pStyle w:val="146"/>
        <w:ind w:firstLine="420"/>
        <w:jc w:val="both"/>
        <w:rPr>
          <w:rFonts w:ascii="宋体" w:hAnsi="宋体" w:eastAsia="宋体" w:cs="宋体"/>
          <w:sz w:val="21"/>
        </w:rPr>
      </w:pPr>
      <w:r>
        <w:rPr>
          <w:rFonts w:hint="eastAsia" w:ascii="宋体" w:hAnsi="宋体" w:eastAsia="宋体" w:cs="宋体"/>
          <w:sz w:val="21"/>
        </w:rPr>
        <w:t>19.3 如甲乙双方有争议的事项不影响合同其他部分的履行，在争议解决期间，合同其他部分应当继续履行。</w:t>
      </w:r>
    </w:p>
    <w:p>
      <w:pPr>
        <w:autoSpaceDE w:val="0"/>
        <w:autoSpaceDN w:val="0"/>
        <w:adjustRightInd w:val="0"/>
        <w:snapToGrid w:val="0"/>
        <w:spacing w:line="400" w:lineRule="exact"/>
        <w:jc w:val="left"/>
        <w:rPr>
          <w:rFonts w:ascii="宋体" w:hAnsi="宋体"/>
          <w:sz w:val="24"/>
        </w:rPr>
      </w:pPr>
      <w:r>
        <w:rPr>
          <w:rFonts w:hint="eastAsia" w:ascii="宋体" w:hAnsi="宋体"/>
          <w:b/>
          <w:sz w:val="24"/>
        </w:rPr>
        <w:t>20. 政府采购政策</w:t>
      </w:r>
    </w:p>
    <w:p>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 xml:space="preserve">20.1 </w:t>
      </w:r>
      <w:r>
        <w:rPr>
          <w:rFonts w:hint="eastAsia" w:ascii="宋体" w:hAnsi="宋体" w:cs="宋体"/>
          <w:lang w:val="en-GB"/>
        </w:rPr>
        <w:t>本合同应当按照规定执行政府采购政策。</w:t>
      </w:r>
    </w:p>
    <w:p>
      <w:pPr>
        <w:autoSpaceDE w:val="0"/>
        <w:autoSpaceDN w:val="0"/>
        <w:adjustRightInd w:val="0"/>
        <w:snapToGrid w:val="0"/>
        <w:spacing w:line="400" w:lineRule="exact"/>
        <w:ind w:firstLine="420" w:firstLineChars="200"/>
        <w:jc w:val="left"/>
        <w:rPr>
          <w:rFonts w:ascii="宋体" w:hAnsi="宋体"/>
          <w:szCs w:val="21"/>
        </w:rPr>
      </w:pPr>
      <w:r>
        <w:rPr>
          <w:rFonts w:ascii="宋体" w:hAnsi="宋体"/>
          <w:szCs w:val="21"/>
        </w:rPr>
        <w:t>2</w:t>
      </w:r>
      <w:r>
        <w:rPr>
          <w:rFonts w:hint="eastAsia" w:ascii="宋体" w:hAnsi="宋体"/>
          <w:szCs w:val="21"/>
        </w:rPr>
        <w:t>0.2 本合同依法执行政府采购政策的方式和内容，属于合同履约验收的范围。</w:t>
      </w:r>
      <w:r>
        <w:rPr>
          <w:rFonts w:hint="eastAsia" w:ascii="宋体" w:hAnsi="宋体" w:cs="宋体"/>
        </w:rPr>
        <w:t>甲乙双方</w:t>
      </w:r>
      <w:r>
        <w:rPr>
          <w:rFonts w:hint="eastAsia" w:ascii="宋体" w:hAnsi="宋体" w:cs="宋体"/>
          <w:lang w:val="en-GB"/>
        </w:rPr>
        <w:t>未按规定要求执行政府采购政策造成损失的</w:t>
      </w:r>
      <w:r>
        <w:rPr>
          <w:rFonts w:hint="eastAsia" w:ascii="宋体" w:hAnsi="宋体"/>
          <w:szCs w:val="21"/>
        </w:rPr>
        <w:t>，有过错的一方应当承担赔偿责任，双方都有过错的，各自承担相应的责任。</w:t>
      </w:r>
    </w:p>
    <w:p>
      <w:pPr>
        <w:pStyle w:val="18"/>
        <w:spacing w:line="400" w:lineRule="exact"/>
        <w:ind w:firstLine="480" w:firstLineChars="200"/>
      </w:pPr>
      <w:r>
        <w:rPr>
          <w:rFonts w:ascii="宋体" w:hAnsi="宋体"/>
          <w:szCs w:val="21"/>
        </w:rPr>
        <w:t>2</w:t>
      </w:r>
      <w:r>
        <w:rPr>
          <w:rFonts w:hint="eastAsia" w:ascii="宋体" w:hAnsi="宋体"/>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autoSpaceDE w:val="0"/>
        <w:autoSpaceDN w:val="0"/>
        <w:adjustRightInd w:val="0"/>
        <w:snapToGrid w:val="0"/>
        <w:spacing w:line="400" w:lineRule="exact"/>
        <w:jc w:val="left"/>
        <w:rPr>
          <w:rFonts w:ascii="宋体" w:hAnsi="宋体"/>
          <w:b/>
          <w:sz w:val="24"/>
        </w:rPr>
      </w:pPr>
      <w:r>
        <w:rPr>
          <w:rFonts w:hint="eastAsia" w:ascii="宋体" w:hAnsi="宋体"/>
          <w:b/>
          <w:sz w:val="24"/>
        </w:rPr>
        <w:t>21. 法律适用</w:t>
      </w:r>
    </w:p>
    <w:p>
      <w:pPr>
        <w:pStyle w:val="146"/>
        <w:ind w:firstLine="420"/>
        <w:jc w:val="both"/>
        <w:rPr>
          <w:rFonts w:ascii="宋体" w:hAnsi="宋体" w:eastAsia="宋体" w:cs="宋体"/>
          <w:sz w:val="21"/>
        </w:rPr>
      </w:pPr>
      <w:r>
        <w:rPr>
          <w:rFonts w:hint="eastAsia" w:ascii="宋体" w:hAnsi="宋体" w:eastAsia="宋体" w:cs="宋体"/>
          <w:sz w:val="21"/>
        </w:rPr>
        <w:t>21.1 本合同的订立、生效、解释、履行及与本合同有关的争议解决，均适用法律、行政法规。</w:t>
      </w:r>
    </w:p>
    <w:p>
      <w:pPr>
        <w:pStyle w:val="146"/>
        <w:ind w:firstLine="420"/>
        <w:jc w:val="both"/>
        <w:rPr>
          <w:rFonts w:ascii="宋体" w:hAnsi="宋体" w:eastAsia="宋体" w:cs="宋体"/>
          <w:sz w:val="21"/>
        </w:rPr>
      </w:pPr>
      <w:r>
        <w:rPr>
          <w:rFonts w:hint="eastAsia" w:ascii="宋体" w:hAnsi="宋体" w:eastAsia="宋体" w:cs="宋体"/>
          <w:sz w:val="21"/>
        </w:rPr>
        <w:t>21.2 本合同条款与法律、行政法规的强制性规定不一致的，双方当事人应按照法律、行政法规的强制性规定修改本合同的相关条款。</w:t>
      </w:r>
    </w:p>
    <w:p>
      <w:pPr>
        <w:numPr>
          <w:ilvl w:val="255"/>
          <w:numId w:val="0"/>
        </w:numPr>
        <w:autoSpaceDE w:val="0"/>
        <w:autoSpaceDN w:val="0"/>
        <w:adjustRightInd w:val="0"/>
        <w:snapToGrid w:val="0"/>
        <w:spacing w:line="400" w:lineRule="exact"/>
        <w:jc w:val="left"/>
        <w:rPr>
          <w:rFonts w:ascii="宋体" w:hAnsi="宋体"/>
          <w:b/>
          <w:sz w:val="24"/>
        </w:rPr>
      </w:pPr>
      <w:r>
        <w:rPr>
          <w:rFonts w:hint="eastAsia" w:ascii="宋体" w:hAnsi="宋体"/>
          <w:b/>
          <w:sz w:val="24"/>
        </w:rPr>
        <w:t>22. 通知</w:t>
      </w:r>
    </w:p>
    <w:p>
      <w:pPr>
        <w:pStyle w:val="146"/>
        <w:ind w:firstLine="420"/>
        <w:jc w:val="both"/>
        <w:rPr>
          <w:rFonts w:ascii="宋体" w:hAnsi="宋体" w:eastAsia="宋体" w:cs="宋体"/>
          <w:sz w:val="21"/>
        </w:rPr>
      </w:pPr>
      <w:r>
        <w:rPr>
          <w:rFonts w:hint="eastAsia" w:ascii="宋体" w:hAnsi="宋体" w:eastAsia="宋体" w:cs="宋体"/>
          <w:sz w:val="21"/>
        </w:rPr>
        <w:t>22.1 本合同任何一方向对方发出的通知、信件、数据电文等，应当发送至本合同第一部分《政府采购合同协议书》所约定的通讯地址、联系人、联系电话或电子邮箱。</w:t>
      </w:r>
    </w:p>
    <w:p>
      <w:pPr>
        <w:pStyle w:val="146"/>
        <w:ind w:firstLine="0" w:firstLineChars="0"/>
        <w:jc w:val="both"/>
        <w:rPr>
          <w:sz w:val="21"/>
        </w:rPr>
      </w:pPr>
      <w:r>
        <w:rPr>
          <w:rFonts w:hint="eastAsia" w:ascii="宋体" w:hAnsi="宋体" w:eastAsia="宋体" w:cs="宋体"/>
          <w:sz w:val="21"/>
        </w:rPr>
        <w:t xml:space="preserve">    22.2 一方当事人变更名称、住所、联系人、联系电话或电子邮箱等信息的，应当在变更后3日内及时书面通知对方，对方实际收到变更通知前的送达仍为有效送达。</w:t>
      </w:r>
    </w:p>
    <w:p>
      <w:pPr>
        <w:adjustRightInd w:val="0"/>
        <w:snapToGrid w:val="0"/>
        <w:spacing w:line="400" w:lineRule="exact"/>
        <w:ind w:firstLine="420" w:firstLineChars="200"/>
        <w:jc w:val="left"/>
        <w:rPr>
          <w:rFonts w:ascii="宋体" w:hAnsi="宋体"/>
          <w:szCs w:val="21"/>
        </w:rPr>
      </w:pPr>
      <w:r>
        <w:rPr>
          <w:rFonts w:hint="eastAsia" w:ascii="宋体" w:hAnsi="宋体"/>
          <w:szCs w:val="21"/>
        </w:rPr>
        <w:t>22.3本合同一方给另一方的通知均应采用书面形式，传真或快递送到本合同中规定的对方的地址和办理签收手续。</w:t>
      </w:r>
    </w:p>
    <w:p>
      <w:pPr>
        <w:adjustRightInd w:val="0"/>
        <w:snapToGrid w:val="0"/>
        <w:spacing w:line="400" w:lineRule="exact"/>
        <w:ind w:firstLine="420" w:firstLineChars="200"/>
        <w:jc w:val="left"/>
        <w:rPr>
          <w:rFonts w:ascii="宋体" w:hAnsi="宋体"/>
          <w:szCs w:val="21"/>
        </w:rPr>
      </w:pPr>
      <w:r>
        <w:rPr>
          <w:rFonts w:hint="eastAsia" w:ascii="宋体" w:hAnsi="宋体"/>
          <w:szCs w:val="21"/>
        </w:rPr>
        <w:t>22.4通知以送达之日或通知书中规定的生效之日起生效，两者中以较迟之日为准。</w:t>
      </w:r>
    </w:p>
    <w:p>
      <w:pPr>
        <w:numPr>
          <w:ilvl w:val="0"/>
          <w:numId w:val="21"/>
        </w:numPr>
        <w:adjustRightInd w:val="0"/>
        <w:snapToGrid w:val="0"/>
        <w:spacing w:line="400" w:lineRule="exact"/>
        <w:jc w:val="left"/>
        <w:rPr>
          <w:rFonts w:ascii="宋体" w:hAnsi="宋体"/>
          <w:b/>
          <w:bCs/>
          <w:sz w:val="24"/>
        </w:rPr>
      </w:pPr>
      <w:r>
        <w:rPr>
          <w:rFonts w:hint="eastAsia" w:ascii="宋体" w:hAnsi="宋体"/>
          <w:b/>
          <w:bCs/>
          <w:sz w:val="24"/>
        </w:rPr>
        <w:t>合同未尽事项</w:t>
      </w:r>
    </w:p>
    <w:p>
      <w:pPr>
        <w:adjustRightInd w:val="0"/>
        <w:snapToGrid w:val="0"/>
        <w:spacing w:line="400" w:lineRule="exact"/>
        <w:ind w:firstLine="420" w:firstLineChars="200"/>
        <w:jc w:val="left"/>
        <w:rPr>
          <w:rFonts w:ascii="宋体" w:hAnsi="宋体"/>
          <w:bCs/>
          <w:szCs w:val="21"/>
        </w:rPr>
      </w:pPr>
      <w:r>
        <w:rPr>
          <w:rFonts w:hint="eastAsia" w:ascii="宋体" w:hAnsi="宋体"/>
          <w:bCs/>
          <w:szCs w:val="21"/>
        </w:rPr>
        <w:t>23.1合同未尽事项见</w:t>
      </w:r>
      <w:r>
        <w:rPr>
          <w:rFonts w:hint="eastAsia" w:ascii="宋体" w:hAnsi="宋体"/>
          <w:b/>
          <w:szCs w:val="21"/>
        </w:rPr>
        <w:t>【政府采购合同专用条款】</w:t>
      </w:r>
      <w:r>
        <w:rPr>
          <w:rFonts w:hint="eastAsia" w:ascii="宋体" w:hAnsi="宋体"/>
          <w:bCs/>
          <w:szCs w:val="21"/>
        </w:rPr>
        <w:t>。</w:t>
      </w:r>
    </w:p>
    <w:p>
      <w:pPr>
        <w:adjustRightInd w:val="0"/>
        <w:snapToGrid w:val="0"/>
        <w:spacing w:line="400" w:lineRule="exact"/>
        <w:jc w:val="left"/>
        <w:rPr>
          <w:rFonts w:ascii="黑体" w:hAnsi="华文中宋" w:eastAsia="黑体"/>
          <w:sz w:val="28"/>
          <w:szCs w:val="28"/>
        </w:rPr>
      </w:pPr>
      <w:r>
        <w:rPr>
          <w:rFonts w:hint="eastAsia" w:ascii="宋体" w:hAnsi="宋体"/>
          <w:bCs/>
          <w:szCs w:val="21"/>
        </w:rPr>
        <w:t xml:space="preserve">    23.2 合同附件与合同正文具有同等的法律效力。</w:t>
      </w:r>
      <w:bookmarkStart w:id="128" w:name="_Toc20313"/>
    </w:p>
    <w:p>
      <w:pPr>
        <w:adjustRightInd w:val="0"/>
        <w:snapToGrid w:val="0"/>
        <w:jc w:val="center"/>
        <w:rPr>
          <w:rFonts w:ascii="黑体" w:hAnsi="华文中宋" w:eastAsia="黑体"/>
          <w:sz w:val="28"/>
          <w:szCs w:val="28"/>
        </w:rPr>
      </w:pPr>
      <w:r>
        <w:rPr>
          <w:rFonts w:hint="eastAsia" w:ascii="黑体" w:hAnsi="华文中宋" w:eastAsia="黑体"/>
          <w:sz w:val="28"/>
          <w:szCs w:val="28"/>
        </w:rPr>
        <w:br w:type="page"/>
      </w:r>
    </w:p>
    <w:p>
      <w:pPr>
        <w:pStyle w:val="4"/>
        <w:adjustRightInd w:val="0"/>
        <w:snapToGrid w:val="0"/>
        <w:jc w:val="center"/>
        <w:rPr>
          <w:rFonts w:ascii="黑体" w:hAnsi="华文中宋"/>
          <w:b w:val="0"/>
          <w:bCs w:val="0"/>
          <w:sz w:val="28"/>
          <w:szCs w:val="28"/>
        </w:rPr>
      </w:pPr>
      <w:r>
        <w:rPr>
          <w:rFonts w:hint="eastAsia" w:ascii="黑体" w:hAnsi="华文中宋"/>
          <w:b w:val="0"/>
          <w:bCs w:val="0"/>
          <w:sz w:val="28"/>
          <w:szCs w:val="28"/>
        </w:rPr>
        <w:t>第三节 政府采购合同专用条款</w:t>
      </w:r>
      <w:bookmarkEnd w:id="128"/>
    </w:p>
    <w:tbl>
      <w:tblPr>
        <w:tblStyle w:val="4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第1.2（6）项</w:t>
            </w:r>
          </w:p>
        </w:tc>
        <w:tc>
          <w:tcPr>
            <w:tcW w:w="1742" w:type="dxa"/>
            <w:vAlign w:val="center"/>
          </w:tcPr>
          <w:p>
            <w:pPr>
              <w:adjustRightInd w:val="0"/>
              <w:snapToGrid w:val="0"/>
              <w:jc w:val="left"/>
              <w:rPr>
                <w:rFonts w:ascii="宋体" w:hAnsi="宋体"/>
                <w:szCs w:val="21"/>
              </w:rPr>
            </w:pPr>
            <w:r>
              <w:rPr>
                <w:rFonts w:hint="eastAsia" w:ascii="宋体" w:hAnsi="宋体"/>
                <w:szCs w:val="21"/>
              </w:rPr>
              <w:t>联合体具体要求</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第1.2（7）项</w:t>
            </w:r>
          </w:p>
        </w:tc>
        <w:tc>
          <w:tcPr>
            <w:tcW w:w="1742" w:type="dxa"/>
            <w:vAlign w:val="center"/>
          </w:tcPr>
          <w:p>
            <w:pPr>
              <w:adjustRightInd w:val="0"/>
              <w:snapToGrid w:val="0"/>
              <w:jc w:val="left"/>
              <w:rPr>
                <w:rFonts w:ascii="宋体" w:hAnsi="宋体"/>
                <w:szCs w:val="21"/>
              </w:rPr>
            </w:pPr>
            <w:r>
              <w:rPr>
                <w:rFonts w:hint="eastAsia" w:ascii="宋体" w:hAnsi="宋体"/>
                <w:szCs w:val="21"/>
              </w:rPr>
              <w:t>其他术语解释</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第4.4款</w:t>
            </w:r>
          </w:p>
        </w:tc>
        <w:tc>
          <w:tcPr>
            <w:tcW w:w="1742" w:type="dxa"/>
            <w:vAlign w:val="center"/>
          </w:tcPr>
          <w:p>
            <w:pPr>
              <w:adjustRightInd w:val="0"/>
              <w:snapToGrid w:val="0"/>
              <w:jc w:val="left"/>
              <w:rPr>
                <w:rFonts w:ascii="宋体" w:hAnsi="宋体"/>
                <w:szCs w:val="21"/>
              </w:rPr>
            </w:pPr>
            <w:r>
              <w:rPr>
                <w:rFonts w:hint="eastAsia" w:ascii="宋体" w:hAnsi="宋体"/>
                <w:szCs w:val="21"/>
              </w:rPr>
              <w:t>履约验收中甲方提出异议或作出说明的期限</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第4.6款</w:t>
            </w:r>
          </w:p>
        </w:tc>
        <w:tc>
          <w:tcPr>
            <w:tcW w:w="1742" w:type="dxa"/>
            <w:vAlign w:val="center"/>
          </w:tcPr>
          <w:p>
            <w:pPr>
              <w:adjustRightInd w:val="0"/>
              <w:snapToGrid w:val="0"/>
              <w:jc w:val="left"/>
              <w:rPr>
                <w:rFonts w:ascii="宋体" w:hAnsi="宋体"/>
                <w:szCs w:val="21"/>
              </w:rPr>
            </w:pPr>
            <w:r>
              <w:rPr>
                <w:rFonts w:hint="eastAsia" w:ascii="宋体" w:hAnsi="宋体"/>
                <w:szCs w:val="21"/>
              </w:rPr>
              <w:t>约定甲方承担的其他义务和责任</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snapToGrid w:val="0"/>
              <w:jc w:val="center"/>
            </w:pPr>
            <w:r>
              <w:rPr>
                <w:rFonts w:hint="eastAsia" w:ascii="宋体" w:hAnsi="宋体"/>
                <w:szCs w:val="21"/>
              </w:rPr>
              <w:t>第5.4款</w:t>
            </w:r>
          </w:p>
        </w:tc>
        <w:tc>
          <w:tcPr>
            <w:tcW w:w="1742" w:type="dxa"/>
            <w:vAlign w:val="center"/>
          </w:tcPr>
          <w:p>
            <w:pPr>
              <w:adjustRightInd w:val="0"/>
              <w:snapToGrid w:val="0"/>
              <w:jc w:val="left"/>
              <w:rPr>
                <w:rFonts w:ascii="宋体" w:hAnsi="宋体"/>
                <w:szCs w:val="21"/>
              </w:rPr>
            </w:pPr>
            <w:r>
              <w:rPr>
                <w:rFonts w:hint="eastAsia" w:ascii="宋体" w:hAnsi="宋体"/>
                <w:szCs w:val="21"/>
              </w:rPr>
              <w:t>约定乙方承担的其他义务和责任</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snapToGrid w:val="0"/>
              <w:jc w:val="center"/>
              <w:rPr>
                <w:rFonts w:ascii="宋体" w:hAnsi="宋体"/>
                <w:szCs w:val="21"/>
              </w:rPr>
            </w:pPr>
            <w:r>
              <w:rPr>
                <w:rFonts w:hint="eastAsia" w:ascii="宋体" w:hAnsi="宋体"/>
                <w:szCs w:val="21"/>
              </w:rPr>
              <w:t>第6.1款</w:t>
            </w:r>
          </w:p>
        </w:tc>
        <w:tc>
          <w:tcPr>
            <w:tcW w:w="1742" w:type="dxa"/>
            <w:vAlign w:val="center"/>
          </w:tcPr>
          <w:p>
            <w:pPr>
              <w:adjustRightInd w:val="0"/>
              <w:snapToGrid w:val="0"/>
              <w:jc w:val="left"/>
              <w:rPr>
                <w:rFonts w:ascii="宋体" w:hAnsi="宋体"/>
                <w:szCs w:val="21"/>
              </w:rPr>
            </w:pPr>
            <w:r>
              <w:rPr>
                <w:rFonts w:hint="eastAsia" w:ascii="宋体" w:hAnsi="宋体"/>
                <w:szCs w:val="21"/>
              </w:rPr>
              <w:t>履行合同义务的顺序</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第7.1款</w:t>
            </w:r>
          </w:p>
        </w:tc>
        <w:tc>
          <w:tcPr>
            <w:tcW w:w="1742" w:type="dxa"/>
            <w:vAlign w:val="center"/>
          </w:tcPr>
          <w:p>
            <w:pPr>
              <w:adjustRightInd w:val="0"/>
              <w:snapToGrid w:val="0"/>
              <w:jc w:val="left"/>
              <w:rPr>
                <w:rFonts w:ascii="宋体" w:hAnsi="宋体"/>
                <w:szCs w:val="21"/>
              </w:rPr>
            </w:pPr>
            <w:r>
              <w:rPr>
                <w:rFonts w:hint="eastAsia" w:ascii="宋体" w:hAnsi="宋体"/>
                <w:szCs w:val="21"/>
              </w:rPr>
              <w:t>包装特殊要求</w:t>
            </w:r>
          </w:p>
        </w:tc>
        <w:tc>
          <w:tcPr>
            <w:tcW w:w="5170" w:type="dxa"/>
            <w:vAlign w:val="center"/>
          </w:tc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pPr>
              <w:adjustRightInd w:val="0"/>
              <w:snapToGrid w:val="0"/>
              <w:jc w:val="center"/>
              <w:rPr>
                <w:rFonts w:ascii="宋体" w:hAnsi="宋体"/>
                <w:szCs w:val="21"/>
              </w:rPr>
            </w:pPr>
          </w:p>
        </w:tc>
        <w:tc>
          <w:tcPr>
            <w:tcW w:w="1742" w:type="dxa"/>
            <w:vAlign w:val="center"/>
          </w:tcPr>
          <w:p>
            <w:pPr>
              <w:adjustRightInd w:val="0"/>
              <w:snapToGrid w:val="0"/>
              <w:jc w:val="left"/>
              <w:rPr>
                <w:rFonts w:ascii="宋体" w:hAnsi="宋体"/>
                <w:szCs w:val="21"/>
              </w:rPr>
            </w:pPr>
            <w:r>
              <w:rPr>
                <w:rFonts w:hint="eastAsia" w:ascii="宋体" w:hAnsi="宋体"/>
                <w:szCs w:val="21"/>
              </w:rPr>
              <w:t>指定现场</w:t>
            </w:r>
          </w:p>
        </w:tc>
        <w:tc>
          <w:tcPr>
            <w:tcW w:w="5170" w:type="dxa"/>
            <w:vAlign w:val="center"/>
          </w:tc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第7.2款</w:t>
            </w:r>
          </w:p>
        </w:tc>
        <w:tc>
          <w:tcPr>
            <w:tcW w:w="1742" w:type="dxa"/>
            <w:vAlign w:val="center"/>
          </w:tcPr>
          <w:p>
            <w:pPr>
              <w:adjustRightInd w:val="0"/>
              <w:snapToGrid w:val="0"/>
              <w:jc w:val="left"/>
              <w:rPr>
                <w:rFonts w:ascii="宋体" w:hAnsi="宋体"/>
                <w:szCs w:val="21"/>
              </w:rPr>
            </w:pPr>
            <w:r>
              <w:rPr>
                <w:rFonts w:hint="eastAsia" w:ascii="宋体" w:hAnsi="宋体"/>
                <w:szCs w:val="21"/>
              </w:rPr>
              <w:t>运输特殊要求</w:t>
            </w:r>
          </w:p>
        </w:tc>
        <w:tc>
          <w:tcPr>
            <w:tcW w:w="5170" w:type="dxa"/>
            <w:vAlign w:val="center"/>
          </w:tc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第7.3款</w:t>
            </w:r>
          </w:p>
        </w:tc>
        <w:tc>
          <w:tcPr>
            <w:tcW w:w="1742" w:type="dxa"/>
            <w:vAlign w:val="center"/>
          </w:tcPr>
          <w:p>
            <w:pPr>
              <w:adjustRightInd w:val="0"/>
              <w:snapToGrid w:val="0"/>
              <w:jc w:val="left"/>
              <w:rPr>
                <w:rFonts w:ascii="宋体" w:hAnsi="宋体"/>
                <w:szCs w:val="21"/>
              </w:rPr>
            </w:pPr>
            <w:r>
              <w:rPr>
                <w:rFonts w:hint="eastAsia" w:ascii="宋体" w:hAnsi="宋体"/>
                <w:szCs w:val="21"/>
              </w:rPr>
              <w:t>保险要求</w:t>
            </w:r>
          </w:p>
        </w:tc>
        <w:tc>
          <w:tcPr>
            <w:tcW w:w="5170" w:type="dxa"/>
            <w:vAlign w:val="center"/>
          </w:tc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第8.2（1）项</w:t>
            </w:r>
          </w:p>
        </w:tc>
        <w:tc>
          <w:tcPr>
            <w:tcW w:w="1742" w:type="dxa"/>
            <w:vAlign w:val="center"/>
          </w:tcPr>
          <w:p>
            <w:pPr>
              <w:adjustRightInd w:val="0"/>
              <w:snapToGrid w:val="0"/>
              <w:jc w:val="left"/>
              <w:rPr>
                <w:rFonts w:ascii="宋体" w:hAnsi="宋体"/>
                <w:szCs w:val="21"/>
              </w:rPr>
            </w:pPr>
            <w:r>
              <w:rPr>
                <w:rFonts w:hint="eastAsia" w:ascii="宋体" w:hAnsi="宋体"/>
                <w:szCs w:val="21"/>
              </w:rPr>
              <w:t>质量保证期</w:t>
            </w:r>
          </w:p>
        </w:tc>
        <w:tc>
          <w:tcPr>
            <w:tcW w:w="5170" w:type="dxa"/>
            <w:vAlign w:val="center"/>
          </w:tcPr>
          <w:p>
            <w:pPr>
              <w:autoSpaceDE w:val="0"/>
              <w:autoSpaceDN w:val="0"/>
              <w:adjustRightInd w:val="0"/>
              <w:snapToGrid w:val="0"/>
              <w:ind w:firstLine="420" w:firstLineChars="20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第8.2（3）项</w:t>
            </w:r>
          </w:p>
        </w:tc>
        <w:tc>
          <w:tcPr>
            <w:tcW w:w="1742" w:type="dxa"/>
            <w:vAlign w:val="center"/>
          </w:tcPr>
          <w:p>
            <w:pPr>
              <w:adjustRightInd w:val="0"/>
              <w:snapToGrid w:val="0"/>
              <w:jc w:val="left"/>
              <w:rPr>
                <w:rFonts w:ascii="宋体" w:hAnsi="宋体"/>
                <w:szCs w:val="21"/>
              </w:rPr>
            </w:pPr>
            <w:r>
              <w:rPr>
                <w:rFonts w:hint="eastAsia" w:ascii="宋体" w:hAnsi="宋体"/>
                <w:szCs w:val="21"/>
              </w:rPr>
              <w:t>货物质量缺陷</w:t>
            </w:r>
          </w:p>
          <w:p>
            <w:pPr>
              <w:adjustRightInd w:val="0"/>
              <w:snapToGrid w:val="0"/>
              <w:jc w:val="left"/>
              <w:rPr>
                <w:rFonts w:ascii="宋体" w:hAnsi="宋体"/>
                <w:szCs w:val="21"/>
              </w:rPr>
            </w:pPr>
            <w:r>
              <w:rPr>
                <w:rFonts w:hint="eastAsia" w:ascii="宋体" w:hAnsi="宋体"/>
                <w:szCs w:val="21"/>
              </w:rPr>
              <w:t>响应时间</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snapToGrid w:val="0"/>
              <w:jc w:val="center"/>
              <w:rPr>
                <w:rFonts w:ascii="宋体" w:hAnsi="宋体" w:cs="宋体"/>
                <w:szCs w:val="21"/>
              </w:rPr>
            </w:pPr>
            <w:r>
              <w:rPr>
                <w:rFonts w:hint="eastAsia" w:ascii="宋体" w:hAnsi="宋体" w:cs="宋体"/>
                <w:szCs w:val="21"/>
              </w:rPr>
              <w:t>第二节</w:t>
            </w:r>
          </w:p>
          <w:p>
            <w:pPr>
              <w:pStyle w:val="146"/>
              <w:ind w:firstLine="0" w:firstLineChars="0"/>
              <w:jc w:val="center"/>
            </w:pPr>
            <w:r>
              <w:rPr>
                <w:rFonts w:hint="eastAsia" w:ascii="宋体" w:hAnsi="宋体" w:eastAsia="宋体" w:cs="宋体"/>
              </w:rPr>
              <w:t>第11.1款</w:t>
            </w:r>
          </w:p>
        </w:tc>
        <w:tc>
          <w:tcPr>
            <w:tcW w:w="1742" w:type="dxa"/>
            <w:vAlign w:val="center"/>
          </w:tcPr>
          <w:p>
            <w:pPr>
              <w:adjustRightInd w:val="0"/>
              <w:snapToGrid w:val="0"/>
              <w:rPr>
                <w:rFonts w:ascii="宋体" w:hAnsi="宋体"/>
                <w:szCs w:val="21"/>
              </w:rPr>
            </w:pPr>
            <w:r>
              <w:rPr>
                <w:rFonts w:hint="eastAsia" w:ascii="宋体" w:hAnsi="宋体"/>
                <w:szCs w:val="21"/>
              </w:rPr>
              <w:t>其他应当保密的信息</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第12.2款</w:t>
            </w:r>
          </w:p>
        </w:tc>
        <w:tc>
          <w:tcPr>
            <w:tcW w:w="1742" w:type="dxa"/>
            <w:vAlign w:val="center"/>
          </w:tcPr>
          <w:p>
            <w:pPr>
              <w:adjustRightInd w:val="0"/>
              <w:snapToGrid w:val="0"/>
              <w:jc w:val="left"/>
              <w:rPr>
                <w:rFonts w:ascii="宋体" w:hAnsi="宋体"/>
                <w:szCs w:val="21"/>
              </w:rPr>
            </w:pPr>
            <w:r>
              <w:rPr>
                <w:rFonts w:hint="eastAsia" w:ascii="宋体" w:hAnsi="宋体"/>
                <w:szCs w:val="21"/>
              </w:rPr>
              <w:t>合同价款支付时间</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第13.2款</w:t>
            </w:r>
          </w:p>
        </w:tc>
        <w:tc>
          <w:tcPr>
            <w:tcW w:w="1742" w:type="dxa"/>
            <w:vAlign w:val="center"/>
          </w:tcPr>
          <w:p>
            <w:pPr>
              <w:adjustRightInd w:val="0"/>
              <w:snapToGrid w:val="0"/>
              <w:jc w:val="left"/>
              <w:rPr>
                <w:rFonts w:ascii="宋体" w:hAnsi="宋体"/>
                <w:szCs w:val="21"/>
              </w:rPr>
            </w:pPr>
            <w:r>
              <w:rPr>
                <w:rFonts w:hint="eastAsia" w:ascii="宋体" w:hAnsi="宋体"/>
                <w:szCs w:val="21"/>
              </w:rPr>
              <w:t>履约保证金不予退还的情形</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第13.3款</w:t>
            </w:r>
          </w:p>
        </w:tc>
        <w:tc>
          <w:tcPr>
            <w:tcW w:w="1742" w:type="dxa"/>
            <w:vAlign w:val="center"/>
          </w:tcPr>
          <w:p>
            <w:pPr>
              <w:adjustRightInd w:val="0"/>
              <w:snapToGrid w:val="0"/>
              <w:jc w:val="left"/>
              <w:rPr>
                <w:rFonts w:ascii="宋体" w:hAnsi="宋体"/>
                <w:szCs w:val="21"/>
              </w:rPr>
            </w:pPr>
            <w:r>
              <w:rPr>
                <w:rFonts w:hint="eastAsia" w:ascii="宋体" w:hAnsi="宋体"/>
                <w:szCs w:val="21"/>
              </w:rPr>
              <w:t>履约保证金退还时间及逾期退还的违约金</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第14.1（3）项</w:t>
            </w:r>
          </w:p>
        </w:tc>
        <w:tc>
          <w:tcPr>
            <w:tcW w:w="1742" w:type="dxa"/>
            <w:vAlign w:val="center"/>
          </w:tcPr>
          <w:p>
            <w:pPr>
              <w:adjustRightInd w:val="0"/>
              <w:snapToGrid w:val="0"/>
              <w:jc w:val="left"/>
              <w:rPr>
                <w:rFonts w:ascii="宋体" w:hAnsi="宋体"/>
                <w:szCs w:val="21"/>
              </w:rPr>
            </w:pPr>
            <w:r>
              <w:rPr>
                <w:rFonts w:hint="eastAsia" w:ascii="宋体" w:hAnsi="宋体"/>
                <w:szCs w:val="21"/>
              </w:rPr>
              <w:t>运行监督、维修期限</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第14.1（5）项</w:t>
            </w:r>
          </w:p>
        </w:tc>
        <w:tc>
          <w:tcPr>
            <w:tcW w:w="1742" w:type="dxa"/>
            <w:vAlign w:val="center"/>
          </w:tcPr>
          <w:p>
            <w:pPr>
              <w:adjustRightInd w:val="0"/>
              <w:snapToGrid w:val="0"/>
              <w:jc w:val="left"/>
              <w:rPr>
                <w:rFonts w:ascii="宋体" w:hAnsi="宋体"/>
                <w:szCs w:val="21"/>
              </w:rPr>
            </w:pPr>
            <w:r>
              <w:rPr>
                <w:rFonts w:hint="eastAsia" w:ascii="宋体" w:hAnsi="宋体"/>
                <w:szCs w:val="21"/>
              </w:rPr>
              <w:t>货物回收的约定</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第14.1（6）项</w:t>
            </w:r>
          </w:p>
        </w:tc>
        <w:tc>
          <w:tcPr>
            <w:tcW w:w="1742" w:type="dxa"/>
            <w:vAlign w:val="center"/>
          </w:tcPr>
          <w:p>
            <w:pPr>
              <w:adjustRightInd w:val="0"/>
              <w:snapToGrid w:val="0"/>
              <w:jc w:val="left"/>
              <w:rPr>
                <w:rFonts w:ascii="宋体" w:hAnsi="宋体"/>
                <w:szCs w:val="21"/>
              </w:rPr>
            </w:pPr>
            <w:r>
              <w:rPr>
                <w:rFonts w:hint="eastAsia" w:ascii="宋体" w:hAnsi="宋体"/>
                <w:szCs w:val="21"/>
              </w:rPr>
              <w:t>乙方提供的其他服务</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第15.1款</w:t>
            </w:r>
          </w:p>
        </w:tc>
        <w:tc>
          <w:tcPr>
            <w:tcW w:w="1742" w:type="dxa"/>
            <w:vAlign w:val="center"/>
          </w:tcPr>
          <w:p>
            <w:pPr>
              <w:adjustRightInd w:val="0"/>
              <w:snapToGrid w:val="0"/>
              <w:jc w:val="left"/>
              <w:rPr>
                <w:rFonts w:ascii="宋体" w:hAnsi="宋体"/>
                <w:szCs w:val="21"/>
              </w:rPr>
            </w:pPr>
            <w:r>
              <w:rPr>
                <w:rFonts w:hint="eastAsia" w:ascii="宋体" w:hAnsi="宋体"/>
                <w:szCs w:val="21"/>
              </w:rPr>
              <w:t>修理、重作、更换相关具体规定</w:t>
            </w:r>
          </w:p>
        </w:tc>
        <w:tc>
          <w:tcPr>
            <w:tcW w:w="5170" w:type="dxa"/>
            <w:vAlign w:val="center"/>
          </w:tcPr>
          <w:p>
            <w:pPr>
              <w:adjustRightInd w:val="0"/>
              <w:snapToGrid w:val="0"/>
              <w:jc w:val="left"/>
              <w:rPr>
                <w:rFonts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第15.2（2）项</w:t>
            </w:r>
          </w:p>
        </w:tc>
        <w:tc>
          <w:tcPr>
            <w:tcW w:w="1742" w:type="dxa"/>
            <w:vAlign w:val="center"/>
          </w:tcPr>
          <w:p>
            <w:pPr>
              <w:adjustRightInd w:val="0"/>
              <w:snapToGrid w:val="0"/>
              <w:jc w:val="left"/>
              <w:rPr>
                <w:rFonts w:ascii="宋体" w:hAnsi="宋体"/>
                <w:szCs w:val="21"/>
              </w:rPr>
            </w:pPr>
            <w:r>
              <w:rPr>
                <w:rFonts w:hint="eastAsia" w:ascii="宋体" w:hAnsi="宋体"/>
                <w:szCs w:val="21"/>
              </w:rPr>
              <w:t>迟延交货赔偿费</w:t>
            </w:r>
          </w:p>
        </w:tc>
        <w:tc>
          <w:tcPr>
            <w:tcW w:w="5170" w:type="dxa"/>
            <w:vAlign w:val="center"/>
          </w:tcPr>
          <w:p>
            <w:pPr>
              <w:adjustRightInd w:val="0"/>
              <w:snapToGrid w:val="0"/>
              <w:jc w:val="left"/>
              <w:rPr>
                <w:rFonts w:ascii="宋体" w:hAnsi="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第15.3款</w:t>
            </w:r>
          </w:p>
        </w:tc>
        <w:tc>
          <w:tcPr>
            <w:tcW w:w="1742" w:type="dxa"/>
            <w:vAlign w:val="center"/>
          </w:tcPr>
          <w:p>
            <w:pPr>
              <w:adjustRightInd w:val="0"/>
              <w:snapToGrid w:val="0"/>
              <w:jc w:val="left"/>
              <w:rPr>
                <w:rFonts w:ascii="宋体" w:hAnsi="宋体"/>
                <w:szCs w:val="21"/>
              </w:rPr>
            </w:pPr>
            <w:r>
              <w:rPr>
                <w:rFonts w:hint="eastAsia" w:ascii="宋体" w:hAnsi="宋体"/>
                <w:szCs w:val="21"/>
              </w:rPr>
              <w:t>逾期付款利息</w:t>
            </w:r>
          </w:p>
        </w:tc>
        <w:tc>
          <w:tcPr>
            <w:tcW w:w="5170" w:type="dxa"/>
            <w:vAlign w:val="center"/>
          </w:tcPr>
          <w:p>
            <w:pPr>
              <w:adjustRightInd w:val="0"/>
              <w:snapToGrid w:val="0"/>
              <w:jc w:val="left"/>
              <w:rPr>
                <w:rFonts w:ascii="宋体" w:hAnsi="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第15.4款</w:t>
            </w:r>
          </w:p>
        </w:tc>
        <w:tc>
          <w:tcPr>
            <w:tcW w:w="1742" w:type="dxa"/>
            <w:tcBorders>
              <w:left w:val="single" w:color="auto" w:sz="2" w:space="0"/>
              <w:bottom w:val="single" w:color="auto" w:sz="2" w:space="0"/>
              <w:right w:val="single" w:color="auto" w:sz="2" w:space="0"/>
            </w:tcBorders>
            <w:vAlign w:val="center"/>
          </w:tcPr>
          <w:p>
            <w:pPr>
              <w:adjustRightInd w:val="0"/>
              <w:snapToGrid w:val="0"/>
              <w:jc w:val="left"/>
              <w:rPr>
                <w:rFonts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vAlign w:val="center"/>
          </w:tcPr>
          <w:p>
            <w:pPr>
              <w:adjustRightInd w:val="0"/>
              <w:snapToGrid w:val="0"/>
              <w:jc w:val="left"/>
              <w:rPr>
                <w:rFonts w:ascii="宋体" w:hAnsi="宋体"/>
                <w:szCs w:val="21"/>
                <w:u w:val="singl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第19.2款</w:t>
            </w:r>
          </w:p>
        </w:tc>
        <w:tc>
          <w:tcPr>
            <w:tcW w:w="1742" w:type="dxa"/>
            <w:tcBorders>
              <w:top w:val="single" w:color="auto" w:sz="2" w:space="0"/>
              <w:left w:val="single" w:color="auto" w:sz="2" w:space="0"/>
              <w:right w:val="single" w:color="auto" w:sz="2" w:space="0"/>
            </w:tcBorders>
            <w:vAlign w:val="center"/>
          </w:tcPr>
          <w:p>
            <w:pPr>
              <w:adjustRightInd w:val="0"/>
              <w:snapToGrid w:val="0"/>
              <w:jc w:val="left"/>
              <w:rPr>
                <w:rFonts w:ascii="宋体" w:hAnsi="宋体"/>
                <w:szCs w:val="21"/>
              </w:rPr>
            </w:pPr>
            <w:r>
              <w:rPr>
                <w:rFonts w:hint="eastAsia" w:ascii="宋体" w:hAnsi="宋体"/>
                <w:szCs w:val="21"/>
              </w:rPr>
              <w:t>解决争议的方法</w:t>
            </w:r>
          </w:p>
        </w:tc>
        <w:tc>
          <w:tcPr>
            <w:tcW w:w="5170" w:type="dxa"/>
            <w:tcBorders>
              <w:top w:val="single" w:color="auto" w:sz="2" w:space="0"/>
              <w:left w:val="single" w:color="auto" w:sz="2" w:space="0"/>
            </w:tcBorders>
            <w:vAlign w:val="center"/>
          </w:tcPr>
          <w:p>
            <w:pPr>
              <w:autoSpaceDE w:val="0"/>
              <w:autoSpaceDN w:val="0"/>
              <w:adjustRightInd w:val="0"/>
              <w:snapToGrid w:val="0"/>
              <w:spacing w:line="400" w:lineRule="exact"/>
              <w:jc w:val="left"/>
              <w:rPr>
                <w:rFonts w:ascii="宋体" w:hAnsi="宋体" w:cs="宋体"/>
                <w:iCs/>
                <w:szCs w:val="21"/>
              </w:rPr>
            </w:pPr>
            <w:r>
              <w:rPr>
                <w:rFonts w:hint="eastAsia" w:ascii="宋体" w:hAnsi="宋体" w:cs="宋体"/>
                <w:iCs/>
                <w:szCs w:val="21"/>
              </w:rPr>
              <w:t>因本合同及合同有关事项发生的争议，按下列第</w:t>
            </w:r>
            <w:r>
              <w:rPr>
                <w:rFonts w:hint="eastAsia" w:ascii="宋体" w:hAnsi="宋体" w:cs="宋体"/>
                <w:iCs/>
                <w:szCs w:val="21"/>
                <w:u w:val="single"/>
              </w:rPr>
              <w:t xml:space="preserve">   </w:t>
            </w:r>
            <w:r>
              <w:rPr>
                <w:rFonts w:hint="eastAsia" w:ascii="宋体" w:hAnsi="宋体" w:cs="宋体"/>
                <w:iCs/>
                <w:szCs w:val="21"/>
              </w:rPr>
              <w:t>种方式解决：</w:t>
            </w:r>
          </w:p>
          <w:p>
            <w:pPr>
              <w:autoSpaceDE w:val="0"/>
              <w:autoSpaceDN w:val="0"/>
              <w:adjustRightInd w:val="0"/>
              <w:snapToGrid w:val="0"/>
              <w:spacing w:line="400" w:lineRule="exact"/>
              <w:jc w:val="left"/>
              <w:rPr>
                <w:rFonts w:ascii="宋体" w:hAnsi="宋体" w:cs="宋体"/>
                <w:iCs/>
                <w:szCs w:val="21"/>
              </w:rPr>
            </w:pPr>
            <w:r>
              <w:rPr>
                <w:rFonts w:hint="eastAsia" w:ascii="宋体" w:hAnsi="宋体" w:cs="宋体"/>
                <w:iCs/>
                <w:szCs w:val="21"/>
              </w:rPr>
              <w:t>（1）向</w:t>
            </w:r>
            <w:r>
              <w:rPr>
                <w:rFonts w:hint="eastAsia" w:ascii="宋体" w:hAnsi="宋体" w:cs="宋体"/>
                <w:iCs/>
                <w:szCs w:val="21"/>
                <w:u w:val="single"/>
              </w:rPr>
              <w:t xml:space="preserve">                    </w:t>
            </w:r>
            <w:r>
              <w:rPr>
                <w:rFonts w:hint="eastAsia" w:ascii="宋体" w:hAnsi="宋体" w:cs="宋体"/>
                <w:iCs/>
                <w:szCs w:val="21"/>
              </w:rPr>
              <w:t>仲裁委员会申请仲裁，仲裁地点为</w:t>
            </w:r>
            <w:r>
              <w:rPr>
                <w:rFonts w:hint="eastAsia" w:ascii="宋体" w:hAnsi="宋体" w:cs="宋体"/>
                <w:iCs/>
                <w:szCs w:val="21"/>
                <w:u w:val="single"/>
              </w:rPr>
              <w:t xml:space="preserve">           </w:t>
            </w:r>
            <w:r>
              <w:rPr>
                <w:rFonts w:hint="eastAsia" w:ascii="宋体" w:hAnsi="宋体" w:cs="宋体"/>
                <w:iCs/>
                <w:szCs w:val="21"/>
              </w:rPr>
              <w:t>；</w:t>
            </w:r>
          </w:p>
          <w:p>
            <w:pPr>
              <w:adjustRightInd w:val="0"/>
              <w:snapToGrid w:val="0"/>
              <w:jc w:val="left"/>
              <w:rPr>
                <w:rFonts w:ascii="宋体" w:hAnsi="宋体"/>
                <w:szCs w:val="21"/>
                <w:u w:val="single"/>
              </w:rPr>
            </w:pPr>
            <w:r>
              <w:rPr>
                <w:rFonts w:hint="eastAsia" w:ascii="宋体" w:hAnsi="宋体" w:cs="宋体"/>
                <w:iCs/>
                <w:szCs w:val="21"/>
              </w:rPr>
              <w:t>（2）向</w:t>
            </w:r>
            <w:r>
              <w:rPr>
                <w:rFonts w:hint="eastAsia" w:ascii="宋体" w:hAnsi="宋体" w:cs="宋体"/>
                <w:iCs/>
                <w:szCs w:val="21"/>
                <w:u w:val="single"/>
              </w:rPr>
              <w:t xml:space="preserve">                    </w:t>
            </w:r>
            <w:r>
              <w:rPr>
                <w:rFonts w:hint="eastAsia" w:ascii="宋体" w:hAnsi="宋体" w:cs="宋体"/>
                <w:iCs/>
                <w:szCs w:val="21"/>
              </w:rPr>
              <w:t>人民法院起诉。</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pPr>
              <w:adjustRightInd w:val="0"/>
              <w:snapToGrid w:val="0"/>
              <w:jc w:val="center"/>
              <w:rPr>
                <w:rFonts w:ascii="宋体" w:hAnsi="宋体"/>
                <w:szCs w:val="21"/>
              </w:rPr>
            </w:pPr>
            <w:r>
              <w:rPr>
                <w:rFonts w:hint="eastAsia" w:ascii="宋体" w:hAnsi="宋体"/>
                <w:szCs w:val="21"/>
              </w:rPr>
              <w:t>第二节</w:t>
            </w:r>
          </w:p>
          <w:p>
            <w:pPr>
              <w:adjustRightInd w:val="0"/>
              <w:snapToGrid w:val="0"/>
              <w:jc w:val="center"/>
              <w:rPr>
                <w:rFonts w:ascii="宋体" w:hAnsi="宋体"/>
                <w:szCs w:val="21"/>
              </w:rPr>
            </w:pPr>
            <w:r>
              <w:rPr>
                <w:rFonts w:hint="eastAsia" w:ascii="宋体" w:hAnsi="宋体"/>
                <w:szCs w:val="21"/>
              </w:rPr>
              <w:t>第23.1款</w:t>
            </w:r>
          </w:p>
        </w:tc>
        <w:tc>
          <w:tcPr>
            <w:tcW w:w="1742" w:type="dxa"/>
            <w:vAlign w:val="center"/>
          </w:tcPr>
          <w:p>
            <w:pPr>
              <w:adjustRightInd w:val="0"/>
              <w:snapToGrid w:val="0"/>
              <w:jc w:val="left"/>
              <w:rPr>
                <w:rFonts w:ascii="宋体" w:hAnsi="宋体"/>
                <w:szCs w:val="21"/>
              </w:rPr>
            </w:pPr>
            <w:r>
              <w:rPr>
                <w:rFonts w:hint="eastAsia" w:ascii="宋体" w:hAnsi="宋体"/>
                <w:bCs/>
                <w:szCs w:val="21"/>
              </w:rPr>
              <w:t>其他专用条款</w:t>
            </w:r>
          </w:p>
        </w:tc>
        <w:tc>
          <w:tcPr>
            <w:tcW w:w="5170" w:type="dxa"/>
            <w:vAlign w:val="center"/>
          </w:tcPr>
          <w:p>
            <w:pPr>
              <w:adjustRightInd w:val="0"/>
              <w:snapToGrid w:val="0"/>
              <w:jc w:val="left"/>
              <w:rPr>
                <w:rFonts w:ascii="宋体" w:hAnsi="宋体"/>
                <w:szCs w:val="21"/>
              </w:rPr>
            </w:pPr>
          </w:p>
        </w:tc>
      </w:tr>
    </w:tbl>
    <w:p/>
    <w:p/>
    <w:p/>
    <w:p>
      <w:pPr>
        <w:pStyle w:val="23"/>
        <w:jc w:val="left"/>
      </w:pPr>
    </w:p>
    <w:p/>
    <w:p/>
    <w:p/>
    <w:p/>
    <w:p/>
    <w:p/>
    <w:p/>
    <w:p/>
    <w:p/>
    <w:p>
      <w:pPr>
        <w:pStyle w:val="146"/>
      </w:pPr>
    </w:p>
    <w:p>
      <w:pPr>
        <w:pStyle w:val="146"/>
      </w:pPr>
    </w:p>
    <w:p>
      <w:pPr>
        <w:pStyle w:val="146"/>
      </w:pPr>
    </w:p>
    <w:p>
      <w:pPr>
        <w:pStyle w:val="146"/>
      </w:pPr>
    </w:p>
    <w:p>
      <w:pPr>
        <w:pStyle w:val="146"/>
      </w:pPr>
    </w:p>
    <w:p>
      <w:pPr>
        <w:pStyle w:val="146"/>
      </w:pPr>
    </w:p>
    <w:p>
      <w:pPr>
        <w:pStyle w:val="146"/>
      </w:pPr>
    </w:p>
    <w:p>
      <w:pPr>
        <w:pStyle w:val="146"/>
      </w:pPr>
    </w:p>
    <w:p>
      <w:pPr>
        <w:pStyle w:val="146"/>
      </w:pPr>
    </w:p>
    <w:p>
      <w:pPr>
        <w:pStyle w:val="146"/>
      </w:pPr>
    </w:p>
    <w:p>
      <w:pPr>
        <w:pStyle w:val="146"/>
      </w:pPr>
    </w:p>
    <w:p>
      <w:pPr>
        <w:pStyle w:val="146"/>
      </w:pPr>
    </w:p>
    <w:p>
      <w:pPr>
        <w:pStyle w:val="146"/>
      </w:pPr>
    </w:p>
    <w:p>
      <w:pPr>
        <w:pStyle w:val="146"/>
      </w:pPr>
    </w:p>
    <w:p>
      <w:pPr>
        <w:pStyle w:val="146"/>
      </w:pPr>
    </w:p>
    <w:p>
      <w:pPr>
        <w:pStyle w:val="146"/>
      </w:pPr>
    </w:p>
    <w:p>
      <w:pPr>
        <w:pStyle w:val="146"/>
      </w:pPr>
    </w:p>
    <w:p>
      <w:pPr>
        <w:pStyle w:val="146"/>
      </w:pPr>
    </w:p>
    <w:p>
      <w:pPr>
        <w:pStyle w:val="146"/>
      </w:pPr>
    </w:p>
    <w:p/>
    <w:p/>
    <w:p/>
    <w:p/>
    <w:p>
      <w:pPr>
        <w:pStyle w:val="3"/>
        <w:spacing w:line="400" w:lineRule="exact"/>
        <w:rPr>
          <w:rFonts w:ascii="方正小标宋_GBK" w:hAnsi="方正小标宋_GBK" w:eastAsia="方正小标宋_GBK"/>
        </w:rPr>
      </w:pPr>
      <w:bookmarkStart w:id="129" w:name="_Toc397585460"/>
      <w:bookmarkStart w:id="130" w:name="_Toc92355028"/>
      <w:r>
        <w:rPr>
          <w:rFonts w:hint="eastAsia" w:ascii="方正小标宋_GBK" w:hAnsi="方正小标宋_GBK" w:eastAsia="方正小标宋_GBK"/>
        </w:rPr>
        <w:t>第六章  响应文件格式</w:t>
      </w:r>
      <w:bookmarkEnd w:id="129"/>
      <w:bookmarkEnd w:id="130"/>
    </w:p>
    <w:p>
      <w:pPr>
        <w:jc w:val="left"/>
        <w:rPr>
          <w:rFonts w:hAnsi="宋体"/>
          <w:sz w:val="36"/>
          <w:szCs w:val="36"/>
        </w:rPr>
      </w:pPr>
      <w:r>
        <w:rPr>
          <w:b/>
          <w:sz w:val="30"/>
          <w:szCs w:val="30"/>
        </w:rPr>
        <w:br w:type="page"/>
      </w:r>
      <w:r>
        <w:rPr>
          <w:rFonts w:hint="eastAsia" w:ascii="仿宋_GB2312"/>
          <w:b/>
          <w:bCs/>
          <w:sz w:val="36"/>
          <w:szCs w:val="36"/>
        </w:rPr>
        <w:t>一、供应商资格文件</w:t>
      </w:r>
    </w:p>
    <w:p>
      <w:pPr>
        <w:tabs>
          <w:tab w:val="left" w:pos="3402"/>
        </w:tabs>
        <w:ind w:firstLine="602"/>
        <w:jc w:val="center"/>
        <w:rPr>
          <w:rFonts w:ascii="仿宋_GB2312" w:hAnsi="Adobe 仿宋 Std R" w:eastAsia="仿宋_GB2312"/>
          <w:b/>
          <w:spacing w:val="10"/>
          <w:sz w:val="32"/>
          <w:szCs w:val="32"/>
        </w:rPr>
      </w:pPr>
      <w:bookmarkStart w:id="131" w:name="_Hlk111728366"/>
      <w:r>
        <w:rPr>
          <w:rFonts w:hint="eastAsia" w:ascii="仿宋_GB2312" w:hAnsi="Adobe 仿宋 Std R" w:eastAsia="仿宋_GB2312"/>
          <w:b/>
          <w:spacing w:val="10"/>
          <w:sz w:val="32"/>
          <w:szCs w:val="32"/>
        </w:rPr>
        <w:t>供应商具备参加政府采购活动条件的承诺书</w:t>
      </w:r>
      <w:r>
        <w:rPr>
          <w:rFonts w:hint="eastAsia" w:ascii="仿宋_GB2312" w:hAnsi="Adobe 仿宋 Std R" w:eastAsia="仿宋_GB2312" w:cs="黑体"/>
          <w:bCs/>
          <w:sz w:val="24"/>
        </w:rPr>
        <w:t>(格式)</w:t>
      </w:r>
    </w:p>
    <w:p>
      <w:pPr>
        <w:tabs>
          <w:tab w:val="left" w:pos="3402"/>
        </w:tabs>
        <w:jc w:val="left"/>
        <w:rPr>
          <w:rFonts w:ascii="仿宋_GB2312" w:hAnsi="仿宋" w:eastAsia="仿宋_GB2312"/>
          <w:b/>
          <w:spacing w:val="10"/>
          <w:szCs w:val="21"/>
        </w:rPr>
      </w:pPr>
    </w:p>
    <w:p>
      <w:pPr>
        <w:spacing w:line="520" w:lineRule="exact"/>
        <w:rPr>
          <w:rFonts w:ascii="宋体" w:hAnsi="宋体"/>
          <w:bCs/>
          <w:szCs w:val="22"/>
        </w:rPr>
      </w:pPr>
      <w:r>
        <w:rPr>
          <w:rFonts w:hint="eastAsia" w:ascii="宋体" w:hAnsi="宋体"/>
          <w:bCs/>
          <w:szCs w:val="22"/>
        </w:rPr>
        <w:t>钦州市政府采购中心：</w:t>
      </w:r>
    </w:p>
    <w:p>
      <w:pPr>
        <w:spacing w:line="520" w:lineRule="exact"/>
        <w:ind w:firstLine="420"/>
        <w:rPr>
          <w:rFonts w:ascii="宋体" w:hAnsi="宋体"/>
          <w:bCs/>
          <w:szCs w:val="22"/>
        </w:rPr>
      </w:pPr>
      <w:r>
        <w:rPr>
          <w:rFonts w:hint="eastAsia" w:ascii="宋体" w:hAnsi="宋体"/>
          <w:bCs/>
          <w:szCs w:val="22"/>
        </w:rPr>
        <w:t>根据</w:t>
      </w:r>
      <w:r>
        <w:rPr>
          <w:rFonts w:hint="eastAsia" w:ascii="宋体" w:hAnsi="宋体"/>
          <w:bCs/>
        </w:rPr>
        <w:t>《中华人民共和国政府采购法》第二十二条、</w:t>
      </w:r>
      <w:r>
        <w:rPr>
          <w:rFonts w:hint="eastAsia" w:ascii="宋体" w:hAnsi="宋体"/>
          <w:bCs/>
          <w:szCs w:val="22"/>
        </w:rPr>
        <w:t>《中华人民共和国政府采购法实施条例》第十七条的规定，现郑重承诺：</w:t>
      </w:r>
    </w:p>
    <w:p>
      <w:pPr>
        <w:spacing w:line="520" w:lineRule="exact"/>
        <w:ind w:firstLine="420"/>
        <w:rPr>
          <w:rFonts w:ascii="宋体" w:hAnsi="宋体"/>
          <w:bCs/>
          <w:szCs w:val="22"/>
        </w:rPr>
      </w:pPr>
      <w:r>
        <w:rPr>
          <w:rFonts w:ascii="宋体" w:hAnsi="宋体"/>
          <w:bCs/>
          <w:szCs w:val="22"/>
          <w:u w:val="single"/>
        </w:rPr>
        <w:t>(</w:t>
      </w:r>
      <w:r>
        <w:rPr>
          <w:rFonts w:hint="eastAsia" w:ascii="宋体" w:hAnsi="宋体"/>
          <w:bCs/>
          <w:szCs w:val="22"/>
          <w:u w:val="single"/>
        </w:rPr>
        <w:t>供应商名称)</w:t>
      </w:r>
      <w:r>
        <w:rPr>
          <w:rFonts w:hint="eastAsia" w:ascii="宋体" w:hAnsi="宋体"/>
          <w:bCs/>
          <w:szCs w:val="22"/>
        </w:rPr>
        <w:t>具有良好的商业信誉和健全的财务会计制度，具有履行合同所必需的设备和专业技术能力，有依法缴纳税收和社会保障资金的良好记录。</w:t>
      </w:r>
    </w:p>
    <w:p>
      <w:pPr>
        <w:spacing w:line="520" w:lineRule="exact"/>
        <w:ind w:firstLine="420"/>
        <w:rPr>
          <w:rFonts w:ascii="宋体" w:hAnsi="宋体"/>
          <w:bCs/>
          <w:szCs w:val="22"/>
        </w:rPr>
      </w:pPr>
      <w:r>
        <w:rPr>
          <w:rFonts w:hint="eastAsia" w:ascii="宋体" w:hAnsi="宋体"/>
          <w:bCs/>
          <w:szCs w:val="22"/>
        </w:rPr>
        <w:t>本单位对上述承诺内容事项真实性负责，如有虚假，由我单位承担相关法律责任。</w:t>
      </w:r>
    </w:p>
    <w:p>
      <w:pPr>
        <w:spacing w:line="520" w:lineRule="exact"/>
        <w:ind w:firstLine="420"/>
        <w:rPr>
          <w:rFonts w:ascii="宋体" w:hAnsi="宋体"/>
          <w:bCs/>
          <w:szCs w:val="22"/>
        </w:rPr>
      </w:pPr>
      <w:r>
        <w:rPr>
          <w:rFonts w:hint="eastAsia" w:ascii="宋体" w:hAnsi="宋体"/>
          <w:bCs/>
          <w:szCs w:val="22"/>
        </w:rPr>
        <w:t>特此承诺。</w:t>
      </w:r>
    </w:p>
    <w:p>
      <w:pPr>
        <w:ind w:firstLine="420"/>
        <w:rPr>
          <w:rFonts w:ascii="宋体" w:hAnsi="宋体"/>
          <w:bCs/>
          <w:szCs w:val="22"/>
        </w:rPr>
      </w:pPr>
    </w:p>
    <w:p>
      <w:pPr>
        <w:ind w:firstLine="420"/>
        <w:rPr>
          <w:rFonts w:ascii="宋体" w:hAnsi="宋体"/>
          <w:bCs/>
          <w:szCs w:val="22"/>
        </w:rPr>
      </w:pPr>
    </w:p>
    <w:p>
      <w:pPr>
        <w:spacing w:line="440" w:lineRule="exact"/>
        <w:ind w:right="1050" w:rightChars="500" w:firstLine="5250" w:firstLineChars="2500"/>
        <w:jc w:val="left"/>
        <w:rPr>
          <w:rFonts w:ascii="宋体" w:hAnsi="宋体"/>
          <w:bCs/>
        </w:rPr>
      </w:pPr>
      <w:r>
        <w:rPr>
          <w:rFonts w:hint="eastAsia" w:ascii="宋体" w:hAnsi="宋体"/>
          <w:bCs/>
          <w:szCs w:val="22"/>
        </w:rPr>
        <w:t xml:space="preserve"> </w:t>
      </w:r>
      <w:r>
        <w:rPr>
          <w:rFonts w:ascii="宋体" w:hAnsi="宋体"/>
          <w:bCs/>
          <w:szCs w:val="22"/>
        </w:rPr>
        <w:t xml:space="preserve">   </w:t>
      </w:r>
      <w:r>
        <w:rPr>
          <w:rFonts w:hint="eastAsia" w:ascii="宋体" w:hAnsi="宋体"/>
          <w:bCs/>
        </w:rPr>
        <w:t>供应商（盖章）：</w:t>
      </w:r>
      <w:r>
        <w:rPr>
          <w:rFonts w:hint="eastAsia" w:ascii="宋体" w:hAnsi="宋体"/>
          <w:bCs/>
          <w:u w:val="single"/>
        </w:rPr>
        <w:t xml:space="preserve">   </w:t>
      </w:r>
      <w:r>
        <w:rPr>
          <w:rFonts w:ascii="宋体" w:hAnsi="宋体"/>
          <w:bCs/>
          <w:u w:val="single"/>
        </w:rPr>
        <w:t xml:space="preserve">  </w:t>
      </w:r>
      <w:r>
        <w:rPr>
          <w:rFonts w:hint="eastAsia" w:ascii="宋体" w:hAnsi="宋体"/>
          <w:bCs/>
          <w:u w:val="single"/>
        </w:rPr>
        <w:t xml:space="preserve">  </w:t>
      </w:r>
      <w:r>
        <w:rPr>
          <w:rFonts w:ascii="宋体" w:hAnsi="宋体"/>
          <w:bCs/>
          <w:u w:val="single"/>
        </w:rPr>
        <w:t xml:space="preserve"> </w:t>
      </w:r>
      <w:r>
        <w:rPr>
          <w:rFonts w:hint="eastAsia" w:ascii="宋体" w:hAnsi="宋体"/>
          <w:bCs/>
          <w:u w:val="single"/>
        </w:rPr>
        <w:t xml:space="preserve">   </w:t>
      </w:r>
    </w:p>
    <w:p>
      <w:pPr>
        <w:spacing w:line="440" w:lineRule="exact"/>
        <w:ind w:right="420"/>
        <w:jc w:val="center"/>
        <w:rPr>
          <w:rFonts w:ascii="宋体" w:hAnsi="宋体"/>
          <w:bCs/>
        </w:rPr>
      </w:pPr>
      <w:r>
        <w:rPr>
          <w:rFonts w:hint="eastAsia" w:ascii="宋体" w:hAnsi="宋体"/>
          <w:bCs/>
        </w:rPr>
        <w:t xml:space="preserve"> </w:t>
      </w:r>
      <w:r>
        <w:rPr>
          <w:rFonts w:ascii="宋体" w:hAnsi="宋体"/>
          <w:bCs/>
        </w:rPr>
        <w:t xml:space="preserve">                                                </w:t>
      </w:r>
      <w:r>
        <w:rPr>
          <w:rFonts w:hint="eastAsia" w:ascii="宋体" w:hAnsi="宋体"/>
          <w:bCs/>
        </w:rPr>
        <w:t>日期：</w:t>
      </w:r>
      <w:r>
        <w:rPr>
          <w:rFonts w:hint="eastAsia" w:ascii="宋体" w:hAnsi="宋体"/>
          <w:bCs/>
          <w:u w:val="single"/>
        </w:rPr>
        <w:t xml:space="preserve">      </w:t>
      </w:r>
      <w:r>
        <w:rPr>
          <w:rFonts w:hint="eastAsia" w:ascii="宋体" w:hAnsi="宋体"/>
          <w:bCs/>
        </w:rPr>
        <w:t>年</w:t>
      </w:r>
      <w:r>
        <w:rPr>
          <w:rFonts w:hint="eastAsia" w:ascii="宋体" w:hAnsi="宋体"/>
          <w:bCs/>
          <w:u w:val="single"/>
        </w:rPr>
        <w:t xml:space="preserve">    </w:t>
      </w:r>
      <w:r>
        <w:rPr>
          <w:rFonts w:hint="eastAsia" w:ascii="宋体" w:hAnsi="宋体"/>
          <w:bCs/>
        </w:rPr>
        <w:t>月</w:t>
      </w:r>
      <w:r>
        <w:rPr>
          <w:rFonts w:hint="eastAsia" w:ascii="宋体" w:hAnsi="宋体"/>
          <w:bCs/>
          <w:u w:val="single"/>
        </w:rPr>
        <w:t xml:space="preserve">    </w:t>
      </w:r>
      <w:r>
        <w:rPr>
          <w:rFonts w:hint="eastAsia" w:ascii="宋体" w:hAnsi="宋体"/>
          <w:bCs/>
        </w:rPr>
        <w:t>日</w:t>
      </w:r>
    </w:p>
    <w:bookmarkEnd w:id="131"/>
    <w:p/>
    <w:p/>
    <w:p/>
    <w:p/>
    <w:p/>
    <w:p>
      <w:pPr>
        <w:tabs>
          <w:tab w:val="left" w:pos="3402"/>
        </w:tabs>
        <w:spacing w:line="460" w:lineRule="exact"/>
        <w:jc w:val="center"/>
        <w:rPr>
          <w:rFonts w:ascii="仿宋_GB2312" w:hAnsi="仿宋" w:eastAsia="仿宋_GB2312"/>
          <w:b/>
          <w:spacing w:val="10"/>
          <w:sz w:val="32"/>
          <w:szCs w:val="32"/>
        </w:rPr>
      </w:pPr>
      <w:r>
        <w:rPr>
          <w:rFonts w:hint="eastAsia" w:ascii="仿宋_GB2312" w:hAnsi="仿宋" w:eastAsia="仿宋_GB2312"/>
          <w:b/>
          <w:spacing w:val="10"/>
          <w:sz w:val="32"/>
          <w:szCs w:val="32"/>
        </w:rPr>
        <w:t>无重大违法记录的书面声明</w:t>
      </w:r>
      <w:r>
        <w:rPr>
          <w:rFonts w:hint="eastAsia" w:ascii="仿宋" w:hAnsi="仿宋" w:eastAsia="仿宋" w:cs="黑体"/>
          <w:bCs/>
          <w:sz w:val="24"/>
        </w:rPr>
        <w:t>(格式</w:t>
      </w:r>
      <w:r>
        <w:rPr>
          <w:rFonts w:ascii="仿宋" w:hAnsi="仿宋" w:eastAsia="仿宋" w:cs="黑体"/>
          <w:bCs/>
          <w:sz w:val="24"/>
        </w:rPr>
        <w:t>)</w:t>
      </w:r>
    </w:p>
    <w:p>
      <w:pPr>
        <w:spacing w:line="400" w:lineRule="exact"/>
        <w:rPr>
          <w:rFonts w:ascii="宋体" w:hAnsi="宋体"/>
          <w:b/>
        </w:rPr>
      </w:pPr>
    </w:p>
    <w:p>
      <w:pPr>
        <w:spacing w:line="520" w:lineRule="exact"/>
        <w:rPr>
          <w:rFonts w:ascii="宋体" w:hAnsi="宋体"/>
          <w:bCs/>
        </w:rPr>
      </w:pPr>
      <w:r>
        <w:rPr>
          <w:rFonts w:hint="eastAsia" w:ascii="宋体" w:hAnsi="宋体"/>
          <w:bCs/>
        </w:rPr>
        <w:t>钦州市政府采购中心：</w:t>
      </w:r>
    </w:p>
    <w:p>
      <w:pPr>
        <w:spacing w:line="520" w:lineRule="exact"/>
        <w:ind w:firstLine="420"/>
        <w:rPr>
          <w:rFonts w:ascii="宋体" w:hAnsi="宋体"/>
          <w:bCs/>
        </w:rPr>
      </w:pPr>
      <w:r>
        <w:rPr>
          <w:rFonts w:hint="eastAsia" w:ascii="宋体" w:hAnsi="宋体"/>
          <w:bCs/>
        </w:rPr>
        <w:t>根据《中华人民共和国政府采购法》第二十二条、</w:t>
      </w:r>
      <w:r>
        <w:rPr>
          <w:rFonts w:hint="eastAsia" w:ascii="宋体" w:hAnsi="宋体"/>
          <w:bCs/>
          <w:szCs w:val="22"/>
        </w:rPr>
        <w:t>《中华人民共和国政府采购法实施条例》第十七条</w:t>
      </w:r>
      <w:r>
        <w:rPr>
          <w:rFonts w:hint="eastAsia" w:ascii="宋体" w:hAnsi="宋体"/>
          <w:bCs/>
        </w:rPr>
        <w:t>的规定，现郑重声明：</w:t>
      </w:r>
    </w:p>
    <w:p>
      <w:pPr>
        <w:spacing w:line="520" w:lineRule="exact"/>
        <w:ind w:firstLine="420"/>
        <w:rPr>
          <w:rFonts w:ascii="宋体" w:hAnsi="宋体"/>
          <w:bCs/>
        </w:rPr>
      </w:pPr>
      <w:r>
        <w:rPr>
          <w:rFonts w:ascii="宋体" w:hAnsi="宋体"/>
          <w:bCs/>
          <w:u w:val="single"/>
        </w:rPr>
        <w:t>(</w:t>
      </w:r>
      <w:r>
        <w:rPr>
          <w:rFonts w:hint="eastAsia" w:ascii="宋体" w:hAnsi="宋体"/>
          <w:bCs/>
          <w:u w:val="single"/>
        </w:rPr>
        <w:t>供应商名称)</w:t>
      </w:r>
      <w:r>
        <w:rPr>
          <w:rFonts w:hint="eastAsia" w:ascii="宋体" w:hAnsi="宋体"/>
          <w:bCs/>
        </w:rPr>
        <w:t>在参加本次政府采购活动前3年内在经营活动中没有重大违法记录（</w:t>
      </w:r>
      <w:r>
        <w:rPr>
          <w:rFonts w:hint="eastAsia" w:ascii="宋体" w:hAnsi="宋体"/>
          <w:bCs/>
          <w:u w:val="single"/>
        </w:rPr>
        <w:t>即因违法经营受到刑事处罚或者责令停产停业、吊销许可证或者执照、较大数额罚款等行政处罚的行为</w:t>
      </w:r>
      <w:r>
        <w:rPr>
          <w:rFonts w:hint="eastAsia" w:ascii="宋体" w:hAnsi="宋体"/>
          <w:bCs/>
        </w:rPr>
        <w:t>）。</w:t>
      </w:r>
    </w:p>
    <w:p>
      <w:pPr>
        <w:spacing w:line="520" w:lineRule="exact"/>
        <w:ind w:firstLine="420"/>
        <w:rPr>
          <w:rFonts w:ascii="宋体" w:hAnsi="宋体"/>
          <w:bCs/>
        </w:rPr>
      </w:pPr>
      <w:r>
        <w:rPr>
          <w:rFonts w:hint="eastAsia" w:ascii="宋体" w:hAnsi="宋体"/>
          <w:bCs/>
        </w:rPr>
        <w:t>本单位对上述声明内容事项真实性负责，如有虚假，由我单位承担相关法律责任。</w:t>
      </w:r>
    </w:p>
    <w:p>
      <w:pPr>
        <w:spacing w:line="520" w:lineRule="exact"/>
        <w:ind w:firstLine="420"/>
        <w:rPr>
          <w:rFonts w:ascii="宋体" w:hAnsi="宋体"/>
          <w:bCs/>
        </w:rPr>
      </w:pPr>
      <w:r>
        <w:rPr>
          <w:rFonts w:hint="eastAsia" w:ascii="宋体" w:hAnsi="宋体"/>
          <w:bCs/>
        </w:rPr>
        <w:t>特此声明。</w:t>
      </w:r>
    </w:p>
    <w:p>
      <w:pPr>
        <w:rPr>
          <w:rFonts w:ascii="宋体" w:hAnsi="宋体"/>
          <w:bCs/>
          <w:szCs w:val="22"/>
        </w:rPr>
      </w:pPr>
    </w:p>
    <w:p>
      <w:pPr>
        <w:rPr>
          <w:rFonts w:ascii="宋体" w:hAnsi="宋体"/>
          <w:bCs/>
          <w:szCs w:val="22"/>
        </w:rPr>
      </w:pPr>
    </w:p>
    <w:p>
      <w:pPr>
        <w:spacing w:line="440" w:lineRule="exact"/>
        <w:ind w:right="1050" w:rightChars="500" w:firstLine="5670" w:firstLineChars="2700"/>
        <w:jc w:val="left"/>
        <w:rPr>
          <w:rFonts w:ascii="宋体" w:hAnsi="宋体"/>
          <w:bCs/>
        </w:rPr>
      </w:pPr>
      <w:r>
        <w:rPr>
          <w:rFonts w:hint="eastAsia" w:ascii="宋体" w:hAnsi="宋体"/>
          <w:bCs/>
        </w:rPr>
        <w:t>供应商（盖章）：</w:t>
      </w:r>
      <w:r>
        <w:rPr>
          <w:rFonts w:hint="eastAsia" w:ascii="宋体" w:hAnsi="宋体"/>
          <w:bCs/>
          <w:u w:val="single"/>
        </w:rPr>
        <w:t xml:space="preserve">   </w:t>
      </w:r>
      <w:r>
        <w:rPr>
          <w:rFonts w:ascii="宋体" w:hAnsi="宋体"/>
          <w:bCs/>
          <w:u w:val="single"/>
        </w:rPr>
        <w:t xml:space="preserve">  </w:t>
      </w:r>
      <w:r>
        <w:rPr>
          <w:rFonts w:hint="eastAsia" w:ascii="宋体" w:hAnsi="宋体"/>
          <w:bCs/>
          <w:u w:val="single"/>
        </w:rPr>
        <w:t xml:space="preserve">  </w:t>
      </w:r>
      <w:r>
        <w:rPr>
          <w:rFonts w:ascii="宋体" w:hAnsi="宋体"/>
          <w:bCs/>
          <w:u w:val="single"/>
        </w:rPr>
        <w:t xml:space="preserve"> </w:t>
      </w:r>
      <w:r>
        <w:rPr>
          <w:rFonts w:hint="eastAsia" w:ascii="宋体" w:hAnsi="宋体"/>
          <w:bCs/>
          <w:u w:val="single"/>
        </w:rPr>
        <w:t xml:space="preserve">  </w:t>
      </w:r>
    </w:p>
    <w:p>
      <w:pPr>
        <w:spacing w:line="440" w:lineRule="exact"/>
        <w:ind w:right="420"/>
        <w:jc w:val="center"/>
        <w:rPr>
          <w:rFonts w:ascii="宋体" w:hAnsi="宋体"/>
          <w:bCs/>
        </w:rPr>
      </w:pPr>
      <w:r>
        <w:rPr>
          <w:rFonts w:hint="eastAsia" w:ascii="宋体" w:hAnsi="宋体"/>
          <w:bCs/>
        </w:rPr>
        <w:t xml:space="preserve"> </w:t>
      </w:r>
      <w:r>
        <w:rPr>
          <w:rFonts w:ascii="宋体" w:hAnsi="宋体"/>
          <w:bCs/>
        </w:rPr>
        <w:t xml:space="preserve">                                                </w:t>
      </w:r>
      <w:r>
        <w:rPr>
          <w:rFonts w:hint="eastAsia" w:ascii="宋体" w:hAnsi="宋体"/>
          <w:bCs/>
        </w:rPr>
        <w:t>日期：</w:t>
      </w:r>
      <w:r>
        <w:rPr>
          <w:rFonts w:hint="eastAsia" w:ascii="宋体" w:hAnsi="宋体"/>
          <w:bCs/>
          <w:u w:val="single"/>
        </w:rPr>
        <w:t xml:space="preserve">      </w:t>
      </w:r>
      <w:r>
        <w:rPr>
          <w:rFonts w:hint="eastAsia" w:ascii="宋体" w:hAnsi="宋体"/>
          <w:bCs/>
        </w:rPr>
        <w:t>年</w:t>
      </w:r>
      <w:r>
        <w:rPr>
          <w:rFonts w:hint="eastAsia" w:ascii="宋体" w:hAnsi="宋体"/>
          <w:bCs/>
          <w:u w:val="single"/>
        </w:rPr>
        <w:t xml:space="preserve">    </w:t>
      </w:r>
      <w:r>
        <w:rPr>
          <w:rFonts w:hint="eastAsia" w:ascii="宋体" w:hAnsi="宋体"/>
          <w:bCs/>
        </w:rPr>
        <w:t>月</w:t>
      </w:r>
      <w:r>
        <w:rPr>
          <w:rFonts w:hint="eastAsia" w:ascii="宋体" w:hAnsi="宋体"/>
          <w:bCs/>
          <w:u w:val="single"/>
        </w:rPr>
        <w:t xml:space="preserve">    </w:t>
      </w:r>
      <w:r>
        <w:rPr>
          <w:rFonts w:hint="eastAsia" w:ascii="宋体" w:hAnsi="宋体"/>
          <w:bCs/>
        </w:rPr>
        <w:t>日</w:t>
      </w:r>
    </w:p>
    <w:p>
      <w:pPr>
        <w:spacing w:line="440" w:lineRule="exact"/>
        <w:ind w:right="420"/>
        <w:jc w:val="center"/>
        <w:rPr>
          <w:rFonts w:ascii="宋体" w:hAnsi="宋体"/>
          <w:bCs/>
        </w:rPr>
      </w:pPr>
    </w:p>
    <w:p>
      <w:pPr>
        <w:spacing w:line="440" w:lineRule="exact"/>
        <w:ind w:right="420"/>
        <w:jc w:val="center"/>
        <w:rPr>
          <w:rFonts w:ascii="宋体" w:hAnsi="宋体"/>
          <w:bCs/>
        </w:rPr>
      </w:pPr>
    </w:p>
    <w:p>
      <w:pPr>
        <w:spacing w:line="440" w:lineRule="exact"/>
        <w:ind w:right="420"/>
        <w:jc w:val="center"/>
        <w:rPr>
          <w:rFonts w:ascii="宋体" w:hAnsi="宋体"/>
          <w:bCs/>
        </w:rPr>
      </w:pPr>
    </w:p>
    <w:p>
      <w:pPr>
        <w:widowControl/>
        <w:jc w:val="left"/>
        <w:rPr>
          <w:rFonts w:ascii="黑体" w:hAnsi="黑体" w:eastAsia="黑体" w:cs="黑体"/>
          <w:b/>
          <w:sz w:val="32"/>
          <w:szCs w:val="32"/>
        </w:rPr>
      </w:pPr>
      <w:r>
        <w:rPr>
          <w:rFonts w:hint="eastAsia" w:ascii="仿宋" w:hAnsi="仿宋" w:eastAsia="仿宋"/>
          <w:b/>
          <w:sz w:val="36"/>
          <w:szCs w:val="36"/>
        </w:rPr>
        <w:t>二、商务技术文件</w:t>
      </w:r>
    </w:p>
    <w:p>
      <w:pPr>
        <w:widowControl/>
        <w:jc w:val="center"/>
        <w:rPr>
          <w:rFonts w:ascii="仿宋" w:hAnsi="仿宋" w:eastAsia="仿宋" w:cs="黑体"/>
          <w:b/>
          <w:sz w:val="32"/>
          <w:szCs w:val="32"/>
        </w:rPr>
      </w:pPr>
      <w:bookmarkStart w:id="132" w:name="_Hlk92702324"/>
      <w:r>
        <w:rPr>
          <w:rFonts w:hint="eastAsia" w:ascii="仿宋" w:hAnsi="仿宋" w:eastAsia="仿宋" w:cs="黑体"/>
          <w:b/>
          <w:sz w:val="32"/>
          <w:szCs w:val="32"/>
        </w:rPr>
        <w:t>谈 判 函</w:t>
      </w:r>
      <w:bookmarkEnd w:id="132"/>
      <w:r>
        <w:rPr>
          <w:rFonts w:hint="eastAsia" w:ascii="仿宋" w:hAnsi="仿宋" w:eastAsia="仿宋" w:cs="黑体"/>
          <w:bCs/>
          <w:sz w:val="24"/>
        </w:rPr>
        <w:t>(格式</w:t>
      </w:r>
      <w:r>
        <w:rPr>
          <w:rFonts w:ascii="仿宋" w:hAnsi="仿宋" w:eastAsia="仿宋" w:cs="黑体"/>
          <w:bCs/>
          <w:sz w:val="24"/>
        </w:rPr>
        <w:t>)</w:t>
      </w:r>
    </w:p>
    <w:p>
      <w:pPr>
        <w:spacing w:line="360" w:lineRule="exact"/>
        <w:jc w:val="center"/>
        <w:rPr>
          <w:rFonts w:ascii="宋体" w:hAnsi="宋体"/>
          <w:b/>
          <w:szCs w:val="21"/>
        </w:rPr>
      </w:pPr>
    </w:p>
    <w:p>
      <w:pPr>
        <w:spacing w:line="400" w:lineRule="exact"/>
        <w:rPr>
          <w:rFonts w:ascii="宋体" w:hAnsi="宋体"/>
          <w:szCs w:val="21"/>
        </w:rPr>
      </w:pPr>
      <w:r>
        <w:rPr>
          <w:rFonts w:hint="eastAsia" w:ascii="宋体" w:hAnsi="宋体"/>
          <w:szCs w:val="21"/>
        </w:rPr>
        <w:t>致：钦州市政府采购中心：</w:t>
      </w:r>
    </w:p>
    <w:p>
      <w:pPr>
        <w:pStyle w:val="23"/>
        <w:spacing w:line="480" w:lineRule="exact"/>
        <w:ind w:firstLine="420"/>
        <w:rPr>
          <w:rFonts w:hAnsi="宋体"/>
        </w:rPr>
      </w:pPr>
      <w:r>
        <w:rPr>
          <w:rFonts w:hint="eastAsia" w:hAnsi="宋体"/>
        </w:rPr>
        <w:t>依据贵方</w:t>
      </w:r>
      <w:r>
        <w:rPr>
          <w:rFonts w:hint="eastAsia" w:hAnsi="宋体"/>
          <w:u w:val="single"/>
        </w:rPr>
        <w:t>（项目名称/文件编号）</w:t>
      </w:r>
      <w:r>
        <w:rPr>
          <w:rFonts w:hint="eastAsia" w:hAnsi="宋体"/>
        </w:rPr>
        <w:t>项目竞争性谈判采购文件，我方</w:t>
      </w:r>
      <w:r>
        <w:rPr>
          <w:rFonts w:hint="eastAsia" w:hAnsi="宋体"/>
          <w:u w:val="single"/>
        </w:rPr>
        <w:t xml:space="preserve"> （供应商名称） </w:t>
      </w:r>
      <w:r>
        <w:rPr>
          <w:rFonts w:hint="eastAsia" w:hAnsi="宋体"/>
        </w:rPr>
        <w:t>经正式授权代表</w:t>
      </w:r>
      <w:r>
        <w:rPr>
          <w:rFonts w:hint="eastAsia" w:hAnsi="宋体"/>
          <w:u w:val="single"/>
        </w:rPr>
        <w:t xml:space="preserve">   （被授权人）</w:t>
      </w:r>
      <w:r>
        <w:rPr>
          <w:rFonts w:hint="eastAsia" w:hAnsi="宋体"/>
        </w:rPr>
        <w:t>提交响应文件。</w:t>
      </w:r>
    </w:p>
    <w:p>
      <w:pPr>
        <w:spacing w:line="400" w:lineRule="exact"/>
        <w:rPr>
          <w:rFonts w:ascii="宋体" w:hAnsi="宋体"/>
          <w:szCs w:val="21"/>
        </w:rPr>
      </w:pPr>
      <w:r>
        <w:rPr>
          <w:rFonts w:ascii="宋体" w:hAnsi="宋体"/>
          <w:szCs w:val="21"/>
        </w:rPr>
        <w:tab/>
      </w:r>
      <w:r>
        <w:rPr>
          <w:rFonts w:hint="eastAsia" w:ascii="宋体" w:hAnsi="宋体"/>
          <w:szCs w:val="21"/>
        </w:rPr>
        <w:t>据此函，我公司承诺：</w:t>
      </w:r>
    </w:p>
    <w:p>
      <w:pPr>
        <w:snapToGrid w:val="0"/>
        <w:spacing w:line="360" w:lineRule="exact"/>
        <w:ind w:firstLine="420" w:firstLineChars="200"/>
        <w:rPr>
          <w:rFonts w:ascii="宋体" w:hAnsi="宋体"/>
          <w:szCs w:val="21"/>
        </w:rPr>
      </w:pPr>
      <w:r>
        <w:rPr>
          <w:rFonts w:ascii="宋体" w:hAnsi="宋体"/>
          <w:szCs w:val="21"/>
        </w:rPr>
        <w:t>1.</w:t>
      </w:r>
      <w:r>
        <w:rPr>
          <w:rFonts w:hint="eastAsia" w:ascii="宋体" w:hAnsi="宋体"/>
          <w:szCs w:val="21"/>
        </w:rPr>
        <w:t>我方已详细审阅采购文件（包括澄清或者修改文件），已经了解我方对于采购文件、采购过程、采购结果有依法进行询问、质疑、投诉的权利及相关渠道和要求。</w:t>
      </w:r>
    </w:p>
    <w:p>
      <w:pPr>
        <w:snapToGrid w:val="0"/>
        <w:spacing w:line="360" w:lineRule="exact"/>
        <w:ind w:firstLine="420" w:firstLineChars="200"/>
        <w:rPr>
          <w:rFonts w:ascii="宋体" w:hAnsi="宋体"/>
          <w:szCs w:val="21"/>
        </w:rPr>
      </w:pPr>
      <w:r>
        <w:rPr>
          <w:rFonts w:hint="eastAsia" w:ascii="宋体" w:hAnsi="宋体"/>
          <w:szCs w:val="21"/>
        </w:rPr>
        <w:t>2.我方不是采购人的附属机构；在获知本项目采购信息后，与采购人聘请的为此项目提供咨询服务的公司及其附属机构没有任何联系。</w:t>
      </w:r>
    </w:p>
    <w:p>
      <w:pPr>
        <w:snapToGrid w:val="0"/>
        <w:spacing w:line="360" w:lineRule="exact"/>
        <w:ind w:firstLine="420" w:firstLineChars="200"/>
        <w:rPr>
          <w:rFonts w:ascii="宋体" w:hAnsi="宋体"/>
          <w:szCs w:val="21"/>
        </w:rPr>
      </w:pPr>
      <w:r>
        <w:rPr>
          <w:rFonts w:ascii="宋体" w:hAnsi="宋体"/>
          <w:szCs w:val="21"/>
        </w:rPr>
        <w:t>3.</w:t>
      </w:r>
      <w:r>
        <w:rPr>
          <w:rFonts w:hint="eastAsia" w:ascii="宋体" w:hAnsi="宋体"/>
          <w:szCs w:val="21"/>
        </w:rPr>
        <w:t>我方在谈判之前已经与贵方进行了充分的沟通，完全理解并接受采购文件的各项规定和要求。</w:t>
      </w:r>
    </w:p>
    <w:p>
      <w:pPr>
        <w:spacing w:line="400" w:lineRule="exact"/>
        <w:rPr>
          <w:rFonts w:ascii="宋体" w:hAnsi="宋体"/>
          <w:szCs w:val="21"/>
        </w:rPr>
      </w:pPr>
      <w:r>
        <w:rPr>
          <w:rFonts w:ascii="宋体" w:hAnsi="宋体"/>
          <w:szCs w:val="21"/>
        </w:rPr>
        <w:tab/>
      </w:r>
      <w:r>
        <w:rPr>
          <w:rFonts w:ascii="宋体" w:hAnsi="宋体"/>
          <w:szCs w:val="21"/>
        </w:rPr>
        <w:t>4</w:t>
      </w:r>
      <w:r>
        <w:rPr>
          <w:rFonts w:hint="eastAsia" w:ascii="宋体" w:hAnsi="宋体"/>
          <w:szCs w:val="21"/>
        </w:rPr>
        <w:t>.我方根据采购文件的规定，承担完成合同的责任和义务。</w:t>
      </w:r>
    </w:p>
    <w:p>
      <w:pPr>
        <w:spacing w:line="400" w:lineRule="exact"/>
        <w:rPr>
          <w:rFonts w:ascii="宋体" w:hAnsi="宋体"/>
          <w:szCs w:val="21"/>
        </w:rPr>
      </w:pPr>
      <w:r>
        <w:rPr>
          <w:rFonts w:ascii="宋体" w:hAnsi="宋体"/>
          <w:szCs w:val="21"/>
        </w:rPr>
        <w:tab/>
      </w:r>
      <w:r>
        <w:rPr>
          <w:rFonts w:ascii="宋体" w:hAnsi="宋体"/>
          <w:szCs w:val="21"/>
        </w:rPr>
        <w:t>5</w:t>
      </w:r>
      <w:r>
        <w:rPr>
          <w:rFonts w:hint="eastAsia" w:ascii="宋体" w:hAnsi="宋体"/>
          <w:szCs w:val="21"/>
        </w:rPr>
        <w:t>.同意向贵方提供贵方可能要求的与本项目采购有关的人员、数据和资料。</w:t>
      </w:r>
    </w:p>
    <w:p>
      <w:pPr>
        <w:spacing w:line="400" w:lineRule="exact"/>
        <w:ind w:firstLine="424" w:firstLineChars="202"/>
        <w:rPr>
          <w:rFonts w:ascii="宋体" w:hAnsi="宋体"/>
          <w:szCs w:val="21"/>
        </w:rPr>
      </w:pPr>
      <w:r>
        <w:rPr>
          <w:rFonts w:ascii="宋体" w:hAnsi="宋体"/>
          <w:szCs w:val="21"/>
        </w:rPr>
        <w:t>6.</w:t>
      </w:r>
      <w:r>
        <w:rPr>
          <w:rFonts w:hint="eastAsia" w:ascii="宋体" w:hAnsi="宋体"/>
          <w:szCs w:val="21"/>
        </w:rPr>
        <w:t>我方向贵方提交的所有响应文件、资料都是准确的和真实的。</w:t>
      </w:r>
    </w:p>
    <w:p>
      <w:pPr>
        <w:spacing w:line="400" w:lineRule="exact"/>
        <w:rPr>
          <w:rFonts w:ascii="宋体" w:hAnsi="宋体"/>
          <w:szCs w:val="21"/>
        </w:rPr>
      </w:pPr>
    </w:p>
    <w:p>
      <w:pPr>
        <w:spacing w:line="400" w:lineRule="exact"/>
        <w:ind w:firstLine="426"/>
        <w:rPr>
          <w:rFonts w:ascii="宋体" w:hAnsi="宋体"/>
          <w:szCs w:val="21"/>
        </w:rPr>
      </w:pPr>
      <w:r>
        <w:rPr>
          <w:rFonts w:hint="eastAsia" w:ascii="宋体" w:hAnsi="宋体"/>
          <w:szCs w:val="21"/>
        </w:rPr>
        <w:t>与我公司有关的正式通讯方式：</w:t>
      </w:r>
    </w:p>
    <w:p>
      <w:pPr>
        <w:spacing w:line="400" w:lineRule="exact"/>
        <w:rPr>
          <w:rFonts w:ascii="宋体" w:hAnsi="宋体"/>
          <w:szCs w:val="21"/>
        </w:rPr>
      </w:pPr>
      <w:r>
        <w:rPr>
          <w:rFonts w:ascii="宋体" w:hAnsi="宋体"/>
          <w:szCs w:val="21"/>
        </w:rPr>
        <w:tab/>
      </w:r>
      <w:r>
        <w:rPr>
          <w:rFonts w:hint="eastAsia" w:ascii="宋体" w:hAnsi="宋体"/>
          <w:szCs w:val="21"/>
        </w:rPr>
        <w:t>地址：</w:t>
      </w:r>
      <w:r>
        <w:rPr>
          <w:rFonts w:hint="eastAsia" w:ascii="宋体" w:hAnsi="宋体"/>
          <w:szCs w:val="21"/>
          <w:u w:val="single"/>
        </w:rPr>
        <w:t xml:space="preserve">                                   </w:t>
      </w:r>
    </w:p>
    <w:p>
      <w:pPr>
        <w:spacing w:line="400" w:lineRule="exact"/>
        <w:rPr>
          <w:rFonts w:ascii="宋体" w:hAnsi="宋体"/>
          <w:szCs w:val="21"/>
        </w:rPr>
      </w:pPr>
      <w:r>
        <w:rPr>
          <w:rFonts w:ascii="宋体" w:hAnsi="宋体"/>
          <w:szCs w:val="21"/>
        </w:rPr>
        <w:tab/>
      </w:r>
      <w:r>
        <w:rPr>
          <w:rFonts w:hint="eastAsia" w:ascii="宋体" w:hAnsi="宋体"/>
          <w:szCs w:val="21"/>
        </w:rPr>
        <w:t>邮政编码：</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pPr>
        <w:spacing w:line="400" w:lineRule="exact"/>
        <w:rPr>
          <w:rFonts w:ascii="宋体" w:hAnsi="宋体"/>
          <w:szCs w:val="21"/>
        </w:rPr>
      </w:pPr>
      <w:r>
        <w:rPr>
          <w:rFonts w:ascii="宋体" w:hAnsi="宋体"/>
          <w:szCs w:val="21"/>
        </w:rPr>
        <w:tab/>
      </w:r>
      <w:r>
        <w:rPr>
          <w:rFonts w:hint="eastAsia" w:ascii="宋体" w:hAnsi="宋体"/>
          <w:szCs w:val="21"/>
        </w:rPr>
        <w:t>电话、电报、传真或电传：</w:t>
      </w:r>
      <w:r>
        <w:rPr>
          <w:rFonts w:hint="eastAsia" w:ascii="宋体" w:hAnsi="宋体"/>
          <w:szCs w:val="21"/>
          <w:u w:val="single"/>
        </w:rPr>
        <w:t xml:space="preserve">                 </w:t>
      </w:r>
    </w:p>
    <w:p>
      <w:pPr>
        <w:spacing w:line="400" w:lineRule="exact"/>
        <w:rPr>
          <w:rFonts w:ascii="宋体" w:hAnsi="宋体"/>
          <w:szCs w:val="21"/>
        </w:rPr>
      </w:pPr>
      <w:r>
        <w:rPr>
          <w:rFonts w:ascii="宋体" w:hAnsi="宋体"/>
          <w:szCs w:val="21"/>
        </w:rPr>
        <w:tab/>
      </w:r>
      <w:r>
        <w:rPr>
          <w:rFonts w:hint="eastAsia" w:ascii="宋体" w:hAnsi="宋体"/>
          <w:szCs w:val="21"/>
        </w:rPr>
        <w:t>开户名称：</w:t>
      </w:r>
      <w:r>
        <w:rPr>
          <w:rFonts w:hint="eastAsia" w:ascii="宋体" w:hAnsi="宋体"/>
          <w:szCs w:val="21"/>
          <w:u w:val="single"/>
        </w:rPr>
        <w:t xml:space="preserve">                               </w:t>
      </w:r>
    </w:p>
    <w:p>
      <w:pPr>
        <w:spacing w:line="400" w:lineRule="exact"/>
        <w:rPr>
          <w:rFonts w:ascii="宋体" w:hAnsi="宋体"/>
          <w:szCs w:val="21"/>
        </w:rPr>
      </w:pPr>
      <w:r>
        <w:rPr>
          <w:rFonts w:ascii="宋体" w:hAnsi="宋体"/>
          <w:szCs w:val="21"/>
        </w:rPr>
        <w:tab/>
      </w:r>
      <w:r>
        <w:rPr>
          <w:rFonts w:hint="eastAsia" w:ascii="宋体" w:hAnsi="宋体"/>
          <w:szCs w:val="21"/>
        </w:rPr>
        <w:t>开户银行：</w:t>
      </w:r>
      <w:r>
        <w:rPr>
          <w:rFonts w:hint="eastAsia" w:ascii="宋体" w:hAnsi="宋体"/>
          <w:szCs w:val="21"/>
          <w:u w:val="single"/>
        </w:rPr>
        <w:t xml:space="preserve">                               </w:t>
      </w:r>
    </w:p>
    <w:p>
      <w:pPr>
        <w:spacing w:line="400" w:lineRule="exact"/>
        <w:rPr>
          <w:rFonts w:ascii="宋体" w:hAnsi="宋体"/>
          <w:szCs w:val="21"/>
          <w:u w:val="single"/>
        </w:rPr>
      </w:pPr>
      <w:r>
        <w:rPr>
          <w:rFonts w:ascii="宋体" w:hAnsi="宋体"/>
          <w:szCs w:val="21"/>
        </w:rPr>
        <w:tab/>
      </w:r>
      <w:r>
        <w:rPr>
          <w:rFonts w:hint="eastAsia" w:ascii="宋体" w:hAnsi="宋体"/>
          <w:szCs w:val="21"/>
        </w:rPr>
        <w:t>账    号：</w:t>
      </w:r>
      <w:r>
        <w:rPr>
          <w:rFonts w:hint="eastAsia" w:ascii="宋体" w:hAnsi="宋体"/>
          <w:szCs w:val="21"/>
          <w:u w:val="single"/>
        </w:rPr>
        <w:t xml:space="preserve">                               </w:t>
      </w:r>
    </w:p>
    <w:p/>
    <w:p/>
    <w:p/>
    <w:p/>
    <w:p/>
    <w:p>
      <w:pPr>
        <w:spacing w:line="400" w:lineRule="exact"/>
        <w:rPr>
          <w:rFonts w:ascii="宋体" w:hAnsi="宋体"/>
          <w:szCs w:val="21"/>
        </w:rPr>
      </w:pPr>
      <w:r>
        <w:rPr>
          <w:rFonts w:ascii="宋体" w:hAnsi="宋体"/>
          <w:szCs w:val="21"/>
        </w:rPr>
        <w:tab/>
      </w:r>
      <w:r>
        <w:rPr>
          <w:rFonts w:ascii="宋体" w:hAnsi="宋体"/>
          <w:szCs w:val="21"/>
        </w:rPr>
        <w:t xml:space="preserve">                                           </w:t>
      </w:r>
      <w:r>
        <w:rPr>
          <w:rFonts w:hint="eastAsia" w:ascii="宋体" w:hAnsi="宋体"/>
          <w:szCs w:val="21"/>
        </w:rPr>
        <w:t>供应商（盖章）：</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pPr>
        <w:spacing w:line="400" w:lineRule="exact"/>
        <w:rPr>
          <w:rFonts w:ascii="宋体" w:hAnsi="宋体"/>
          <w:szCs w:val="21"/>
        </w:rPr>
      </w:pPr>
      <w:r>
        <w:rPr>
          <w:rFonts w:ascii="宋体" w:hAnsi="宋体"/>
          <w:szCs w:val="21"/>
        </w:rPr>
        <w:tab/>
      </w:r>
      <w:r>
        <w:rPr>
          <w:rFonts w:ascii="宋体" w:hAnsi="宋体"/>
          <w:szCs w:val="21"/>
        </w:rPr>
        <w:t xml:space="preserve">                                           </w:t>
      </w: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p>
    <w:p>
      <w:pPr>
        <w:widowControl/>
        <w:jc w:val="left"/>
      </w:pPr>
      <w:r>
        <w:br w:type="page"/>
      </w:r>
    </w:p>
    <w:p/>
    <w:p>
      <w:pPr>
        <w:jc w:val="center"/>
        <w:rPr>
          <w:rFonts w:ascii="仿宋" w:hAnsi="仿宋" w:eastAsia="仿宋"/>
          <w:sz w:val="32"/>
          <w:szCs w:val="32"/>
        </w:rPr>
      </w:pPr>
      <w:r>
        <w:rPr>
          <w:rFonts w:hint="eastAsia" w:ascii="仿宋" w:hAnsi="仿宋" w:eastAsia="仿宋"/>
          <w:b/>
          <w:sz w:val="32"/>
          <w:szCs w:val="32"/>
        </w:rPr>
        <w:t>授权委托书</w:t>
      </w:r>
      <w:bookmarkStart w:id="133" w:name="_Hlk92703623"/>
      <w:r>
        <w:rPr>
          <w:rFonts w:hint="eastAsia" w:ascii="仿宋" w:hAnsi="仿宋" w:eastAsia="仿宋"/>
          <w:sz w:val="24"/>
        </w:rPr>
        <w:t>(格式</w:t>
      </w:r>
      <w:r>
        <w:rPr>
          <w:rFonts w:ascii="仿宋" w:hAnsi="仿宋" w:eastAsia="仿宋"/>
          <w:sz w:val="24"/>
        </w:rPr>
        <w:t>)</w:t>
      </w:r>
      <w:bookmarkEnd w:id="133"/>
    </w:p>
    <w:p>
      <w:pPr>
        <w:snapToGrid w:val="0"/>
        <w:spacing w:before="156" w:beforeLines="50" w:after="50" w:line="500" w:lineRule="exact"/>
        <w:rPr>
          <w:rFonts w:ascii="宋体" w:hAnsi="宋体"/>
          <w:b/>
          <w:bCs/>
          <w:szCs w:val="21"/>
        </w:rPr>
      </w:pPr>
      <w:r>
        <w:rPr>
          <w:rFonts w:hint="eastAsia" w:ascii="宋体" w:hAnsi="宋体"/>
          <w:bCs/>
          <w:szCs w:val="21"/>
        </w:rPr>
        <w:t>致：</w:t>
      </w:r>
      <w:r>
        <w:rPr>
          <w:rFonts w:hint="eastAsia"/>
        </w:rPr>
        <w:t>钦州市政府采购中心</w:t>
      </w:r>
    </w:p>
    <w:p>
      <w:pPr>
        <w:snapToGrid w:val="0"/>
        <w:spacing w:before="156" w:beforeLines="50" w:after="50" w:line="500" w:lineRule="exact"/>
        <w:ind w:firstLine="420" w:firstLineChars="200"/>
        <w:rPr>
          <w:rFonts w:ascii="宋体" w:hAnsi="宋体"/>
          <w:szCs w:val="21"/>
        </w:rPr>
      </w:pPr>
      <w:r>
        <w:rPr>
          <w:rFonts w:hint="eastAsia" w:ascii="宋体" w:hAnsi="宋体"/>
          <w:szCs w:val="21"/>
        </w:rPr>
        <w:t>我</w:t>
      </w:r>
      <w:r>
        <w:rPr>
          <w:rFonts w:hint="eastAsia" w:ascii="宋体" w:hAnsi="宋体"/>
          <w:szCs w:val="21"/>
          <w:u w:val="single"/>
        </w:rPr>
        <w:t>（姓名）</w:t>
      </w:r>
      <w:r>
        <w:rPr>
          <w:rFonts w:hint="eastAsia" w:ascii="宋体" w:hAnsi="宋体"/>
          <w:szCs w:val="21"/>
        </w:rPr>
        <w:t>系</w:t>
      </w:r>
      <w:r>
        <w:rPr>
          <w:rFonts w:hint="eastAsia" w:ascii="宋体" w:hAnsi="宋体"/>
          <w:szCs w:val="21"/>
          <w:u w:val="single"/>
        </w:rPr>
        <w:t>（供应商名称）</w:t>
      </w:r>
      <w:r>
        <w:rPr>
          <w:rFonts w:hint="eastAsia" w:ascii="宋体" w:hAnsi="宋体"/>
          <w:szCs w:val="21"/>
        </w:rPr>
        <w:t>的法定代表人，现授权委托本单位在职职工</w:t>
      </w:r>
      <w:r>
        <w:rPr>
          <w:rFonts w:hint="eastAsia" w:ascii="宋体" w:hAnsi="宋体"/>
          <w:szCs w:val="21"/>
          <w:u w:val="single"/>
        </w:rPr>
        <w:t>（姓名）</w:t>
      </w:r>
      <w:r>
        <w:rPr>
          <w:rFonts w:hint="eastAsia" w:ascii="宋体" w:hAnsi="宋体"/>
          <w:szCs w:val="21"/>
        </w:rPr>
        <w:t>以我方的名义参加</w:t>
      </w:r>
      <w:r>
        <w:rPr>
          <w:rFonts w:hint="eastAsia" w:ascii="宋体" w:hAnsi="宋体"/>
          <w:szCs w:val="21"/>
          <w:u w:val="single"/>
        </w:rPr>
        <w:t>（项目名称/项目编号）</w:t>
      </w:r>
      <w:r>
        <w:rPr>
          <w:rFonts w:hint="eastAsia" w:ascii="宋体" w:hAnsi="宋体"/>
          <w:szCs w:val="21"/>
        </w:rPr>
        <w:t>的谈判活动，并代表我方全权办理针对上述项目的谈判、签约等具体事务和签署相关文件。</w:t>
      </w:r>
    </w:p>
    <w:p>
      <w:pPr>
        <w:snapToGrid w:val="0"/>
        <w:spacing w:before="156" w:beforeLines="50" w:after="50" w:line="500" w:lineRule="exact"/>
        <w:ind w:firstLine="420" w:firstLineChars="200"/>
        <w:rPr>
          <w:rFonts w:ascii="宋体" w:hAnsi="宋体"/>
          <w:szCs w:val="21"/>
        </w:rPr>
      </w:pPr>
      <w:r>
        <w:rPr>
          <w:rFonts w:hint="eastAsia" w:ascii="宋体" w:hAnsi="宋体"/>
          <w:szCs w:val="21"/>
        </w:rPr>
        <w:t>我方对被授权人的签名事项负全部责任。</w:t>
      </w:r>
    </w:p>
    <w:p>
      <w:pPr>
        <w:snapToGrid w:val="0"/>
        <w:spacing w:before="156" w:beforeLines="50" w:after="50" w:line="500" w:lineRule="exact"/>
        <w:ind w:firstLine="420" w:firstLineChars="200"/>
        <w:rPr>
          <w:rFonts w:ascii="宋体" w:hAnsi="宋体"/>
          <w:szCs w:val="21"/>
        </w:rPr>
      </w:pPr>
      <w:r>
        <w:rPr>
          <w:rFonts w:hint="eastAsia" w:ascii="宋体" w:hAnsi="宋体"/>
          <w:szCs w:val="21"/>
          <w:u w:val="single"/>
        </w:rPr>
        <w:t>在撤销授权的书面通知以前，本授权书一直有效</w:t>
      </w:r>
      <w:r>
        <w:rPr>
          <w:rFonts w:hint="eastAsia" w:ascii="宋体" w:hAnsi="宋体"/>
          <w:szCs w:val="21"/>
        </w:rPr>
        <w:t>。被授权人在授权书有效期内签署的所有文件不因授权的撤销而失效。</w:t>
      </w:r>
    </w:p>
    <w:p>
      <w:pPr>
        <w:snapToGrid w:val="0"/>
        <w:spacing w:before="156" w:beforeLines="50" w:after="50" w:line="500" w:lineRule="exact"/>
        <w:ind w:firstLine="420" w:firstLineChars="200"/>
        <w:rPr>
          <w:rFonts w:ascii="宋体" w:hAnsi="宋体"/>
          <w:szCs w:val="21"/>
        </w:rPr>
      </w:pPr>
      <w:r>
        <w:rPr>
          <w:rFonts w:hint="eastAsia" w:ascii="宋体" w:hAnsi="宋体"/>
          <w:szCs w:val="21"/>
        </w:rPr>
        <w:t>被授权人无转委托权，特此委托。</w:t>
      </w:r>
    </w:p>
    <w:p>
      <w:pPr>
        <w:snapToGrid w:val="0"/>
        <w:spacing w:before="156" w:beforeLines="50" w:after="50" w:line="300" w:lineRule="exact"/>
        <w:ind w:firstLine="525" w:firstLineChars="250"/>
        <w:rPr>
          <w:rFonts w:ascii="宋体" w:hAnsi="宋体"/>
          <w:szCs w:val="21"/>
        </w:rPr>
      </w:pPr>
    </w:p>
    <w:p>
      <w:pPr>
        <w:snapToGrid w:val="0"/>
        <w:spacing w:before="156" w:beforeLines="50" w:after="50" w:line="300" w:lineRule="exact"/>
        <w:ind w:firstLine="420" w:firstLineChars="200"/>
        <w:rPr>
          <w:rFonts w:ascii="宋体" w:hAnsi="宋体"/>
          <w:szCs w:val="21"/>
        </w:rPr>
      </w:pPr>
      <w:r>
        <w:rPr>
          <w:rFonts w:hint="eastAsia" w:ascii="宋体" w:hAnsi="宋体"/>
          <w:szCs w:val="21"/>
        </w:rPr>
        <w:t>所在部门职务：</w:t>
      </w:r>
      <w:r>
        <w:rPr>
          <w:rFonts w:hint="eastAsia" w:ascii="宋体" w:hAnsi="宋体"/>
          <w:szCs w:val="21"/>
          <w:u w:val="single"/>
        </w:rPr>
        <w:t xml:space="preserve">                        </w:t>
      </w:r>
    </w:p>
    <w:p>
      <w:pPr>
        <w:snapToGrid w:val="0"/>
        <w:spacing w:before="156" w:beforeLines="50" w:after="50" w:line="300" w:lineRule="exact"/>
        <w:ind w:firstLine="420" w:firstLineChars="200"/>
        <w:rPr>
          <w:rFonts w:ascii="宋体" w:hAnsi="宋体"/>
          <w:szCs w:val="21"/>
          <w:u w:val="single"/>
        </w:rPr>
      </w:pPr>
      <w:r>
        <w:rPr>
          <w:rFonts w:hint="eastAsia" w:ascii="宋体" w:hAnsi="宋体"/>
          <w:szCs w:val="21"/>
        </w:rPr>
        <w:t>职务：</w:t>
      </w:r>
      <w:r>
        <w:rPr>
          <w:rFonts w:hint="eastAsia" w:ascii="宋体" w:hAnsi="宋体"/>
          <w:szCs w:val="21"/>
          <w:u w:val="single"/>
        </w:rPr>
        <w:t xml:space="preserve">                                </w:t>
      </w:r>
    </w:p>
    <w:p>
      <w:pPr>
        <w:snapToGrid w:val="0"/>
        <w:spacing w:before="156" w:beforeLines="50" w:after="50" w:line="300" w:lineRule="exact"/>
        <w:ind w:firstLine="420" w:firstLineChars="200"/>
        <w:rPr>
          <w:rFonts w:ascii="宋体" w:hAnsi="宋体"/>
          <w:szCs w:val="21"/>
        </w:rPr>
      </w:pPr>
      <w:r>
        <w:rPr>
          <w:rFonts w:hint="eastAsia" w:ascii="宋体" w:hAnsi="宋体"/>
          <w:szCs w:val="21"/>
        </w:rPr>
        <w:t>被授权人身份证号码：</w:t>
      </w:r>
      <w:r>
        <w:rPr>
          <w:rFonts w:hint="eastAsia" w:ascii="宋体" w:hAnsi="宋体"/>
          <w:szCs w:val="21"/>
          <w:u w:val="single"/>
        </w:rPr>
        <w:t xml:space="preserve">                  </w:t>
      </w:r>
    </w:p>
    <w:p>
      <w:pPr>
        <w:snapToGrid w:val="0"/>
        <w:spacing w:before="156" w:beforeLines="50" w:after="50" w:line="300" w:lineRule="exact"/>
        <w:ind w:firstLine="420" w:firstLineChars="200"/>
        <w:rPr>
          <w:rFonts w:hAnsi="宋体"/>
        </w:rPr>
      </w:pPr>
      <w:r>
        <w:rPr>
          <w:rFonts w:hint="eastAsia" w:hAnsi="宋体"/>
        </w:rPr>
        <w:t>附：委托代理人身份证(正反面</w:t>
      </w:r>
      <w:r>
        <w:rPr>
          <w:rFonts w:hAnsi="宋体"/>
        </w:rPr>
        <w:t>)</w:t>
      </w:r>
    </w:p>
    <w:p/>
    <w:p/>
    <w:p>
      <w:pPr>
        <w:snapToGrid w:val="0"/>
        <w:spacing w:before="156" w:beforeLines="50" w:after="50" w:line="200" w:lineRule="exact"/>
        <w:ind w:firstLine="4620" w:firstLineChars="2200"/>
        <w:rPr>
          <w:rFonts w:ascii="宋体" w:hAnsi="宋体"/>
          <w:szCs w:val="21"/>
          <w:u w:val="single"/>
        </w:rPr>
      </w:pPr>
      <w:r>
        <w:rPr>
          <w:rFonts w:hint="eastAsia" w:ascii="宋体" w:hAnsi="宋体"/>
          <w:szCs w:val="21"/>
        </w:rPr>
        <w:t xml:space="preserve">       供应商（盖章）：</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pPr>
        <w:snapToGrid w:val="0"/>
        <w:spacing w:before="156" w:beforeLines="50" w:after="50" w:line="200" w:lineRule="exact"/>
        <w:ind w:firstLine="5355" w:firstLineChars="2550"/>
        <w:rPr>
          <w:rFonts w:ascii="宋体" w:hAnsi="宋体"/>
          <w:szCs w:val="21"/>
        </w:rPr>
      </w:pPr>
      <w:r>
        <w:rPr>
          <w:rFonts w:hint="eastAsia" w:ascii="宋体" w:hAnsi="宋体"/>
          <w:szCs w:val="21"/>
        </w:rPr>
        <w:t>法定代表人签名</w:t>
      </w:r>
      <w:r>
        <w:rPr>
          <w:rFonts w:hint="eastAsia" w:ascii="宋体" w:hAnsi="宋体"/>
          <w:szCs w:val="21"/>
          <w:lang w:eastAsia="zh-CN"/>
        </w:rPr>
        <w:t>（</w:t>
      </w:r>
      <w:r>
        <w:rPr>
          <w:rFonts w:hint="eastAsia" w:ascii="宋体" w:hAnsi="宋体"/>
          <w:szCs w:val="21"/>
          <w:lang w:val="en-US" w:eastAsia="zh-CN"/>
        </w:rPr>
        <w:t>或签章</w:t>
      </w:r>
      <w:r>
        <w:rPr>
          <w:rFonts w:hint="eastAsia" w:ascii="宋体" w:hAnsi="宋体"/>
          <w:szCs w:val="21"/>
          <w:lang w:eastAsia="zh-CN"/>
        </w:rPr>
        <w:t>）</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pPr>
        <w:snapToGrid w:val="0"/>
        <w:spacing w:before="156" w:beforeLines="50" w:after="50" w:line="200" w:lineRule="exact"/>
        <w:ind w:firstLine="5355" w:firstLineChars="2550"/>
        <w:rPr>
          <w:rFonts w:ascii="宋体" w:hAnsi="宋体"/>
          <w:szCs w:val="21"/>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widowControl/>
        <w:jc w:val="left"/>
        <w:rPr>
          <w:rFonts w:ascii="宋体" w:hAnsi="Courier New" w:cs="Courier New"/>
          <w:b/>
          <w:bCs/>
          <w:szCs w:val="21"/>
        </w:rPr>
      </w:pPr>
      <w:r>
        <w:rPr>
          <w:b/>
          <w:bCs/>
        </w:rPr>
        <w:br w:type="page"/>
      </w:r>
    </w:p>
    <w:p/>
    <w:bookmarkEnd w:id="49"/>
    <w:bookmarkEnd w:id="50"/>
    <w:bookmarkEnd w:id="51"/>
    <w:bookmarkEnd w:id="52"/>
    <w:p>
      <w:pPr>
        <w:snapToGrid w:val="0"/>
        <w:spacing w:before="156" w:beforeLines="50" w:after="50" w:line="360" w:lineRule="exact"/>
        <w:jc w:val="center"/>
        <w:rPr>
          <w:rFonts w:ascii="仿宋" w:hAnsi="仿宋" w:eastAsia="仿宋"/>
          <w:color w:val="auto"/>
          <w:sz w:val="24"/>
        </w:rPr>
      </w:pPr>
      <w:bookmarkStart w:id="134" w:name="_Hlk92702799"/>
      <w:r>
        <w:rPr>
          <w:rFonts w:hint="eastAsia" w:ascii="仿宋_GB2312" w:hAnsi="宋体" w:eastAsia="仿宋_GB2312"/>
          <w:b/>
          <w:color w:val="auto"/>
          <w:sz w:val="28"/>
          <w:szCs w:val="28"/>
        </w:rPr>
        <w:t>商务响应</w:t>
      </w:r>
      <w:r>
        <w:rPr>
          <w:rFonts w:hint="eastAsia" w:ascii="仿宋_GB2312" w:eastAsia="仿宋_GB2312"/>
          <w:b/>
          <w:color w:val="auto"/>
          <w:sz w:val="28"/>
          <w:szCs w:val="28"/>
        </w:rPr>
        <w:t>表</w:t>
      </w:r>
      <w:r>
        <w:rPr>
          <w:rFonts w:hint="eastAsia" w:ascii="仿宋" w:hAnsi="仿宋" w:eastAsia="仿宋"/>
          <w:color w:val="auto"/>
          <w:sz w:val="24"/>
        </w:rPr>
        <w:t>(格式</w:t>
      </w:r>
      <w:r>
        <w:rPr>
          <w:rFonts w:ascii="仿宋" w:hAnsi="仿宋" w:eastAsia="仿宋"/>
          <w:color w:val="auto"/>
          <w:sz w:val="24"/>
        </w:rPr>
        <w:t>)</w:t>
      </w:r>
    </w:p>
    <w:p>
      <w:pPr>
        <w:rPr>
          <w:color w:val="auto"/>
        </w:rPr>
      </w:pPr>
    </w:p>
    <w:tbl>
      <w:tblPr>
        <w:tblStyle w:val="42"/>
        <w:tblW w:w="946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41"/>
        <w:gridCol w:w="3654"/>
        <w:gridCol w:w="3201"/>
        <w:gridCol w:w="15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4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b/>
                <w:color w:val="auto"/>
                <w:szCs w:val="21"/>
                <w:lang w:eastAsia="zh-CN"/>
              </w:rPr>
            </w:pPr>
            <w:r>
              <w:rPr>
                <w:rFonts w:hint="eastAsia" w:ascii="宋体" w:hAnsi="宋体"/>
                <w:b/>
                <w:color w:val="auto"/>
                <w:szCs w:val="21"/>
                <w:lang w:val="en-US" w:eastAsia="zh-CN"/>
              </w:rPr>
              <w:t>序号</w:t>
            </w:r>
          </w:p>
        </w:tc>
        <w:tc>
          <w:tcPr>
            <w:tcW w:w="36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b/>
                <w:color w:val="auto"/>
                <w:szCs w:val="21"/>
              </w:rPr>
            </w:pPr>
            <w:r>
              <w:rPr>
                <w:rFonts w:hint="eastAsia" w:ascii="宋体" w:hAnsi="宋体"/>
                <w:b/>
                <w:color w:val="auto"/>
                <w:szCs w:val="21"/>
              </w:rPr>
              <w:t>采购文件</w:t>
            </w:r>
            <w:r>
              <w:rPr>
                <w:rFonts w:hint="eastAsia" w:ascii="宋体" w:hAnsi="宋体"/>
                <w:b/>
                <w:color w:val="auto"/>
                <w:szCs w:val="21"/>
                <w:lang w:val="en-US" w:eastAsia="zh-CN"/>
              </w:rPr>
              <w:t>商务</w:t>
            </w:r>
            <w:r>
              <w:rPr>
                <w:rFonts w:hint="eastAsia" w:ascii="宋体" w:hAnsi="宋体"/>
                <w:b/>
                <w:color w:val="auto"/>
                <w:szCs w:val="21"/>
              </w:rPr>
              <w:t>要求</w:t>
            </w:r>
          </w:p>
        </w:tc>
        <w:tc>
          <w:tcPr>
            <w:tcW w:w="320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b/>
                <w:color w:val="auto"/>
                <w:szCs w:val="21"/>
              </w:rPr>
            </w:pPr>
            <w:r>
              <w:rPr>
                <w:rFonts w:hint="eastAsia" w:ascii="宋体" w:hAnsi="宋体" w:eastAsia="宋体"/>
                <w:b/>
                <w:color w:val="auto"/>
                <w:szCs w:val="21"/>
                <w:lang w:val="en-US" w:eastAsia="zh-CN"/>
              </w:rPr>
              <w:t>供应商的</w:t>
            </w:r>
            <w:r>
              <w:rPr>
                <w:rFonts w:hint="eastAsia" w:ascii="宋体" w:hAnsi="宋体" w:eastAsia="宋体"/>
                <w:b/>
                <w:color w:val="auto"/>
                <w:szCs w:val="21"/>
              </w:rPr>
              <w:t>响应</w:t>
            </w:r>
          </w:p>
        </w:tc>
        <w:tc>
          <w:tcPr>
            <w:tcW w:w="157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b/>
                <w:color w:val="auto"/>
                <w:szCs w:val="21"/>
              </w:rPr>
            </w:pPr>
            <w:r>
              <w:rPr>
                <w:rFonts w:hint="eastAsia" w:ascii="宋体" w:hAnsi="宋体" w:eastAsia="宋体"/>
                <w:b/>
                <w:color w:val="auto"/>
                <w:szCs w:val="21"/>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4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olor w:val="auto"/>
                <w:szCs w:val="21"/>
                <w:lang w:eastAsia="zh-CN"/>
              </w:rPr>
            </w:pPr>
            <w:r>
              <w:rPr>
                <w:rFonts w:hint="eastAsia" w:ascii="宋体" w:hAnsi="宋体"/>
                <w:color w:val="auto"/>
                <w:szCs w:val="21"/>
                <w:lang w:val="en-US" w:eastAsia="zh-CN"/>
              </w:rPr>
              <w:t>1</w:t>
            </w:r>
          </w:p>
        </w:tc>
        <w:tc>
          <w:tcPr>
            <w:tcW w:w="36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320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157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4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olor w:val="auto"/>
                <w:szCs w:val="21"/>
                <w:lang w:eastAsia="zh-CN"/>
              </w:rPr>
            </w:pPr>
            <w:r>
              <w:rPr>
                <w:rFonts w:hint="eastAsia" w:ascii="宋体" w:hAnsi="宋体"/>
                <w:color w:val="auto"/>
                <w:szCs w:val="21"/>
                <w:lang w:val="en-US" w:eastAsia="zh-CN"/>
              </w:rPr>
              <w:t>2</w:t>
            </w:r>
          </w:p>
        </w:tc>
        <w:tc>
          <w:tcPr>
            <w:tcW w:w="36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320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43"/>
              <w:jc w:val="center"/>
              <w:rPr>
                <w:rFonts w:ascii="宋体" w:hAnsi="宋体"/>
                <w:color w:val="auto"/>
                <w:szCs w:val="21"/>
              </w:rPr>
            </w:pPr>
          </w:p>
        </w:tc>
        <w:tc>
          <w:tcPr>
            <w:tcW w:w="157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43"/>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4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olor w:val="auto"/>
                <w:szCs w:val="21"/>
                <w:lang w:eastAsia="zh-CN"/>
              </w:rPr>
            </w:pPr>
            <w:r>
              <w:rPr>
                <w:rFonts w:hint="eastAsia" w:ascii="宋体" w:hAnsi="宋体"/>
                <w:color w:val="auto"/>
                <w:szCs w:val="21"/>
                <w:lang w:val="en-US" w:eastAsia="zh-CN"/>
              </w:rPr>
              <w:t>3</w:t>
            </w:r>
          </w:p>
        </w:tc>
        <w:tc>
          <w:tcPr>
            <w:tcW w:w="36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105"/>
              <w:jc w:val="center"/>
              <w:rPr>
                <w:rFonts w:ascii="宋体" w:hAnsi="宋体"/>
                <w:color w:val="auto"/>
                <w:szCs w:val="21"/>
              </w:rPr>
            </w:pPr>
          </w:p>
        </w:tc>
        <w:tc>
          <w:tcPr>
            <w:tcW w:w="320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157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04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r>
              <w:rPr>
                <w:rFonts w:hint="eastAsia" w:ascii="宋体" w:hAnsi="宋体"/>
                <w:color w:val="auto"/>
                <w:szCs w:val="21"/>
              </w:rPr>
              <w:t>…</w:t>
            </w:r>
          </w:p>
        </w:tc>
        <w:tc>
          <w:tcPr>
            <w:tcW w:w="365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320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c>
          <w:tcPr>
            <w:tcW w:w="157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ascii="宋体" w:hAnsi="宋体"/>
                <w:color w:val="auto"/>
                <w:szCs w:val="21"/>
              </w:rPr>
            </w:pPr>
          </w:p>
        </w:tc>
      </w:tr>
    </w:tbl>
    <w:p>
      <w:pPr>
        <w:tabs>
          <w:tab w:val="left" w:pos="3870"/>
          <w:tab w:val="left" w:pos="4085"/>
        </w:tabs>
        <w:snapToGrid w:val="0"/>
        <w:spacing w:line="360" w:lineRule="exact"/>
        <w:rPr>
          <w:rFonts w:ascii="宋体" w:hAnsi="宋体"/>
          <w:b/>
          <w:color w:val="auto"/>
          <w:szCs w:val="21"/>
        </w:rPr>
      </w:pPr>
    </w:p>
    <w:p>
      <w:pPr>
        <w:rPr>
          <w:rFonts w:hint="eastAsia"/>
          <w:color w:val="auto"/>
          <w:lang w:val="en-US" w:eastAsia="zh-CN"/>
        </w:rPr>
      </w:pPr>
      <w:r>
        <w:rPr>
          <w:rFonts w:hint="eastAsia"/>
          <w:color w:val="auto"/>
          <w:lang w:val="en-US" w:eastAsia="zh-CN"/>
        </w:rPr>
        <w:t>注：</w:t>
      </w:r>
    </w:p>
    <w:p>
      <w:pPr>
        <w:rPr>
          <w:rFonts w:hint="eastAsia" w:eastAsia="宋体"/>
          <w:b w:val="0"/>
          <w:bCs w:val="0"/>
          <w:color w:val="auto"/>
          <w:sz w:val="21"/>
          <w:szCs w:val="21"/>
          <w:lang w:val="en-US" w:eastAsia="zh-CN"/>
        </w:rPr>
      </w:pPr>
      <w:r>
        <w:rPr>
          <w:rFonts w:hint="eastAsia" w:eastAsia="宋体"/>
          <w:b w:val="0"/>
          <w:bCs w:val="0"/>
          <w:color w:val="auto"/>
          <w:sz w:val="21"/>
          <w:szCs w:val="21"/>
          <w:lang w:val="en-US" w:eastAsia="zh-CN"/>
        </w:rPr>
        <w:t>1.</w:t>
      </w:r>
      <w:r>
        <w:rPr>
          <w:rFonts w:hint="eastAsia" w:eastAsia="宋体"/>
          <w:b w:val="0"/>
          <w:bCs w:val="0"/>
          <w:color w:val="auto"/>
          <w:sz w:val="21"/>
          <w:szCs w:val="21"/>
        </w:rPr>
        <w:t>应</w:t>
      </w:r>
      <w:r>
        <w:rPr>
          <w:rFonts w:hint="eastAsia" w:eastAsia="宋体"/>
          <w:b w:val="0"/>
          <w:bCs w:val="0"/>
          <w:color w:val="auto"/>
          <w:sz w:val="21"/>
          <w:szCs w:val="21"/>
          <w:lang w:val="en-US" w:eastAsia="zh-CN"/>
        </w:rPr>
        <w:t>按采购</w:t>
      </w:r>
      <w:r>
        <w:rPr>
          <w:rFonts w:hint="eastAsia" w:eastAsia="宋体"/>
          <w:b w:val="0"/>
          <w:bCs w:val="0"/>
          <w:color w:val="auto"/>
          <w:sz w:val="21"/>
          <w:szCs w:val="21"/>
        </w:rPr>
        <w:t>文件“第二章 项目需求”中的商务要求逐条作出明确响应，并作出偏离说明。</w:t>
      </w:r>
    </w:p>
    <w:p>
      <w:pPr>
        <w:rPr>
          <w:rFonts w:hint="eastAsia" w:eastAsia="宋体"/>
          <w:b w:val="0"/>
          <w:bCs w:val="0"/>
          <w:color w:val="auto"/>
          <w:sz w:val="21"/>
          <w:szCs w:val="21"/>
        </w:rPr>
      </w:pPr>
      <w:r>
        <w:rPr>
          <w:rFonts w:hint="eastAsia" w:eastAsia="宋体"/>
          <w:b w:val="0"/>
          <w:bCs w:val="0"/>
          <w:color w:val="auto"/>
          <w:sz w:val="21"/>
          <w:szCs w:val="21"/>
        </w:rPr>
        <w:t>2.供应商应根据自身的承诺，对照</w:t>
      </w:r>
      <w:r>
        <w:rPr>
          <w:rFonts w:hint="eastAsia"/>
          <w:b w:val="0"/>
          <w:bCs w:val="0"/>
          <w:color w:val="auto"/>
          <w:sz w:val="21"/>
          <w:szCs w:val="21"/>
          <w:lang w:val="en-US" w:eastAsia="zh-CN"/>
        </w:rPr>
        <w:t>采购</w:t>
      </w:r>
      <w:r>
        <w:rPr>
          <w:rFonts w:hint="eastAsia" w:eastAsia="宋体"/>
          <w:b w:val="0"/>
          <w:bCs w:val="0"/>
          <w:color w:val="auto"/>
          <w:sz w:val="21"/>
          <w:szCs w:val="21"/>
        </w:rPr>
        <w:t>文件要求，在“偏离说明”中注明“正偏离”、“负偏离”或者“无偏离”。既不属于“正偏离”也不属于“负偏离”即为“无偏离”。</w:t>
      </w:r>
    </w:p>
    <w:p>
      <w:pPr>
        <w:tabs>
          <w:tab w:val="left" w:pos="3870"/>
          <w:tab w:val="left" w:pos="4085"/>
        </w:tabs>
        <w:snapToGrid w:val="0"/>
        <w:spacing w:line="360" w:lineRule="exact"/>
        <w:rPr>
          <w:rFonts w:hint="default" w:ascii="宋体" w:hAnsi="宋体" w:eastAsia="宋体"/>
          <w:b/>
          <w:color w:val="auto"/>
          <w:szCs w:val="21"/>
          <w:lang w:val="en-US" w:eastAsia="zh-CN"/>
        </w:rPr>
      </w:pPr>
    </w:p>
    <w:p>
      <w:pPr>
        <w:spacing w:line="400" w:lineRule="exact"/>
        <w:ind w:left="6092" w:leftChars="2766" w:right="592" w:rightChars="282" w:hanging="283" w:hangingChars="135"/>
        <w:jc w:val="left"/>
        <w:rPr>
          <w:rFonts w:ascii="宋体" w:hAnsi="宋体"/>
          <w:bCs/>
          <w:color w:val="auto"/>
        </w:rPr>
      </w:pPr>
      <w:r>
        <w:rPr>
          <w:rFonts w:hint="eastAsia" w:ascii="宋体" w:hAnsi="宋体"/>
          <w:color w:val="auto"/>
          <w:szCs w:val="21"/>
        </w:rPr>
        <w:t xml:space="preserve"> </w:t>
      </w:r>
      <w:r>
        <w:rPr>
          <w:rFonts w:ascii="宋体" w:hAnsi="宋体"/>
          <w:color w:val="auto"/>
          <w:szCs w:val="21"/>
        </w:rPr>
        <w:t xml:space="preserve">                                                </w:t>
      </w:r>
      <w:bookmarkEnd w:id="134"/>
      <w:bookmarkStart w:id="135" w:name="_Hlk112311546"/>
      <w:r>
        <w:rPr>
          <w:rFonts w:hint="eastAsia" w:ascii="宋体" w:hAnsi="宋体"/>
          <w:bCs/>
          <w:color w:val="auto"/>
        </w:rPr>
        <w:t>供应商（盖章）：</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p>
    <w:p>
      <w:pPr>
        <w:snapToGrid w:val="0"/>
        <w:spacing w:before="50" w:after="50" w:line="350" w:lineRule="exact"/>
        <w:ind w:right="-817" w:rightChars="-389" w:firstLine="6090" w:firstLineChars="2900"/>
        <w:jc w:val="left"/>
        <w:rPr>
          <w:color w:val="auto"/>
        </w:rPr>
      </w:pPr>
      <w:r>
        <w:rPr>
          <w:rFonts w:hint="eastAsia" w:ascii="宋体" w:hAnsi="宋体"/>
          <w:bCs/>
          <w:color w:val="auto"/>
        </w:rPr>
        <w:t>日期：</w:t>
      </w:r>
      <w:r>
        <w:rPr>
          <w:rFonts w:hint="eastAsia" w:ascii="宋体" w:hAnsi="宋体"/>
          <w:bCs/>
          <w:color w:val="auto"/>
          <w:u w:val="single"/>
        </w:rPr>
        <w:t xml:space="preserve">    </w:t>
      </w:r>
      <w:r>
        <w:rPr>
          <w:rFonts w:ascii="宋体" w:hAnsi="宋体"/>
          <w:bCs/>
          <w:color w:val="auto"/>
          <w:u w:val="single"/>
        </w:rPr>
        <w:t xml:space="preserve">  </w:t>
      </w:r>
      <w:r>
        <w:rPr>
          <w:rFonts w:hint="eastAsia" w:ascii="宋体" w:hAnsi="宋体"/>
          <w:bCs/>
          <w:color w:val="auto"/>
          <w:u w:val="single"/>
        </w:rPr>
        <w:t xml:space="preserve">  </w:t>
      </w:r>
      <w:r>
        <w:rPr>
          <w:rFonts w:hint="eastAsia" w:ascii="宋体" w:hAnsi="宋体"/>
          <w:bCs/>
          <w:color w:val="auto"/>
        </w:rPr>
        <w:t>年</w:t>
      </w:r>
      <w:r>
        <w:rPr>
          <w:rFonts w:hint="eastAsia" w:ascii="宋体" w:hAnsi="宋体"/>
          <w:bCs/>
          <w:color w:val="auto"/>
          <w:u w:val="single"/>
        </w:rPr>
        <w:t xml:space="preserve">   </w:t>
      </w:r>
      <w:r>
        <w:rPr>
          <w:rFonts w:hint="eastAsia" w:ascii="宋体" w:hAnsi="宋体"/>
          <w:bCs/>
          <w:color w:val="auto"/>
        </w:rPr>
        <w:t>月</w:t>
      </w:r>
      <w:r>
        <w:rPr>
          <w:rFonts w:hint="eastAsia" w:ascii="宋体" w:hAnsi="宋体"/>
          <w:bCs/>
          <w:color w:val="auto"/>
          <w:u w:val="single"/>
        </w:rPr>
        <w:t xml:space="preserve">   </w:t>
      </w:r>
      <w:r>
        <w:rPr>
          <w:rFonts w:hint="eastAsia" w:ascii="宋体" w:hAnsi="宋体"/>
          <w:bCs/>
          <w:color w:val="auto"/>
        </w:rPr>
        <w:t>日</w:t>
      </w:r>
    </w:p>
    <w:bookmarkEnd w:id="135"/>
    <w:p>
      <w:pPr>
        <w:rPr>
          <w:color w:val="auto"/>
        </w:rPr>
      </w:pPr>
    </w:p>
    <w:p>
      <w:pPr>
        <w:shd w:val="clear"/>
        <w:adjustRightInd w:val="0"/>
        <w:snapToGrid w:val="0"/>
        <w:spacing w:line="300" w:lineRule="auto"/>
        <w:jc w:val="center"/>
        <w:rPr>
          <w:rFonts w:hint="eastAsia" w:ascii="仿宋_GB2312" w:hAnsi="宋体" w:eastAsia="仿宋_GB2312"/>
          <w:b/>
          <w:color w:val="auto"/>
          <w:sz w:val="28"/>
          <w:szCs w:val="28"/>
          <w:highlight w:val="none"/>
        </w:rPr>
      </w:pPr>
    </w:p>
    <w:p>
      <w:pPr>
        <w:shd w:val="clear"/>
        <w:adjustRightInd w:val="0"/>
        <w:snapToGrid w:val="0"/>
        <w:spacing w:line="300" w:lineRule="auto"/>
        <w:jc w:val="center"/>
        <w:rPr>
          <w:rFonts w:hint="eastAsia" w:ascii="仿宋_GB2312" w:hAnsi="宋体" w:eastAsia="仿宋_GB2312"/>
          <w:b/>
          <w:color w:val="auto"/>
          <w:sz w:val="28"/>
          <w:szCs w:val="28"/>
          <w:highlight w:val="none"/>
        </w:rPr>
      </w:pPr>
    </w:p>
    <w:p>
      <w:pPr>
        <w:shd w:val="clear"/>
        <w:adjustRightInd w:val="0"/>
        <w:snapToGrid w:val="0"/>
        <w:spacing w:line="300" w:lineRule="auto"/>
        <w:jc w:val="center"/>
        <w:rPr>
          <w:rFonts w:ascii="Arial Unicode MS" w:hAnsi="Arial Unicode MS" w:eastAsia="Arial Unicode MS" w:cs="Arial Unicode MS"/>
          <w:bCs/>
          <w:color w:val="auto"/>
          <w:sz w:val="44"/>
          <w:szCs w:val="44"/>
          <w:highlight w:val="none"/>
        </w:rPr>
      </w:pPr>
      <w:r>
        <w:rPr>
          <w:rFonts w:hint="eastAsia" w:ascii="仿宋_GB2312" w:hAnsi="宋体" w:eastAsia="仿宋_GB2312"/>
          <w:b/>
          <w:color w:val="auto"/>
          <w:sz w:val="28"/>
          <w:szCs w:val="28"/>
          <w:highlight w:val="none"/>
        </w:rPr>
        <w:t>技术响应</w:t>
      </w:r>
      <w:r>
        <w:rPr>
          <w:rFonts w:hint="eastAsia" w:ascii="仿宋_GB2312" w:eastAsia="仿宋_GB2312"/>
          <w:b/>
          <w:color w:val="auto"/>
          <w:sz w:val="28"/>
          <w:szCs w:val="28"/>
          <w:highlight w:val="none"/>
        </w:rPr>
        <w:t>表</w:t>
      </w:r>
      <w:r>
        <w:rPr>
          <w:rFonts w:hint="eastAsia" w:ascii="仿宋" w:hAnsi="仿宋" w:eastAsia="仿宋"/>
          <w:color w:val="auto"/>
          <w:sz w:val="24"/>
          <w:highlight w:val="none"/>
        </w:rPr>
        <w:t>(格式</w:t>
      </w:r>
      <w:r>
        <w:rPr>
          <w:rFonts w:ascii="仿宋" w:hAnsi="仿宋" w:eastAsia="仿宋"/>
          <w:color w:val="auto"/>
          <w:sz w:val="24"/>
          <w:highlight w:val="none"/>
        </w:rPr>
        <w:t>)</w:t>
      </w:r>
    </w:p>
    <w:tbl>
      <w:tblPr>
        <w:tblStyle w:val="42"/>
        <w:tblW w:w="9467"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05"/>
        <w:gridCol w:w="3370"/>
        <w:gridCol w:w="3694"/>
        <w:gridCol w:w="1398"/>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005" w:type="dxa"/>
            <w:vAlign w:val="center"/>
          </w:tcPr>
          <w:p>
            <w:pPr>
              <w:snapToGrid w:val="0"/>
              <w:spacing w:before="156" w:beforeLines="50" w:line="360" w:lineRule="exact"/>
              <w:jc w:val="center"/>
              <w:rPr>
                <w:rFonts w:hint="eastAsia" w:ascii="宋体" w:hAnsi="宋体" w:eastAsia="宋体"/>
                <w:b/>
                <w:color w:val="auto"/>
                <w:szCs w:val="21"/>
              </w:rPr>
            </w:pPr>
            <w:bookmarkStart w:id="136" w:name="_Toc301781611"/>
            <w:bookmarkStart w:id="137" w:name="_Toc254970729"/>
            <w:bookmarkStart w:id="138" w:name="_Toc295404981"/>
            <w:bookmarkStart w:id="139" w:name="_Toc173211900"/>
            <w:bookmarkStart w:id="140" w:name="_Toc383699906"/>
            <w:bookmarkStart w:id="141" w:name="_Toc297193185"/>
            <w:bookmarkStart w:id="142" w:name="_Toc373333689"/>
            <w:bookmarkStart w:id="143" w:name="_Toc173066401"/>
            <w:bookmarkStart w:id="144" w:name="_Toc254970588"/>
            <w:r>
              <w:rPr>
                <w:rFonts w:hint="eastAsia" w:ascii="宋体" w:hAnsi="宋体" w:eastAsia="宋体"/>
                <w:b/>
                <w:color w:val="auto"/>
                <w:szCs w:val="21"/>
              </w:rPr>
              <w:t>序号</w:t>
            </w:r>
            <w:bookmarkEnd w:id="136"/>
            <w:bookmarkEnd w:id="137"/>
            <w:bookmarkEnd w:id="138"/>
            <w:bookmarkEnd w:id="139"/>
            <w:bookmarkEnd w:id="140"/>
            <w:bookmarkEnd w:id="141"/>
            <w:bookmarkEnd w:id="142"/>
            <w:bookmarkEnd w:id="143"/>
            <w:bookmarkEnd w:id="144"/>
          </w:p>
        </w:tc>
        <w:tc>
          <w:tcPr>
            <w:tcW w:w="3370" w:type="dxa"/>
            <w:tcBorders>
              <w:left w:val="single" w:color="auto" w:sz="4" w:space="0"/>
            </w:tcBorders>
            <w:vAlign w:val="center"/>
          </w:tcPr>
          <w:p>
            <w:pPr>
              <w:snapToGrid w:val="0"/>
              <w:spacing w:before="156" w:beforeLines="50" w:line="360" w:lineRule="exact"/>
              <w:jc w:val="center"/>
              <w:rPr>
                <w:rFonts w:hint="eastAsia" w:ascii="宋体" w:hAnsi="宋体" w:eastAsia="宋体"/>
                <w:b/>
                <w:color w:val="auto"/>
                <w:szCs w:val="21"/>
              </w:rPr>
            </w:pPr>
            <w:r>
              <w:rPr>
                <w:rFonts w:hint="eastAsia" w:ascii="宋体" w:hAnsi="宋体" w:eastAsia="宋体"/>
                <w:b/>
                <w:color w:val="auto"/>
                <w:szCs w:val="21"/>
              </w:rPr>
              <w:t>采购文件</w:t>
            </w:r>
            <w:r>
              <w:rPr>
                <w:rFonts w:hint="eastAsia" w:ascii="宋体" w:hAnsi="宋体"/>
                <w:b/>
                <w:color w:val="auto"/>
                <w:szCs w:val="21"/>
                <w:lang w:val="en-US" w:eastAsia="zh-CN"/>
              </w:rPr>
              <w:t>技术</w:t>
            </w:r>
            <w:r>
              <w:rPr>
                <w:rFonts w:hint="eastAsia" w:ascii="宋体" w:hAnsi="宋体" w:eastAsia="宋体"/>
                <w:b/>
                <w:color w:val="auto"/>
                <w:szCs w:val="21"/>
              </w:rPr>
              <w:t>要求</w:t>
            </w:r>
          </w:p>
        </w:tc>
        <w:tc>
          <w:tcPr>
            <w:tcW w:w="3694" w:type="dxa"/>
            <w:vAlign w:val="center"/>
          </w:tcPr>
          <w:p>
            <w:pPr>
              <w:snapToGrid w:val="0"/>
              <w:spacing w:before="156" w:beforeLines="50" w:line="360" w:lineRule="exact"/>
              <w:jc w:val="center"/>
              <w:rPr>
                <w:rFonts w:hint="eastAsia" w:ascii="宋体" w:hAnsi="宋体" w:eastAsia="宋体"/>
                <w:b/>
                <w:color w:val="auto"/>
                <w:szCs w:val="21"/>
              </w:rPr>
            </w:pPr>
            <w:r>
              <w:rPr>
                <w:rFonts w:hint="eastAsia" w:ascii="宋体" w:hAnsi="宋体" w:eastAsia="宋体"/>
                <w:b/>
                <w:color w:val="auto"/>
                <w:szCs w:val="21"/>
                <w:lang w:val="en-US" w:eastAsia="zh-CN"/>
              </w:rPr>
              <w:t>供应商的</w:t>
            </w:r>
            <w:r>
              <w:rPr>
                <w:rFonts w:hint="eastAsia" w:ascii="宋体" w:hAnsi="宋体" w:eastAsia="宋体"/>
                <w:b/>
                <w:color w:val="auto"/>
                <w:szCs w:val="21"/>
              </w:rPr>
              <w:t>响应</w:t>
            </w:r>
          </w:p>
        </w:tc>
        <w:tc>
          <w:tcPr>
            <w:tcW w:w="1398" w:type="dxa"/>
            <w:vAlign w:val="center"/>
          </w:tcPr>
          <w:p>
            <w:pPr>
              <w:snapToGrid w:val="0"/>
              <w:spacing w:before="156" w:beforeLines="50" w:line="360" w:lineRule="exact"/>
              <w:jc w:val="center"/>
              <w:rPr>
                <w:rFonts w:hint="eastAsia" w:ascii="宋体" w:hAnsi="宋体" w:eastAsia="宋体"/>
                <w:b/>
                <w:color w:val="auto"/>
                <w:szCs w:val="21"/>
              </w:rPr>
            </w:pPr>
            <w:bookmarkStart w:id="145" w:name="_Toc173211903"/>
            <w:bookmarkStart w:id="146" w:name="_Toc301781614"/>
            <w:bookmarkStart w:id="147" w:name="_Toc295404984"/>
            <w:bookmarkStart w:id="148" w:name="_Toc254970732"/>
            <w:bookmarkStart w:id="149" w:name="_Toc297193188"/>
            <w:bookmarkStart w:id="150" w:name="_Toc254970591"/>
            <w:bookmarkStart w:id="151" w:name="_Toc173066404"/>
            <w:bookmarkStart w:id="152" w:name="_Toc373333692"/>
            <w:bookmarkStart w:id="153" w:name="_Toc383699909"/>
            <w:r>
              <w:rPr>
                <w:rFonts w:hint="eastAsia" w:ascii="宋体" w:hAnsi="宋体" w:eastAsia="宋体"/>
                <w:b/>
                <w:color w:val="auto"/>
                <w:szCs w:val="21"/>
              </w:rPr>
              <w:t>偏离</w:t>
            </w:r>
            <w:bookmarkEnd w:id="145"/>
            <w:bookmarkEnd w:id="146"/>
            <w:bookmarkEnd w:id="147"/>
            <w:bookmarkEnd w:id="148"/>
            <w:bookmarkEnd w:id="149"/>
            <w:bookmarkEnd w:id="150"/>
            <w:bookmarkEnd w:id="151"/>
            <w:bookmarkEnd w:id="152"/>
            <w:bookmarkEnd w:id="153"/>
            <w:bookmarkStart w:id="154" w:name="_Toc254970592"/>
            <w:bookmarkStart w:id="155" w:name="_Toc173211904"/>
            <w:bookmarkStart w:id="156" w:name="_Toc373333693"/>
            <w:bookmarkStart w:id="157" w:name="_Toc301781615"/>
            <w:bookmarkStart w:id="158" w:name="_Toc254970733"/>
            <w:bookmarkStart w:id="159" w:name="_Toc173066405"/>
            <w:bookmarkStart w:id="160" w:name="_Toc383699910"/>
            <w:bookmarkStart w:id="161" w:name="_Toc297193189"/>
            <w:bookmarkStart w:id="162" w:name="_Toc295404985"/>
            <w:r>
              <w:rPr>
                <w:rFonts w:hint="eastAsia" w:ascii="宋体" w:hAnsi="宋体" w:eastAsia="宋体"/>
                <w:b/>
                <w:color w:val="auto"/>
                <w:szCs w:val="21"/>
              </w:rPr>
              <w:t>说明</w:t>
            </w:r>
            <w:bookmarkEnd w:id="154"/>
            <w:bookmarkEnd w:id="155"/>
            <w:bookmarkEnd w:id="156"/>
            <w:bookmarkEnd w:id="157"/>
            <w:bookmarkEnd w:id="158"/>
            <w:bookmarkEnd w:id="159"/>
            <w:bookmarkEnd w:id="160"/>
            <w:bookmarkEnd w:id="161"/>
            <w:bookmarkEnd w:id="162"/>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005"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bookmarkStart w:id="163" w:name="_Toc254970734"/>
            <w:bookmarkStart w:id="164" w:name="_Toc254970593"/>
            <w:bookmarkStart w:id="165" w:name="_Toc301781616"/>
            <w:bookmarkStart w:id="166" w:name="_Toc295404986"/>
            <w:bookmarkStart w:id="167" w:name="_Toc383699911"/>
            <w:bookmarkStart w:id="168" w:name="_Toc173066406"/>
            <w:bookmarkStart w:id="169" w:name="_Toc373333694"/>
            <w:bookmarkStart w:id="170" w:name="_Toc173211905"/>
            <w:bookmarkStart w:id="171" w:name="_Toc297193190"/>
            <w:r>
              <w:rPr>
                <w:rFonts w:hint="eastAsia" w:ascii="宋体" w:hAnsi="宋体" w:eastAsia="宋体" w:cs="仿宋_GB2312"/>
                <w:color w:val="auto"/>
                <w:sz w:val="21"/>
                <w:szCs w:val="21"/>
                <w:highlight w:val="none"/>
              </w:rPr>
              <w:t>1</w:t>
            </w:r>
            <w:bookmarkEnd w:id="163"/>
            <w:bookmarkEnd w:id="164"/>
            <w:bookmarkEnd w:id="165"/>
            <w:bookmarkEnd w:id="166"/>
            <w:bookmarkEnd w:id="167"/>
            <w:bookmarkEnd w:id="168"/>
            <w:bookmarkEnd w:id="169"/>
            <w:bookmarkEnd w:id="170"/>
            <w:bookmarkEnd w:id="171"/>
          </w:p>
        </w:tc>
        <w:tc>
          <w:tcPr>
            <w:tcW w:w="3370" w:type="dxa"/>
            <w:tcBorders>
              <w:lef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3694"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1398"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005"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bookmarkStart w:id="172" w:name="_Toc301781617"/>
            <w:bookmarkStart w:id="173" w:name="_Toc373333695"/>
            <w:bookmarkStart w:id="174" w:name="_Toc297193191"/>
            <w:bookmarkStart w:id="175" w:name="_Toc254970594"/>
            <w:bookmarkStart w:id="176" w:name="_Toc173066407"/>
            <w:bookmarkStart w:id="177" w:name="_Toc173211906"/>
            <w:bookmarkStart w:id="178" w:name="_Toc295404987"/>
            <w:bookmarkStart w:id="179" w:name="_Toc383699912"/>
            <w:bookmarkStart w:id="180" w:name="_Toc254970735"/>
            <w:r>
              <w:rPr>
                <w:rFonts w:hint="eastAsia" w:ascii="宋体" w:hAnsi="宋体" w:eastAsia="宋体" w:cs="仿宋_GB2312"/>
                <w:color w:val="auto"/>
                <w:sz w:val="21"/>
                <w:szCs w:val="21"/>
                <w:highlight w:val="none"/>
              </w:rPr>
              <w:t>2</w:t>
            </w:r>
            <w:bookmarkEnd w:id="172"/>
            <w:bookmarkEnd w:id="173"/>
            <w:bookmarkEnd w:id="174"/>
            <w:bookmarkEnd w:id="175"/>
            <w:bookmarkEnd w:id="176"/>
            <w:bookmarkEnd w:id="177"/>
            <w:bookmarkEnd w:id="178"/>
            <w:bookmarkEnd w:id="179"/>
            <w:bookmarkEnd w:id="180"/>
          </w:p>
        </w:tc>
        <w:tc>
          <w:tcPr>
            <w:tcW w:w="3370" w:type="dxa"/>
            <w:tcBorders>
              <w:lef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3694"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1398"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1005"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bookmarkStart w:id="181" w:name="_Toc173211907"/>
            <w:bookmarkStart w:id="182" w:name="_Toc254970736"/>
            <w:bookmarkStart w:id="183" w:name="_Toc295404988"/>
            <w:bookmarkStart w:id="184" w:name="_Toc254970595"/>
            <w:bookmarkStart w:id="185" w:name="_Toc383699913"/>
            <w:bookmarkStart w:id="186" w:name="_Toc297193192"/>
            <w:bookmarkStart w:id="187" w:name="_Toc373333696"/>
            <w:bookmarkStart w:id="188" w:name="_Toc301781618"/>
            <w:bookmarkStart w:id="189" w:name="_Toc173066408"/>
            <w:r>
              <w:rPr>
                <w:rFonts w:hint="eastAsia" w:ascii="宋体" w:hAnsi="宋体" w:eastAsia="宋体" w:cs="仿宋_GB2312"/>
                <w:color w:val="auto"/>
                <w:sz w:val="21"/>
                <w:szCs w:val="21"/>
                <w:highlight w:val="none"/>
              </w:rPr>
              <w:t>3</w:t>
            </w:r>
            <w:bookmarkEnd w:id="181"/>
            <w:bookmarkEnd w:id="182"/>
            <w:bookmarkEnd w:id="183"/>
            <w:bookmarkEnd w:id="184"/>
            <w:bookmarkEnd w:id="185"/>
            <w:bookmarkEnd w:id="186"/>
            <w:bookmarkEnd w:id="187"/>
            <w:bookmarkEnd w:id="188"/>
            <w:bookmarkEnd w:id="189"/>
          </w:p>
        </w:tc>
        <w:tc>
          <w:tcPr>
            <w:tcW w:w="3370" w:type="dxa"/>
            <w:tcBorders>
              <w:lef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3694"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1398"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1005"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bookmarkStart w:id="190" w:name="_Toc373333699"/>
            <w:bookmarkStart w:id="191" w:name="_Toc254970602"/>
            <w:bookmarkStart w:id="192" w:name="_Toc173211914"/>
            <w:bookmarkStart w:id="193" w:name="_Toc297193195"/>
            <w:bookmarkStart w:id="194" w:name="_Toc254970743"/>
            <w:bookmarkStart w:id="195" w:name="_Toc383699916"/>
            <w:bookmarkStart w:id="196" w:name="_Toc173066415"/>
            <w:bookmarkStart w:id="197" w:name="_Toc301781621"/>
            <w:bookmarkStart w:id="198" w:name="_Toc295404991"/>
            <w:r>
              <w:rPr>
                <w:rFonts w:hint="eastAsia" w:ascii="宋体" w:hAnsi="宋体" w:eastAsia="宋体" w:cs="仿宋_GB2312"/>
                <w:color w:val="auto"/>
                <w:sz w:val="21"/>
                <w:szCs w:val="21"/>
                <w:highlight w:val="none"/>
              </w:rPr>
              <w:t>…</w:t>
            </w:r>
            <w:bookmarkEnd w:id="190"/>
            <w:bookmarkEnd w:id="191"/>
            <w:bookmarkEnd w:id="192"/>
            <w:bookmarkEnd w:id="193"/>
            <w:bookmarkEnd w:id="194"/>
            <w:bookmarkEnd w:id="195"/>
            <w:bookmarkEnd w:id="196"/>
            <w:bookmarkEnd w:id="197"/>
            <w:bookmarkEnd w:id="198"/>
          </w:p>
        </w:tc>
        <w:tc>
          <w:tcPr>
            <w:tcW w:w="3370" w:type="dxa"/>
            <w:tcBorders>
              <w:lef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3694" w:type="dxa"/>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c>
          <w:tcPr>
            <w:tcW w:w="1398" w:type="dxa"/>
            <w:tcBorders>
              <w:right w:val="single" w:color="auto" w:sz="4" w:space="0"/>
            </w:tcBorders>
            <w:vAlign w:val="center"/>
          </w:tcPr>
          <w:p>
            <w:pPr>
              <w:pStyle w:val="20"/>
              <w:shd w:val="clear"/>
              <w:spacing w:line="360" w:lineRule="auto"/>
              <w:ind w:firstLine="0" w:firstLineChars="0"/>
              <w:contextualSpacing/>
              <w:jc w:val="center"/>
              <w:rPr>
                <w:rFonts w:ascii="宋体" w:hAnsi="宋体" w:eastAsia="宋体" w:cs="仿宋_GB2312"/>
                <w:color w:val="auto"/>
                <w:sz w:val="21"/>
                <w:szCs w:val="21"/>
                <w:highlight w:val="none"/>
              </w:rPr>
            </w:pPr>
          </w:p>
        </w:tc>
      </w:tr>
    </w:tbl>
    <w:p>
      <w:pPr>
        <w:rPr>
          <w:rFonts w:hint="eastAsia" w:eastAsia="宋体"/>
          <w:b w:val="0"/>
          <w:bCs w:val="0"/>
          <w:color w:val="auto"/>
          <w:sz w:val="21"/>
          <w:szCs w:val="21"/>
        </w:rPr>
      </w:pPr>
    </w:p>
    <w:p>
      <w:pPr>
        <w:rPr>
          <w:rFonts w:hint="eastAsia" w:eastAsia="宋体"/>
          <w:b w:val="0"/>
          <w:bCs w:val="0"/>
          <w:color w:val="auto"/>
          <w:sz w:val="21"/>
          <w:szCs w:val="21"/>
        </w:rPr>
      </w:pPr>
      <w:r>
        <w:rPr>
          <w:rFonts w:hint="eastAsia" w:eastAsia="宋体"/>
          <w:b w:val="0"/>
          <w:bCs w:val="0"/>
          <w:color w:val="auto"/>
          <w:sz w:val="21"/>
          <w:szCs w:val="21"/>
        </w:rPr>
        <w:t>注：</w:t>
      </w:r>
    </w:p>
    <w:p>
      <w:pPr>
        <w:rPr>
          <w:rFonts w:hint="eastAsia" w:eastAsia="宋体"/>
          <w:b w:val="0"/>
          <w:bCs w:val="0"/>
          <w:color w:val="auto"/>
          <w:sz w:val="21"/>
          <w:szCs w:val="21"/>
        </w:rPr>
      </w:pPr>
      <w:r>
        <w:rPr>
          <w:rFonts w:hint="eastAsia" w:eastAsia="宋体"/>
          <w:b w:val="0"/>
          <w:bCs w:val="0"/>
          <w:color w:val="auto"/>
          <w:sz w:val="21"/>
          <w:szCs w:val="21"/>
        </w:rPr>
        <w:t>1.应对照采购文件“第二章 项目需求”中的</w:t>
      </w:r>
      <w:r>
        <w:rPr>
          <w:rFonts w:hint="eastAsia"/>
          <w:b w:val="0"/>
          <w:bCs w:val="0"/>
          <w:color w:val="auto"/>
          <w:sz w:val="21"/>
          <w:szCs w:val="21"/>
          <w:lang w:val="en-US" w:eastAsia="zh-CN"/>
        </w:rPr>
        <w:t>技术</w:t>
      </w:r>
      <w:r>
        <w:rPr>
          <w:rFonts w:hint="eastAsia" w:eastAsia="宋体"/>
          <w:b w:val="0"/>
          <w:bCs w:val="0"/>
          <w:color w:val="auto"/>
          <w:sz w:val="21"/>
          <w:szCs w:val="21"/>
        </w:rPr>
        <w:t>要求逐条作出明确响应，并作出偏离说明。</w:t>
      </w:r>
    </w:p>
    <w:p>
      <w:pPr>
        <w:rPr>
          <w:rFonts w:hint="eastAsia" w:eastAsia="宋体"/>
          <w:b w:val="0"/>
          <w:bCs w:val="0"/>
          <w:color w:val="auto"/>
          <w:sz w:val="21"/>
          <w:szCs w:val="21"/>
        </w:rPr>
      </w:pPr>
      <w:r>
        <w:rPr>
          <w:rFonts w:hint="eastAsia" w:eastAsia="宋体"/>
          <w:b w:val="0"/>
          <w:bCs w:val="0"/>
          <w:color w:val="auto"/>
          <w:sz w:val="21"/>
          <w:szCs w:val="21"/>
        </w:rPr>
        <w:t>2.供应商应根据自身的承诺，对照</w:t>
      </w:r>
      <w:r>
        <w:rPr>
          <w:rFonts w:hint="eastAsia"/>
          <w:b w:val="0"/>
          <w:bCs w:val="0"/>
          <w:color w:val="auto"/>
          <w:sz w:val="21"/>
          <w:szCs w:val="21"/>
          <w:lang w:val="en-US" w:eastAsia="zh-CN"/>
        </w:rPr>
        <w:t>采购</w:t>
      </w:r>
      <w:r>
        <w:rPr>
          <w:rFonts w:hint="eastAsia" w:eastAsia="宋体"/>
          <w:b w:val="0"/>
          <w:bCs w:val="0"/>
          <w:color w:val="auto"/>
          <w:sz w:val="21"/>
          <w:szCs w:val="21"/>
        </w:rPr>
        <w:t>文件要求，在“偏离说明”中注明“正偏离”、“负偏离”或者“无偏离”。既不属于“正偏离”也不属于“负偏离”即为“无偏离”。</w:t>
      </w:r>
    </w:p>
    <w:p>
      <w:pPr>
        <w:pStyle w:val="40"/>
        <w:shd w:val="clear"/>
        <w:ind w:firstLine="281"/>
        <w:rPr>
          <w:rFonts w:hAnsi="宋体"/>
          <w:b/>
          <w:color w:val="auto"/>
          <w:sz w:val="28"/>
          <w:szCs w:val="28"/>
          <w:highlight w:val="none"/>
        </w:rPr>
      </w:pPr>
    </w:p>
    <w:p>
      <w:pPr>
        <w:shd w:val="clear"/>
        <w:spacing w:line="400" w:lineRule="exact"/>
        <w:ind w:left="6092" w:leftChars="2766" w:right="592" w:rightChars="282" w:hanging="283" w:hangingChars="135"/>
        <w:jc w:val="left"/>
        <w:rPr>
          <w:rFonts w:ascii="宋体" w:hAnsi="宋体"/>
          <w:bCs/>
          <w:color w:val="auto"/>
          <w:highlight w:val="none"/>
        </w:rPr>
      </w:pPr>
      <w:r>
        <w:rPr>
          <w:rFonts w:hint="eastAsia" w:ascii="宋体" w:hAnsi="宋体"/>
          <w:bCs/>
          <w:color w:val="auto"/>
          <w:highlight w:val="none"/>
        </w:rPr>
        <w:t>供应商（盖章）：</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p>
    <w:p>
      <w:pPr>
        <w:shd w:val="clear"/>
        <w:snapToGrid w:val="0"/>
        <w:spacing w:before="50" w:after="50" w:line="350" w:lineRule="exact"/>
        <w:ind w:right="-817" w:rightChars="-389" w:firstLine="6090" w:firstLineChars="2900"/>
        <w:jc w:val="left"/>
        <w:rPr>
          <w:color w:val="auto"/>
          <w:highlight w:val="none"/>
        </w:rPr>
      </w:pPr>
      <w:r>
        <w:rPr>
          <w:rFonts w:hint="eastAsia" w:ascii="宋体" w:hAnsi="宋体"/>
          <w:bCs/>
          <w:color w:val="auto"/>
          <w:highlight w:val="none"/>
        </w:rPr>
        <w:t>日期：</w:t>
      </w:r>
      <w:r>
        <w:rPr>
          <w:rFonts w:hint="eastAsia" w:ascii="宋体" w:hAnsi="宋体"/>
          <w:bCs/>
          <w:color w:val="auto"/>
          <w:highlight w:val="none"/>
          <w:u w:val="single"/>
        </w:rPr>
        <w:t xml:space="preserve">    </w:t>
      </w:r>
      <w:r>
        <w:rPr>
          <w:rFonts w:ascii="宋体" w:hAnsi="宋体"/>
          <w:bCs/>
          <w:color w:val="auto"/>
          <w:highlight w:val="none"/>
          <w:u w:val="single"/>
        </w:rPr>
        <w:t xml:space="preserve">  </w:t>
      </w:r>
      <w:r>
        <w:rPr>
          <w:rFonts w:hint="eastAsia" w:ascii="宋体" w:hAnsi="宋体"/>
          <w:bCs/>
          <w:color w:val="auto"/>
          <w:highlight w:val="none"/>
          <w:u w:val="single"/>
        </w:rPr>
        <w:t xml:space="preserve">  </w:t>
      </w:r>
      <w:r>
        <w:rPr>
          <w:rFonts w:hint="eastAsia" w:ascii="宋体" w:hAnsi="宋体"/>
          <w:bCs/>
          <w:color w:val="auto"/>
          <w:highlight w:val="none"/>
        </w:rPr>
        <w:t>年</w:t>
      </w:r>
      <w:r>
        <w:rPr>
          <w:rFonts w:hint="eastAsia" w:ascii="宋体" w:hAnsi="宋体"/>
          <w:bCs/>
          <w:color w:val="auto"/>
          <w:highlight w:val="none"/>
          <w:u w:val="single"/>
        </w:rPr>
        <w:t xml:space="preserve">   </w:t>
      </w:r>
      <w:r>
        <w:rPr>
          <w:rFonts w:hint="eastAsia" w:ascii="宋体" w:hAnsi="宋体"/>
          <w:bCs/>
          <w:color w:val="auto"/>
          <w:highlight w:val="none"/>
        </w:rPr>
        <w:t>月</w:t>
      </w:r>
      <w:r>
        <w:rPr>
          <w:rFonts w:hint="eastAsia" w:ascii="宋体" w:hAnsi="宋体"/>
          <w:bCs/>
          <w:color w:val="auto"/>
          <w:highlight w:val="none"/>
          <w:u w:val="single"/>
        </w:rPr>
        <w:t xml:space="preserve">   </w:t>
      </w:r>
      <w:r>
        <w:rPr>
          <w:rFonts w:hint="eastAsia" w:ascii="宋体" w:hAnsi="宋体"/>
          <w:bCs/>
          <w:color w:val="auto"/>
          <w:highlight w:val="none"/>
        </w:rPr>
        <w:t>日</w:t>
      </w:r>
    </w:p>
    <w:p/>
    <w:p>
      <w:pPr>
        <w:spacing w:line="440" w:lineRule="exact"/>
        <w:ind w:left="420" w:hanging="420"/>
        <w:jc w:val="center"/>
        <w:rPr>
          <w:rFonts w:ascii="仿宋" w:hAnsi="仿宋" w:eastAsia="仿宋"/>
          <w:b/>
          <w:sz w:val="32"/>
          <w:szCs w:val="32"/>
        </w:rPr>
      </w:pPr>
      <w:bookmarkStart w:id="199" w:name="_Hlk94194102"/>
      <w:r>
        <w:rPr>
          <w:rFonts w:hint="eastAsia" w:ascii="仿宋" w:hAnsi="仿宋" w:eastAsia="仿宋"/>
          <w:b/>
          <w:sz w:val="32"/>
          <w:szCs w:val="32"/>
        </w:rPr>
        <w:t>中小企业声明函</w:t>
      </w:r>
      <w:r>
        <w:rPr>
          <w:rFonts w:hint="eastAsia" w:ascii="仿宋" w:hAnsi="仿宋" w:eastAsia="仿宋"/>
          <w:sz w:val="24"/>
        </w:rPr>
        <w:t>(格式</w:t>
      </w:r>
      <w:r>
        <w:rPr>
          <w:rFonts w:ascii="仿宋" w:hAnsi="仿宋" w:eastAsia="仿宋"/>
          <w:sz w:val="24"/>
        </w:rPr>
        <w:t>)</w:t>
      </w:r>
    </w:p>
    <w:p/>
    <w:p>
      <w:pPr>
        <w:spacing w:line="600" w:lineRule="exact"/>
        <w:ind w:firstLine="294" w:firstLineChars="140"/>
        <w:jc w:val="left"/>
        <w:rPr>
          <w:rFonts w:ascii="宋体" w:hAnsi="宋体"/>
          <w:bCs/>
          <w:szCs w:val="21"/>
        </w:rPr>
      </w:pPr>
      <w:r>
        <w:rPr>
          <w:rFonts w:hint="eastAsia" w:ascii="宋体" w:hAnsi="宋体"/>
          <w:bCs/>
          <w:szCs w:val="21"/>
        </w:rPr>
        <w:t>本公司郑重声明，根据</w:t>
      </w:r>
      <w:bookmarkStart w:id="200" w:name="_Hlk82091685"/>
      <w:r>
        <w:rPr>
          <w:rFonts w:ascii="宋体" w:hAnsi="宋体"/>
          <w:bCs/>
          <w:szCs w:val="21"/>
        </w:rPr>
        <w:fldChar w:fldCharType="begin"/>
      </w:r>
      <w:r>
        <w:rPr>
          <w:rFonts w:ascii="宋体" w:hAnsi="宋体"/>
          <w:bCs/>
          <w:szCs w:val="21"/>
        </w:rPr>
        <w:instrText xml:space="preserve"> </w:instrText>
      </w:r>
      <w:r>
        <w:rPr>
          <w:rFonts w:hint="eastAsia" w:ascii="宋体" w:hAnsi="宋体"/>
          <w:bCs/>
          <w:szCs w:val="21"/>
        </w:rPr>
        <w:instrText xml:space="preserve">HYPERLINK "http://www.gov.cn/zhengce/zhengceku/2020-12/29/content_5574611.htm"</w:instrText>
      </w:r>
      <w:r>
        <w:rPr>
          <w:rFonts w:ascii="宋体" w:hAnsi="宋体"/>
          <w:bCs/>
          <w:szCs w:val="21"/>
        </w:rPr>
        <w:instrText xml:space="preserve"> </w:instrText>
      </w:r>
      <w:r>
        <w:rPr>
          <w:rFonts w:ascii="宋体" w:hAnsi="宋体"/>
          <w:bCs/>
          <w:szCs w:val="21"/>
        </w:rPr>
        <w:fldChar w:fldCharType="separate"/>
      </w:r>
      <w:r>
        <w:rPr>
          <w:rStyle w:val="49"/>
          <w:rFonts w:hint="eastAsia" w:ascii="宋体" w:hAnsi="宋体"/>
          <w:bCs/>
          <w:color w:val="auto"/>
          <w:szCs w:val="21"/>
          <w:u w:val="none"/>
        </w:rPr>
        <w:t>《政府采购促进中小企业发展管理办法》</w:t>
      </w:r>
      <w:bookmarkStart w:id="201" w:name="_Hlk60836554"/>
      <w:r>
        <w:rPr>
          <w:rStyle w:val="49"/>
          <w:rFonts w:hint="eastAsia" w:ascii="宋体" w:hAnsi="宋体"/>
          <w:bCs/>
          <w:color w:val="auto"/>
          <w:szCs w:val="21"/>
          <w:u w:val="none"/>
        </w:rPr>
        <w:t>（财库﹝2020﹞46号）</w:t>
      </w:r>
      <w:bookmarkEnd w:id="200"/>
      <w:bookmarkEnd w:id="201"/>
      <w:r>
        <w:rPr>
          <w:rFonts w:ascii="宋体" w:hAnsi="宋体"/>
          <w:bCs/>
          <w:szCs w:val="21"/>
        </w:rPr>
        <w:fldChar w:fldCharType="end"/>
      </w:r>
      <w:r>
        <w:rPr>
          <w:rFonts w:hint="eastAsia" w:ascii="宋体" w:hAnsi="宋体"/>
          <w:bCs/>
          <w:szCs w:val="21"/>
        </w:rPr>
        <w:t>的规定，本公司参加</w:t>
      </w:r>
      <w:bookmarkStart w:id="202" w:name="_Hlk82091228"/>
      <w:r>
        <w:rPr>
          <w:rFonts w:hint="eastAsia" w:ascii="宋体" w:hAnsi="宋体"/>
          <w:bCs/>
          <w:szCs w:val="21"/>
        </w:rPr>
        <w:t>（</w:t>
      </w:r>
      <w:r>
        <w:rPr>
          <w:rFonts w:hint="eastAsia" w:ascii="宋体" w:hAnsi="宋体"/>
          <w:bCs/>
          <w:szCs w:val="21"/>
          <w:u w:val="single"/>
        </w:rPr>
        <w:t>单位名称</w:t>
      </w:r>
      <w:r>
        <w:rPr>
          <w:rFonts w:hint="eastAsia" w:ascii="宋体" w:hAnsi="宋体"/>
          <w:bCs/>
          <w:szCs w:val="21"/>
        </w:rPr>
        <w:t>）的（</w:t>
      </w:r>
      <w:r>
        <w:rPr>
          <w:rFonts w:hint="eastAsia" w:ascii="宋体" w:hAnsi="宋体"/>
          <w:bCs/>
          <w:szCs w:val="21"/>
          <w:u w:val="single"/>
        </w:rPr>
        <w:t>项目名称</w:t>
      </w:r>
      <w:r>
        <w:rPr>
          <w:rFonts w:hint="eastAsia" w:ascii="宋体" w:hAnsi="宋体"/>
          <w:bCs/>
          <w:szCs w:val="21"/>
        </w:rPr>
        <w:t>）</w:t>
      </w:r>
      <w:bookmarkEnd w:id="202"/>
      <w:r>
        <w:rPr>
          <w:rFonts w:hint="eastAsia" w:ascii="宋体" w:hAnsi="宋体"/>
          <w:bCs/>
          <w:szCs w:val="21"/>
        </w:rPr>
        <w:t>采购活动，提供的货物全部由符合政策要求的中小企业制造。相关企业的具体情况如下：</w:t>
      </w:r>
    </w:p>
    <w:p>
      <w:pPr>
        <w:spacing w:line="600" w:lineRule="exact"/>
        <w:ind w:firstLine="294" w:firstLineChars="140"/>
        <w:jc w:val="left"/>
        <w:rPr>
          <w:rFonts w:ascii="宋体" w:hAnsi="宋体"/>
          <w:bCs/>
          <w:szCs w:val="21"/>
        </w:rPr>
      </w:pPr>
      <w:r>
        <w:rPr>
          <w:rFonts w:hint="eastAsia" w:ascii="宋体" w:hAnsi="宋体"/>
          <w:bCs/>
          <w:szCs w:val="21"/>
        </w:rPr>
        <w:t>1.</w:t>
      </w:r>
      <w:bookmarkStart w:id="203" w:name="_Hlk60836996"/>
      <w:r>
        <w:rPr>
          <w:rFonts w:hint="eastAsia" w:ascii="宋体" w:hAnsi="宋体"/>
          <w:bCs/>
          <w:szCs w:val="21"/>
        </w:rPr>
        <w:t>（</w:t>
      </w:r>
      <w:r>
        <w:rPr>
          <w:rFonts w:hint="eastAsia" w:ascii="宋体" w:hAnsi="宋体"/>
          <w:bCs/>
          <w:szCs w:val="21"/>
          <w:u w:val="single"/>
        </w:rPr>
        <w:t>标的名称</w:t>
      </w:r>
      <w:r>
        <w:rPr>
          <w:rFonts w:ascii="宋体" w:hAnsi="宋体"/>
          <w:bCs/>
          <w:szCs w:val="21"/>
        </w:rPr>
        <w:t>）</w:t>
      </w:r>
      <w:r>
        <w:rPr>
          <w:rFonts w:hint="eastAsia" w:ascii="宋体" w:hAnsi="宋体"/>
          <w:bCs/>
          <w:szCs w:val="21"/>
        </w:rPr>
        <w:t>，属于(</w:t>
      </w:r>
      <w:r>
        <w:rPr>
          <w:rFonts w:hint="eastAsia" w:ascii="宋体" w:hAnsi="宋体"/>
          <w:bCs/>
          <w:szCs w:val="21"/>
          <w:u w:val="single"/>
        </w:rPr>
        <w:t>采购文件中明确的所属行业</w:t>
      </w:r>
      <w:r>
        <w:rPr>
          <w:rFonts w:ascii="宋体" w:hAnsi="宋体"/>
          <w:bCs/>
          <w:szCs w:val="21"/>
        </w:rPr>
        <w:t>）</w:t>
      </w:r>
      <w:r>
        <w:rPr>
          <w:rFonts w:hint="eastAsia" w:ascii="宋体" w:hAnsi="宋体"/>
          <w:bCs/>
          <w:szCs w:val="21"/>
        </w:rPr>
        <w:t>行业；制造商为(</w:t>
      </w:r>
      <w:r>
        <w:rPr>
          <w:rFonts w:hint="eastAsia" w:ascii="宋体" w:hAnsi="宋体"/>
          <w:bCs/>
          <w:szCs w:val="21"/>
          <w:u w:val="single"/>
        </w:rPr>
        <w:t>企业名称</w:t>
      </w:r>
      <w:r>
        <w:rPr>
          <w:rFonts w:ascii="宋体" w:hAnsi="宋体"/>
          <w:bCs/>
          <w:szCs w:val="21"/>
        </w:rPr>
        <w:t>）</w:t>
      </w:r>
      <w:r>
        <w:rPr>
          <w:rFonts w:hint="eastAsia" w:ascii="宋体" w:hAnsi="宋体"/>
          <w:bCs/>
          <w:szCs w:val="21"/>
        </w:rPr>
        <w:t>，从业人员</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人，营业收入为</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万元，资产总额为</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万元，属于（</w:t>
      </w:r>
      <w:r>
        <w:rPr>
          <w:rFonts w:hint="eastAsia" w:ascii="宋体" w:hAnsi="宋体"/>
          <w:bCs/>
          <w:szCs w:val="21"/>
          <w:u w:val="single"/>
        </w:rPr>
        <w:t>中型企业、小型企业、微型企业</w:t>
      </w:r>
      <w:r>
        <w:rPr>
          <w:rFonts w:hint="eastAsia" w:ascii="宋体" w:hAnsi="宋体"/>
          <w:bCs/>
          <w:szCs w:val="21"/>
        </w:rPr>
        <w:t>）；</w:t>
      </w:r>
      <w:bookmarkEnd w:id="203"/>
    </w:p>
    <w:p>
      <w:pPr>
        <w:spacing w:line="600" w:lineRule="exact"/>
        <w:ind w:firstLine="294" w:firstLineChars="140"/>
        <w:jc w:val="left"/>
        <w:rPr>
          <w:rFonts w:ascii="宋体" w:hAnsi="宋体"/>
          <w:bCs/>
          <w:szCs w:val="21"/>
        </w:rPr>
      </w:pPr>
      <w:r>
        <w:rPr>
          <w:rFonts w:hint="eastAsia" w:ascii="宋体" w:hAnsi="宋体"/>
          <w:bCs/>
          <w:szCs w:val="21"/>
        </w:rPr>
        <w:t>2.（</w:t>
      </w:r>
      <w:r>
        <w:rPr>
          <w:rFonts w:hint="eastAsia" w:ascii="宋体" w:hAnsi="宋体"/>
          <w:bCs/>
          <w:szCs w:val="21"/>
          <w:u w:val="single"/>
        </w:rPr>
        <w:t>标的名称</w:t>
      </w:r>
      <w:r>
        <w:rPr>
          <w:rFonts w:hint="eastAsia" w:ascii="宋体" w:hAnsi="宋体"/>
          <w:bCs/>
          <w:szCs w:val="21"/>
        </w:rPr>
        <w:t>），属于(</w:t>
      </w:r>
      <w:r>
        <w:rPr>
          <w:rFonts w:hint="eastAsia" w:ascii="宋体" w:hAnsi="宋体"/>
          <w:bCs/>
          <w:szCs w:val="21"/>
          <w:u w:val="single"/>
        </w:rPr>
        <w:t>采购文件中明确的所属行业</w:t>
      </w:r>
      <w:r>
        <w:rPr>
          <w:rFonts w:hint="eastAsia" w:ascii="宋体" w:hAnsi="宋体"/>
          <w:bCs/>
          <w:szCs w:val="21"/>
        </w:rPr>
        <w:t>)行业；制造商为(</w:t>
      </w:r>
      <w:r>
        <w:rPr>
          <w:rFonts w:hint="eastAsia" w:ascii="宋体" w:hAnsi="宋体"/>
          <w:bCs/>
          <w:szCs w:val="21"/>
          <w:u w:val="single"/>
        </w:rPr>
        <w:t>企业名称</w:t>
      </w:r>
      <w:r>
        <w:rPr>
          <w:rFonts w:hint="eastAsia" w:ascii="宋体" w:hAnsi="宋体"/>
          <w:bCs/>
          <w:szCs w:val="21"/>
        </w:rPr>
        <w:t>)，从业人员</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人，营业收入为</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万元，资产总额为</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万元，属于（</w:t>
      </w:r>
      <w:r>
        <w:rPr>
          <w:rFonts w:hint="eastAsia" w:ascii="宋体" w:hAnsi="宋体"/>
          <w:bCs/>
          <w:szCs w:val="21"/>
          <w:u w:val="single"/>
        </w:rPr>
        <w:t>中型企业、小型企业、微型企业</w:t>
      </w:r>
      <w:r>
        <w:rPr>
          <w:rFonts w:hint="eastAsia" w:ascii="宋体" w:hAnsi="宋体"/>
          <w:bCs/>
          <w:szCs w:val="21"/>
        </w:rPr>
        <w:t>）；</w:t>
      </w:r>
    </w:p>
    <w:p>
      <w:pPr>
        <w:spacing w:line="600" w:lineRule="exact"/>
        <w:ind w:firstLine="294" w:firstLineChars="140"/>
        <w:jc w:val="left"/>
        <w:rPr>
          <w:rFonts w:ascii="宋体" w:hAnsi="宋体"/>
          <w:bCs/>
          <w:szCs w:val="21"/>
        </w:rPr>
      </w:pPr>
      <w:r>
        <w:rPr>
          <w:rFonts w:hint="eastAsia" w:ascii="宋体" w:hAnsi="宋体"/>
          <w:bCs/>
          <w:szCs w:val="21"/>
        </w:rPr>
        <w:t>……</w:t>
      </w:r>
    </w:p>
    <w:p>
      <w:pPr>
        <w:spacing w:line="600" w:lineRule="exact"/>
        <w:ind w:firstLine="294" w:firstLineChars="140"/>
        <w:jc w:val="left"/>
        <w:rPr>
          <w:rFonts w:ascii="宋体" w:hAnsi="宋体"/>
          <w:bCs/>
          <w:szCs w:val="21"/>
        </w:rPr>
      </w:pPr>
      <w:r>
        <w:rPr>
          <w:rFonts w:hint="eastAsia" w:ascii="宋体" w:hAnsi="宋体"/>
          <w:bCs/>
          <w:szCs w:val="21"/>
        </w:rPr>
        <w:t>以上企业，不属于大企业的分支机构，不存在控股股东为大企业的情形，也不存在与大企业的负责人为同一人的情形。</w:t>
      </w:r>
    </w:p>
    <w:p>
      <w:pPr>
        <w:spacing w:line="600" w:lineRule="exact"/>
        <w:ind w:firstLine="294" w:firstLineChars="140"/>
        <w:jc w:val="left"/>
        <w:rPr>
          <w:rFonts w:ascii="宋体" w:hAnsi="宋体"/>
          <w:bCs/>
          <w:szCs w:val="21"/>
        </w:rPr>
      </w:pPr>
      <w:r>
        <w:rPr>
          <w:rFonts w:hint="eastAsia" w:ascii="宋体" w:hAnsi="宋体"/>
          <w:bCs/>
          <w:szCs w:val="21"/>
        </w:rPr>
        <w:t>本企业对上述声明内容的真实性负责。如有虚假，将依法承担相应责任。</w:t>
      </w:r>
    </w:p>
    <w:p>
      <w:pPr>
        <w:spacing w:line="400" w:lineRule="exact"/>
        <w:rPr>
          <w:szCs w:val="21"/>
        </w:rPr>
      </w:pPr>
    </w:p>
    <w:p>
      <w:pPr>
        <w:spacing w:line="400" w:lineRule="exact"/>
        <w:rPr>
          <w:szCs w:val="21"/>
        </w:rPr>
      </w:pPr>
    </w:p>
    <w:p>
      <w:pPr>
        <w:spacing w:line="400" w:lineRule="exact"/>
        <w:rPr>
          <w:szCs w:val="21"/>
        </w:rPr>
      </w:pPr>
    </w:p>
    <w:p>
      <w:pPr>
        <w:spacing w:line="440" w:lineRule="exact"/>
        <w:ind w:firstLine="5250" w:firstLineChars="2500"/>
        <w:jc w:val="left"/>
        <w:rPr>
          <w:rFonts w:ascii="宋体" w:hAnsi="宋体"/>
          <w:bCs/>
          <w:szCs w:val="21"/>
        </w:rPr>
      </w:pPr>
      <w:r>
        <w:rPr>
          <w:rFonts w:hint="eastAsia" w:ascii="宋体" w:hAnsi="宋体"/>
          <w:bCs/>
          <w:szCs w:val="21"/>
        </w:rPr>
        <w:t>企业名称（盖章）：</w:t>
      </w:r>
      <w:r>
        <w:rPr>
          <w:rFonts w:hint="eastAsia" w:hAnsi="宋体"/>
          <w:szCs w:val="21"/>
          <w:u w:val="single"/>
        </w:rPr>
        <w:t xml:space="preserve"> </w:t>
      </w:r>
      <w:r>
        <w:rPr>
          <w:rFonts w:hAnsi="宋体"/>
          <w:szCs w:val="21"/>
          <w:u w:val="single"/>
        </w:rPr>
        <w:t xml:space="preserve">              </w:t>
      </w:r>
    </w:p>
    <w:p>
      <w:pPr>
        <w:spacing w:line="440" w:lineRule="exact"/>
        <w:ind w:firstLine="5250" w:firstLineChars="2500"/>
        <w:jc w:val="left"/>
        <w:rPr>
          <w:rFonts w:ascii="宋体" w:hAnsi="宋体"/>
          <w:bCs/>
          <w:szCs w:val="21"/>
        </w:rPr>
      </w:pPr>
      <w:r>
        <w:rPr>
          <w:rFonts w:hint="eastAsia" w:ascii="宋体" w:hAnsi="宋体"/>
          <w:bCs/>
          <w:szCs w:val="21"/>
        </w:rPr>
        <w:t>日 期：</w:t>
      </w:r>
      <w:r>
        <w:rPr>
          <w:rFonts w:hint="eastAsia" w:hAnsi="宋体"/>
          <w:szCs w:val="21"/>
          <w:u w:val="single"/>
        </w:rPr>
        <w:t xml:space="preserve"> </w:t>
      </w:r>
      <w:r>
        <w:rPr>
          <w:rFonts w:hAnsi="宋体"/>
          <w:szCs w:val="21"/>
          <w:u w:val="single"/>
        </w:rPr>
        <w:t xml:space="preserve">                        </w:t>
      </w:r>
    </w:p>
    <w:p/>
    <w:p/>
    <w:p/>
    <w:p/>
    <w:p/>
    <w:p/>
    <w:p/>
    <w:p/>
    <w:p/>
    <w:p/>
    <w:p>
      <w:pPr>
        <w:spacing w:line="320" w:lineRule="exact"/>
        <w:jc w:val="left"/>
        <w:rPr>
          <w:rFonts w:hAnsi="宋体"/>
          <w:bCs/>
          <w:sz w:val="18"/>
          <w:szCs w:val="18"/>
        </w:rPr>
      </w:pPr>
      <w:bookmarkStart w:id="204" w:name="_Hlk82091879"/>
      <w:r>
        <w:rPr>
          <w:rFonts w:hAnsi="宋体"/>
          <w:bCs/>
          <w:sz w:val="18"/>
          <w:szCs w:val="18"/>
        </w:rPr>
        <w:fldChar w:fldCharType="begin"/>
      </w:r>
      <w:r>
        <w:rPr>
          <w:rFonts w:hAnsi="宋体"/>
          <w:bCs/>
          <w:sz w:val="18"/>
          <w:szCs w:val="18"/>
        </w:rPr>
        <w:instrText xml:space="preserve">EQ \* jc2 \* hps9 \o\ad(\s\up 8(</w:instrText>
      </w:r>
      <w:r>
        <w:rPr>
          <w:rFonts w:ascii="宋体" w:hAnsi="宋体"/>
          <w:bCs/>
          <w:sz w:val="18"/>
          <w:szCs w:val="18"/>
        </w:rPr>
        <w:instrText xml:space="preserve">——</w:instrText>
      </w:r>
      <w:r>
        <w:rPr>
          <w:rFonts w:hAnsi="宋体"/>
          <w:bCs/>
          <w:sz w:val="18"/>
          <w:szCs w:val="18"/>
        </w:rPr>
        <w:instrText xml:space="preserve">),从)</w:instrText>
      </w:r>
      <w:r>
        <w:rPr>
          <w:rFonts w:hAnsi="宋体"/>
          <w:bCs/>
          <w:sz w:val="18"/>
          <w:szCs w:val="18"/>
        </w:rPr>
        <w:fldChar w:fldCharType="end"/>
      </w:r>
      <w:r>
        <w:rPr>
          <w:rFonts w:hAnsi="宋体"/>
          <w:bCs/>
          <w:sz w:val="18"/>
          <w:szCs w:val="18"/>
        </w:rPr>
        <w:fldChar w:fldCharType="begin"/>
      </w:r>
      <w:r>
        <w:rPr>
          <w:rFonts w:hAnsi="宋体"/>
          <w:bCs/>
          <w:sz w:val="18"/>
          <w:szCs w:val="18"/>
        </w:rPr>
        <w:instrText xml:space="preserve">EQ \* jc2 \* hps9 \o\ad(\s\up 8(</w:instrText>
      </w:r>
      <w:r>
        <w:rPr>
          <w:rFonts w:ascii="宋体" w:hAnsi="宋体"/>
          <w:bCs/>
          <w:sz w:val="18"/>
          <w:szCs w:val="18"/>
        </w:rPr>
        <w:instrText xml:space="preserve">——</w:instrText>
      </w:r>
      <w:r>
        <w:rPr>
          <w:rFonts w:hAnsi="宋体"/>
          <w:bCs/>
          <w:sz w:val="18"/>
          <w:szCs w:val="18"/>
        </w:rPr>
        <w:instrText xml:space="preserve">),业)</w:instrText>
      </w:r>
      <w:r>
        <w:rPr>
          <w:rFonts w:hAnsi="宋体"/>
          <w:bCs/>
          <w:sz w:val="18"/>
          <w:szCs w:val="18"/>
        </w:rPr>
        <w:fldChar w:fldCharType="end"/>
      </w:r>
      <w:r>
        <w:rPr>
          <w:rFonts w:hAnsi="宋体"/>
          <w:bCs/>
          <w:sz w:val="18"/>
          <w:szCs w:val="18"/>
        </w:rPr>
        <w:fldChar w:fldCharType="begin"/>
      </w:r>
      <w:r>
        <w:rPr>
          <w:rFonts w:hAnsi="宋体"/>
          <w:bCs/>
          <w:sz w:val="18"/>
          <w:szCs w:val="18"/>
        </w:rPr>
        <w:instrText xml:space="preserve">EQ \* jc2 \* hps9 \o\ad(\s\up 8(</w:instrText>
      </w:r>
      <w:r>
        <w:rPr>
          <w:rFonts w:ascii="宋体" w:hAnsi="宋体"/>
          <w:bCs/>
          <w:sz w:val="18"/>
          <w:szCs w:val="18"/>
        </w:rPr>
        <w:instrText xml:space="preserve">——</w:instrText>
      </w:r>
      <w:r>
        <w:rPr>
          <w:rFonts w:hAnsi="宋体"/>
          <w:bCs/>
          <w:sz w:val="18"/>
          <w:szCs w:val="18"/>
        </w:rPr>
        <w:instrText xml:space="preserve">),人)</w:instrText>
      </w:r>
      <w:r>
        <w:rPr>
          <w:rFonts w:hAnsi="宋体"/>
          <w:bCs/>
          <w:sz w:val="18"/>
          <w:szCs w:val="18"/>
        </w:rPr>
        <w:fldChar w:fldCharType="end"/>
      </w:r>
      <w:r>
        <w:rPr>
          <w:rFonts w:hAnsi="宋体"/>
          <w:bCs/>
          <w:sz w:val="18"/>
          <w:szCs w:val="18"/>
        </w:rPr>
        <w:fldChar w:fldCharType="begin"/>
      </w:r>
      <w:r>
        <w:rPr>
          <w:rFonts w:hAnsi="宋体"/>
          <w:bCs/>
          <w:sz w:val="18"/>
          <w:szCs w:val="18"/>
        </w:rPr>
        <w:instrText xml:space="preserve">EQ \* jc2 \* hps9 \o\ad(\s\up 8(</w:instrText>
      </w:r>
      <w:r>
        <w:rPr>
          <w:rFonts w:ascii="宋体" w:hAnsi="宋体"/>
          <w:bCs/>
          <w:sz w:val="18"/>
          <w:szCs w:val="18"/>
        </w:rPr>
        <w:instrText xml:space="preserve">——</w:instrText>
      </w:r>
      <w:r>
        <w:rPr>
          <w:rFonts w:hAnsi="宋体"/>
          <w:bCs/>
          <w:sz w:val="18"/>
          <w:szCs w:val="18"/>
        </w:rPr>
        <w:instrText xml:space="preserve">),员)</w:instrText>
      </w:r>
      <w:r>
        <w:rPr>
          <w:rFonts w:hAnsi="宋体"/>
          <w:bCs/>
          <w:sz w:val="18"/>
          <w:szCs w:val="18"/>
        </w:rPr>
        <w:fldChar w:fldCharType="end"/>
      </w:r>
      <w:r>
        <w:rPr>
          <w:rFonts w:hAnsi="宋体"/>
          <w:bCs/>
          <w:sz w:val="18"/>
          <w:szCs w:val="18"/>
        </w:rPr>
        <w:fldChar w:fldCharType="begin"/>
      </w:r>
      <w:r>
        <w:rPr>
          <w:rFonts w:hAnsi="宋体"/>
          <w:bCs/>
          <w:sz w:val="18"/>
          <w:szCs w:val="18"/>
        </w:rPr>
        <w:instrText xml:space="preserve">EQ \* jc2 \* hps9 \o\ad(\s\up 8(</w:instrText>
      </w:r>
      <w:r>
        <w:rPr>
          <w:rFonts w:ascii="宋体" w:hAnsi="宋体"/>
          <w:bCs/>
          <w:sz w:val="18"/>
          <w:szCs w:val="18"/>
        </w:rPr>
        <w:instrText xml:space="preserve">——</w:instrText>
      </w:r>
      <w:r>
        <w:rPr>
          <w:rFonts w:hAnsi="宋体"/>
          <w:bCs/>
          <w:sz w:val="18"/>
          <w:szCs w:val="18"/>
        </w:rPr>
        <w:instrText xml:space="preserve">),、)</w:instrText>
      </w:r>
      <w:r>
        <w:rPr>
          <w:rFonts w:hAnsi="宋体"/>
          <w:bCs/>
          <w:sz w:val="18"/>
          <w:szCs w:val="18"/>
        </w:rPr>
        <w:fldChar w:fldCharType="end"/>
      </w:r>
      <w:r>
        <w:rPr>
          <w:rFonts w:hAnsi="宋体"/>
          <w:bCs/>
          <w:sz w:val="18"/>
          <w:szCs w:val="18"/>
        </w:rPr>
        <w:fldChar w:fldCharType="begin"/>
      </w:r>
      <w:r>
        <w:rPr>
          <w:rFonts w:hAnsi="宋体"/>
          <w:bCs/>
          <w:sz w:val="18"/>
          <w:szCs w:val="18"/>
        </w:rPr>
        <w:instrText xml:space="preserve">EQ \* jc2 \* hps9 \o\ad(\s\up 8(</w:instrText>
      </w:r>
      <w:r>
        <w:rPr>
          <w:rFonts w:ascii="宋体" w:hAnsi="宋体"/>
          <w:bCs/>
          <w:sz w:val="18"/>
          <w:szCs w:val="18"/>
        </w:rPr>
        <w:instrText xml:space="preserve">——</w:instrText>
      </w:r>
      <w:r>
        <w:rPr>
          <w:rFonts w:hAnsi="宋体"/>
          <w:bCs/>
          <w:sz w:val="18"/>
          <w:szCs w:val="18"/>
        </w:rPr>
        <w:instrText xml:space="preserve">),营)</w:instrText>
      </w:r>
      <w:r>
        <w:rPr>
          <w:rFonts w:hAnsi="宋体"/>
          <w:bCs/>
          <w:sz w:val="18"/>
          <w:szCs w:val="18"/>
        </w:rPr>
        <w:fldChar w:fldCharType="end"/>
      </w:r>
      <w:r>
        <w:rPr>
          <w:rFonts w:hAnsi="宋体"/>
          <w:bCs/>
          <w:sz w:val="18"/>
          <w:szCs w:val="18"/>
        </w:rPr>
        <w:fldChar w:fldCharType="begin"/>
      </w:r>
      <w:r>
        <w:rPr>
          <w:rFonts w:hAnsi="宋体"/>
          <w:bCs/>
          <w:sz w:val="18"/>
          <w:szCs w:val="18"/>
        </w:rPr>
        <w:instrText xml:space="preserve">EQ \* jc2 \* hps9 \o\ad(\s\up 8(</w:instrText>
      </w:r>
      <w:r>
        <w:rPr>
          <w:rFonts w:ascii="宋体" w:hAnsi="宋体"/>
          <w:bCs/>
          <w:sz w:val="18"/>
          <w:szCs w:val="18"/>
        </w:rPr>
        <w:instrText xml:space="preserve">——</w:instrText>
      </w:r>
      <w:r>
        <w:rPr>
          <w:rFonts w:hAnsi="宋体"/>
          <w:bCs/>
          <w:sz w:val="18"/>
          <w:szCs w:val="18"/>
        </w:rPr>
        <w:instrText xml:space="preserve">),业)</w:instrText>
      </w:r>
      <w:r>
        <w:rPr>
          <w:rFonts w:hAnsi="宋体"/>
          <w:bCs/>
          <w:sz w:val="18"/>
          <w:szCs w:val="18"/>
        </w:rPr>
        <w:fldChar w:fldCharType="end"/>
      </w:r>
      <w:r>
        <w:rPr>
          <w:rFonts w:hAnsi="宋体"/>
          <w:bCs/>
          <w:sz w:val="18"/>
          <w:szCs w:val="18"/>
        </w:rPr>
        <w:fldChar w:fldCharType="begin"/>
      </w:r>
      <w:r>
        <w:rPr>
          <w:rFonts w:hAnsi="宋体"/>
          <w:bCs/>
          <w:sz w:val="18"/>
          <w:szCs w:val="18"/>
        </w:rPr>
        <w:instrText xml:space="preserve">EQ \* jc2 \* hps9 \o\ad(\s\up 8(</w:instrText>
      </w:r>
      <w:r>
        <w:rPr>
          <w:rFonts w:ascii="宋体" w:hAnsi="宋体"/>
          <w:bCs/>
          <w:sz w:val="18"/>
          <w:szCs w:val="18"/>
        </w:rPr>
        <w:instrText xml:space="preserve">——</w:instrText>
      </w:r>
      <w:r>
        <w:rPr>
          <w:rFonts w:hAnsi="宋体"/>
          <w:bCs/>
          <w:sz w:val="18"/>
          <w:szCs w:val="18"/>
        </w:rPr>
        <w:instrText xml:space="preserve">),收)</w:instrText>
      </w:r>
      <w:r>
        <w:rPr>
          <w:rFonts w:hAnsi="宋体"/>
          <w:bCs/>
          <w:sz w:val="18"/>
          <w:szCs w:val="18"/>
        </w:rPr>
        <w:fldChar w:fldCharType="end"/>
      </w:r>
      <w:r>
        <w:rPr>
          <w:rFonts w:hAnsi="宋体"/>
          <w:bCs/>
          <w:sz w:val="18"/>
          <w:szCs w:val="18"/>
        </w:rPr>
        <w:fldChar w:fldCharType="begin"/>
      </w:r>
      <w:r>
        <w:rPr>
          <w:rFonts w:hAnsi="宋体"/>
          <w:bCs/>
          <w:sz w:val="18"/>
          <w:szCs w:val="18"/>
        </w:rPr>
        <w:instrText xml:space="preserve">EQ \* jc2 \* hps9 \o\ad(\s\up 8(</w:instrText>
      </w:r>
      <w:r>
        <w:rPr>
          <w:rFonts w:ascii="宋体" w:hAnsi="宋体"/>
          <w:bCs/>
          <w:sz w:val="18"/>
          <w:szCs w:val="18"/>
        </w:rPr>
        <w:instrText xml:space="preserve">——</w:instrText>
      </w:r>
      <w:r>
        <w:rPr>
          <w:rFonts w:hAnsi="宋体"/>
          <w:bCs/>
          <w:sz w:val="18"/>
          <w:szCs w:val="18"/>
        </w:rPr>
        <w:instrText xml:space="preserve">),入)</w:instrText>
      </w:r>
      <w:r>
        <w:rPr>
          <w:rFonts w:hAnsi="宋体"/>
          <w:bCs/>
          <w:sz w:val="18"/>
          <w:szCs w:val="18"/>
        </w:rPr>
        <w:fldChar w:fldCharType="end"/>
      </w:r>
      <w:r>
        <w:rPr>
          <w:rFonts w:hAnsi="宋体"/>
          <w:bCs/>
          <w:sz w:val="18"/>
          <w:szCs w:val="18"/>
        </w:rPr>
        <w:fldChar w:fldCharType="begin"/>
      </w:r>
      <w:r>
        <w:rPr>
          <w:rFonts w:hAnsi="宋体"/>
          <w:bCs/>
          <w:sz w:val="18"/>
          <w:szCs w:val="18"/>
        </w:rPr>
        <w:instrText xml:space="preserve">EQ \* jc2 \* hps9 \o\ad(\s\up 8(</w:instrText>
      </w:r>
      <w:r>
        <w:rPr>
          <w:rFonts w:ascii="宋体" w:hAnsi="宋体"/>
          <w:bCs/>
          <w:sz w:val="18"/>
          <w:szCs w:val="18"/>
        </w:rPr>
        <w:instrText xml:space="preserve">——</w:instrText>
      </w:r>
      <w:r>
        <w:rPr>
          <w:rFonts w:hAnsi="宋体"/>
          <w:bCs/>
          <w:sz w:val="18"/>
          <w:szCs w:val="18"/>
        </w:rPr>
        <w:instrText xml:space="preserve">),、)</w:instrText>
      </w:r>
      <w:r>
        <w:rPr>
          <w:rFonts w:hAnsi="宋体"/>
          <w:bCs/>
          <w:sz w:val="18"/>
          <w:szCs w:val="18"/>
        </w:rPr>
        <w:fldChar w:fldCharType="end"/>
      </w:r>
      <w:r>
        <w:rPr>
          <w:rFonts w:hAnsi="宋体"/>
          <w:bCs/>
          <w:sz w:val="18"/>
          <w:szCs w:val="18"/>
        </w:rPr>
        <w:fldChar w:fldCharType="begin"/>
      </w:r>
      <w:r>
        <w:rPr>
          <w:rFonts w:hAnsi="宋体"/>
          <w:bCs/>
          <w:sz w:val="18"/>
          <w:szCs w:val="18"/>
        </w:rPr>
        <w:instrText xml:space="preserve">EQ \* jc2 \* hps9 \o\ad(\s\up 8(</w:instrText>
      </w:r>
      <w:r>
        <w:rPr>
          <w:rFonts w:ascii="宋体" w:hAnsi="宋体"/>
          <w:bCs/>
          <w:sz w:val="18"/>
          <w:szCs w:val="18"/>
        </w:rPr>
        <w:instrText xml:space="preserve">——</w:instrText>
      </w:r>
      <w:r>
        <w:rPr>
          <w:rFonts w:hAnsi="宋体"/>
          <w:bCs/>
          <w:sz w:val="18"/>
          <w:szCs w:val="18"/>
        </w:rPr>
        <w:instrText xml:space="preserve">),资)</w:instrText>
      </w:r>
      <w:r>
        <w:rPr>
          <w:rFonts w:hAnsi="宋体"/>
          <w:bCs/>
          <w:sz w:val="18"/>
          <w:szCs w:val="18"/>
        </w:rPr>
        <w:fldChar w:fldCharType="end"/>
      </w:r>
      <w:r>
        <w:rPr>
          <w:rFonts w:hAnsi="宋体"/>
          <w:bCs/>
          <w:sz w:val="18"/>
          <w:szCs w:val="18"/>
        </w:rPr>
        <w:fldChar w:fldCharType="begin"/>
      </w:r>
      <w:r>
        <w:rPr>
          <w:rFonts w:hAnsi="宋体"/>
          <w:bCs/>
          <w:sz w:val="18"/>
          <w:szCs w:val="18"/>
        </w:rPr>
        <w:instrText xml:space="preserve">EQ \* jc2 \* hps9 \o\ad(\s\up 8(</w:instrText>
      </w:r>
      <w:r>
        <w:rPr>
          <w:rFonts w:ascii="宋体" w:hAnsi="宋体"/>
          <w:bCs/>
          <w:sz w:val="18"/>
          <w:szCs w:val="18"/>
        </w:rPr>
        <w:instrText xml:space="preserve">——</w:instrText>
      </w:r>
      <w:r>
        <w:rPr>
          <w:rFonts w:hAnsi="宋体"/>
          <w:bCs/>
          <w:sz w:val="18"/>
          <w:szCs w:val="18"/>
        </w:rPr>
        <w:instrText xml:space="preserve">),产)</w:instrText>
      </w:r>
      <w:r>
        <w:rPr>
          <w:rFonts w:hAnsi="宋体"/>
          <w:bCs/>
          <w:sz w:val="18"/>
          <w:szCs w:val="18"/>
        </w:rPr>
        <w:fldChar w:fldCharType="end"/>
      </w:r>
      <w:r>
        <w:rPr>
          <w:rFonts w:hAnsi="宋体"/>
          <w:bCs/>
          <w:sz w:val="18"/>
          <w:szCs w:val="18"/>
        </w:rPr>
        <w:fldChar w:fldCharType="begin"/>
      </w:r>
      <w:r>
        <w:rPr>
          <w:rFonts w:hAnsi="宋体"/>
          <w:bCs/>
          <w:sz w:val="18"/>
          <w:szCs w:val="18"/>
        </w:rPr>
        <w:instrText xml:space="preserve">EQ \* jc2 \* hps9 \o\ad(\s\up 8(</w:instrText>
      </w:r>
      <w:r>
        <w:rPr>
          <w:rFonts w:ascii="宋体" w:hAnsi="宋体"/>
          <w:bCs/>
          <w:sz w:val="18"/>
          <w:szCs w:val="18"/>
        </w:rPr>
        <w:instrText xml:space="preserve">——</w:instrText>
      </w:r>
      <w:r>
        <w:rPr>
          <w:rFonts w:hAnsi="宋体"/>
          <w:bCs/>
          <w:sz w:val="18"/>
          <w:szCs w:val="18"/>
        </w:rPr>
        <w:instrText xml:space="preserve">),总)</w:instrText>
      </w:r>
      <w:r>
        <w:rPr>
          <w:rFonts w:hAnsi="宋体"/>
          <w:bCs/>
          <w:sz w:val="18"/>
          <w:szCs w:val="18"/>
        </w:rPr>
        <w:fldChar w:fldCharType="end"/>
      </w:r>
      <w:r>
        <w:rPr>
          <w:rFonts w:hAnsi="宋体"/>
          <w:bCs/>
          <w:sz w:val="18"/>
          <w:szCs w:val="18"/>
        </w:rPr>
        <w:fldChar w:fldCharType="begin"/>
      </w:r>
      <w:r>
        <w:rPr>
          <w:rFonts w:hAnsi="宋体"/>
          <w:bCs/>
          <w:sz w:val="18"/>
          <w:szCs w:val="18"/>
        </w:rPr>
        <w:instrText xml:space="preserve">EQ \* jc2 \* hps9 \o\ad(\s\up 8(</w:instrText>
      </w:r>
      <w:r>
        <w:rPr>
          <w:rFonts w:ascii="宋体" w:hAnsi="宋体"/>
          <w:bCs/>
          <w:sz w:val="18"/>
          <w:szCs w:val="18"/>
        </w:rPr>
        <w:instrText xml:space="preserve">——</w:instrText>
      </w:r>
      <w:r>
        <w:rPr>
          <w:rFonts w:hAnsi="宋体"/>
          <w:bCs/>
          <w:sz w:val="18"/>
          <w:szCs w:val="18"/>
        </w:rPr>
        <w:instrText xml:space="preserve">),额)</w:instrText>
      </w:r>
      <w:r>
        <w:rPr>
          <w:rFonts w:hAnsi="宋体"/>
          <w:bCs/>
          <w:sz w:val="18"/>
          <w:szCs w:val="18"/>
        </w:rPr>
        <w:fldChar w:fldCharType="end"/>
      </w:r>
      <w:r>
        <w:rPr>
          <w:rFonts w:hAnsi="宋体"/>
          <w:bCs/>
          <w:sz w:val="18"/>
          <w:szCs w:val="18"/>
        </w:rPr>
        <w:fldChar w:fldCharType="begin"/>
      </w:r>
      <w:r>
        <w:rPr>
          <w:rFonts w:hAnsi="宋体"/>
          <w:bCs/>
          <w:sz w:val="18"/>
          <w:szCs w:val="18"/>
        </w:rPr>
        <w:instrText xml:space="preserve">EQ \* jc2 \* hps9 \o\ad(\s\up 8(</w:instrText>
      </w:r>
      <w:r>
        <w:rPr>
          <w:rFonts w:ascii="宋体" w:hAnsi="宋体"/>
          <w:bCs/>
          <w:sz w:val="18"/>
          <w:szCs w:val="18"/>
        </w:rPr>
        <w:instrText xml:space="preserve">——</w:instrText>
      </w:r>
      <w:r>
        <w:rPr>
          <w:rFonts w:hAnsi="宋体"/>
          <w:bCs/>
          <w:sz w:val="18"/>
          <w:szCs w:val="18"/>
        </w:rPr>
        <w:instrText xml:space="preserve">),填)</w:instrText>
      </w:r>
      <w:r>
        <w:rPr>
          <w:rFonts w:hAnsi="宋体"/>
          <w:bCs/>
          <w:sz w:val="18"/>
          <w:szCs w:val="18"/>
        </w:rPr>
        <w:fldChar w:fldCharType="end"/>
      </w:r>
      <w:r>
        <w:rPr>
          <w:rFonts w:hAnsi="宋体"/>
          <w:bCs/>
          <w:sz w:val="18"/>
          <w:szCs w:val="18"/>
        </w:rPr>
        <w:fldChar w:fldCharType="begin"/>
      </w:r>
      <w:r>
        <w:rPr>
          <w:rFonts w:hAnsi="宋体"/>
          <w:bCs/>
          <w:sz w:val="18"/>
          <w:szCs w:val="18"/>
        </w:rPr>
        <w:instrText xml:space="preserve">EQ \* jc2 \* hps9 \o\ad(\s\up 8(</w:instrText>
      </w:r>
      <w:r>
        <w:rPr>
          <w:rFonts w:ascii="宋体" w:hAnsi="宋体"/>
          <w:bCs/>
          <w:sz w:val="18"/>
          <w:szCs w:val="18"/>
        </w:rPr>
        <w:instrText xml:space="preserve">——</w:instrText>
      </w:r>
      <w:r>
        <w:rPr>
          <w:rFonts w:hAnsi="宋体"/>
          <w:bCs/>
          <w:sz w:val="18"/>
          <w:szCs w:val="18"/>
        </w:rPr>
        <w:instrText xml:space="preserve">),报)</w:instrText>
      </w:r>
      <w:r>
        <w:rPr>
          <w:rFonts w:hAnsi="宋体"/>
          <w:bCs/>
          <w:sz w:val="18"/>
          <w:szCs w:val="18"/>
        </w:rPr>
        <w:fldChar w:fldCharType="end"/>
      </w:r>
      <w:bookmarkEnd w:id="204"/>
      <w:r>
        <w:rPr>
          <w:rFonts w:hint="eastAsia" w:hAnsi="宋体"/>
          <w:bCs/>
          <w:sz w:val="18"/>
          <w:szCs w:val="18"/>
        </w:rPr>
        <w:t>上一年度数据，无上一年度数据的新成立企业可不填报。</w:t>
      </w:r>
    </w:p>
    <w:p>
      <w:pPr>
        <w:spacing w:line="320" w:lineRule="exact"/>
        <w:jc w:val="left"/>
        <w:rPr>
          <w:rFonts w:hAnsi="宋体"/>
          <w:bCs/>
          <w:sz w:val="18"/>
          <w:szCs w:val="18"/>
        </w:rPr>
      </w:pPr>
    </w:p>
    <w:p>
      <w:pPr>
        <w:spacing w:line="320" w:lineRule="exact"/>
        <w:jc w:val="left"/>
        <w:rPr>
          <w:rFonts w:hAnsi="宋体"/>
          <w:bCs/>
          <w:sz w:val="18"/>
          <w:szCs w:val="18"/>
        </w:rPr>
      </w:pPr>
    </w:p>
    <w:p>
      <w:pPr>
        <w:spacing w:line="320" w:lineRule="exact"/>
        <w:jc w:val="left"/>
        <w:rPr>
          <w:rFonts w:hAnsi="宋体"/>
          <w:bCs/>
          <w:sz w:val="18"/>
          <w:szCs w:val="18"/>
        </w:rPr>
      </w:pPr>
    </w:p>
    <w:tbl>
      <w:tblPr>
        <w:tblStyle w:val="42"/>
        <w:tblW w:w="9952" w:type="dxa"/>
        <w:tblInd w:w="150" w:type="dxa"/>
        <w:shd w:val="clear" w:color="auto" w:fill="FFFFFF"/>
        <w:tblLayout w:type="fixed"/>
        <w:tblCellMar>
          <w:top w:w="15" w:type="dxa"/>
          <w:left w:w="15" w:type="dxa"/>
          <w:bottom w:w="15" w:type="dxa"/>
          <w:right w:w="15" w:type="dxa"/>
        </w:tblCellMar>
      </w:tblPr>
      <w:tblGrid>
        <w:gridCol w:w="2127"/>
        <w:gridCol w:w="1413"/>
        <w:gridCol w:w="714"/>
        <w:gridCol w:w="1275"/>
        <w:gridCol w:w="1843"/>
        <w:gridCol w:w="1559"/>
        <w:gridCol w:w="1021"/>
      </w:tblGrid>
      <w:tr>
        <w:tblPrEx>
          <w:shd w:val="clear" w:color="auto" w:fill="FFFFFF"/>
          <w:tblCellMar>
            <w:top w:w="15" w:type="dxa"/>
            <w:left w:w="15" w:type="dxa"/>
            <w:bottom w:w="15" w:type="dxa"/>
            <w:right w:w="15" w:type="dxa"/>
          </w:tblCellMar>
        </w:tblPrEx>
        <w:trPr>
          <w:trHeight w:val="330" w:hRule="atLeast"/>
        </w:trPr>
        <w:tc>
          <w:tcPr>
            <w:tcW w:w="9952" w:type="dxa"/>
            <w:gridSpan w:val="7"/>
            <w:tcBorders>
              <w:top w:val="nil"/>
              <w:left w:val="nil"/>
              <w:bottom w:val="single" w:color="auto" w:sz="6" w:space="0"/>
              <w:right w:val="nil"/>
            </w:tcBorders>
            <w:shd w:val="clear" w:color="auto" w:fill="FFFFFF"/>
            <w:tcMar>
              <w:top w:w="30" w:type="dxa"/>
              <w:left w:w="150" w:type="dxa"/>
              <w:bottom w:w="30" w:type="dxa"/>
              <w:right w:w="150" w:type="dxa"/>
            </w:tcMar>
            <w:vAlign w:val="center"/>
          </w:tcPr>
          <w:p>
            <w:pPr>
              <w:widowControl/>
              <w:jc w:val="center"/>
              <w:rPr>
                <w:rFonts w:ascii="Helvetica" w:hAnsi="Helvetica" w:cs="Helvetica"/>
                <w:b/>
                <w:bCs/>
                <w:kern w:val="0"/>
                <w:szCs w:val="21"/>
              </w:rPr>
            </w:pPr>
            <w:r>
              <w:rPr>
                <w:rFonts w:ascii="Helvetica" w:hAnsi="Helvetica" w:cs="Helvetica"/>
                <w:b/>
                <w:bCs/>
                <w:kern w:val="0"/>
                <w:szCs w:val="21"/>
              </w:rPr>
              <w:t>大中小微型企业划分标准</w:t>
            </w:r>
          </w:p>
        </w:tc>
      </w:tr>
      <w:tr>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b/>
                <w:bCs/>
                <w:kern w:val="0"/>
                <w:sz w:val="18"/>
                <w:szCs w:val="18"/>
              </w:rPr>
              <w:t>行业名称</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b/>
                <w:bCs/>
                <w:kern w:val="0"/>
                <w:sz w:val="18"/>
                <w:szCs w:val="18"/>
              </w:rPr>
              <w:t>指标名称</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b/>
                <w:bCs/>
                <w:kern w:val="0"/>
                <w:sz w:val="18"/>
                <w:szCs w:val="18"/>
              </w:rPr>
              <w:t>计量</w:t>
            </w:r>
          </w:p>
          <w:p>
            <w:pPr>
              <w:widowControl/>
              <w:spacing w:line="340" w:lineRule="exact"/>
              <w:jc w:val="center"/>
              <w:rPr>
                <w:rFonts w:ascii="Helvetica" w:hAnsi="Helvetica" w:cs="Helvetica"/>
                <w:kern w:val="0"/>
                <w:sz w:val="18"/>
                <w:szCs w:val="18"/>
              </w:rPr>
            </w:pPr>
            <w:r>
              <w:rPr>
                <w:rFonts w:ascii="Helvetica" w:hAnsi="Helvetica" w:cs="Helvetica"/>
                <w:b/>
                <w:bCs/>
                <w:kern w:val="0"/>
                <w:sz w:val="18"/>
                <w:szCs w:val="18"/>
              </w:rPr>
              <w:t>单位</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b/>
                <w:bCs/>
                <w:kern w:val="0"/>
                <w:sz w:val="18"/>
                <w:szCs w:val="18"/>
              </w:rPr>
              <w:t>大型</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b/>
                <w:bCs/>
                <w:kern w:val="0"/>
                <w:sz w:val="18"/>
                <w:szCs w:val="18"/>
              </w:rPr>
              <w:t>中型</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b/>
                <w:bCs/>
                <w:kern w:val="0"/>
                <w:sz w:val="18"/>
                <w:szCs w:val="18"/>
              </w:rPr>
              <w:t>小型</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b/>
                <w:bCs/>
                <w:kern w:val="0"/>
                <w:sz w:val="18"/>
                <w:szCs w:val="18"/>
              </w:rPr>
              <w:t>微型</w:t>
            </w:r>
          </w:p>
        </w:tc>
      </w:tr>
      <w:tr>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农、林、牧、渔业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500≤Y＜20000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50≤Y＜500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Y＜50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 xml:space="preserve">工业 </w:t>
            </w:r>
            <w:r>
              <w:rPr>
                <w:rFonts w:hint="eastAsia" w:ascii="Helvetica" w:hAnsi="Helvetica" w:cs="Helvetica"/>
                <w:kern w:val="0"/>
                <w:sz w:val="18"/>
                <w:szCs w:val="18"/>
              </w:rPr>
              <w:t>★</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20≤X＜300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2000≤Y＜40000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300≤Y＜2000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Y＜300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建筑业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Y≥80000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6000≤Y＜80000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300≤Y＜6000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Y＜300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Z≥80000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5000≤Z＜80000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300≤Z＜5000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Z＜300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批发业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20≤X＜200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5≤X＜20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X＜5</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5000≤Y＜40000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1000≤Y＜5000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Y＜1000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零售业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50≤X＜300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10≤X＜50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500≤Y＜20000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100≤Y＜500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 xml:space="preserve">交通运输业 </w:t>
            </w:r>
            <w:r>
              <w:rPr>
                <w:rFonts w:hint="eastAsia" w:ascii="Helvetica" w:hAnsi="Helvetica" w:cs="Helvetica"/>
                <w:kern w:val="0"/>
                <w:sz w:val="18"/>
                <w:szCs w:val="18"/>
              </w:rPr>
              <w:t>★</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20≤X＜300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3000≤Y＜30000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200≤Y＜3000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Y＜200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仓储业</w:t>
            </w:r>
            <w:r>
              <w:rPr>
                <w:rFonts w:hint="eastAsia" w:ascii="Helvetica" w:hAnsi="Helvetica" w:cs="Helvetica"/>
                <w:kern w:val="0"/>
                <w:sz w:val="18"/>
                <w:szCs w:val="18"/>
              </w:rPr>
              <w:t>★</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100≤X＜200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20≤X＜100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邮政业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20≤X＜300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X＜20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2000≤Y＜30000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100≤Y＜2000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住宿业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2000≤Y＜10000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100≤Y＜2000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餐饮业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2000≤Y＜10000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100≤Y＜2000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 xml:space="preserve">信息传输业 </w:t>
            </w:r>
            <w:r>
              <w:rPr>
                <w:rFonts w:hint="eastAsia" w:ascii="Helvetica" w:hAnsi="Helvetica" w:cs="Helvetica"/>
                <w:kern w:val="0"/>
                <w:sz w:val="18"/>
                <w:szCs w:val="18"/>
              </w:rPr>
              <w:t>★</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X≥2000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100≤X＜2000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Y≥100000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1000≤Y＜100000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软件和信息技术服务业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1000≤Y＜10000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50≤Y＜1000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Y＜50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房地产开发经营</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Y≥200000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1000≤Y＜200000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Y＜100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Z≥10000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5000≤Z＜10000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2000≤Z＜5000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Z＜2000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物业管理</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300≤X＜1000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100≤X＜300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X＜100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营业收入(Y)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Y≥5000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1000≤Y＜5000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500≤Y＜1000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Y＜500</w:t>
            </w:r>
          </w:p>
        </w:tc>
      </w:tr>
      <w:tr>
        <w:tblPrEx>
          <w:shd w:val="clear" w:color="auto" w:fill="FFFFFF"/>
          <w:tblCellMar>
            <w:top w:w="15" w:type="dxa"/>
            <w:left w:w="15" w:type="dxa"/>
            <w:bottom w:w="15" w:type="dxa"/>
            <w:right w:w="15" w:type="dxa"/>
          </w:tblCellMar>
        </w:tblPrEx>
        <w:trPr>
          <w:trHeight w:val="330" w:hRule="atLeast"/>
        </w:trPr>
        <w:tc>
          <w:tcPr>
            <w:tcW w:w="2127" w:type="dxa"/>
            <w:vMerge w:val="restart"/>
            <w:tcBorders>
              <w:top w:val="single" w:color="auto" w:sz="6" w:space="0"/>
              <w:left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租赁和商务服务业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X＜10</w:t>
            </w:r>
          </w:p>
        </w:tc>
      </w:tr>
      <w:tr>
        <w:tblPrEx>
          <w:shd w:val="clear" w:color="auto" w:fill="FFFFFF"/>
          <w:tblCellMar>
            <w:top w:w="15" w:type="dxa"/>
            <w:left w:w="15" w:type="dxa"/>
            <w:bottom w:w="15" w:type="dxa"/>
            <w:right w:w="15" w:type="dxa"/>
          </w:tblCellMar>
        </w:tblPrEx>
        <w:trPr>
          <w:trHeight w:val="330" w:hRule="atLeast"/>
        </w:trPr>
        <w:tc>
          <w:tcPr>
            <w:tcW w:w="2127" w:type="dxa"/>
            <w:vMerge w:val="continue"/>
            <w:tcBorders>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资产总额(Z)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Z≥120000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8000≤Z＜120000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100≤Z＜8000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Z＜100</w:t>
            </w:r>
          </w:p>
        </w:tc>
      </w:tr>
      <w:tr>
        <w:tblPrEx>
          <w:shd w:val="clear" w:color="auto" w:fill="FFFFFF"/>
          <w:tblCellMar>
            <w:top w:w="15" w:type="dxa"/>
            <w:left w:w="15" w:type="dxa"/>
            <w:bottom w:w="15" w:type="dxa"/>
            <w:right w:w="15"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 xml:space="preserve">其他未列明行业 </w:t>
            </w:r>
            <w:r>
              <w:rPr>
                <w:rFonts w:hint="eastAsia" w:ascii="Helvetica" w:hAnsi="Helvetica" w:cs="Helvetica"/>
                <w:kern w:val="0"/>
                <w:sz w:val="18"/>
                <w:szCs w:val="18"/>
              </w:rPr>
              <w:t>★</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从业人员(X)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100≤X＜300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10≤X＜100</w:t>
            </w:r>
          </w:p>
        </w:tc>
        <w:tc>
          <w:tcPr>
            <w:tcW w:w="1021"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cs="Helvetica"/>
                <w:kern w:val="0"/>
                <w:sz w:val="18"/>
                <w:szCs w:val="18"/>
              </w:rPr>
            </w:pPr>
            <w:r>
              <w:rPr>
                <w:rFonts w:ascii="Helvetica" w:hAnsi="Helvetica" w:cs="Helvetica"/>
                <w:kern w:val="0"/>
                <w:sz w:val="18"/>
                <w:szCs w:val="18"/>
              </w:rPr>
              <w:t>X＜10</w:t>
            </w:r>
          </w:p>
        </w:tc>
      </w:tr>
    </w:tbl>
    <w:p>
      <w:pPr>
        <w:widowControl/>
        <w:jc w:val="left"/>
      </w:pPr>
    </w:p>
    <w:p>
      <w:pPr>
        <w:widowControl/>
        <w:shd w:val="clear" w:color="auto" w:fill="FFFFFF"/>
        <w:spacing w:line="360" w:lineRule="atLeast"/>
        <w:jc w:val="left"/>
        <w:rPr>
          <w:rFonts w:ascii="Helvetica" w:hAnsi="Helvetica" w:cs="Helvetica"/>
          <w:kern w:val="0"/>
          <w:sz w:val="18"/>
          <w:szCs w:val="18"/>
        </w:rPr>
      </w:pPr>
    </w:p>
    <w:p>
      <w:pPr>
        <w:widowControl/>
        <w:shd w:val="clear" w:color="auto" w:fill="FFFFFF"/>
        <w:spacing w:line="360" w:lineRule="atLeast"/>
        <w:jc w:val="left"/>
        <w:rPr>
          <w:rFonts w:ascii="Helvetica" w:hAnsi="Helvetica" w:cs="Helvetica"/>
          <w:kern w:val="0"/>
          <w:sz w:val="18"/>
          <w:szCs w:val="18"/>
        </w:rPr>
      </w:pPr>
      <w:r>
        <w:rPr>
          <w:rFonts w:ascii="Helvetica" w:hAnsi="Helvetica" w:cs="Helvetica"/>
          <w:kern w:val="0"/>
          <w:sz w:val="18"/>
          <w:szCs w:val="18"/>
        </w:rPr>
        <w:t>说明：</w:t>
      </w:r>
    </w:p>
    <w:p>
      <w:pPr>
        <w:widowControl/>
        <w:shd w:val="clear" w:color="auto" w:fill="FFFFFF"/>
        <w:spacing w:line="360" w:lineRule="atLeast"/>
        <w:ind w:firstLine="480"/>
        <w:jc w:val="left"/>
        <w:rPr>
          <w:rFonts w:ascii="Helvetica" w:hAnsi="Helvetica" w:cs="Helvetica"/>
          <w:kern w:val="0"/>
          <w:sz w:val="18"/>
          <w:szCs w:val="18"/>
        </w:rPr>
      </w:pPr>
      <w:r>
        <w:rPr>
          <w:rFonts w:ascii="Helvetica" w:hAnsi="Helvetica" w:cs="Helvetica"/>
          <w:kern w:val="0"/>
          <w:sz w:val="18"/>
          <w:szCs w:val="18"/>
        </w:rPr>
        <w:t>1.大型、中型和小型企业须同时满足所列指标的下限，否则下划一档；微型企业只须满足所列指标中的一项即可。</w:t>
      </w:r>
    </w:p>
    <w:p>
      <w:pPr>
        <w:widowControl/>
        <w:shd w:val="clear" w:color="auto" w:fill="FFFFFF"/>
        <w:spacing w:line="360" w:lineRule="atLeast"/>
        <w:ind w:firstLine="480"/>
        <w:jc w:val="left"/>
        <w:rPr>
          <w:rFonts w:ascii="Helvetica" w:hAnsi="Helvetica" w:cs="Helvetica"/>
          <w:kern w:val="0"/>
          <w:sz w:val="18"/>
          <w:szCs w:val="18"/>
        </w:rPr>
      </w:pPr>
      <w:r>
        <w:rPr>
          <w:rFonts w:ascii="Helvetica" w:hAnsi="Helvetica" w:cs="Helvetica"/>
          <w:kern w:val="0"/>
          <w:sz w:val="18"/>
          <w:szCs w:val="18"/>
        </w:rPr>
        <w:t>2.附表中各行业的范围以《国民经济行业分类》（GB/T4754-2017）为准。带</w:t>
      </w:r>
      <w:r>
        <w:rPr>
          <w:rFonts w:hint="eastAsia" w:ascii="Helvetica" w:hAnsi="Helvetica" w:cs="Helvetica"/>
          <w:kern w:val="0"/>
          <w:sz w:val="18"/>
          <w:szCs w:val="18"/>
        </w:rPr>
        <w:t>★</w:t>
      </w:r>
      <w:r>
        <w:rPr>
          <w:rFonts w:ascii="Helvetica" w:hAnsi="Helvetica" w:cs="Helvetica"/>
          <w:kern w:val="0"/>
          <w:sz w:val="18"/>
          <w:szCs w:val="18"/>
        </w:rPr>
        <w:t>的项为行业组合类别，其中，工业包括采矿业，制造业，电力、热力、燃气及水生产和供应业；交通运输业包括道路运输业，水上运输业，航空运输业，管道运输业，</w:t>
      </w:r>
      <w:r>
        <w:fldChar w:fldCharType="begin"/>
      </w:r>
      <w:r>
        <w:instrText xml:space="preserve"> HYPERLINK "https://baike.baidu.com/item/%E5%A4%9A%E5%BC%8F%E8%81%94%E8%BF%90/3342240?fromModule=lemma_inlink" \t "_blank" </w:instrText>
      </w:r>
      <w:r>
        <w:fldChar w:fldCharType="separate"/>
      </w:r>
      <w:r>
        <w:rPr>
          <w:rFonts w:ascii="Helvetica" w:hAnsi="Helvetica" w:cs="Helvetica"/>
          <w:kern w:val="0"/>
          <w:sz w:val="18"/>
          <w:szCs w:val="18"/>
          <w:u w:val="single"/>
        </w:rPr>
        <w:t>多式联运</w:t>
      </w:r>
      <w:r>
        <w:rPr>
          <w:rFonts w:ascii="Helvetica" w:hAnsi="Helvetica" w:cs="Helvetica"/>
          <w:kern w:val="0"/>
          <w:sz w:val="18"/>
          <w:szCs w:val="18"/>
          <w:u w:val="single"/>
        </w:rPr>
        <w:fldChar w:fldCharType="end"/>
      </w:r>
      <w:r>
        <w:rPr>
          <w:rFonts w:ascii="Helvetica" w:hAnsi="Helvetica" w:cs="Helvetica"/>
          <w:kern w:val="0"/>
          <w:sz w:val="18"/>
          <w:szCs w:val="18"/>
        </w:rPr>
        <w:t>和运输代理业、</w:t>
      </w:r>
      <w:r>
        <w:fldChar w:fldCharType="begin"/>
      </w:r>
      <w:r>
        <w:instrText xml:space="preserve"> HYPERLINK "https://baike.baidu.com/item/%E8%A3%85%E5%8D%B8%E6%90%AC%E8%BF%90/6511400?fromModule=lemma_inlink" \t "_blank" </w:instrText>
      </w:r>
      <w:r>
        <w:fldChar w:fldCharType="separate"/>
      </w:r>
      <w:r>
        <w:rPr>
          <w:rFonts w:ascii="Helvetica" w:hAnsi="Helvetica" w:cs="Helvetica"/>
          <w:kern w:val="0"/>
          <w:sz w:val="18"/>
          <w:szCs w:val="18"/>
          <w:u w:val="single"/>
        </w:rPr>
        <w:t>装卸搬运</w:t>
      </w:r>
      <w:r>
        <w:rPr>
          <w:rFonts w:ascii="Helvetica" w:hAnsi="Helvetica" w:cs="Helvetica"/>
          <w:kern w:val="0"/>
          <w:sz w:val="18"/>
          <w:szCs w:val="18"/>
          <w:u w:val="single"/>
        </w:rPr>
        <w:fldChar w:fldCharType="end"/>
      </w:r>
      <w:r>
        <w:rPr>
          <w:rFonts w:ascii="Helvetica" w:hAnsi="Helvetica" w:cs="Helvetica"/>
          <w:kern w:val="0"/>
          <w:sz w:val="18"/>
          <w:szCs w:val="18"/>
        </w:rPr>
        <w:t>，不包括铁路运输业；</w:t>
      </w:r>
      <w:r>
        <w:fldChar w:fldCharType="begin"/>
      </w:r>
      <w:r>
        <w:instrText xml:space="preserve"> HYPERLINK "https://baike.baidu.com/item/%E4%BB%93%E5%82%A8%E4%B8%9A/3487863?fromModule=lemma_inlink" \t "_blank" </w:instrText>
      </w:r>
      <w:r>
        <w:fldChar w:fldCharType="separate"/>
      </w:r>
      <w:r>
        <w:rPr>
          <w:rFonts w:ascii="Helvetica" w:hAnsi="Helvetica" w:cs="Helvetica"/>
          <w:kern w:val="0"/>
          <w:sz w:val="18"/>
          <w:szCs w:val="18"/>
          <w:u w:val="single"/>
        </w:rPr>
        <w:t>仓储业</w:t>
      </w:r>
      <w:r>
        <w:rPr>
          <w:rFonts w:ascii="Helvetica" w:hAnsi="Helvetica" w:cs="Helvetica"/>
          <w:kern w:val="0"/>
          <w:sz w:val="18"/>
          <w:szCs w:val="18"/>
          <w:u w:val="single"/>
        </w:rPr>
        <w:fldChar w:fldCharType="end"/>
      </w:r>
      <w:r>
        <w:rPr>
          <w:rFonts w:ascii="Helvetica" w:hAnsi="Helvetica" w:cs="Helvetica"/>
          <w:kern w:val="0"/>
          <w:sz w:val="18"/>
          <w:szCs w:val="18"/>
        </w:rPr>
        <w:t>包括通用仓储，低温仓储，危险品仓储，谷物、棉花等农产品仓储，中药材仓储和其他仓储业</w:t>
      </w:r>
      <w:r>
        <w:rPr>
          <w:rFonts w:hint="eastAsia" w:ascii="Helvetica" w:hAnsi="Helvetica" w:cs="Helvetica"/>
          <w:kern w:val="0"/>
          <w:sz w:val="18"/>
          <w:szCs w:val="18"/>
        </w:rPr>
        <w:t>；</w:t>
      </w:r>
      <w:r>
        <w:fldChar w:fldCharType="begin"/>
      </w:r>
      <w:r>
        <w:instrText xml:space="preserve"> HYPERLINK "https://baike.baidu.com/item/%E4%BF%A1%E6%81%AF%E4%BC%A0%E8%BE%93%E4%B8%9A/61331990?fromModule=lemma_inlink" \t "_blank" </w:instrText>
      </w:r>
      <w:r>
        <w:fldChar w:fldCharType="separate"/>
      </w:r>
      <w:r>
        <w:rPr>
          <w:rFonts w:ascii="Helvetica" w:hAnsi="Helvetica" w:cs="Helvetica"/>
          <w:kern w:val="0"/>
          <w:sz w:val="18"/>
          <w:szCs w:val="18"/>
          <w:u w:val="single"/>
        </w:rPr>
        <w:t>信息传输业</w:t>
      </w:r>
      <w:r>
        <w:rPr>
          <w:rFonts w:ascii="Helvetica" w:hAnsi="Helvetica" w:cs="Helvetica"/>
          <w:kern w:val="0"/>
          <w:sz w:val="18"/>
          <w:szCs w:val="18"/>
          <w:u w:val="single"/>
        </w:rPr>
        <w:fldChar w:fldCharType="end"/>
      </w:r>
      <w:r>
        <w:rPr>
          <w:rFonts w:ascii="Helvetica" w:hAnsi="Helvetica" w:cs="Helvetica"/>
          <w:kern w:val="0"/>
          <w:sz w:val="18"/>
          <w:szCs w:val="18"/>
        </w:rPr>
        <w:t>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spacing w:line="360" w:lineRule="atLeast"/>
        <w:ind w:firstLine="480"/>
        <w:jc w:val="left"/>
        <w:rPr>
          <w:rFonts w:ascii="Helvetica" w:hAnsi="Helvetica" w:cs="Helvetica"/>
          <w:kern w:val="0"/>
          <w:sz w:val="18"/>
          <w:szCs w:val="18"/>
        </w:rPr>
      </w:pPr>
      <w:r>
        <w:rPr>
          <w:rFonts w:ascii="Helvetica" w:hAnsi="Helvetica" w:cs="Helvetica"/>
          <w:kern w:val="0"/>
          <w:sz w:val="18"/>
          <w:szCs w:val="18"/>
        </w:rPr>
        <w:t>3.企业划分指标以现行</w:t>
      </w:r>
      <w:r>
        <w:fldChar w:fldCharType="begin"/>
      </w:r>
      <w:r>
        <w:instrText xml:space="preserve"> HYPERLINK "https://baike.baidu.com/item/%E7%BB%9F%E8%AE%A1%E5%88%B6%E5%BA%A6/917165?fromModule=lemma_inlink" \t "_blank" </w:instrText>
      </w:r>
      <w:r>
        <w:fldChar w:fldCharType="separate"/>
      </w:r>
      <w:r>
        <w:rPr>
          <w:rFonts w:ascii="Helvetica" w:hAnsi="Helvetica" w:cs="Helvetica"/>
          <w:kern w:val="0"/>
          <w:sz w:val="18"/>
          <w:szCs w:val="18"/>
          <w:u w:val="single"/>
        </w:rPr>
        <w:t>统计制度</w:t>
      </w:r>
      <w:r>
        <w:rPr>
          <w:rFonts w:ascii="Helvetica" w:hAnsi="Helvetica" w:cs="Helvetica"/>
          <w:kern w:val="0"/>
          <w:sz w:val="18"/>
          <w:szCs w:val="18"/>
          <w:u w:val="single"/>
        </w:rPr>
        <w:fldChar w:fldCharType="end"/>
      </w:r>
      <w:r>
        <w:rPr>
          <w:rFonts w:ascii="Helvetica" w:hAnsi="Helvetica" w:cs="Helvetica"/>
          <w:kern w:val="0"/>
          <w:sz w:val="18"/>
          <w:szCs w:val="18"/>
        </w:rPr>
        <w:t>为准。（1）从业人员，是指期末从业人员数，没有期末从业人员数的，采用全年平均人员数代替。（2）</w:t>
      </w:r>
      <w:r>
        <w:fldChar w:fldCharType="begin"/>
      </w:r>
      <w:r>
        <w:instrText xml:space="preserve"> HYPERLINK "https://baike.baidu.com/item/%E8%90%A5%E4%B8%9A%E6%94%B6%E5%85%A5/5099832?fromModule=lemma_inlink" \t "_blank" </w:instrText>
      </w:r>
      <w:r>
        <w:fldChar w:fldCharType="separate"/>
      </w:r>
      <w:r>
        <w:rPr>
          <w:rFonts w:ascii="Helvetica" w:hAnsi="Helvetica" w:cs="Helvetica"/>
          <w:kern w:val="0"/>
          <w:sz w:val="18"/>
          <w:szCs w:val="18"/>
          <w:u w:val="single"/>
        </w:rPr>
        <w:t>营业收入</w:t>
      </w:r>
      <w:r>
        <w:rPr>
          <w:rFonts w:ascii="Helvetica" w:hAnsi="Helvetica" w:cs="Helvetica"/>
          <w:kern w:val="0"/>
          <w:sz w:val="18"/>
          <w:szCs w:val="18"/>
          <w:u w:val="single"/>
        </w:rPr>
        <w:fldChar w:fldCharType="end"/>
      </w:r>
      <w:r>
        <w:rPr>
          <w:rFonts w:ascii="Helvetica" w:hAnsi="Helvetica" w:cs="Helvetica"/>
          <w:kern w:val="0"/>
          <w:sz w:val="18"/>
          <w:szCs w:val="18"/>
        </w:rPr>
        <w:t>，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w:t>
      </w:r>
      <w:r>
        <w:fldChar w:fldCharType="begin"/>
      </w:r>
      <w:r>
        <w:instrText xml:space="preserve"> HYPERLINK "https://baike.baidu.com/item/%E8%B5%84%E4%BA%A7%E6%80%BB%E9%A2%9D/716517?fromModule=lemma_inlink" \t "_blank" </w:instrText>
      </w:r>
      <w:r>
        <w:fldChar w:fldCharType="separate"/>
      </w:r>
      <w:r>
        <w:rPr>
          <w:rFonts w:ascii="Helvetica" w:hAnsi="Helvetica" w:cs="Helvetica"/>
          <w:kern w:val="0"/>
          <w:sz w:val="18"/>
          <w:szCs w:val="18"/>
          <w:u w:val="single"/>
        </w:rPr>
        <w:t>资产总额</w:t>
      </w:r>
      <w:r>
        <w:rPr>
          <w:rFonts w:ascii="Helvetica" w:hAnsi="Helvetica" w:cs="Helvetica"/>
          <w:kern w:val="0"/>
          <w:sz w:val="18"/>
          <w:szCs w:val="18"/>
          <w:u w:val="single"/>
        </w:rPr>
        <w:fldChar w:fldCharType="end"/>
      </w:r>
      <w:r>
        <w:rPr>
          <w:rFonts w:ascii="Helvetica" w:hAnsi="Helvetica" w:cs="Helvetica"/>
          <w:kern w:val="0"/>
          <w:sz w:val="18"/>
          <w:szCs w:val="18"/>
        </w:rPr>
        <w:t>，采用资产总计代替。</w:t>
      </w:r>
    </w:p>
    <w:p>
      <w:pPr>
        <w:widowControl/>
        <w:jc w:val="left"/>
        <w:rPr>
          <w:rFonts w:hAnsi="宋体"/>
          <w:bCs/>
          <w:sz w:val="18"/>
          <w:szCs w:val="18"/>
        </w:rPr>
      </w:pPr>
      <w:r>
        <w:rPr>
          <w:rFonts w:hAnsi="宋体"/>
          <w:bCs/>
          <w:sz w:val="18"/>
          <w:szCs w:val="18"/>
        </w:rPr>
        <w:br w:type="page"/>
      </w:r>
    </w:p>
    <w:p>
      <w:pPr>
        <w:spacing w:line="320" w:lineRule="exact"/>
        <w:jc w:val="left"/>
        <w:rPr>
          <w:rFonts w:hAnsi="宋体"/>
          <w:bCs/>
          <w:sz w:val="18"/>
          <w:szCs w:val="18"/>
        </w:rPr>
      </w:pPr>
    </w:p>
    <w:p>
      <w:pPr>
        <w:pStyle w:val="23"/>
        <w:spacing w:line="440" w:lineRule="exact"/>
        <w:jc w:val="center"/>
        <w:rPr>
          <w:rFonts w:ascii="仿宋" w:hAnsi="仿宋" w:eastAsia="仿宋"/>
          <w:b/>
          <w:kern w:val="0"/>
          <w:sz w:val="32"/>
          <w:szCs w:val="32"/>
        </w:rPr>
      </w:pPr>
      <w:r>
        <w:rPr>
          <w:rFonts w:hint="eastAsia" w:ascii="仿宋" w:hAnsi="仿宋" w:eastAsia="仿宋"/>
          <w:b/>
          <w:kern w:val="0"/>
          <w:sz w:val="32"/>
          <w:szCs w:val="32"/>
        </w:rPr>
        <w:t>残疾人福利性单位声明函</w:t>
      </w:r>
      <w:r>
        <w:rPr>
          <w:rFonts w:hint="eastAsia" w:ascii="仿宋" w:hAnsi="仿宋" w:eastAsia="仿宋"/>
          <w:sz w:val="24"/>
        </w:rPr>
        <w:t>(格式</w:t>
      </w:r>
      <w:r>
        <w:rPr>
          <w:rFonts w:ascii="仿宋" w:hAnsi="仿宋" w:eastAsia="仿宋"/>
          <w:sz w:val="24"/>
        </w:rPr>
        <w:t>)</w:t>
      </w:r>
    </w:p>
    <w:p/>
    <w:p>
      <w:pPr>
        <w:spacing w:line="660" w:lineRule="exact"/>
        <w:ind w:firstLine="420" w:firstLineChars="200"/>
        <w:rPr>
          <w:rFonts w:ascii="宋体" w:hAnsi="宋体" w:cs="Courier New"/>
          <w:kern w:val="0"/>
          <w:szCs w:val="21"/>
        </w:rPr>
      </w:pPr>
      <w:r>
        <w:rPr>
          <w:rFonts w:hint="eastAsia" w:ascii="宋体" w:hAnsi="宋体" w:cs="Courier New"/>
          <w:kern w:val="0"/>
          <w:szCs w:val="21"/>
        </w:rPr>
        <w:t>本单位郑重声明，根据</w:t>
      </w:r>
      <w:bookmarkStart w:id="205" w:name="_Hlk82091361"/>
      <w:r>
        <w:rPr>
          <w:rFonts w:hint="eastAsia" w:ascii="宋体" w:hAnsi="宋体" w:cs="Courier New"/>
          <w:kern w:val="0"/>
          <w:szCs w:val="21"/>
        </w:rPr>
        <w:t>《</w:t>
      </w:r>
      <w:r>
        <w:fldChar w:fldCharType="begin"/>
      </w:r>
      <w:r>
        <w:instrText xml:space="preserve"> HYPERLINK "http://www.mof.gov.cn/gp/xxgkml/gks/201709/t20170901_2689542.htm" </w:instrText>
      </w:r>
      <w:r>
        <w:fldChar w:fldCharType="separate"/>
      </w:r>
      <w:r>
        <w:rPr>
          <w:rFonts w:hint="eastAsia" w:ascii="宋体" w:hAnsi="Courier New" w:cs="Courier New"/>
          <w:kern w:val="0"/>
          <w:szCs w:val="21"/>
        </w:rPr>
        <w:t>财政部 民政部 中国残疾人联合会关于促进残疾人就业政府采购政策的通知》（财库〔2017〕141号）</w:t>
      </w:r>
      <w:r>
        <w:rPr>
          <w:rFonts w:hint="eastAsia" w:ascii="宋体" w:hAnsi="Courier New" w:cs="Courier New"/>
          <w:kern w:val="0"/>
          <w:szCs w:val="21"/>
        </w:rPr>
        <w:fldChar w:fldCharType="end"/>
      </w:r>
      <w:bookmarkEnd w:id="205"/>
      <w:r>
        <w:rPr>
          <w:rFonts w:hint="eastAsia" w:ascii="宋体" w:hAnsi="宋体" w:cs="Courier New"/>
          <w:kern w:val="0"/>
          <w:szCs w:val="21"/>
        </w:rPr>
        <w:t>的规定，本单位为符合条件的残疾人福利性单位，且本单位参加（</w:t>
      </w:r>
      <w:r>
        <w:rPr>
          <w:rFonts w:hint="eastAsia" w:ascii="宋体" w:hAnsi="宋体" w:cs="Courier New"/>
          <w:kern w:val="0"/>
          <w:szCs w:val="21"/>
          <w:u w:val="single"/>
        </w:rPr>
        <w:t>单位名称</w:t>
      </w:r>
      <w:r>
        <w:rPr>
          <w:rFonts w:hint="eastAsia" w:ascii="宋体" w:hAnsi="宋体" w:cs="Courier New"/>
          <w:kern w:val="0"/>
          <w:szCs w:val="21"/>
        </w:rPr>
        <w:t>）的（</w:t>
      </w:r>
      <w:r>
        <w:rPr>
          <w:rFonts w:hint="eastAsia" w:ascii="宋体" w:hAnsi="宋体" w:cs="Courier New"/>
          <w:kern w:val="0"/>
          <w:szCs w:val="21"/>
          <w:u w:val="single"/>
        </w:rPr>
        <w:t>项目名称</w:t>
      </w:r>
      <w:r>
        <w:rPr>
          <w:rFonts w:hint="eastAsia" w:ascii="宋体" w:hAnsi="宋体" w:cs="Courier New"/>
          <w:kern w:val="0"/>
          <w:szCs w:val="21"/>
        </w:rPr>
        <w:t>）采购活动提供本单位制造的货物，或者提供其他残疾人福利性单位（</w:t>
      </w:r>
      <w:r>
        <w:rPr>
          <w:rFonts w:hint="eastAsia" w:ascii="宋体" w:hAnsi="宋体" w:cs="Courier New"/>
          <w:kern w:val="0"/>
          <w:szCs w:val="21"/>
          <w:u w:val="single"/>
        </w:rPr>
        <w:t>请填写具体单位名称</w:t>
      </w:r>
      <w:r>
        <w:rPr>
          <w:rFonts w:hint="eastAsia" w:ascii="宋体" w:hAnsi="宋体" w:cs="Courier New"/>
          <w:kern w:val="0"/>
          <w:szCs w:val="21"/>
        </w:rPr>
        <w:t>）制造的货物（不包括使用非残疾人福利性单位注册商标的货物）。</w:t>
      </w:r>
    </w:p>
    <w:p>
      <w:pPr>
        <w:spacing w:line="660" w:lineRule="exact"/>
        <w:ind w:firstLine="420" w:firstLineChars="200"/>
        <w:rPr>
          <w:rFonts w:ascii="宋体" w:hAnsi="宋体" w:cs="Courier New"/>
          <w:kern w:val="0"/>
          <w:szCs w:val="21"/>
        </w:rPr>
      </w:pPr>
      <w:r>
        <w:rPr>
          <w:rFonts w:hint="eastAsia" w:ascii="宋体" w:hAnsi="宋体" w:cs="Courier New"/>
          <w:kern w:val="0"/>
          <w:szCs w:val="21"/>
        </w:rPr>
        <w:t>本单位对上述声明的真实性负责。如有虚假，将依法承担相应责任。</w:t>
      </w:r>
    </w:p>
    <w:p>
      <w:pPr>
        <w:spacing w:line="400" w:lineRule="exact"/>
        <w:rPr>
          <w:szCs w:val="21"/>
        </w:rPr>
      </w:pPr>
    </w:p>
    <w:p>
      <w:pPr>
        <w:spacing w:line="400" w:lineRule="exact"/>
        <w:rPr>
          <w:szCs w:val="21"/>
        </w:rPr>
      </w:pPr>
    </w:p>
    <w:p>
      <w:pPr>
        <w:spacing w:line="400" w:lineRule="exact"/>
        <w:rPr>
          <w:szCs w:val="21"/>
        </w:rPr>
      </w:pPr>
    </w:p>
    <w:p>
      <w:pPr>
        <w:spacing w:line="440" w:lineRule="exact"/>
        <w:ind w:firstLine="5250" w:firstLineChars="2500"/>
        <w:rPr>
          <w:rFonts w:ascii="宋体" w:hAnsi="宋体" w:cs="Courier New"/>
          <w:kern w:val="0"/>
          <w:szCs w:val="21"/>
        </w:rPr>
      </w:pPr>
      <w:r>
        <w:rPr>
          <w:rFonts w:hint="eastAsia" w:ascii="宋体" w:hAnsi="宋体" w:cs="Courier New"/>
          <w:kern w:val="0"/>
          <w:szCs w:val="21"/>
        </w:rPr>
        <w:t>单位名称（盖章）：</w:t>
      </w:r>
      <w:r>
        <w:rPr>
          <w:rFonts w:hint="eastAsia" w:ascii="宋体" w:hAnsi="宋体" w:cs="Courier New"/>
          <w:szCs w:val="21"/>
          <w:u w:val="single"/>
        </w:rPr>
        <w:t xml:space="preserve"> </w:t>
      </w:r>
      <w:r>
        <w:rPr>
          <w:rFonts w:ascii="宋体" w:hAnsi="宋体" w:cs="Courier New"/>
          <w:szCs w:val="21"/>
          <w:u w:val="single"/>
        </w:rPr>
        <w:t xml:space="preserve">             </w:t>
      </w:r>
    </w:p>
    <w:p>
      <w:pPr>
        <w:spacing w:line="440" w:lineRule="exact"/>
        <w:ind w:firstLine="5250" w:firstLineChars="2500"/>
        <w:rPr>
          <w:rFonts w:ascii="宋体" w:hAnsi="宋体" w:cs="Courier New"/>
          <w:szCs w:val="21"/>
          <w:u w:val="single"/>
        </w:rPr>
      </w:pPr>
      <w:r>
        <w:rPr>
          <w:rFonts w:hint="eastAsia" w:ascii="宋体" w:hAnsi="宋体" w:cs="Courier New"/>
          <w:kern w:val="0"/>
          <w:szCs w:val="21"/>
        </w:rPr>
        <w:t>日  期：</w:t>
      </w:r>
      <w:r>
        <w:rPr>
          <w:rFonts w:hint="eastAsia" w:ascii="宋体" w:hAnsi="宋体" w:cs="Courier New"/>
          <w:szCs w:val="21"/>
          <w:u w:val="single"/>
        </w:rPr>
        <w:t xml:space="preserve"> </w:t>
      </w:r>
      <w:r>
        <w:rPr>
          <w:rFonts w:ascii="宋体" w:hAnsi="宋体" w:cs="Courier New"/>
          <w:szCs w:val="21"/>
          <w:u w:val="single"/>
        </w:rPr>
        <w:t xml:space="preserve">                       </w:t>
      </w:r>
    </w:p>
    <w:bookmarkEnd w:id="199"/>
    <w:p>
      <w:pPr>
        <w:spacing w:line="440" w:lineRule="exact"/>
        <w:ind w:right="420"/>
        <w:jc w:val="center"/>
        <w:rPr>
          <w:rFonts w:ascii="宋体" w:hAnsi="宋体"/>
          <w:bCs/>
        </w:rPr>
      </w:pPr>
    </w:p>
    <w:p>
      <w:pPr>
        <w:spacing w:line="400" w:lineRule="exact"/>
        <w:ind w:right="1050" w:rightChars="500"/>
        <w:jc w:val="right"/>
        <w:rPr>
          <w:rFonts w:ascii="黑体" w:hAnsi="黑体" w:eastAsia="黑体" w:cs="黑体"/>
          <w:b/>
          <w:sz w:val="32"/>
          <w:szCs w:val="32"/>
        </w:rPr>
      </w:pPr>
    </w:p>
    <w:p>
      <w:pPr>
        <w:spacing w:line="440" w:lineRule="exact"/>
        <w:jc w:val="center"/>
        <w:rPr>
          <w:rFonts w:ascii="仿宋_GB2312" w:hAnsi="宋体" w:eastAsia="仿宋_GB2312" w:cs="Courier New"/>
          <w:b/>
          <w:kern w:val="0"/>
          <w:sz w:val="32"/>
          <w:szCs w:val="32"/>
        </w:rPr>
      </w:pPr>
      <w:r>
        <w:rPr>
          <w:rFonts w:ascii="黑体" w:hAnsi="黑体" w:eastAsia="黑体" w:cs="黑体"/>
          <w:b/>
          <w:sz w:val="32"/>
          <w:szCs w:val="32"/>
        </w:rPr>
        <w:br w:type="page"/>
      </w:r>
    </w:p>
    <w:p>
      <w:pPr>
        <w:spacing w:line="440" w:lineRule="exact"/>
        <w:jc w:val="center"/>
        <w:rPr>
          <w:rFonts w:ascii="仿宋_GB2312" w:hAnsi="宋体" w:eastAsia="仿宋_GB2312" w:cs="Courier New"/>
          <w:b/>
          <w:kern w:val="0"/>
          <w:sz w:val="32"/>
          <w:szCs w:val="32"/>
        </w:rPr>
      </w:pPr>
    </w:p>
    <w:p>
      <w:pPr>
        <w:spacing w:line="440" w:lineRule="exact"/>
        <w:jc w:val="center"/>
        <w:rPr>
          <w:rFonts w:ascii="仿宋_GB2312" w:hAnsi="宋体" w:eastAsia="仿宋_GB2312" w:cs="Courier New"/>
          <w:b/>
          <w:kern w:val="0"/>
          <w:sz w:val="32"/>
          <w:szCs w:val="32"/>
        </w:rPr>
      </w:pPr>
      <w:r>
        <w:rPr>
          <w:rFonts w:hint="eastAsia" w:ascii="仿宋_GB2312" w:hAnsi="宋体" w:eastAsia="仿宋_GB2312" w:cs="Courier New"/>
          <w:b/>
          <w:kern w:val="0"/>
          <w:sz w:val="32"/>
          <w:szCs w:val="32"/>
        </w:rPr>
        <w:t>关于符合本国产品标准的声明函</w:t>
      </w:r>
      <w:r>
        <w:rPr>
          <w:rFonts w:hint="eastAsia" w:ascii="仿宋_GB2312" w:eastAsia="仿宋_GB2312"/>
          <w:bCs/>
          <w:sz w:val="24"/>
        </w:rPr>
        <w:t>（格式）</w:t>
      </w:r>
    </w:p>
    <w:p>
      <w:pPr>
        <w:spacing w:line="400" w:lineRule="exact"/>
      </w:pPr>
    </w:p>
    <w:p>
      <w:pPr>
        <w:widowControl/>
        <w:shd w:val="clear" w:color="auto" w:fill="FFFFFF"/>
        <w:spacing w:before="30" w:after="30" w:line="660" w:lineRule="exact"/>
        <w:ind w:firstLine="480"/>
        <w:jc w:val="left"/>
        <w:rPr>
          <w:rFonts w:ascii="宋体" w:hAnsi="宋体" w:cs="宋体"/>
          <w:kern w:val="0"/>
          <w:szCs w:val="21"/>
        </w:rPr>
      </w:pPr>
      <w:r>
        <w:rPr>
          <w:rFonts w:hint="eastAsia" w:ascii="宋体" w:hAnsi="宋体" w:cs="宋体"/>
          <w:kern w:val="0"/>
          <w:szCs w:val="21"/>
        </w:rPr>
        <w:t>本公司</w:t>
      </w:r>
      <w:r>
        <w:rPr>
          <w:rFonts w:hint="eastAsia" w:ascii="宋体" w:hAnsi="宋体" w:cs="宋体"/>
          <w:kern w:val="0"/>
          <w:szCs w:val="21"/>
          <w:u w:val="single"/>
        </w:rPr>
        <w:t>（单位）</w:t>
      </w:r>
      <w:r>
        <w:rPr>
          <w:rFonts w:hint="eastAsia" w:ascii="宋体" w:hAnsi="宋体" w:cs="宋体"/>
          <w:kern w:val="0"/>
          <w:szCs w:val="21"/>
        </w:rPr>
        <w:t>郑重声明，根据《国务院办公厅关于在政府采购中实施本国产品标准及相关政策的通知》（国办发〔2025〕34号）的规定，本公司（单位）提供的以下产品属于本国产品。具体情况如下：</w:t>
      </w:r>
    </w:p>
    <w:p>
      <w:pPr>
        <w:widowControl/>
        <w:shd w:val="clear" w:color="auto" w:fill="FFFFFF"/>
        <w:spacing w:line="660" w:lineRule="exact"/>
        <w:ind w:firstLine="480"/>
        <w:jc w:val="left"/>
        <w:rPr>
          <w:rFonts w:ascii="宋体" w:hAnsi="宋体" w:cs="宋体"/>
          <w:kern w:val="0"/>
          <w:szCs w:val="21"/>
        </w:rPr>
      </w:pPr>
      <w:r>
        <w:rPr>
          <w:rFonts w:hint="eastAsia" w:ascii="宋体" w:hAnsi="宋体" w:cs="宋体"/>
          <w:kern w:val="0"/>
          <w:szCs w:val="21"/>
        </w:rPr>
        <w:t>1.</w:t>
      </w:r>
      <w:r>
        <w:rPr>
          <w:rFonts w:hint="eastAsia" w:ascii="宋体" w:hAnsi="宋体" w:cs="宋体"/>
          <w:i/>
          <w:iCs/>
          <w:kern w:val="0"/>
          <w:szCs w:val="21"/>
          <w:u w:val="single"/>
        </w:rPr>
        <w:t>（产品名称1）</w:t>
      </w:r>
      <w:r>
        <w:rPr>
          <w:rFonts w:hint="eastAsia" w:ascii="宋体" w:hAnsi="宋体" w:cs="宋体"/>
          <w:i/>
          <w:iCs/>
          <w:kern w:val="0"/>
          <w:szCs w:val="21"/>
          <w:vertAlign w:val="superscript"/>
        </w:rPr>
        <w:t>1</w:t>
      </w:r>
      <w:r>
        <w:rPr>
          <w:rFonts w:hint="eastAsia" w:ascii="宋体" w:hAnsi="宋体" w:cs="宋体"/>
          <w:kern w:val="0"/>
          <w:szCs w:val="21"/>
        </w:rPr>
        <w:t>，生产厂为</w:t>
      </w:r>
      <w:r>
        <w:rPr>
          <w:rFonts w:hint="eastAsia" w:ascii="宋体" w:hAnsi="宋体" w:cs="宋体"/>
          <w:i/>
          <w:iCs/>
          <w:kern w:val="0"/>
          <w:szCs w:val="21"/>
          <w:u w:val="single"/>
        </w:rPr>
        <w:t>（厂名）</w:t>
      </w:r>
      <w:r>
        <w:rPr>
          <w:rFonts w:hint="eastAsia" w:ascii="宋体" w:hAnsi="宋体" w:cs="宋体"/>
          <w:i/>
          <w:iCs/>
          <w:kern w:val="0"/>
          <w:szCs w:val="21"/>
          <w:vertAlign w:val="superscript"/>
        </w:rPr>
        <w:t>2</w:t>
      </w:r>
      <w:r>
        <w:rPr>
          <w:rFonts w:hint="eastAsia" w:ascii="宋体" w:hAnsi="宋体" w:cs="宋体"/>
          <w:kern w:val="0"/>
          <w:szCs w:val="21"/>
        </w:rPr>
        <w:t>，厂址为</w:t>
      </w:r>
      <w:r>
        <w:rPr>
          <w:rFonts w:hint="eastAsia" w:ascii="宋体" w:hAnsi="宋体" w:cs="宋体"/>
          <w:i/>
          <w:iCs/>
          <w:kern w:val="0"/>
          <w:szCs w:val="21"/>
          <w:u w:val="single"/>
        </w:rPr>
        <w:t>（生产厂址）</w:t>
      </w:r>
      <w:r>
        <w:rPr>
          <w:rFonts w:hint="eastAsia" w:ascii="宋体" w:hAnsi="宋体" w:cs="宋体"/>
          <w:kern w:val="0"/>
          <w:szCs w:val="21"/>
        </w:rPr>
        <w:t>。</w:t>
      </w:r>
      <w:r>
        <w:rPr>
          <w:rFonts w:hint="eastAsia" w:ascii="宋体" w:hAnsi="宋体" w:cs="宋体"/>
          <w:i/>
          <w:iCs/>
          <w:kern w:val="0"/>
          <w:szCs w:val="21"/>
          <w:u w:val="single"/>
        </w:rPr>
        <w:t>（产品名称1）</w:t>
      </w:r>
      <w:r>
        <w:rPr>
          <w:rFonts w:hint="eastAsia" w:ascii="宋体" w:hAnsi="宋体" w:cs="宋体"/>
          <w:kern w:val="0"/>
          <w:szCs w:val="21"/>
        </w:rPr>
        <w:t>的中国境内生产的组件成本占比≥</w:t>
      </w:r>
      <w:r>
        <w:rPr>
          <w:rFonts w:hint="eastAsia" w:ascii="宋体" w:hAnsi="宋体" w:cs="宋体"/>
          <w:i/>
          <w:iCs/>
          <w:kern w:val="0"/>
          <w:szCs w:val="21"/>
          <w:u w:val="single"/>
        </w:rPr>
        <w:t>（规定比例）</w:t>
      </w:r>
      <w:r>
        <w:rPr>
          <w:rFonts w:hint="eastAsia" w:ascii="宋体" w:hAnsi="宋体" w:cs="宋体"/>
          <w:i/>
          <w:iCs/>
          <w:kern w:val="0"/>
          <w:szCs w:val="21"/>
          <w:vertAlign w:val="superscript"/>
        </w:rPr>
        <w:t>3</w:t>
      </w:r>
      <w:r>
        <w:rPr>
          <w:rFonts w:hint="eastAsia" w:ascii="宋体" w:hAnsi="宋体" w:cs="宋体"/>
          <w:kern w:val="0"/>
          <w:szCs w:val="21"/>
        </w:rPr>
        <w:t>。</w:t>
      </w:r>
      <w:r>
        <w:rPr>
          <w:rFonts w:hint="eastAsia" w:ascii="宋体" w:hAnsi="宋体" w:cs="宋体"/>
          <w:i/>
          <w:iCs/>
          <w:kern w:val="0"/>
          <w:szCs w:val="21"/>
          <w:u w:val="single"/>
        </w:rPr>
        <w:t>（产品名称1）</w:t>
      </w:r>
      <w:r>
        <w:rPr>
          <w:rFonts w:hint="eastAsia" w:ascii="宋体" w:hAnsi="宋体" w:cs="宋体"/>
          <w:kern w:val="0"/>
          <w:szCs w:val="21"/>
        </w:rPr>
        <w:t>的</w:t>
      </w:r>
      <w:r>
        <w:rPr>
          <w:rFonts w:hint="eastAsia" w:ascii="宋体" w:hAnsi="宋体" w:cs="宋体"/>
          <w:i/>
          <w:iCs/>
          <w:kern w:val="0"/>
          <w:szCs w:val="21"/>
          <w:u w:val="single"/>
        </w:rPr>
        <w:t>（关键组件）</w:t>
      </w:r>
      <w:r>
        <w:rPr>
          <w:rFonts w:hint="eastAsia" w:ascii="宋体" w:hAnsi="宋体" w:cs="宋体"/>
          <w:i/>
          <w:iCs/>
          <w:kern w:val="0"/>
          <w:szCs w:val="21"/>
          <w:vertAlign w:val="superscript"/>
        </w:rPr>
        <w:t>4</w:t>
      </w:r>
      <w:r>
        <w:rPr>
          <w:rFonts w:hint="eastAsia" w:ascii="宋体" w:hAnsi="宋体" w:cs="宋体"/>
          <w:kern w:val="0"/>
          <w:szCs w:val="21"/>
        </w:rPr>
        <w:t>在中国境内生产。</w:t>
      </w:r>
      <w:r>
        <w:rPr>
          <w:rFonts w:hint="eastAsia" w:ascii="宋体" w:hAnsi="宋体" w:cs="宋体"/>
          <w:i/>
          <w:iCs/>
          <w:kern w:val="0"/>
          <w:szCs w:val="21"/>
          <w:u w:val="single"/>
        </w:rPr>
        <w:t>（产品名称1）</w:t>
      </w:r>
      <w:r>
        <w:rPr>
          <w:rFonts w:hint="eastAsia" w:ascii="宋体" w:hAnsi="宋体" w:cs="宋体"/>
          <w:kern w:val="0"/>
          <w:szCs w:val="21"/>
        </w:rPr>
        <w:t>的</w:t>
      </w:r>
      <w:r>
        <w:rPr>
          <w:rFonts w:hint="eastAsia" w:ascii="宋体" w:hAnsi="宋体" w:cs="宋体"/>
          <w:i/>
          <w:iCs/>
          <w:kern w:val="0"/>
          <w:szCs w:val="21"/>
          <w:u w:val="single"/>
        </w:rPr>
        <w:t>（关键工序）</w:t>
      </w:r>
      <w:r>
        <w:rPr>
          <w:rFonts w:hint="eastAsia" w:ascii="宋体" w:hAnsi="宋体" w:cs="宋体"/>
          <w:i/>
          <w:iCs/>
          <w:kern w:val="0"/>
          <w:szCs w:val="21"/>
          <w:vertAlign w:val="superscript"/>
        </w:rPr>
        <w:t>5</w:t>
      </w:r>
      <w:r>
        <w:rPr>
          <w:rFonts w:hint="eastAsia" w:ascii="宋体" w:hAnsi="宋体" w:cs="宋体"/>
          <w:kern w:val="0"/>
          <w:szCs w:val="21"/>
        </w:rPr>
        <w:t>在中国境内完成。</w:t>
      </w:r>
    </w:p>
    <w:p>
      <w:pPr>
        <w:widowControl/>
        <w:shd w:val="clear" w:color="auto" w:fill="FFFFFF"/>
        <w:spacing w:line="660" w:lineRule="exact"/>
        <w:ind w:firstLine="480"/>
        <w:jc w:val="left"/>
        <w:rPr>
          <w:rFonts w:ascii="宋体" w:hAnsi="宋体" w:cs="宋体"/>
          <w:kern w:val="0"/>
          <w:szCs w:val="21"/>
        </w:rPr>
      </w:pPr>
      <w:r>
        <w:rPr>
          <w:rFonts w:hint="eastAsia" w:ascii="宋体" w:hAnsi="宋体" w:cs="宋体"/>
          <w:kern w:val="0"/>
          <w:szCs w:val="21"/>
        </w:rPr>
        <w:t>2.</w:t>
      </w:r>
      <w:r>
        <w:rPr>
          <w:rFonts w:hint="eastAsia" w:ascii="宋体" w:hAnsi="宋体" w:cs="宋体"/>
          <w:i/>
          <w:iCs/>
          <w:kern w:val="0"/>
          <w:szCs w:val="21"/>
          <w:u w:val="single"/>
        </w:rPr>
        <w:t>（产品名称2）</w:t>
      </w:r>
      <w:r>
        <w:rPr>
          <w:rFonts w:hint="eastAsia" w:ascii="宋体" w:hAnsi="宋体" w:cs="宋体"/>
          <w:kern w:val="0"/>
          <w:szCs w:val="21"/>
        </w:rPr>
        <w:t>，生产厂为</w:t>
      </w:r>
      <w:r>
        <w:rPr>
          <w:rFonts w:hint="eastAsia" w:ascii="宋体" w:hAnsi="宋体" w:cs="宋体"/>
          <w:i/>
          <w:iCs/>
          <w:kern w:val="0"/>
          <w:szCs w:val="21"/>
          <w:u w:val="single"/>
        </w:rPr>
        <w:t>（厂名）</w:t>
      </w:r>
      <w:r>
        <w:rPr>
          <w:rFonts w:hint="eastAsia" w:ascii="宋体" w:hAnsi="宋体" w:cs="宋体"/>
          <w:kern w:val="0"/>
          <w:szCs w:val="21"/>
        </w:rPr>
        <w:t>，厂址为</w:t>
      </w:r>
      <w:r>
        <w:rPr>
          <w:rFonts w:hint="eastAsia" w:ascii="宋体" w:hAnsi="宋体" w:cs="宋体"/>
          <w:i/>
          <w:iCs/>
          <w:kern w:val="0"/>
          <w:szCs w:val="21"/>
          <w:u w:val="single"/>
        </w:rPr>
        <w:t>（生产厂址）</w:t>
      </w:r>
      <w:r>
        <w:rPr>
          <w:rFonts w:hint="eastAsia" w:ascii="宋体" w:hAnsi="宋体" w:cs="宋体"/>
          <w:kern w:val="0"/>
          <w:szCs w:val="21"/>
        </w:rPr>
        <w:t>。</w:t>
      </w:r>
      <w:r>
        <w:rPr>
          <w:rFonts w:hint="eastAsia" w:ascii="宋体" w:hAnsi="宋体" w:cs="宋体"/>
          <w:i/>
          <w:iCs/>
          <w:kern w:val="0"/>
          <w:szCs w:val="21"/>
          <w:u w:val="single"/>
        </w:rPr>
        <w:t>（产品名称2）</w:t>
      </w:r>
      <w:r>
        <w:rPr>
          <w:rFonts w:hint="eastAsia" w:ascii="宋体" w:hAnsi="宋体" w:cs="宋体"/>
          <w:kern w:val="0"/>
          <w:szCs w:val="21"/>
        </w:rPr>
        <w:t>的中国境内生产的组件成本占比≥</w:t>
      </w:r>
      <w:r>
        <w:rPr>
          <w:rFonts w:hint="eastAsia" w:ascii="宋体" w:hAnsi="宋体" w:cs="宋体"/>
          <w:i/>
          <w:iCs/>
          <w:kern w:val="0"/>
          <w:szCs w:val="21"/>
          <w:u w:val="single"/>
        </w:rPr>
        <w:t>（规定比例）</w:t>
      </w:r>
      <w:r>
        <w:rPr>
          <w:rFonts w:hint="eastAsia" w:ascii="宋体" w:hAnsi="宋体" w:cs="宋体"/>
          <w:kern w:val="0"/>
          <w:szCs w:val="21"/>
        </w:rPr>
        <w:t>。</w:t>
      </w:r>
      <w:r>
        <w:rPr>
          <w:rFonts w:hint="eastAsia" w:ascii="宋体" w:hAnsi="宋体" w:cs="宋体"/>
          <w:i/>
          <w:iCs/>
          <w:kern w:val="0"/>
          <w:szCs w:val="21"/>
          <w:u w:val="single"/>
        </w:rPr>
        <w:t>（产品名称2）</w:t>
      </w:r>
      <w:r>
        <w:rPr>
          <w:rFonts w:hint="eastAsia" w:ascii="宋体" w:hAnsi="宋体" w:cs="宋体"/>
          <w:kern w:val="0"/>
          <w:szCs w:val="21"/>
        </w:rPr>
        <w:t>的</w:t>
      </w:r>
      <w:r>
        <w:rPr>
          <w:rFonts w:hint="eastAsia" w:ascii="宋体" w:hAnsi="宋体" w:cs="宋体"/>
          <w:i/>
          <w:iCs/>
          <w:kern w:val="0"/>
          <w:szCs w:val="21"/>
          <w:u w:val="single"/>
        </w:rPr>
        <w:t>（关键组件）</w:t>
      </w:r>
      <w:r>
        <w:rPr>
          <w:rFonts w:hint="eastAsia" w:ascii="宋体" w:hAnsi="宋体" w:cs="宋体"/>
          <w:kern w:val="0"/>
          <w:szCs w:val="21"/>
        </w:rPr>
        <w:t>在中国境内生产。</w:t>
      </w:r>
      <w:r>
        <w:rPr>
          <w:rFonts w:hint="eastAsia" w:ascii="宋体" w:hAnsi="宋体" w:cs="宋体"/>
          <w:i/>
          <w:iCs/>
          <w:kern w:val="0"/>
          <w:szCs w:val="21"/>
          <w:u w:val="single"/>
        </w:rPr>
        <w:t>（产品名称2）</w:t>
      </w:r>
      <w:r>
        <w:rPr>
          <w:rFonts w:hint="eastAsia" w:ascii="宋体" w:hAnsi="宋体" w:cs="宋体"/>
          <w:kern w:val="0"/>
          <w:szCs w:val="21"/>
        </w:rPr>
        <w:t>的</w:t>
      </w:r>
      <w:r>
        <w:rPr>
          <w:rFonts w:hint="eastAsia" w:ascii="宋体" w:hAnsi="宋体" w:cs="宋体"/>
          <w:i/>
          <w:iCs/>
          <w:kern w:val="0"/>
          <w:szCs w:val="21"/>
          <w:u w:val="single"/>
        </w:rPr>
        <w:t>（关键工序）</w:t>
      </w:r>
      <w:r>
        <w:rPr>
          <w:rFonts w:hint="eastAsia" w:ascii="宋体" w:hAnsi="宋体" w:cs="宋体"/>
          <w:kern w:val="0"/>
          <w:szCs w:val="21"/>
        </w:rPr>
        <w:t>在中国境内完成。</w:t>
      </w:r>
    </w:p>
    <w:p>
      <w:pPr>
        <w:widowControl/>
        <w:shd w:val="clear" w:color="auto" w:fill="FFFFFF"/>
        <w:spacing w:before="30" w:after="30" w:line="660" w:lineRule="exact"/>
        <w:ind w:firstLine="480"/>
        <w:jc w:val="left"/>
        <w:rPr>
          <w:rFonts w:ascii="宋体" w:hAnsi="宋体" w:cs="宋体"/>
          <w:kern w:val="0"/>
          <w:szCs w:val="21"/>
        </w:rPr>
      </w:pPr>
      <w:r>
        <w:rPr>
          <w:rFonts w:hint="eastAsia" w:ascii="宋体" w:hAnsi="宋体" w:cs="宋体"/>
          <w:kern w:val="0"/>
          <w:szCs w:val="21"/>
        </w:rPr>
        <w:t>……</w:t>
      </w:r>
    </w:p>
    <w:p>
      <w:pPr>
        <w:widowControl/>
        <w:shd w:val="clear" w:color="auto" w:fill="FFFFFF"/>
        <w:spacing w:before="30" w:after="30" w:line="660" w:lineRule="exact"/>
        <w:ind w:firstLine="480"/>
        <w:jc w:val="left"/>
        <w:rPr>
          <w:rFonts w:ascii="宋体" w:hAnsi="宋体" w:cs="宋体"/>
          <w:kern w:val="0"/>
          <w:szCs w:val="21"/>
        </w:rPr>
      </w:pPr>
      <w:r>
        <w:rPr>
          <w:rFonts w:hint="eastAsia" w:ascii="宋体" w:hAnsi="宋体" w:cs="宋体"/>
          <w:kern w:val="0"/>
          <w:szCs w:val="21"/>
        </w:rPr>
        <w:t>本公司（单位）对上述声明内容的真实性负责。如有虚假，愿承担相应法律责任。</w:t>
      </w:r>
    </w:p>
    <w:p>
      <w:pPr>
        <w:widowControl/>
        <w:shd w:val="clear" w:color="auto" w:fill="FFFFFF"/>
        <w:spacing w:before="30" w:after="30" w:line="660" w:lineRule="exact"/>
        <w:jc w:val="left"/>
        <w:rPr>
          <w:rFonts w:ascii="宋体" w:hAnsi="宋体" w:cs="宋体"/>
          <w:kern w:val="0"/>
          <w:sz w:val="24"/>
        </w:rPr>
      </w:pPr>
    </w:p>
    <w:p>
      <w:pPr>
        <w:widowControl/>
        <w:shd w:val="clear" w:color="auto" w:fill="FFFFFF"/>
        <w:spacing w:before="30" w:after="30" w:line="660" w:lineRule="exact"/>
        <w:ind w:right="420" w:rightChars="200" w:firstLine="4920" w:firstLineChars="2050"/>
        <w:jc w:val="left"/>
        <w:rPr>
          <w:rFonts w:ascii="宋体" w:hAnsi="宋体" w:cs="宋体"/>
          <w:kern w:val="0"/>
          <w:sz w:val="24"/>
        </w:rPr>
      </w:pPr>
      <w:r>
        <w:rPr>
          <w:rFonts w:hint="eastAsia" w:ascii="宋体" w:hAnsi="宋体" w:cs="宋体"/>
          <w:kern w:val="0"/>
          <w:sz w:val="24"/>
        </w:rPr>
        <w:t>公司(单位)名称(盖章)：</w:t>
      </w:r>
      <w:r>
        <w:rPr>
          <w:rFonts w:hint="eastAsia" w:ascii="宋体" w:hAnsi="宋体" w:cs="宋体"/>
          <w:kern w:val="0"/>
          <w:sz w:val="24"/>
          <w:u w:val="single"/>
        </w:rPr>
        <w:t>　        </w:t>
      </w:r>
    </w:p>
    <w:p>
      <w:pPr>
        <w:widowControl/>
        <w:shd w:val="clear" w:color="auto" w:fill="FFFFFF"/>
        <w:spacing w:line="660" w:lineRule="exact"/>
        <w:ind w:right="420" w:rightChars="200" w:firstLine="5280" w:firstLineChars="2200"/>
        <w:jc w:val="left"/>
        <w:rPr>
          <w:rFonts w:ascii="宋体" w:hAnsi="宋体" w:cs="宋体"/>
          <w:kern w:val="0"/>
          <w:sz w:val="24"/>
        </w:rPr>
      </w:pPr>
      <w:r>
        <w:rPr>
          <w:rFonts w:hint="eastAsia" w:ascii="宋体" w:hAnsi="宋体" w:cs="宋体"/>
          <w:kern w:val="0"/>
          <w:sz w:val="24"/>
        </w:rPr>
        <w:t>日期：</w:t>
      </w:r>
      <w:r>
        <w:rPr>
          <w:rFonts w:hint="eastAsia" w:ascii="宋体" w:hAnsi="宋体" w:cs="宋体"/>
          <w:kern w:val="0"/>
          <w:sz w:val="24"/>
          <w:u w:val="single"/>
        </w:rPr>
        <w:t>　       </w:t>
      </w:r>
      <w:r>
        <w:rPr>
          <w:rFonts w:hint="eastAsia" w:ascii="宋体" w:hAnsi="宋体" w:cs="宋体"/>
          <w:kern w:val="0"/>
          <w:sz w:val="24"/>
        </w:rPr>
        <w:t>年</w:t>
      </w:r>
      <w:r>
        <w:rPr>
          <w:rFonts w:hint="eastAsia" w:ascii="宋体" w:hAnsi="宋体" w:cs="宋体"/>
          <w:kern w:val="0"/>
          <w:sz w:val="24"/>
          <w:u w:val="single"/>
        </w:rPr>
        <w:t>　 </w:t>
      </w:r>
      <w:r>
        <w:rPr>
          <w:rFonts w:hint="eastAsia" w:ascii="宋体" w:hAnsi="宋体" w:cs="宋体"/>
          <w:kern w:val="0"/>
          <w:sz w:val="24"/>
        </w:rPr>
        <w:t>月</w:t>
      </w:r>
      <w:r>
        <w:rPr>
          <w:rFonts w:hint="eastAsia" w:ascii="宋体" w:hAnsi="宋体" w:cs="宋体"/>
          <w:kern w:val="0"/>
          <w:sz w:val="24"/>
          <w:u w:val="single"/>
        </w:rPr>
        <w:t>　 </w:t>
      </w:r>
      <w:r>
        <w:rPr>
          <w:rFonts w:hint="eastAsia" w:ascii="宋体" w:hAnsi="宋体" w:cs="宋体"/>
          <w:kern w:val="0"/>
          <w:sz w:val="24"/>
        </w:rPr>
        <w:t>日</w:t>
      </w:r>
    </w:p>
    <w:p>
      <w:pPr>
        <w:widowControl/>
        <w:shd w:val="clear" w:color="auto" w:fill="FFFFFF"/>
        <w:jc w:val="left"/>
        <w:rPr>
          <w:rFonts w:ascii="宋体" w:hAnsi="宋体" w:cs="宋体"/>
          <w:kern w:val="0"/>
          <w:sz w:val="24"/>
        </w:rPr>
      </w:pPr>
    </w:p>
    <w:p>
      <w:pPr>
        <w:widowControl/>
        <w:shd w:val="clear" w:color="auto" w:fill="FFFFFF"/>
        <w:jc w:val="left"/>
        <w:rPr>
          <w:rFonts w:ascii="宋体" w:hAnsi="宋体" w:cs="宋体"/>
          <w:kern w:val="0"/>
          <w:sz w:val="24"/>
        </w:rPr>
      </w:pPr>
    </w:p>
    <w:p>
      <w:pPr>
        <w:widowControl/>
        <w:shd w:val="clear" w:color="auto" w:fill="FFFFFF"/>
        <w:jc w:val="left"/>
        <w:rPr>
          <w:rFonts w:ascii="宋体" w:hAnsi="宋体" w:cs="宋体"/>
          <w:kern w:val="0"/>
          <w:sz w:val="24"/>
        </w:rPr>
      </w:pPr>
    </w:p>
    <w:p>
      <w:pPr>
        <w:widowControl/>
        <w:shd w:val="clear" w:color="auto" w:fill="FFFFFF"/>
        <w:jc w:val="left"/>
        <w:rPr>
          <w:rFonts w:ascii="宋体" w:hAnsi="宋体" w:cs="宋体"/>
          <w:kern w:val="0"/>
          <w:sz w:val="24"/>
        </w:rPr>
      </w:pPr>
    </w:p>
    <w:p>
      <w:pPr>
        <w:widowControl/>
        <w:shd w:val="clear" w:color="auto" w:fill="FFFFFF"/>
        <w:jc w:val="left"/>
        <w:rPr>
          <w:rFonts w:ascii="宋体" w:hAnsi="宋体" w:cs="宋体"/>
          <w:kern w:val="0"/>
          <w:sz w:val="24"/>
        </w:rPr>
      </w:pPr>
    </w:p>
    <w:p>
      <w:pPr>
        <w:widowControl/>
        <w:shd w:val="clear" w:color="auto" w:fill="FFFFFF"/>
        <w:jc w:val="left"/>
        <w:rPr>
          <w:rFonts w:ascii="宋体" w:hAnsi="宋体" w:cs="宋体"/>
          <w:kern w:val="0"/>
          <w:sz w:val="24"/>
        </w:rPr>
      </w:pPr>
    </w:p>
    <w:p>
      <w:pPr>
        <w:snapToGrid w:val="0"/>
        <w:spacing w:before="50" w:after="50" w:line="360" w:lineRule="exact"/>
        <w:ind w:right="-817" w:rightChars="-389"/>
        <w:rPr>
          <w:rFonts w:ascii="宋体" w:hAnsi="宋体"/>
          <w:szCs w:val="21"/>
        </w:rPr>
      </w:pPr>
      <w:r>
        <w:rPr>
          <w:rFonts w:hint="eastAsia" w:ascii="宋体" w:hAnsi="宋体"/>
          <w:szCs w:val="21"/>
        </w:rPr>
        <w:t>1.产品如有型号，请在“产品名称”栏一并填写。</w:t>
      </w:r>
    </w:p>
    <w:p>
      <w:pPr>
        <w:snapToGrid w:val="0"/>
        <w:spacing w:before="50" w:after="50" w:line="360" w:lineRule="exact"/>
        <w:ind w:right="-817" w:rightChars="-389"/>
        <w:rPr>
          <w:rFonts w:ascii="宋体" w:hAnsi="宋体"/>
          <w:szCs w:val="21"/>
        </w:rPr>
      </w:pPr>
      <w:r>
        <w:rPr>
          <w:rFonts w:hint="eastAsia" w:ascii="宋体" w:hAnsi="宋体"/>
          <w:szCs w:val="21"/>
        </w:rPr>
        <w:t>2.生产厂名与厂址应与生产厂营业执照载明的相关信息保持一致。</w:t>
      </w:r>
    </w:p>
    <w:p>
      <w:pPr>
        <w:snapToGrid w:val="0"/>
        <w:spacing w:before="50" w:after="50" w:line="360" w:lineRule="exact"/>
        <w:ind w:right="-817" w:rightChars="-389"/>
        <w:rPr>
          <w:rFonts w:ascii="宋体" w:hAnsi="宋体"/>
          <w:szCs w:val="21"/>
        </w:rPr>
      </w:pPr>
      <w:r>
        <w:rPr>
          <w:rFonts w:hint="eastAsia" w:ascii="宋体" w:hAnsi="宋体"/>
          <w:szCs w:val="21"/>
        </w:rPr>
        <w:t>3.该产品的中国境内生产的组件成本占比相关要求实施前，“规定比例”栏可不填，下同。</w:t>
      </w:r>
    </w:p>
    <w:p>
      <w:pPr>
        <w:snapToGrid w:val="0"/>
        <w:spacing w:before="50" w:after="50" w:line="360" w:lineRule="exact"/>
        <w:ind w:right="-817" w:rightChars="-389"/>
        <w:rPr>
          <w:rFonts w:ascii="宋体" w:hAnsi="宋体"/>
          <w:szCs w:val="21"/>
        </w:rPr>
      </w:pPr>
      <w:r>
        <w:rPr>
          <w:rFonts w:hint="eastAsia" w:ascii="宋体" w:hAnsi="宋体"/>
          <w:szCs w:val="21"/>
        </w:rPr>
        <w:t>4.该产品的关键组件要求实施前，“关键组件”栏可不填，下同。</w:t>
      </w:r>
    </w:p>
    <w:p>
      <w:pPr>
        <w:snapToGrid w:val="0"/>
        <w:spacing w:before="50" w:after="50" w:line="360" w:lineRule="exact"/>
        <w:ind w:right="-817" w:rightChars="-389"/>
        <w:rPr>
          <w:rFonts w:ascii="宋体" w:hAnsi="宋体"/>
          <w:b/>
          <w:bCs/>
          <w:sz w:val="36"/>
          <w:szCs w:val="36"/>
        </w:rPr>
      </w:pPr>
      <w:r>
        <w:rPr>
          <w:rFonts w:hint="eastAsia" w:ascii="宋体" w:hAnsi="宋体"/>
          <w:szCs w:val="21"/>
        </w:rPr>
        <w:t>5.该产品的关键工序要求实施前，“关键工序”栏可不填，下同。</w:t>
      </w:r>
    </w:p>
    <w:p>
      <w:pPr>
        <w:jc w:val="left"/>
        <w:rPr>
          <w:rFonts w:ascii="宋体" w:hAnsi="宋体"/>
          <w:b/>
          <w:bCs/>
          <w:sz w:val="36"/>
          <w:szCs w:val="36"/>
        </w:rPr>
      </w:pPr>
      <w:r>
        <w:rPr>
          <w:rFonts w:hint="eastAsia" w:ascii="宋体" w:hAnsi="宋体"/>
          <w:b/>
          <w:bCs/>
          <w:sz w:val="36"/>
          <w:szCs w:val="36"/>
        </w:rPr>
        <w:t>三、报价文件</w:t>
      </w:r>
    </w:p>
    <w:p>
      <w:pPr>
        <w:jc w:val="center"/>
        <w:rPr>
          <w:rFonts w:ascii="仿宋" w:hAnsi="仿宋" w:eastAsia="仿宋"/>
          <w:b/>
          <w:bCs/>
          <w:sz w:val="30"/>
          <w:szCs w:val="30"/>
        </w:rPr>
      </w:pPr>
      <w:r>
        <w:rPr>
          <w:rFonts w:hint="eastAsia" w:ascii="仿宋" w:hAnsi="仿宋" w:eastAsia="仿宋"/>
          <w:b/>
          <w:bCs/>
          <w:sz w:val="32"/>
          <w:szCs w:val="32"/>
        </w:rPr>
        <w:t>报价明细表</w:t>
      </w:r>
      <w:r>
        <w:rPr>
          <w:rFonts w:hint="eastAsia" w:ascii="仿宋" w:hAnsi="仿宋" w:eastAsia="仿宋"/>
          <w:sz w:val="24"/>
        </w:rPr>
        <w:t>(格式</w:t>
      </w:r>
      <w:r>
        <w:rPr>
          <w:rFonts w:ascii="仿宋" w:hAnsi="仿宋" w:eastAsia="仿宋"/>
          <w:sz w:val="24"/>
        </w:rPr>
        <w:t>)</w:t>
      </w:r>
    </w:p>
    <w:p/>
    <w:p>
      <w:pPr>
        <w:spacing w:line="400" w:lineRule="exact"/>
        <w:rPr>
          <w:rFonts w:ascii="宋体" w:hAnsi="宋体"/>
          <w:szCs w:val="21"/>
          <w:u w:val="single"/>
        </w:rPr>
      </w:pPr>
      <w:r>
        <w:rPr>
          <w:rFonts w:hint="eastAsia" w:ascii="宋体" w:hAnsi="宋体"/>
          <w:szCs w:val="21"/>
        </w:rPr>
        <w:t>项目编号：</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p>
    <w:p>
      <w:pPr>
        <w:spacing w:line="400" w:lineRule="exact"/>
        <w:rPr>
          <w:rFonts w:ascii="宋体" w:hAnsi="宋体"/>
          <w:szCs w:val="21"/>
          <w:u w:val="single"/>
        </w:rPr>
      </w:pPr>
      <w:r>
        <w:rPr>
          <w:rFonts w:hint="eastAsia" w:ascii="宋体" w:hAnsi="宋体"/>
          <w:szCs w:val="21"/>
        </w:rPr>
        <w:t>项目名称：</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rPr>
        <w:t xml:space="preserve">                                             单位：元</w:t>
      </w:r>
    </w:p>
    <w:tbl>
      <w:tblPr>
        <w:tblStyle w:val="42"/>
        <w:tblW w:w="95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145"/>
        <w:gridCol w:w="699"/>
        <w:gridCol w:w="710"/>
        <w:gridCol w:w="709"/>
        <w:gridCol w:w="1702"/>
        <w:gridCol w:w="1702"/>
        <w:gridCol w:w="852"/>
        <w:gridCol w:w="1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jc w:val="center"/>
        </w:trPr>
        <w:tc>
          <w:tcPr>
            <w:tcW w:w="704" w:type="dxa"/>
            <w:tcBorders>
              <w:bottom w:val="single" w:color="auto" w:sz="4" w:space="0"/>
            </w:tcBorders>
            <w:vAlign w:val="center"/>
          </w:tcPr>
          <w:p>
            <w:pPr>
              <w:spacing w:line="300" w:lineRule="exact"/>
              <w:jc w:val="center"/>
              <w:rPr>
                <w:rFonts w:ascii="宋体" w:hAnsi="宋体" w:cs="Courier New"/>
                <w:szCs w:val="21"/>
              </w:rPr>
            </w:pPr>
            <w:bookmarkStart w:id="206" w:name="_Hlk97823529"/>
            <w:r>
              <w:rPr>
                <w:rFonts w:hint="eastAsia" w:ascii="宋体" w:hAnsi="宋体" w:cs="Courier New"/>
                <w:szCs w:val="21"/>
              </w:rPr>
              <w:t>序号</w:t>
            </w:r>
          </w:p>
        </w:tc>
        <w:tc>
          <w:tcPr>
            <w:tcW w:w="1145" w:type="dxa"/>
            <w:tcBorders>
              <w:bottom w:val="single" w:color="auto" w:sz="4" w:space="0"/>
            </w:tcBorders>
            <w:vAlign w:val="center"/>
          </w:tcPr>
          <w:p>
            <w:pPr>
              <w:tabs>
                <w:tab w:val="left" w:pos="180"/>
                <w:tab w:val="left" w:pos="1620"/>
              </w:tabs>
              <w:spacing w:line="300" w:lineRule="exact"/>
              <w:jc w:val="center"/>
              <w:rPr>
                <w:rFonts w:ascii="宋体" w:hAnsi="宋体"/>
                <w:szCs w:val="21"/>
              </w:rPr>
            </w:pPr>
            <w:r>
              <w:rPr>
                <w:rFonts w:hint="eastAsia" w:ascii="宋体" w:hAnsi="宋体"/>
                <w:szCs w:val="21"/>
              </w:rPr>
              <w:t>货物名称</w:t>
            </w:r>
          </w:p>
        </w:tc>
        <w:tc>
          <w:tcPr>
            <w:tcW w:w="699" w:type="dxa"/>
            <w:tcBorders>
              <w:bottom w:val="single" w:color="auto" w:sz="4" w:space="0"/>
            </w:tcBorders>
            <w:vAlign w:val="center"/>
          </w:tcPr>
          <w:p>
            <w:pPr>
              <w:tabs>
                <w:tab w:val="left" w:pos="180"/>
                <w:tab w:val="left" w:pos="1620"/>
              </w:tabs>
              <w:spacing w:line="300" w:lineRule="exact"/>
              <w:jc w:val="center"/>
              <w:rPr>
                <w:rFonts w:ascii="宋体" w:hAnsi="宋体"/>
                <w:szCs w:val="21"/>
              </w:rPr>
            </w:pPr>
            <w:r>
              <w:rPr>
                <w:rFonts w:hint="eastAsia" w:ascii="宋体" w:hAnsi="宋体"/>
                <w:szCs w:val="21"/>
              </w:rPr>
              <w:t>品牌</w:t>
            </w:r>
          </w:p>
        </w:tc>
        <w:tc>
          <w:tcPr>
            <w:tcW w:w="710" w:type="dxa"/>
            <w:tcBorders>
              <w:bottom w:val="single" w:color="auto" w:sz="4" w:space="0"/>
            </w:tcBorders>
            <w:vAlign w:val="center"/>
          </w:tcPr>
          <w:p>
            <w:pPr>
              <w:tabs>
                <w:tab w:val="left" w:pos="180"/>
                <w:tab w:val="left" w:pos="1620"/>
              </w:tabs>
              <w:spacing w:line="300" w:lineRule="exact"/>
              <w:jc w:val="center"/>
              <w:rPr>
                <w:rFonts w:ascii="宋体" w:hAnsi="宋体"/>
                <w:szCs w:val="21"/>
              </w:rPr>
            </w:pPr>
            <w:r>
              <w:rPr>
                <w:rFonts w:hint="eastAsia" w:ascii="宋体" w:hAnsi="宋体"/>
                <w:szCs w:val="21"/>
              </w:rPr>
              <w:t>型号</w:t>
            </w:r>
          </w:p>
        </w:tc>
        <w:tc>
          <w:tcPr>
            <w:tcW w:w="709" w:type="dxa"/>
            <w:tcBorders>
              <w:bottom w:val="single" w:color="auto" w:sz="4" w:space="0"/>
            </w:tcBorders>
            <w:vAlign w:val="center"/>
          </w:tcPr>
          <w:p>
            <w:pPr>
              <w:tabs>
                <w:tab w:val="left" w:pos="180"/>
                <w:tab w:val="left" w:pos="1620"/>
              </w:tabs>
              <w:spacing w:line="300" w:lineRule="exact"/>
              <w:jc w:val="center"/>
              <w:rPr>
                <w:rFonts w:ascii="宋体" w:hAnsi="宋体"/>
                <w:szCs w:val="21"/>
              </w:rPr>
            </w:pPr>
            <w:r>
              <w:rPr>
                <w:rFonts w:hint="eastAsia" w:ascii="宋体" w:hAnsi="宋体"/>
                <w:szCs w:val="21"/>
              </w:rPr>
              <w:t>产地</w:t>
            </w:r>
          </w:p>
        </w:tc>
        <w:tc>
          <w:tcPr>
            <w:tcW w:w="1702" w:type="dxa"/>
            <w:tcBorders>
              <w:bottom w:val="single" w:color="auto" w:sz="4" w:space="0"/>
            </w:tcBorders>
            <w:vAlign w:val="center"/>
          </w:tcPr>
          <w:p>
            <w:pPr>
              <w:tabs>
                <w:tab w:val="left" w:pos="180"/>
                <w:tab w:val="left" w:pos="1620"/>
              </w:tabs>
              <w:spacing w:line="300" w:lineRule="exact"/>
              <w:jc w:val="center"/>
              <w:rPr>
                <w:rFonts w:ascii="宋体" w:hAnsi="宋体"/>
                <w:szCs w:val="21"/>
              </w:rPr>
            </w:pPr>
            <w:r>
              <w:rPr>
                <w:rFonts w:hint="eastAsia" w:ascii="宋体" w:hAnsi="宋体"/>
                <w:szCs w:val="21"/>
              </w:rPr>
              <w:t>技术参数及性能（规格）</w:t>
            </w:r>
          </w:p>
        </w:tc>
        <w:tc>
          <w:tcPr>
            <w:tcW w:w="1702" w:type="dxa"/>
            <w:tcBorders>
              <w:bottom w:val="single" w:color="auto" w:sz="4" w:space="0"/>
            </w:tcBorders>
            <w:vAlign w:val="center"/>
          </w:tcPr>
          <w:p>
            <w:pPr>
              <w:tabs>
                <w:tab w:val="left" w:pos="180"/>
                <w:tab w:val="left" w:pos="1620"/>
              </w:tabs>
              <w:spacing w:line="300" w:lineRule="exact"/>
              <w:jc w:val="center"/>
              <w:rPr>
                <w:rFonts w:ascii="宋体" w:hAnsi="宋体"/>
                <w:szCs w:val="21"/>
              </w:rPr>
            </w:pPr>
            <w:r>
              <w:rPr>
                <w:rFonts w:hint="eastAsia" w:ascii="宋体" w:hAnsi="宋体"/>
                <w:szCs w:val="21"/>
              </w:rPr>
              <w:t>数量、单位</w:t>
            </w:r>
            <w:r>
              <w:rPr>
                <w:rFonts w:hint="eastAsia" w:hAnsi="宋体"/>
              </w:rPr>
              <w:t>①</w:t>
            </w:r>
          </w:p>
        </w:tc>
        <w:tc>
          <w:tcPr>
            <w:tcW w:w="852" w:type="dxa"/>
            <w:tcBorders>
              <w:bottom w:val="single" w:color="auto" w:sz="4" w:space="0"/>
            </w:tcBorders>
            <w:vAlign w:val="center"/>
          </w:tcPr>
          <w:p>
            <w:pPr>
              <w:tabs>
                <w:tab w:val="left" w:pos="180"/>
                <w:tab w:val="left" w:pos="1620"/>
              </w:tabs>
              <w:spacing w:line="300" w:lineRule="exact"/>
              <w:jc w:val="center"/>
              <w:rPr>
                <w:rFonts w:ascii="宋体" w:hAnsi="宋体"/>
                <w:szCs w:val="21"/>
              </w:rPr>
            </w:pPr>
            <w:r>
              <w:rPr>
                <w:rFonts w:hint="eastAsia" w:ascii="宋体" w:hAnsi="宋体"/>
                <w:szCs w:val="21"/>
              </w:rPr>
              <w:t>单价</w:t>
            </w:r>
            <w:r>
              <w:rPr>
                <w:rFonts w:hint="eastAsia" w:hAnsi="宋体"/>
              </w:rPr>
              <w:t>②</w:t>
            </w:r>
          </w:p>
        </w:tc>
        <w:tc>
          <w:tcPr>
            <w:tcW w:w="1348" w:type="dxa"/>
            <w:tcBorders>
              <w:bottom w:val="single" w:color="auto" w:sz="4" w:space="0"/>
            </w:tcBorders>
            <w:vAlign w:val="center"/>
          </w:tcPr>
          <w:p>
            <w:pPr>
              <w:spacing w:line="300" w:lineRule="exact"/>
              <w:jc w:val="center"/>
              <w:rPr>
                <w:rFonts w:ascii="宋体" w:hAnsi="宋体" w:cs="Courier New"/>
                <w:szCs w:val="21"/>
              </w:rPr>
            </w:pPr>
            <w:r>
              <w:rPr>
                <w:rFonts w:hint="eastAsia" w:ascii="宋体" w:hAnsi="宋体" w:cs="Courier New"/>
                <w:szCs w:val="21"/>
              </w:rPr>
              <w:t>单项合价</w:t>
            </w:r>
          </w:p>
          <w:p>
            <w:pPr>
              <w:spacing w:line="300" w:lineRule="exact"/>
              <w:jc w:val="center"/>
              <w:rPr>
                <w:rFonts w:ascii="宋体" w:hAnsi="宋体" w:cs="Courier New"/>
                <w:szCs w:val="21"/>
              </w:rPr>
            </w:pPr>
            <w:r>
              <w:rPr>
                <w:rFonts w:hint="eastAsia" w:ascii="宋体" w:hAnsi="宋体" w:cs="Courier New"/>
                <w:szCs w:val="21"/>
              </w:rPr>
              <w:t>③</w:t>
            </w:r>
            <w:r>
              <w:rPr>
                <w:rFonts w:ascii="宋体" w:hAnsi="宋体" w:cs="Courier New"/>
                <w:szCs w:val="21"/>
              </w:rPr>
              <w:t>=</w:t>
            </w:r>
            <w:r>
              <w:rPr>
                <w:rFonts w:hint="eastAsia" w:ascii="宋体" w:hAnsi="宋体" w:cs="Courier New"/>
                <w:szCs w:val="21"/>
              </w:rPr>
              <w:t>①×②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4" w:type="dxa"/>
            <w:vAlign w:val="center"/>
          </w:tcPr>
          <w:p>
            <w:pPr>
              <w:spacing w:line="440" w:lineRule="exact"/>
              <w:ind w:right="-34" w:rightChars="-16"/>
              <w:jc w:val="center"/>
              <w:rPr>
                <w:rFonts w:ascii="宋体" w:hAnsi="宋体"/>
                <w:sz w:val="24"/>
              </w:rPr>
            </w:pPr>
            <w:r>
              <w:rPr>
                <w:rFonts w:hint="eastAsia" w:ascii="宋体" w:hAnsi="宋体"/>
                <w:sz w:val="24"/>
              </w:rPr>
              <w:t>1</w:t>
            </w:r>
          </w:p>
        </w:tc>
        <w:tc>
          <w:tcPr>
            <w:tcW w:w="1145" w:type="dxa"/>
            <w:vAlign w:val="center"/>
          </w:tcPr>
          <w:p>
            <w:pPr>
              <w:spacing w:line="440" w:lineRule="exact"/>
              <w:ind w:firstLine="33" w:firstLineChars="16"/>
              <w:jc w:val="center"/>
              <w:rPr>
                <w:rFonts w:ascii="宋体" w:hAnsi="宋体"/>
              </w:rPr>
            </w:pPr>
          </w:p>
        </w:tc>
        <w:tc>
          <w:tcPr>
            <w:tcW w:w="699" w:type="dxa"/>
            <w:vAlign w:val="center"/>
          </w:tcPr>
          <w:p>
            <w:pPr>
              <w:spacing w:line="440" w:lineRule="exact"/>
              <w:ind w:firstLine="35" w:firstLineChars="17"/>
              <w:jc w:val="center"/>
              <w:rPr>
                <w:rFonts w:ascii="宋体" w:hAnsi="宋体"/>
              </w:rPr>
            </w:pPr>
          </w:p>
        </w:tc>
        <w:tc>
          <w:tcPr>
            <w:tcW w:w="710" w:type="dxa"/>
            <w:vAlign w:val="center"/>
          </w:tcPr>
          <w:p>
            <w:pPr>
              <w:spacing w:line="440" w:lineRule="exact"/>
              <w:jc w:val="center"/>
              <w:rPr>
                <w:rFonts w:ascii="宋体" w:hAnsi="宋体"/>
              </w:rPr>
            </w:pPr>
          </w:p>
        </w:tc>
        <w:tc>
          <w:tcPr>
            <w:tcW w:w="709" w:type="dxa"/>
            <w:vAlign w:val="center"/>
          </w:tcPr>
          <w:p>
            <w:pPr>
              <w:spacing w:line="440" w:lineRule="exact"/>
              <w:ind w:firstLine="23" w:firstLineChars="11"/>
              <w:jc w:val="center"/>
              <w:rPr>
                <w:rFonts w:ascii="宋体" w:hAnsi="宋体"/>
              </w:rPr>
            </w:pPr>
          </w:p>
        </w:tc>
        <w:tc>
          <w:tcPr>
            <w:tcW w:w="1702" w:type="dxa"/>
            <w:vAlign w:val="center"/>
          </w:tcPr>
          <w:p>
            <w:pPr>
              <w:spacing w:line="440" w:lineRule="exact"/>
              <w:ind w:firstLine="23" w:firstLineChars="11"/>
              <w:jc w:val="center"/>
              <w:rPr>
                <w:rFonts w:ascii="宋体" w:hAnsi="宋体"/>
              </w:rPr>
            </w:pPr>
          </w:p>
        </w:tc>
        <w:tc>
          <w:tcPr>
            <w:tcW w:w="1702" w:type="dxa"/>
            <w:vAlign w:val="center"/>
          </w:tcPr>
          <w:p>
            <w:pPr>
              <w:spacing w:line="440" w:lineRule="exact"/>
              <w:jc w:val="center"/>
              <w:rPr>
                <w:rFonts w:ascii="宋体" w:hAnsi="宋体"/>
              </w:rPr>
            </w:pPr>
          </w:p>
        </w:tc>
        <w:tc>
          <w:tcPr>
            <w:tcW w:w="852" w:type="dxa"/>
            <w:vAlign w:val="center"/>
          </w:tcPr>
          <w:p>
            <w:pPr>
              <w:spacing w:line="440" w:lineRule="exact"/>
              <w:jc w:val="center"/>
              <w:rPr>
                <w:rFonts w:ascii="宋体" w:hAnsi="宋体"/>
              </w:rPr>
            </w:pPr>
          </w:p>
        </w:tc>
        <w:tc>
          <w:tcPr>
            <w:tcW w:w="1348" w:type="dxa"/>
            <w:vAlign w:val="center"/>
          </w:tcPr>
          <w:p>
            <w:pPr>
              <w:spacing w:line="440" w:lineRule="exac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4" w:type="dxa"/>
            <w:vAlign w:val="center"/>
          </w:tcPr>
          <w:p>
            <w:pPr>
              <w:spacing w:line="440" w:lineRule="exact"/>
              <w:jc w:val="center"/>
              <w:rPr>
                <w:rFonts w:ascii="宋体" w:hAnsi="宋体"/>
                <w:sz w:val="24"/>
              </w:rPr>
            </w:pPr>
            <w:r>
              <w:rPr>
                <w:rFonts w:hint="eastAsia" w:ascii="宋体" w:hAnsi="宋体"/>
                <w:sz w:val="24"/>
              </w:rPr>
              <w:t>2</w:t>
            </w:r>
          </w:p>
        </w:tc>
        <w:tc>
          <w:tcPr>
            <w:tcW w:w="1145" w:type="dxa"/>
            <w:vAlign w:val="center"/>
          </w:tcPr>
          <w:p>
            <w:pPr>
              <w:spacing w:line="440" w:lineRule="exact"/>
              <w:ind w:firstLine="33" w:firstLineChars="16"/>
              <w:jc w:val="center"/>
              <w:rPr>
                <w:rFonts w:ascii="宋体" w:hAnsi="宋体"/>
              </w:rPr>
            </w:pPr>
          </w:p>
        </w:tc>
        <w:tc>
          <w:tcPr>
            <w:tcW w:w="699" w:type="dxa"/>
            <w:vAlign w:val="center"/>
          </w:tcPr>
          <w:p>
            <w:pPr>
              <w:spacing w:line="440" w:lineRule="exact"/>
              <w:ind w:firstLine="35" w:firstLineChars="17"/>
              <w:jc w:val="center"/>
              <w:rPr>
                <w:rFonts w:ascii="宋体" w:hAnsi="宋体"/>
              </w:rPr>
            </w:pPr>
          </w:p>
        </w:tc>
        <w:tc>
          <w:tcPr>
            <w:tcW w:w="710" w:type="dxa"/>
            <w:vAlign w:val="center"/>
          </w:tcPr>
          <w:p>
            <w:pPr>
              <w:spacing w:line="440" w:lineRule="exact"/>
              <w:jc w:val="center"/>
              <w:rPr>
                <w:rFonts w:ascii="宋体" w:hAnsi="宋体"/>
              </w:rPr>
            </w:pPr>
          </w:p>
        </w:tc>
        <w:tc>
          <w:tcPr>
            <w:tcW w:w="709" w:type="dxa"/>
            <w:vAlign w:val="center"/>
          </w:tcPr>
          <w:p>
            <w:pPr>
              <w:spacing w:line="440" w:lineRule="exact"/>
              <w:ind w:firstLine="23" w:firstLineChars="11"/>
              <w:jc w:val="center"/>
              <w:rPr>
                <w:rFonts w:ascii="宋体" w:hAnsi="宋体"/>
              </w:rPr>
            </w:pPr>
          </w:p>
        </w:tc>
        <w:tc>
          <w:tcPr>
            <w:tcW w:w="1702" w:type="dxa"/>
            <w:vAlign w:val="center"/>
          </w:tcPr>
          <w:p>
            <w:pPr>
              <w:spacing w:line="440" w:lineRule="exact"/>
              <w:ind w:firstLine="23" w:firstLineChars="11"/>
              <w:jc w:val="center"/>
              <w:rPr>
                <w:rFonts w:ascii="宋体" w:hAnsi="宋体"/>
              </w:rPr>
            </w:pPr>
          </w:p>
        </w:tc>
        <w:tc>
          <w:tcPr>
            <w:tcW w:w="1702" w:type="dxa"/>
            <w:vAlign w:val="center"/>
          </w:tcPr>
          <w:p>
            <w:pPr>
              <w:spacing w:line="440" w:lineRule="exact"/>
              <w:jc w:val="center"/>
              <w:rPr>
                <w:rFonts w:ascii="宋体" w:hAnsi="宋体"/>
              </w:rPr>
            </w:pPr>
          </w:p>
        </w:tc>
        <w:tc>
          <w:tcPr>
            <w:tcW w:w="852" w:type="dxa"/>
            <w:vAlign w:val="center"/>
          </w:tcPr>
          <w:p>
            <w:pPr>
              <w:spacing w:line="440" w:lineRule="exact"/>
              <w:jc w:val="center"/>
              <w:rPr>
                <w:rFonts w:ascii="宋体" w:hAnsi="宋体"/>
              </w:rPr>
            </w:pPr>
          </w:p>
        </w:tc>
        <w:tc>
          <w:tcPr>
            <w:tcW w:w="1348" w:type="dxa"/>
            <w:vAlign w:val="center"/>
          </w:tcPr>
          <w:p>
            <w:pPr>
              <w:spacing w:line="440" w:lineRule="exac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4" w:type="dxa"/>
            <w:vAlign w:val="center"/>
          </w:tcPr>
          <w:p>
            <w:pPr>
              <w:spacing w:line="440" w:lineRule="exact"/>
              <w:jc w:val="center"/>
              <w:rPr>
                <w:rFonts w:ascii="宋体" w:hAnsi="宋体"/>
                <w:sz w:val="24"/>
              </w:rPr>
            </w:pPr>
            <w:r>
              <w:rPr>
                <w:rFonts w:hint="eastAsia" w:ascii="宋体" w:hAnsi="宋体"/>
                <w:sz w:val="24"/>
              </w:rPr>
              <w:t>3</w:t>
            </w:r>
          </w:p>
        </w:tc>
        <w:tc>
          <w:tcPr>
            <w:tcW w:w="1145" w:type="dxa"/>
            <w:vAlign w:val="center"/>
          </w:tcPr>
          <w:p>
            <w:pPr>
              <w:spacing w:line="440" w:lineRule="exact"/>
              <w:ind w:firstLine="33" w:firstLineChars="16"/>
              <w:jc w:val="center"/>
              <w:rPr>
                <w:rFonts w:ascii="宋体" w:hAnsi="宋体"/>
              </w:rPr>
            </w:pPr>
          </w:p>
        </w:tc>
        <w:tc>
          <w:tcPr>
            <w:tcW w:w="699" w:type="dxa"/>
            <w:vAlign w:val="center"/>
          </w:tcPr>
          <w:p>
            <w:pPr>
              <w:spacing w:line="440" w:lineRule="exact"/>
              <w:ind w:firstLine="35" w:firstLineChars="17"/>
              <w:jc w:val="center"/>
              <w:rPr>
                <w:rFonts w:ascii="宋体" w:hAnsi="宋体"/>
              </w:rPr>
            </w:pPr>
          </w:p>
        </w:tc>
        <w:tc>
          <w:tcPr>
            <w:tcW w:w="710" w:type="dxa"/>
            <w:vAlign w:val="center"/>
          </w:tcPr>
          <w:p>
            <w:pPr>
              <w:spacing w:line="440" w:lineRule="exact"/>
              <w:jc w:val="center"/>
              <w:rPr>
                <w:rFonts w:ascii="宋体" w:hAnsi="宋体"/>
              </w:rPr>
            </w:pPr>
          </w:p>
        </w:tc>
        <w:tc>
          <w:tcPr>
            <w:tcW w:w="709" w:type="dxa"/>
            <w:vAlign w:val="center"/>
          </w:tcPr>
          <w:p>
            <w:pPr>
              <w:spacing w:line="440" w:lineRule="exact"/>
              <w:ind w:firstLine="23" w:firstLineChars="11"/>
              <w:jc w:val="center"/>
              <w:rPr>
                <w:rFonts w:ascii="宋体" w:hAnsi="宋体"/>
              </w:rPr>
            </w:pPr>
          </w:p>
        </w:tc>
        <w:tc>
          <w:tcPr>
            <w:tcW w:w="1702" w:type="dxa"/>
            <w:vAlign w:val="center"/>
          </w:tcPr>
          <w:p>
            <w:pPr>
              <w:spacing w:line="440" w:lineRule="exact"/>
              <w:ind w:firstLine="23" w:firstLineChars="11"/>
              <w:jc w:val="center"/>
              <w:rPr>
                <w:rFonts w:ascii="宋体" w:hAnsi="宋体"/>
              </w:rPr>
            </w:pPr>
          </w:p>
        </w:tc>
        <w:tc>
          <w:tcPr>
            <w:tcW w:w="1702" w:type="dxa"/>
            <w:vAlign w:val="center"/>
          </w:tcPr>
          <w:p>
            <w:pPr>
              <w:spacing w:line="440" w:lineRule="exact"/>
              <w:jc w:val="center"/>
              <w:rPr>
                <w:rFonts w:ascii="宋体" w:hAnsi="宋体"/>
              </w:rPr>
            </w:pPr>
          </w:p>
        </w:tc>
        <w:tc>
          <w:tcPr>
            <w:tcW w:w="852" w:type="dxa"/>
            <w:vAlign w:val="center"/>
          </w:tcPr>
          <w:p>
            <w:pPr>
              <w:spacing w:line="440" w:lineRule="exact"/>
              <w:jc w:val="center"/>
              <w:rPr>
                <w:rFonts w:ascii="宋体" w:hAnsi="宋体"/>
              </w:rPr>
            </w:pPr>
          </w:p>
        </w:tc>
        <w:tc>
          <w:tcPr>
            <w:tcW w:w="1348" w:type="dxa"/>
            <w:vAlign w:val="center"/>
          </w:tcPr>
          <w:p>
            <w:pPr>
              <w:spacing w:line="440" w:lineRule="exac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704" w:type="dxa"/>
            <w:vAlign w:val="center"/>
          </w:tcPr>
          <w:p>
            <w:pPr>
              <w:spacing w:line="440" w:lineRule="exact"/>
              <w:jc w:val="center"/>
              <w:rPr>
                <w:rFonts w:ascii="宋体" w:hAnsi="宋体"/>
                <w:sz w:val="24"/>
              </w:rPr>
            </w:pPr>
            <w:r>
              <w:rPr>
                <w:rFonts w:ascii="宋体" w:hAnsi="宋体"/>
                <w:sz w:val="24"/>
              </w:rPr>
              <w:t>…</w:t>
            </w:r>
          </w:p>
        </w:tc>
        <w:tc>
          <w:tcPr>
            <w:tcW w:w="1145" w:type="dxa"/>
            <w:vAlign w:val="center"/>
          </w:tcPr>
          <w:p>
            <w:pPr>
              <w:spacing w:line="440" w:lineRule="exact"/>
              <w:ind w:firstLine="33" w:firstLineChars="16"/>
              <w:jc w:val="center"/>
              <w:rPr>
                <w:rFonts w:ascii="宋体" w:hAnsi="宋体"/>
              </w:rPr>
            </w:pPr>
          </w:p>
        </w:tc>
        <w:tc>
          <w:tcPr>
            <w:tcW w:w="699" w:type="dxa"/>
            <w:vAlign w:val="center"/>
          </w:tcPr>
          <w:p>
            <w:pPr>
              <w:spacing w:line="440" w:lineRule="exact"/>
              <w:ind w:firstLine="35" w:firstLineChars="17"/>
              <w:jc w:val="center"/>
              <w:rPr>
                <w:rFonts w:ascii="宋体" w:hAnsi="宋体"/>
              </w:rPr>
            </w:pPr>
          </w:p>
        </w:tc>
        <w:tc>
          <w:tcPr>
            <w:tcW w:w="710" w:type="dxa"/>
            <w:vAlign w:val="center"/>
          </w:tcPr>
          <w:p>
            <w:pPr>
              <w:spacing w:line="440" w:lineRule="exact"/>
              <w:jc w:val="center"/>
              <w:rPr>
                <w:rFonts w:ascii="宋体" w:hAnsi="宋体"/>
              </w:rPr>
            </w:pPr>
          </w:p>
        </w:tc>
        <w:tc>
          <w:tcPr>
            <w:tcW w:w="709" w:type="dxa"/>
            <w:vAlign w:val="center"/>
          </w:tcPr>
          <w:p>
            <w:pPr>
              <w:spacing w:line="440" w:lineRule="exact"/>
              <w:ind w:firstLine="23" w:firstLineChars="11"/>
              <w:jc w:val="center"/>
              <w:rPr>
                <w:rFonts w:ascii="宋体" w:hAnsi="宋体"/>
              </w:rPr>
            </w:pPr>
          </w:p>
        </w:tc>
        <w:tc>
          <w:tcPr>
            <w:tcW w:w="1702" w:type="dxa"/>
            <w:vAlign w:val="center"/>
          </w:tcPr>
          <w:p>
            <w:pPr>
              <w:spacing w:line="440" w:lineRule="exact"/>
              <w:ind w:firstLine="23" w:firstLineChars="11"/>
              <w:jc w:val="center"/>
              <w:rPr>
                <w:rFonts w:ascii="宋体" w:hAnsi="宋体"/>
              </w:rPr>
            </w:pPr>
          </w:p>
        </w:tc>
        <w:tc>
          <w:tcPr>
            <w:tcW w:w="1702" w:type="dxa"/>
            <w:vAlign w:val="center"/>
          </w:tcPr>
          <w:p>
            <w:pPr>
              <w:spacing w:line="440" w:lineRule="exact"/>
              <w:jc w:val="center"/>
              <w:rPr>
                <w:rFonts w:ascii="宋体" w:hAnsi="宋体"/>
              </w:rPr>
            </w:pPr>
          </w:p>
        </w:tc>
        <w:tc>
          <w:tcPr>
            <w:tcW w:w="852" w:type="dxa"/>
            <w:vAlign w:val="center"/>
          </w:tcPr>
          <w:p>
            <w:pPr>
              <w:spacing w:line="440" w:lineRule="exact"/>
              <w:jc w:val="center"/>
              <w:rPr>
                <w:rFonts w:ascii="宋体" w:hAnsi="宋体"/>
              </w:rPr>
            </w:pPr>
          </w:p>
        </w:tc>
        <w:tc>
          <w:tcPr>
            <w:tcW w:w="1348" w:type="dxa"/>
            <w:vAlign w:val="center"/>
          </w:tcPr>
          <w:p>
            <w:pPr>
              <w:spacing w:line="440" w:lineRule="exact"/>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571" w:type="dxa"/>
            <w:gridSpan w:val="9"/>
            <w:vAlign w:val="center"/>
          </w:tcPr>
          <w:p>
            <w:pPr>
              <w:spacing w:line="440" w:lineRule="exact"/>
              <w:ind w:firstLine="27" w:firstLineChars="14"/>
              <w:rPr>
                <w:rFonts w:ascii="宋体" w:hAnsi="宋体" w:cs="Courier New"/>
                <w:spacing w:val="-6"/>
                <w:szCs w:val="21"/>
              </w:rPr>
            </w:pPr>
            <w:r>
              <w:rPr>
                <w:rFonts w:hint="eastAsia" w:ascii="宋体" w:hAnsi="宋体" w:cs="Courier New"/>
                <w:spacing w:val="-6"/>
                <w:szCs w:val="21"/>
              </w:rPr>
              <w:t>总报价（人民币大写）：</w:t>
            </w:r>
            <w:r>
              <w:rPr>
                <w:rFonts w:hint="eastAsia" w:ascii="宋体" w:hAnsi="宋体" w:cs="Courier New"/>
                <w:spacing w:val="-6"/>
                <w:szCs w:val="21"/>
                <w:u w:val="single"/>
              </w:rPr>
              <w:t xml:space="preserve">                                       </w:t>
            </w:r>
            <w:r>
              <w:rPr>
                <w:rFonts w:hint="eastAsia" w:ascii="宋体" w:hAnsi="宋体" w:cs="Courier New"/>
                <w:spacing w:val="-6"/>
                <w:szCs w:val="21"/>
              </w:rPr>
              <w:t>（￥</w:t>
            </w:r>
            <w:r>
              <w:rPr>
                <w:rFonts w:hint="eastAsia" w:ascii="宋体" w:hAnsi="宋体" w:cs="Courier New"/>
                <w:spacing w:val="-6"/>
                <w:szCs w:val="21"/>
                <w:u w:val="single"/>
              </w:rPr>
              <w:t xml:space="preserve">                       元</w:t>
            </w:r>
            <w:r>
              <w:rPr>
                <w:rFonts w:hint="eastAsia" w:ascii="宋体" w:hAnsi="宋体" w:cs="Courier New"/>
                <w:spacing w:val="-6"/>
                <w:szCs w:val="21"/>
              </w:rPr>
              <w:t>）</w:t>
            </w:r>
          </w:p>
        </w:tc>
      </w:tr>
      <w:bookmarkEnd w:id="206"/>
    </w:tbl>
    <w:p>
      <w:pPr>
        <w:spacing w:line="440" w:lineRule="exact"/>
        <w:rPr>
          <w:rFonts w:ascii="宋体" w:hAnsi="宋体"/>
          <w:szCs w:val="21"/>
        </w:rPr>
      </w:pPr>
      <w:r>
        <w:rPr>
          <w:rFonts w:hint="eastAsia" w:ascii="宋体" w:hAnsi="宋体"/>
          <w:szCs w:val="21"/>
        </w:rPr>
        <w:t>注：所有价格均用人民币表示，单位为元，精确到个数位。</w:t>
      </w:r>
    </w:p>
    <w:p>
      <w:pPr>
        <w:spacing w:line="440" w:lineRule="exact"/>
        <w:rPr>
          <w:rFonts w:ascii="宋体" w:hAnsi="宋体"/>
          <w:szCs w:val="21"/>
        </w:rPr>
      </w:pPr>
      <w:r>
        <w:rPr>
          <w:rFonts w:hint="eastAsia" w:ascii="宋体" w:hAnsi="宋体"/>
          <w:szCs w:val="21"/>
        </w:rPr>
        <w:t xml:space="preserve">   </w:t>
      </w:r>
    </w:p>
    <w:p/>
    <w:p/>
    <w:p>
      <w:pPr>
        <w:pStyle w:val="23"/>
        <w:spacing w:line="440" w:lineRule="exact"/>
        <w:ind w:firstLine="3675" w:firstLineChars="1750"/>
        <w:rPr>
          <w:rFonts w:hAnsi="宋体"/>
          <w:u w:val="single"/>
        </w:rPr>
      </w:pPr>
    </w:p>
    <w:p>
      <w:pPr>
        <w:pStyle w:val="23"/>
        <w:spacing w:line="440" w:lineRule="exact"/>
        <w:ind w:firstLine="3675" w:firstLineChars="1750"/>
        <w:rPr>
          <w:rFonts w:hAnsi="宋体"/>
          <w:u w:val="single"/>
        </w:rPr>
      </w:pPr>
      <w:r>
        <w:rPr>
          <w:rFonts w:hint="eastAsia" w:hAnsi="宋体"/>
        </w:rPr>
        <w:t>供应商（盖章）：</w:t>
      </w:r>
      <w:r>
        <w:rPr>
          <w:rFonts w:hint="eastAsia" w:hAnsi="宋体"/>
          <w:u w:val="single"/>
        </w:rPr>
        <w:t xml:space="preserve">    </w:t>
      </w:r>
      <w:r>
        <w:rPr>
          <w:rFonts w:hAnsi="宋体"/>
          <w:u w:val="single"/>
        </w:rPr>
        <w:t xml:space="preserve">    </w:t>
      </w:r>
      <w:r>
        <w:rPr>
          <w:rFonts w:hint="eastAsia" w:hAnsi="宋体"/>
          <w:u w:val="single"/>
        </w:rPr>
        <w:t xml:space="preserve">       </w:t>
      </w:r>
      <w:r>
        <w:rPr>
          <w:rFonts w:hAnsi="宋体"/>
          <w:u w:val="single"/>
        </w:rPr>
        <w:t xml:space="preserve">    </w:t>
      </w:r>
      <w:r>
        <w:rPr>
          <w:rFonts w:hint="eastAsia" w:hAnsi="宋体"/>
          <w:u w:val="single"/>
        </w:rPr>
        <w:t xml:space="preserve">                   </w:t>
      </w:r>
    </w:p>
    <w:p>
      <w:pPr>
        <w:spacing w:line="440" w:lineRule="exact"/>
        <w:ind w:firstLine="3675" w:firstLineChars="1750"/>
        <w:rPr>
          <w:rFonts w:hAnsi="宋体"/>
        </w:rPr>
      </w:pPr>
      <w:r>
        <w:rPr>
          <w:rFonts w:hint="eastAsia" w:hAnsi="宋体"/>
        </w:rPr>
        <w:t>日期：</w:t>
      </w:r>
      <w:r>
        <w:rPr>
          <w:rFonts w:hint="eastAsia" w:hAnsi="宋体"/>
          <w:u w:val="single"/>
        </w:rPr>
        <w:t xml:space="preserve">    </w:t>
      </w:r>
      <w:r>
        <w:rPr>
          <w:rFonts w:hAnsi="宋体"/>
          <w:u w:val="single"/>
        </w:rPr>
        <w:t xml:space="preserve">  </w:t>
      </w:r>
      <w:r>
        <w:rPr>
          <w:rFonts w:hint="eastAsia" w:hAnsi="宋体"/>
          <w:u w:val="single"/>
        </w:rPr>
        <w:t xml:space="preserve">     </w:t>
      </w:r>
      <w:r>
        <w:rPr>
          <w:rFonts w:hint="eastAsia" w:hAnsi="宋体"/>
        </w:rPr>
        <w:t>年</w:t>
      </w:r>
      <w:r>
        <w:rPr>
          <w:rFonts w:hint="eastAsia" w:hAnsi="宋体"/>
          <w:u w:val="single"/>
        </w:rPr>
        <w:t xml:space="preserve">  </w:t>
      </w:r>
      <w:r>
        <w:rPr>
          <w:rFonts w:hAnsi="宋体"/>
          <w:u w:val="single"/>
        </w:rPr>
        <w:t xml:space="preserve"> </w:t>
      </w:r>
      <w:r>
        <w:rPr>
          <w:rFonts w:hint="eastAsia" w:hAnsi="宋体"/>
          <w:u w:val="single"/>
        </w:rPr>
        <w:t xml:space="preserve">   </w:t>
      </w:r>
      <w:r>
        <w:rPr>
          <w:rFonts w:hint="eastAsia" w:hAnsi="宋体"/>
        </w:rPr>
        <w:t>月</w:t>
      </w:r>
      <w:r>
        <w:rPr>
          <w:rFonts w:hint="eastAsia" w:hAnsi="宋体"/>
          <w:u w:val="single"/>
        </w:rPr>
        <w:t xml:space="preserve">   </w:t>
      </w:r>
      <w:r>
        <w:rPr>
          <w:rFonts w:hAnsi="宋体"/>
          <w:u w:val="single"/>
        </w:rPr>
        <w:t xml:space="preserve"> </w:t>
      </w:r>
      <w:r>
        <w:rPr>
          <w:rFonts w:hint="eastAsia" w:hAnsi="宋体"/>
          <w:u w:val="single"/>
        </w:rPr>
        <w:t xml:space="preserve">  </w:t>
      </w:r>
      <w:r>
        <w:rPr>
          <w:rFonts w:hint="eastAsia" w:hAnsi="宋体"/>
        </w:rPr>
        <w:t>日</w:t>
      </w:r>
    </w:p>
    <w:p>
      <w:pPr>
        <w:spacing w:line="440" w:lineRule="exact"/>
        <w:ind w:firstLine="3675" w:firstLineChars="1750"/>
        <w:rPr>
          <w:rFonts w:hAnsi="宋体"/>
        </w:rPr>
      </w:pPr>
    </w:p>
    <w:p>
      <w:pPr>
        <w:spacing w:line="440" w:lineRule="exact"/>
        <w:ind w:firstLine="3675" w:firstLineChars="1750"/>
        <w:rPr>
          <w:rFonts w:hAnsi="宋体"/>
        </w:rPr>
      </w:pPr>
    </w:p>
    <w:p>
      <w:pPr>
        <w:spacing w:line="440" w:lineRule="exact"/>
        <w:ind w:firstLine="3675" w:firstLineChars="1750"/>
        <w:rPr>
          <w:rFonts w:hAnsi="宋体"/>
        </w:rPr>
      </w:pPr>
    </w:p>
    <w:p>
      <w:pPr>
        <w:spacing w:line="440" w:lineRule="exact"/>
        <w:ind w:firstLine="3675" w:firstLineChars="1750"/>
        <w:rPr>
          <w:rFonts w:hAnsi="宋体"/>
        </w:rPr>
      </w:pPr>
    </w:p>
    <w:p>
      <w:pPr>
        <w:spacing w:line="440" w:lineRule="exact"/>
        <w:ind w:firstLine="3675" w:firstLineChars="1750"/>
        <w:rPr>
          <w:rFonts w:hAnsi="宋体"/>
        </w:rPr>
      </w:pPr>
    </w:p>
    <w:p>
      <w:pPr>
        <w:spacing w:line="440" w:lineRule="exact"/>
        <w:ind w:firstLine="3675" w:firstLineChars="1750"/>
        <w:rPr>
          <w:rFonts w:hAnsi="宋体"/>
        </w:rPr>
      </w:pPr>
    </w:p>
    <w:p>
      <w:pPr>
        <w:spacing w:line="440" w:lineRule="exact"/>
        <w:ind w:firstLine="3675" w:firstLineChars="1750"/>
        <w:rPr>
          <w:rFonts w:hAnsi="宋体"/>
        </w:rPr>
      </w:pPr>
    </w:p>
    <w:p>
      <w:pPr>
        <w:spacing w:line="440" w:lineRule="exact"/>
        <w:ind w:firstLine="3675" w:firstLineChars="1750"/>
        <w:rPr>
          <w:rFonts w:hAnsi="宋体"/>
        </w:rPr>
      </w:pPr>
    </w:p>
    <w:p>
      <w:pPr>
        <w:spacing w:line="440" w:lineRule="exact"/>
        <w:ind w:firstLine="3675" w:firstLineChars="1750"/>
        <w:rPr>
          <w:rFonts w:hAnsi="宋体"/>
        </w:rPr>
      </w:pPr>
    </w:p>
    <w:p>
      <w:pPr>
        <w:spacing w:line="440" w:lineRule="exact"/>
        <w:ind w:firstLine="3675" w:firstLineChars="1750"/>
        <w:rPr>
          <w:rFonts w:hAnsi="宋体"/>
        </w:rPr>
      </w:pPr>
    </w:p>
    <w:sectPr>
      <w:headerReference r:id="rId12" w:type="default"/>
      <w:footerReference r:id="rId13" w:type="default"/>
      <w:pgSz w:w="11906" w:h="16838"/>
      <w:pgMar w:top="936" w:right="991" w:bottom="1135" w:left="99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3B1A397-6158-448D-BC25-731977D3CC69}"/>
  </w:font>
  <w:font w:name="Arial">
    <w:panose1 w:val="020B0604020202020204"/>
    <w:charset w:val="01"/>
    <w:family w:val="swiss"/>
    <w:pitch w:val="default"/>
    <w:sig w:usb0="E0002EFF" w:usb1="C000785B" w:usb2="00000009" w:usb3="00000000" w:csb0="400001FF" w:csb1="FFFF0000"/>
    <w:embedRegular r:id="rId2" w:fontKey="{DC8D8270-FFE2-4838-AB79-B1B3F0EC30A3}"/>
  </w:font>
  <w:font w:name="黑体">
    <w:panose1 w:val="02010609060101010101"/>
    <w:charset w:val="86"/>
    <w:family w:val="auto"/>
    <w:pitch w:val="default"/>
    <w:sig w:usb0="800002BF" w:usb1="38CF7CFA" w:usb2="00000016" w:usb3="00000000" w:csb0="00040001" w:csb1="00000000"/>
    <w:embedRegular r:id="rId3" w:fontKey="{E928E5B9-6D49-4DE6-A026-4A781F5C45D4}"/>
  </w:font>
  <w:font w:name="Courier New">
    <w:panose1 w:val="02070309020205020404"/>
    <w:charset w:val="01"/>
    <w:family w:val="modern"/>
    <w:pitch w:val="default"/>
    <w:sig w:usb0="E0002EFF" w:usb1="C0007843" w:usb2="00000009" w:usb3="00000000" w:csb0="400001FF" w:csb1="FFFF0000"/>
    <w:embedRegular r:id="rId4" w:fontKey="{CECF3815-6322-4DA4-AF2D-A5157BEAB8A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5" w:fontKey="{5A7FAEA2-A8F0-466F-9F73-52E62EA22E2F}"/>
  </w:font>
  <w:font w:name="仿宋_GB2312">
    <w:altName w:val="仿宋"/>
    <w:panose1 w:val="00000000000000000000"/>
    <w:charset w:val="86"/>
    <w:family w:val="modern"/>
    <w:pitch w:val="default"/>
    <w:sig w:usb0="00000000" w:usb1="00000000" w:usb2="00000000" w:usb3="00000000" w:csb0="00040000" w:csb1="00000000"/>
    <w:embedRegular r:id="rId6" w:fontKey="{C1775505-E8C9-4D0F-B185-BE1E3C6FC5D6}"/>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7" w:fontKey="{BC2F40A9-B705-4C48-9622-67A6E4D99102}"/>
  </w:font>
  <w:font w:name="Tahoma">
    <w:panose1 w:val="020B0604030504040204"/>
    <w:charset w:val="00"/>
    <w:family w:val="swiss"/>
    <w:pitch w:val="default"/>
    <w:sig w:usb0="E1002EFF" w:usb1="C000605B" w:usb2="00000029" w:usb3="00000000" w:csb0="200101FF" w:csb1="20280000"/>
  </w:font>
  <w:font w:name="Arial Narrow">
    <w:altName w:val="Arial"/>
    <w:panose1 w:val="020B0606020202030204"/>
    <w:charset w:val="00"/>
    <w:family w:val="swiss"/>
    <w:pitch w:val="default"/>
    <w:sig w:usb0="00000000" w:usb1="00000000" w:usb2="00000000" w:usb3="00000000" w:csb0="2000009F" w:csb1="DFD70000"/>
  </w:font>
  <w:font w:name="仿宋">
    <w:panose1 w:val="02010609060101010101"/>
    <w:charset w:val="86"/>
    <w:family w:val="modern"/>
    <w:pitch w:val="default"/>
    <w:sig w:usb0="800002BF" w:usb1="38CF7CFA" w:usb2="00000016" w:usb3="00000000" w:csb0="00040001" w:csb1="00000000"/>
    <w:embedRegular r:id="rId8" w:fontKey="{A3F6A0DD-17A4-4064-BECD-D93EB4828567}"/>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embedRegular r:id="rId9" w:fontKey="{464EA2B5-2DAE-4654-8DD2-58B9D875B08F}"/>
  </w:font>
  <w:font w:name="方正小标宋_GBK">
    <w:panose1 w:val="02000000000000000000"/>
    <w:charset w:val="86"/>
    <w:family w:val="script"/>
    <w:pitch w:val="default"/>
    <w:sig w:usb0="A00002BF" w:usb1="38CF7CFA" w:usb2="00082016" w:usb3="00000000" w:csb0="00040001" w:csb1="00000000"/>
    <w:embedRegular r:id="rId10" w:fontKey="{AD44612A-39BC-4296-8A28-4E305C1C4026}"/>
  </w:font>
  <w:font w:name="等线">
    <w:panose1 w:val="02010600030101010101"/>
    <w:charset w:val="86"/>
    <w:family w:val="auto"/>
    <w:pitch w:val="default"/>
    <w:sig w:usb0="A00002BF" w:usb1="38CF7CFA" w:usb2="00000016" w:usb3="00000000" w:csb0="0004000F" w:csb1="00000000"/>
    <w:embedRegular r:id="rId11" w:fontKey="{6BE85122-CE83-4751-9156-83BF7BB95FBF}"/>
  </w:font>
  <w:font w:name="方正小标宋简体">
    <w:panose1 w:val="02000000000000000000"/>
    <w:charset w:val="86"/>
    <w:family w:val="script"/>
    <w:pitch w:val="default"/>
    <w:sig w:usb0="A00002BF" w:usb1="184F6CFA" w:usb2="00000012" w:usb3="00000000" w:csb0="00040001" w:csb1="00000000"/>
    <w:embedRegular r:id="rId12" w:fontKey="{D4510F9F-C34A-4578-9B64-2BB74F8F3AAE}"/>
  </w:font>
  <w:font w:name="Helvetica">
    <w:altName w:val="Arial"/>
    <w:panose1 w:val="020B0504020202020204"/>
    <w:charset w:val="00"/>
    <w:family w:val="swiss"/>
    <w:pitch w:val="default"/>
    <w:sig w:usb0="00000000" w:usb1="00000000" w:usb2="00000000" w:usb3="00000000" w:csb0="00000093" w:csb1="00000000"/>
    <w:embedRegular r:id="rId13" w:fontKey="{5C3BEDF6-5715-4569-835E-AD868E46B105}"/>
  </w:font>
  <w:font w:name="华文中宋">
    <w:panose1 w:val="02010600040101010101"/>
    <w:charset w:val="86"/>
    <w:family w:val="auto"/>
    <w:pitch w:val="default"/>
    <w:sig w:usb0="00000287" w:usb1="080F0000" w:usb2="00000000" w:usb3="00000000" w:csb0="0004009F" w:csb1="DFD70000"/>
    <w:embedRegular r:id="rId14" w:fontKey="{D00CCCA6-45A1-4135-BB47-640019482FBE}"/>
  </w:font>
  <w:font w:name="汉仪书宋二S">
    <w:altName w:val="宋体"/>
    <w:panose1 w:val="00000000000000000000"/>
    <w:charset w:val="00"/>
    <w:family w:val="auto"/>
    <w:pitch w:val="default"/>
    <w:sig w:usb0="00000000" w:usb1="00000000" w:usb2="00000000" w:usb3="00000000" w:csb0="00000000" w:csb1="00000000"/>
    <w:embedRegular r:id="rId15" w:fontKey="{FB693476-1A28-44D2-8C09-BC045C45AC69}"/>
  </w:font>
  <w:font w:name="Adobe 仿宋 Std R">
    <w:altName w:val="仿宋"/>
    <w:panose1 w:val="00000000000000000000"/>
    <w:charset w:val="86"/>
    <w:family w:val="roman"/>
    <w:pitch w:val="default"/>
    <w:sig w:usb0="00000000" w:usb1="00000000" w:usb2="00000016" w:usb3="00000000" w:csb0="00060007" w:csb1="00000000"/>
    <w:embedRegular r:id="rId16" w:fontKey="{39E8F52F-8A30-4A1D-A39B-89C78E396BE8}"/>
  </w:font>
  <w:font w:name="Arial Unicode MS">
    <w:altName w:val="宋体"/>
    <w:panose1 w:val="020B0604020202020204"/>
    <w:charset w:val="86"/>
    <w:family w:val="swiss"/>
    <w:pitch w:val="default"/>
    <w:sig w:usb0="00000000" w:usb1="00000000" w:usb2="0000003F" w:usb3="00000000" w:csb0="603F01FF" w:csb1="FFFF0000"/>
    <w:embedRegular r:id="rId17" w:fontKey="{B9BCDA3E-CAD2-4B04-AA61-D45D8DB17D1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2</w:t>
                    </w:r>
                    <w:r>
                      <w:fldChar w:fldCharType="end"/>
                    </w:r>
                  </w:p>
                </w:txbxContent>
              </v:textbox>
            </v:shape>
          </w:pict>
        </mc:Fallback>
      </mc:AlternateContent>
    </w:r>
  </w:p>
  <w:p>
    <w:pPr>
      <w:pStyle w:val="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rPr>
        <w:lang w:val="en-US"/>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wps:txbx>
                    <wps:bodyPr rot="0"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zql5uc8AAAAFAQAADwAAAAAAAAABACAAAAAiAAAAZHJzL2Rvd25y&#10;ZXYueG1sUEsBAhQAFAAAAAgAh07iQKidR78HAgAAEgQAAA4AAAAAAAAAAQAgAAAAHgEAAGRycy9l&#10;Mm9Eb2MueG1sUEsFBgAAAAAGAAYAWQEAAJcFAAAAAA==&#10;">
              <v:fill on="f" focussize="0,0"/>
              <v:stroke on="f"/>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2564419"/>
    </w:sdtPr>
    <w:sdtContent>
      <w:p>
        <w:pPr>
          <w:pStyle w:val="27"/>
          <w:jc w:val="center"/>
        </w:pPr>
        <w:r>
          <w:fldChar w:fldCharType="begin"/>
        </w:r>
        <w:r>
          <w:instrText xml:space="preserve">PAGE   \* MERGEFORMAT</w:instrText>
        </w:r>
        <w:r>
          <w:fldChar w:fldCharType="separate"/>
        </w:r>
        <w:r>
          <w:t>11</w:t>
        </w:r>
        <w:r>
          <w:fldChar w:fldCharType="end"/>
        </w:r>
      </w:p>
    </w:sdtContent>
  </w:sdt>
  <w:p>
    <w:pPr>
      <w:pStyle w:val="2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0378241"/>
    </w:sdtPr>
    <w:sdtContent>
      <w:p>
        <w:pPr>
          <w:pStyle w:val="27"/>
          <w:jc w:val="center"/>
        </w:pPr>
        <w:r>
          <w:fldChar w:fldCharType="begin"/>
        </w:r>
        <w:r>
          <w:instrText xml:space="preserve">PAGE   \* MERGEFORMAT</w:instrText>
        </w:r>
        <w:r>
          <w:fldChar w:fldCharType="separate"/>
        </w:r>
        <w:r>
          <w:t>11</w:t>
        </w:r>
        <w:r>
          <w:fldChar w:fldCharType="end"/>
        </w:r>
      </w:p>
    </w:sdtContent>
  </w:sdt>
  <w:p>
    <w:pPr>
      <w:pStyle w:val="2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p>
    <w:pPr>
      <w:pStyle w:val="27"/>
    </w:pPr>
  </w:p>
  <w:p>
    <w:pPr>
      <w:pStyle w:val="27"/>
    </w:pPr>
  </w:p>
  <w:p>
    <w:pPr>
      <w:pStyle w:val="27"/>
    </w:pPr>
  </w:p>
  <w:p>
    <w:pPr>
      <w:pStyle w:val="27"/>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7"/>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sdt>
                          <w:sdtPr>
                            <w:id w:val="-1"/>
                          </w:sdtPr>
                          <w:sdtContent>
                            <w:p>
                              <w:pPr>
                                <w:pStyle w:val="27"/>
                                <w:jc w:val="center"/>
                              </w:pPr>
                              <w:r>
                                <w:fldChar w:fldCharType="begin"/>
                              </w:r>
                              <w:r>
                                <w:instrText xml:space="preserve">PAGE   \* MERGEFORMAT</w:instrText>
                              </w:r>
                              <w:r>
                                <w:fldChar w:fldCharType="separate"/>
                              </w:r>
                              <w:r>
                                <w:t>64</w:t>
                              </w:r>
                              <w: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sdt>
                    <w:sdtPr>
                      <w:id w:val="-1"/>
                    </w:sdtPr>
                    <w:sdtContent>
                      <w:p>
                        <w:pPr>
                          <w:pStyle w:val="27"/>
                          <w:jc w:val="center"/>
                        </w:pPr>
                        <w:r>
                          <w:fldChar w:fldCharType="begin"/>
                        </w:r>
                        <w:r>
                          <w:instrText xml:space="preserve">PAGE   \* MERGEFORMAT</w:instrText>
                        </w:r>
                        <w:r>
                          <w:fldChar w:fldCharType="separate"/>
                        </w:r>
                        <w:r>
                          <w:t>64</w:t>
                        </w:r>
                        <w:r>
                          <w:fldChar w:fldCharType="end"/>
                        </w:r>
                      </w:p>
                    </w:sdtContent>
                  </w:sdt>
                  <w:p/>
                </w:txbxContent>
              </v:textbox>
            </v:shape>
          </w:pict>
        </mc:Fallback>
      </mc:AlternateContent>
    </w:r>
  </w:p>
  <w:p>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ind w:firstLine="2160" w:firstLineChars="1200"/>
      <w:jc w:val="both"/>
    </w:pPr>
    <w:r>
      <w:rPr>
        <w:rFonts w:hint="eastAsia"/>
      </w:rPr>
      <w:t>灵山县人民法院融科技法庭设备采购项目 (QZZC2026-J1-990172-QZSZ)</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both"/>
    </w:pPr>
    <w:r>
      <w:rPr>
        <w:rFonts w:hint="eastAsia"/>
      </w:rPr>
      <w:t xml:space="preserve">                 </w:t>
    </w:r>
    <w:r>
      <w:t xml:space="preserve">       </w:t>
    </w:r>
    <w:r>
      <w:rPr>
        <w:rFonts w:hint="eastAsia"/>
      </w:rPr>
      <w:t xml:space="preserve"> </w:t>
    </w:r>
    <w:r>
      <w:t xml:space="preserve">  </w:t>
    </w:r>
    <w:r>
      <w:rPr>
        <w:rFonts w:hint="eastAsia"/>
      </w:rPr>
      <w:t xml:space="preserve">     灵山县人民法院融合式科技法庭建设 (QZZC2026-J1-990172-QZSZ)</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both"/>
    </w:pPr>
    <w:r>
      <w:rPr>
        <w:rFonts w:hint="eastAsia"/>
      </w:rPr>
      <w:t xml:space="preserve">钦州市政府采购中心                  </w:t>
    </w:r>
    <w:r>
      <w:t xml:space="preserve">     </w:t>
    </w:r>
    <w:r>
      <w:rPr>
        <w:rFonts w:hint="eastAsia"/>
      </w:rPr>
      <w:t>灵山县人民法院融合式科技法庭建设 (QZZC2026-J1-990304-QZSZ)</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ind w:firstLine="1260" w:firstLineChars="700"/>
      <w:jc w:val="both"/>
    </w:pPr>
    <w:r>
      <w:rPr>
        <w:rFonts w:hint="eastAsia"/>
      </w:rPr>
      <w:t>灵山县人民法院融科技法庭设备采购项目 (QZZC2026-J1-990172-QZSZ)</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ind w:firstLine="1080" w:firstLineChars="600"/>
      <w:jc w:val="both"/>
    </w:pPr>
    <w:r>
      <w:rPr>
        <w:rFonts w:hint="eastAsia"/>
      </w:rPr>
      <w:t>灵山县人民法院融科技法庭设备采购项目 (QZZC2026-J1-990172-QZSZ)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B4371E"/>
    <w:multiLevelType w:val="singleLevel"/>
    <w:tmpl w:val="80B4371E"/>
    <w:lvl w:ilvl="0" w:tentative="0">
      <w:start w:val="3"/>
      <w:numFmt w:val="decimal"/>
      <w:suff w:val="space"/>
      <w:lvlText w:val="%1)"/>
      <w:lvlJc w:val="left"/>
    </w:lvl>
  </w:abstractNum>
  <w:abstractNum w:abstractNumId="1">
    <w:nsid w:val="8E440277"/>
    <w:multiLevelType w:val="singleLevel"/>
    <w:tmpl w:val="8E440277"/>
    <w:lvl w:ilvl="0" w:tentative="0">
      <w:start w:val="1"/>
      <w:numFmt w:val="decimal"/>
      <w:suff w:val="space"/>
      <w:lvlText w:val="(%1)"/>
      <w:lvlJc w:val="left"/>
    </w:lvl>
  </w:abstractNum>
  <w:abstractNum w:abstractNumId="2">
    <w:nsid w:val="AEC9D115"/>
    <w:multiLevelType w:val="singleLevel"/>
    <w:tmpl w:val="AEC9D115"/>
    <w:lvl w:ilvl="0" w:tentative="0">
      <w:start w:val="1"/>
      <w:numFmt w:val="chineseCounting"/>
      <w:suff w:val="nothing"/>
      <w:lvlText w:val="%1、"/>
      <w:lvlJc w:val="left"/>
      <w:rPr>
        <w:rFonts w:hint="eastAsia"/>
      </w:rPr>
    </w:lvl>
  </w:abstractNum>
  <w:abstractNum w:abstractNumId="3">
    <w:nsid w:val="BF6BC116"/>
    <w:multiLevelType w:val="singleLevel"/>
    <w:tmpl w:val="BF6BC116"/>
    <w:lvl w:ilvl="0" w:tentative="0">
      <w:start w:val="16"/>
      <w:numFmt w:val="decimal"/>
      <w:suff w:val="space"/>
      <w:lvlText w:val="%1."/>
      <w:lvlJc w:val="left"/>
    </w:lvl>
  </w:abstractNum>
  <w:abstractNum w:abstractNumId="4">
    <w:nsid w:val="CF092B84"/>
    <w:multiLevelType w:val="singleLevel"/>
    <w:tmpl w:val="CF092B84"/>
    <w:lvl w:ilvl="0" w:tentative="0">
      <w:start w:val="1"/>
      <w:numFmt w:val="lowerLetter"/>
      <w:lvlText w:val="%1)"/>
      <w:lvlJc w:val="left"/>
      <w:pPr>
        <w:tabs>
          <w:tab w:val="left" w:pos="216"/>
        </w:tabs>
      </w:pPr>
      <w:rPr>
        <w:rFonts w:ascii="黑体" w:hAnsi="黑体" w:eastAsia="黑体"/>
        <w:color w:val="000000"/>
        <w:spacing w:val="-3"/>
        <w:w w:val="100"/>
        <w:sz w:val="18"/>
        <w:vertAlign w:val="baseline"/>
        <w:lang w:val="zh-CN"/>
      </w:rPr>
    </w:lvl>
  </w:abstractNum>
  <w:abstractNum w:abstractNumId="5">
    <w:nsid w:val="CFE7C3F8"/>
    <w:multiLevelType w:val="singleLevel"/>
    <w:tmpl w:val="CFE7C3F8"/>
    <w:lvl w:ilvl="0" w:tentative="0">
      <w:start w:val="1"/>
      <w:numFmt w:val="decimal"/>
      <w:suff w:val="nothing"/>
      <w:lvlText w:val="（%1）"/>
      <w:lvlJc w:val="left"/>
    </w:lvl>
  </w:abstractNum>
  <w:abstractNum w:abstractNumId="6">
    <w:nsid w:val="DDECD3BC"/>
    <w:multiLevelType w:val="singleLevel"/>
    <w:tmpl w:val="DDECD3BC"/>
    <w:lvl w:ilvl="0" w:tentative="0">
      <w:start w:val="6"/>
      <w:numFmt w:val="decimal"/>
      <w:suff w:val="space"/>
      <w:lvlText w:val="%1."/>
      <w:lvlJc w:val="left"/>
    </w:lvl>
  </w:abstractNum>
  <w:abstractNum w:abstractNumId="7">
    <w:nsid w:val="DE759F4B"/>
    <w:multiLevelType w:val="singleLevel"/>
    <w:tmpl w:val="DE759F4B"/>
    <w:lvl w:ilvl="0" w:tentative="0">
      <w:start w:val="2"/>
      <w:numFmt w:val="decimal"/>
      <w:suff w:val="space"/>
      <w:lvlText w:val="%1."/>
      <w:lvlJc w:val="left"/>
    </w:lvl>
  </w:abstractNum>
  <w:abstractNum w:abstractNumId="8">
    <w:nsid w:val="DEABE1DB"/>
    <w:multiLevelType w:val="singleLevel"/>
    <w:tmpl w:val="DEABE1DB"/>
    <w:lvl w:ilvl="0" w:tentative="0">
      <w:start w:val="23"/>
      <w:numFmt w:val="decimal"/>
      <w:suff w:val="space"/>
      <w:lvlText w:val="%1."/>
      <w:lvlJc w:val="left"/>
    </w:lvl>
  </w:abstractNum>
  <w:abstractNum w:abstractNumId="9">
    <w:nsid w:val="E1E13548"/>
    <w:multiLevelType w:val="singleLevel"/>
    <w:tmpl w:val="E1E13548"/>
    <w:lvl w:ilvl="0" w:tentative="0">
      <w:start w:val="4"/>
      <w:numFmt w:val="decimal"/>
      <w:suff w:val="space"/>
      <w:lvlText w:val="%1)"/>
      <w:lvlJc w:val="left"/>
    </w:lvl>
  </w:abstractNum>
  <w:abstractNum w:abstractNumId="10">
    <w:nsid w:val="FFEFC674"/>
    <w:multiLevelType w:val="singleLevel"/>
    <w:tmpl w:val="FFEFC674"/>
    <w:lvl w:ilvl="0" w:tentative="0">
      <w:start w:val="1"/>
      <w:numFmt w:val="decimal"/>
      <w:suff w:val="nothing"/>
      <w:lvlText w:val="（%1）"/>
      <w:lvlJc w:val="left"/>
    </w:lvl>
  </w:abstractNum>
  <w:abstractNum w:abstractNumId="11">
    <w:nsid w:val="00000007"/>
    <w:multiLevelType w:val="multilevel"/>
    <w:tmpl w:val="00000007"/>
    <w:lvl w:ilvl="0" w:tentative="0">
      <w:start w:val="1"/>
      <w:numFmt w:val="chineseCountingThousand"/>
      <w:pStyle w:val="21"/>
      <w:suff w:val="nothing"/>
      <w:lvlText w:val="第%1章"/>
      <w:lvlJc w:val="left"/>
      <w:pPr>
        <w:ind w:left="0" w:firstLine="0"/>
      </w:pPr>
      <w:rPr>
        <w:rFonts w:hint="eastAsia" w:ascii="仿宋_GB2312" w:eastAsia="仿宋_GB2312"/>
        <w:sz w:val="44"/>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12">
    <w:nsid w:val="0053208E"/>
    <w:multiLevelType w:val="singleLevel"/>
    <w:tmpl w:val="0053208E"/>
    <w:lvl w:ilvl="0" w:tentative="0">
      <w:start w:val="1"/>
      <w:numFmt w:val="lowerLetter"/>
      <w:lvlText w:val="%1)"/>
      <w:lvlJc w:val="left"/>
      <w:pPr>
        <w:tabs>
          <w:tab w:val="left" w:pos="216"/>
        </w:tabs>
      </w:pPr>
      <w:rPr>
        <w:rFonts w:ascii="黑体" w:hAnsi="黑体" w:eastAsia="黑体"/>
        <w:color w:val="000000"/>
        <w:spacing w:val="-3"/>
        <w:w w:val="100"/>
        <w:sz w:val="18"/>
        <w:vertAlign w:val="baseline"/>
        <w:lang w:val="zh-CN"/>
      </w:rPr>
    </w:lvl>
  </w:abstractNum>
  <w:abstractNum w:abstractNumId="13">
    <w:nsid w:val="03D62ECE"/>
    <w:multiLevelType w:val="singleLevel"/>
    <w:tmpl w:val="03D62ECE"/>
    <w:lvl w:ilvl="0" w:tentative="0">
      <w:start w:val="1"/>
      <w:numFmt w:val="lowerLetter"/>
      <w:lvlText w:val="%1)"/>
      <w:lvlJc w:val="left"/>
      <w:pPr>
        <w:tabs>
          <w:tab w:val="left" w:pos="216"/>
        </w:tabs>
      </w:pPr>
      <w:rPr>
        <w:rFonts w:ascii="黑体" w:hAnsi="黑体" w:eastAsia="黑体"/>
        <w:color w:val="000000"/>
        <w:spacing w:val="-3"/>
        <w:w w:val="100"/>
        <w:sz w:val="18"/>
        <w:vertAlign w:val="baseline"/>
        <w:lang w:val="zh-CN"/>
      </w:rPr>
    </w:lvl>
  </w:abstractNum>
  <w:abstractNum w:abstractNumId="14">
    <w:nsid w:val="19810DE1"/>
    <w:multiLevelType w:val="multilevel"/>
    <w:tmpl w:val="19810DE1"/>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5">
    <w:nsid w:val="4C7D6B78"/>
    <w:multiLevelType w:val="singleLevel"/>
    <w:tmpl w:val="4C7D6B78"/>
    <w:lvl w:ilvl="0" w:tentative="0">
      <w:start w:val="9"/>
      <w:numFmt w:val="decimal"/>
      <w:suff w:val="space"/>
      <w:lvlText w:val="(%1)"/>
      <w:lvlJc w:val="left"/>
    </w:lvl>
  </w:abstractNum>
  <w:abstractNum w:abstractNumId="16">
    <w:nsid w:val="593DF5BD"/>
    <w:multiLevelType w:val="singleLevel"/>
    <w:tmpl w:val="593DF5BD"/>
    <w:lvl w:ilvl="0" w:tentative="0">
      <w:start w:val="2"/>
      <w:numFmt w:val="decimal"/>
      <w:suff w:val="space"/>
      <w:lvlText w:val="%1)"/>
      <w:lvlJc w:val="left"/>
    </w:lvl>
  </w:abstractNum>
  <w:abstractNum w:abstractNumId="17">
    <w:nsid w:val="5953A2DB"/>
    <w:multiLevelType w:val="singleLevel"/>
    <w:tmpl w:val="5953A2DB"/>
    <w:lvl w:ilvl="0" w:tentative="0">
      <w:start w:val="1"/>
      <w:numFmt w:val="decimal"/>
      <w:suff w:val="space"/>
      <w:lvlText w:val="(%1)"/>
      <w:lvlJc w:val="left"/>
    </w:lvl>
  </w:abstractNum>
  <w:abstractNum w:abstractNumId="18">
    <w:nsid w:val="59ADCABA"/>
    <w:multiLevelType w:val="singleLevel"/>
    <w:tmpl w:val="59ADCABA"/>
    <w:lvl w:ilvl="0" w:tentative="0">
      <w:start w:val="1"/>
      <w:numFmt w:val="lowerLetter"/>
      <w:lvlText w:val="%1)"/>
      <w:lvlJc w:val="left"/>
      <w:pPr>
        <w:tabs>
          <w:tab w:val="left" w:pos="216"/>
        </w:tabs>
      </w:pPr>
      <w:rPr>
        <w:rFonts w:ascii="黑体" w:hAnsi="黑体" w:eastAsia="黑体"/>
        <w:color w:val="000000"/>
        <w:spacing w:val="-3"/>
        <w:w w:val="100"/>
        <w:sz w:val="18"/>
        <w:vertAlign w:val="baseline"/>
        <w:lang w:val="zh-CN"/>
      </w:rPr>
    </w:lvl>
  </w:abstractNum>
  <w:abstractNum w:abstractNumId="19">
    <w:nsid w:val="6F9B36DC"/>
    <w:multiLevelType w:val="singleLevel"/>
    <w:tmpl w:val="6F9B36DC"/>
    <w:lvl w:ilvl="0" w:tentative="0">
      <w:start w:val="1"/>
      <w:numFmt w:val="chineseCounting"/>
      <w:suff w:val="nothing"/>
      <w:lvlText w:val="%1、"/>
      <w:lvlJc w:val="left"/>
      <w:rPr>
        <w:rFonts w:hint="eastAsia"/>
      </w:rPr>
    </w:lvl>
  </w:abstractNum>
  <w:abstractNum w:abstractNumId="20">
    <w:nsid w:val="7A0F6431"/>
    <w:multiLevelType w:val="singleLevel"/>
    <w:tmpl w:val="7A0F6431"/>
    <w:lvl w:ilvl="0" w:tentative="0">
      <w:start w:val="1"/>
      <w:numFmt w:val="decimal"/>
      <w:suff w:val="space"/>
      <w:lvlText w:val="%1."/>
      <w:lvlJc w:val="left"/>
    </w:lvl>
  </w:abstractNum>
  <w:num w:numId="1">
    <w:abstractNumId w:val="11"/>
  </w:num>
  <w:num w:numId="2">
    <w:abstractNumId w:val="14"/>
  </w:num>
  <w:num w:numId="3">
    <w:abstractNumId w:val="2"/>
  </w:num>
  <w:num w:numId="4">
    <w:abstractNumId w:val="1"/>
  </w:num>
  <w:num w:numId="5">
    <w:abstractNumId w:val="19"/>
  </w:num>
  <w:num w:numId="6">
    <w:abstractNumId w:val="9"/>
  </w:num>
  <w:num w:numId="7">
    <w:abstractNumId w:val="0"/>
  </w:num>
  <w:num w:numId="8">
    <w:abstractNumId w:val="16"/>
  </w:num>
  <w:num w:numId="9">
    <w:abstractNumId w:val="17"/>
  </w:num>
  <w:num w:numId="10">
    <w:abstractNumId w:val="15"/>
  </w:num>
  <w:num w:numId="11">
    <w:abstractNumId w:val="12"/>
  </w:num>
  <w:num w:numId="12">
    <w:abstractNumId w:val="4"/>
  </w:num>
  <w:num w:numId="13">
    <w:abstractNumId w:val="18"/>
  </w:num>
  <w:num w:numId="14">
    <w:abstractNumId w:val="13"/>
  </w:num>
  <w:num w:numId="15">
    <w:abstractNumId w:val="20"/>
  </w:num>
  <w:num w:numId="16">
    <w:abstractNumId w:val="5"/>
  </w:num>
  <w:num w:numId="17">
    <w:abstractNumId w:val="10"/>
  </w:num>
  <w:num w:numId="18">
    <w:abstractNumId w:val="7"/>
  </w:num>
  <w:num w:numId="19">
    <w:abstractNumId w:val="6"/>
  </w:num>
  <w:num w:numId="20">
    <w:abstractNumId w:val="3"/>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0NGFlOTE5YzM3NmI1Mjk3MTU1YWRiMjQ4ZDZiNGUifQ=="/>
    <w:docVar w:name="KSO_WPS_MARK_KEY" w:val="4327d736-5e14-4c10-a129-6da11502fcfe"/>
  </w:docVars>
  <w:rsids>
    <w:rsidRoot w:val="00172A27"/>
    <w:rsid w:val="000001F4"/>
    <w:rsid w:val="0000046D"/>
    <w:rsid w:val="000009A4"/>
    <w:rsid w:val="0000182C"/>
    <w:rsid w:val="00001C30"/>
    <w:rsid w:val="00001F66"/>
    <w:rsid w:val="000027DB"/>
    <w:rsid w:val="0000296D"/>
    <w:rsid w:val="00002E66"/>
    <w:rsid w:val="0000330D"/>
    <w:rsid w:val="00003781"/>
    <w:rsid w:val="00003F3C"/>
    <w:rsid w:val="0000486E"/>
    <w:rsid w:val="00004CB0"/>
    <w:rsid w:val="00004CDE"/>
    <w:rsid w:val="00005328"/>
    <w:rsid w:val="000059D3"/>
    <w:rsid w:val="000066F9"/>
    <w:rsid w:val="00007E2F"/>
    <w:rsid w:val="00007E51"/>
    <w:rsid w:val="000104B5"/>
    <w:rsid w:val="00010774"/>
    <w:rsid w:val="00010E05"/>
    <w:rsid w:val="00012061"/>
    <w:rsid w:val="000123EC"/>
    <w:rsid w:val="00013AC8"/>
    <w:rsid w:val="00013C7F"/>
    <w:rsid w:val="00014132"/>
    <w:rsid w:val="00014488"/>
    <w:rsid w:val="00016829"/>
    <w:rsid w:val="00017A2B"/>
    <w:rsid w:val="00020517"/>
    <w:rsid w:val="000207E1"/>
    <w:rsid w:val="00020DBA"/>
    <w:rsid w:val="00021054"/>
    <w:rsid w:val="000216CC"/>
    <w:rsid w:val="00022909"/>
    <w:rsid w:val="00022CE2"/>
    <w:rsid w:val="000248E5"/>
    <w:rsid w:val="0002594F"/>
    <w:rsid w:val="00025985"/>
    <w:rsid w:val="00025AC0"/>
    <w:rsid w:val="000272D2"/>
    <w:rsid w:val="0002754E"/>
    <w:rsid w:val="00027BD3"/>
    <w:rsid w:val="00032229"/>
    <w:rsid w:val="00032A59"/>
    <w:rsid w:val="00032B1F"/>
    <w:rsid w:val="00032F50"/>
    <w:rsid w:val="00033214"/>
    <w:rsid w:val="00033587"/>
    <w:rsid w:val="000344F4"/>
    <w:rsid w:val="0003479C"/>
    <w:rsid w:val="00034B7D"/>
    <w:rsid w:val="00035002"/>
    <w:rsid w:val="0003509E"/>
    <w:rsid w:val="000369F6"/>
    <w:rsid w:val="00036EC4"/>
    <w:rsid w:val="00037318"/>
    <w:rsid w:val="00037EEA"/>
    <w:rsid w:val="000400F8"/>
    <w:rsid w:val="0004027B"/>
    <w:rsid w:val="00040DCA"/>
    <w:rsid w:val="000417D5"/>
    <w:rsid w:val="000419B7"/>
    <w:rsid w:val="00041EAA"/>
    <w:rsid w:val="00041FD1"/>
    <w:rsid w:val="00042B33"/>
    <w:rsid w:val="00042DEF"/>
    <w:rsid w:val="00044162"/>
    <w:rsid w:val="00044176"/>
    <w:rsid w:val="00044278"/>
    <w:rsid w:val="000444AF"/>
    <w:rsid w:val="000448E0"/>
    <w:rsid w:val="00045285"/>
    <w:rsid w:val="0004535A"/>
    <w:rsid w:val="00045D3B"/>
    <w:rsid w:val="00050908"/>
    <w:rsid w:val="00050B4D"/>
    <w:rsid w:val="000521BA"/>
    <w:rsid w:val="00053067"/>
    <w:rsid w:val="000530C2"/>
    <w:rsid w:val="00053FFD"/>
    <w:rsid w:val="00054058"/>
    <w:rsid w:val="000548EF"/>
    <w:rsid w:val="00054D61"/>
    <w:rsid w:val="00054F2A"/>
    <w:rsid w:val="0005526A"/>
    <w:rsid w:val="00055319"/>
    <w:rsid w:val="00055AA6"/>
    <w:rsid w:val="0005758A"/>
    <w:rsid w:val="000576C1"/>
    <w:rsid w:val="00060064"/>
    <w:rsid w:val="0006170C"/>
    <w:rsid w:val="00061972"/>
    <w:rsid w:val="00061AC4"/>
    <w:rsid w:val="00063151"/>
    <w:rsid w:val="00063CE9"/>
    <w:rsid w:val="00064127"/>
    <w:rsid w:val="0006432D"/>
    <w:rsid w:val="00064B46"/>
    <w:rsid w:val="00064E81"/>
    <w:rsid w:val="000656B5"/>
    <w:rsid w:val="00065CA3"/>
    <w:rsid w:val="0006633A"/>
    <w:rsid w:val="0006699C"/>
    <w:rsid w:val="000670F3"/>
    <w:rsid w:val="000675EC"/>
    <w:rsid w:val="00067C97"/>
    <w:rsid w:val="000709DB"/>
    <w:rsid w:val="000714E8"/>
    <w:rsid w:val="00071DBC"/>
    <w:rsid w:val="000725F2"/>
    <w:rsid w:val="00072665"/>
    <w:rsid w:val="0007297B"/>
    <w:rsid w:val="00072ABB"/>
    <w:rsid w:val="0007345C"/>
    <w:rsid w:val="00074159"/>
    <w:rsid w:val="000749B7"/>
    <w:rsid w:val="000753D2"/>
    <w:rsid w:val="00075494"/>
    <w:rsid w:val="0007550C"/>
    <w:rsid w:val="00075C45"/>
    <w:rsid w:val="00076CDB"/>
    <w:rsid w:val="0007737B"/>
    <w:rsid w:val="00077E54"/>
    <w:rsid w:val="00080873"/>
    <w:rsid w:val="000813F4"/>
    <w:rsid w:val="000817C6"/>
    <w:rsid w:val="00081921"/>
    <w:rsid w:val="00081A1B"/>
    <w:rsid w:val="00082859"/>
    <w:rsid w:val="00082980"/>
    <w:rsid w:val="00083D28"/>
    <w:rsid w:val="00083D58"/>
    <w:rsid w:val="00083EC9"/>
    <w:rsid w:val="00084EA9"/>
    <w:rsid w:val="00084EC7"/>
    <w:rsid w:val="00085936"/>
    <w:rsid w:val="00085C49"/>
    <w:rsid w:val="00085EEB"/>
    <w:rsid w:val="000867B0"/>
    <w:rsid w:val="00086A01"/>
    <w:rsid w:val="00086B70"/>
    <w:rsid w:val="00087668"/>
    <w:rsid w:val="000904A2"/>
    <w:rsid w:val="00090AF0"/>
    <w:rsid w:val="000910C5"/>
    <w:rsid w:val="000923C1"/>
    <w:rsid w:val="00092839"/>
    <w:rsid w:val="00093C1A"/>
    <w:rsid w:val="00093E79"/>
    <w:rsid w:val="00094441"/>
    <w:rsid w:val="00094BC6"/>
    <w:rsid w:val="00094C47"/>
    <w:rsid w:val="000953A5"/>
    <w:rsid w:val="000963F4"/>
    <w:rsid w:val="00096670"/>
    <w:rsid w:val="00096B4A"/>
    <w:rsid w:val="00096DE8"/>
    <w:rsid w:val="000A0911"/>
    <w:rsid w:val="000A139A"/>
    <w:rsid w:val="000A2431"/>
    <w:rsid w:val="000A2690"/>
    <w:rsid w:val="000A2A30"/>
    <w:rsid w:val="000A358F"/>
    <w:rsid w:val="000A38A0"/>
    <w:rsid w:val="000A3C64"/>
    <w:rsid w:val="000A4362"/>
    <w:rsid w:val="000A61B8"/>
    <w:rsid w:val="000A62BD"/>
    <w:rsid w:val="000A6603"/>
    <w:rsid w:val="000A679A"/>
    <w:rsid w:val="000A6972"/>
    <w:rsid w:val="000A6A7F"/>
    <w:rsid w:val="000A6F98"/>
    <w:rsid w:val="000A74E0"/>
    <w:rsid w:val="000A74F6"/>
    <w:rsid w:val="000A7B98"/>
    <w:rsid w:val="000B1427"/>
    <w:rsid w:val="000B1905"/>
    <w:rsid w:val="000B1CCA"/>
    <w:rsid w:val="000B200B"/>
    <w:rsid w:val="000B2684"/>
    <w:rsid w:val="000B2AB7"/>
    <w:rsid w:val="000B2F6F"/>
    <w:rsid w:val="000B3976"/>
    <w:rsid w:val="000B3C2D"/>
    <w:rsid w:val="000B46A8"/>
    <w:rsid w:val="000B470D"/>
    <w:rsid w:val="000B4E66"/>
    <w:rsid w:val="000B5395"/>
    <w:rsid w:val="000B578F"/>
    <w:rsid w:val="000B62CB"/>
    <w:rsid w:val="000B6350"/>
    <w:rsid w:val="000B678F"/>
    <w:rsid w:val="000B6FEF"/>
    <w:rsid w:val="000B7F9A"/>
    <w:rsid w:val="000C0328"/>
    <w:rsid w:val="000C03D4"/>
    <w:rsid w:val="000C0864"/>
    <w:rsid w:val="000C0B96"/>
    <w:rsid w:val="000C0D86"/>
    <w:rsid w:val="000C1621"/>
    <w:rsid w:val="000C1CD7"/>
    <w:rsid w:val="000C2778"/>
    <w:rsid w:val="000C32AE"/>
    <w:rsid w:val="000C3380"/>
    <w:rsid w:val="000C4807"/>
    <w:rsid w:val="000C4C6A"/>
    <w:rsid w:val="000C52AC"/>
    <w:rsid w:val="000C5751"/>
    <w:rsid w:val="000C57F9"/>
    <w:rsid w:val="000C598C"/>
    <w:rsid w:val="000C618E"/>
    <w:rsid w:val="000C6342"/>
    <w:rsid w:val="000C6CE1"/>
    <w:rsid w:val="000C720B"/>
    <w:rsid w:val="000C7B9D"/>
    <w:rsid w:val="000D02E9"/>
    <w:rsid w:val="000D1274"/>
    <w:rsid w:val="000D1597"/>
    <w:rsid w:val="000D16A7"/>
    <w:rsid w:val="000D1C6A"/>
    <w:rsid w:val="000D1F8D"/>
    <w:rsid w:val="000D22BD"/>
    <w:rsid w:val="000D26E7"/>
    <w:rsid w:val="000D402F"/>
    <w:rsid w:val="000D42CA"/>
    <w:rsid w:val="000D53F2"/>
    <w:rsid w:val="000D55C4"/>
    <w:rsid w:val="000D5748"/>
    <w:rsid w:val="000D5C5C"/>
    <w:rsid w:val="000D5C8A"/>
    <w:rsid w:val="000D6A24"/>
    <w:rsid w:val="000D6C9D"/>
    <w:rsid w:val="000D78E6"/>
    <w:rsid w:val="000E0487"/>
    <w:rsid w:val="000E285B"/>
    <w:rsid w:val="000E545D"/>
    <w:rsid w:val="000E660E"/>
    <w:rsid w:val="000E6EBD"/>
    <w:rsid w:val="000F0150"/>
    <w:rsid w:val="000F03FE"/>
    <w:rsid w:val="000F152C"/>
    <w:rsid w:val="000F17C9"/>
    <w:rsid w:val="000F3668"/>
    <w:rsid w:val="000F383E"/>
    <w:rsid w:val="000F38CF"/>
    <w:rsid w:val="000F3F16"/>
    <w:rsid w:val="000F449F"/>
    <w:rsid w:val="000F48C9"/>
    <w:rsid w:val="000F6024"/>
    <w:rsid w:val="00100A2B"/>
    <w:rsid w:val="00100B14"/>
    <w:rsid w:val="0010174C"/>
    <w:rsid w:val="0010201F"/>
    <w:rsid w:val="0010254F"/>
    <w:rsid w:val="00102B73"/>
    <w:rsid w:val="00102C51"/>
    <w:rsid w:val="00103216"/>
    <w:rsid w:val="0010330D"/>
    <w:rsid w:val="001039BF"/>
    <w:rsid w:val="00103CB4"/>
    <w:rsid w:val="00103D6B"/>
    <w:rsid w:val="00107F42"/>
    <w:rsid w:val="00110401"/>
    <w:rsid w:val="00110BA6"/>
    <w:rsid w:val="00110E22"/>
    <w:rsid w:val="001110F1"/>
    <w:rsid w:val="0011195C"/>
    <w:rsid w:val="00112E30"/>
    <w:rsid w:val="001138CB"/>
    <w:rsid w:val="00114453"/>
    <w:rsid w:val="00114D32"/>
    <w:rsid w:val="00115CAC"/>
    <w:rsid w:val="00116718"/>
    <w:rsid w:val="00116FC8"/>
    <w:rsid w:val="00117835"/>
    <w:rsid w:val="00120042"/>
    <w:rsid w:val="0012024C"/>
    <w:rsid w:val="00120493"/>
    <w:rsid w:val="00120DFA"/>
    <w:rsid w:val="001218FE"/>
    <w:rsid w:val="00121CC1"/>
    <w:rsid w:val="001221BE"/>
    <w:rsid w:val="00122219"/>
    <w:rsid w:val="00122899"/>
    <w:rsid w:val="00123679"/>
    <w:rsid w:val="001236BF"/>
    <w:rsid w:val="001236EB"/>
    <w:rsid w:val="00123ACC"/>
    <w:rsid w:val="0012450B"/>
    <w:rsid w:val="00124792"/>
    <w:rsid w:val="00124CF0"/>
    <w:rsid w:val="00125726"/>
    <w:rsid w:val="001258B7"/>
    <w:rsid w:val="001267FF"/>
    <w:rsid w:val="00127F9D"/>
    <w:rsid w:val="0013084E"/>
    <w:rsid w:val="00130DB2"/>
    <w:rsid w:val="001315D8"/>
    <w:rsid w:val="00132B8C"/>
    <w:rsid w:val="0013360D"/>
    <w:rsid w:val="00133E41"/>
    <w:rsid w:val="00133E7C"/>
    <w:rsid w:val="00134D7F"/>
    <w:rsid w:val="00134F65"/>
    <w:rsid w:val="00134FA2"/>
    <w:rsid w:val="0013526C"/>
    <w:rsid w:val="001356B6"/>
    <w:rsid w:val="001365F4"/>
    <w:rsid w:val="0013661A"/>
    <w:rsid w:val="00136E07"/>
    <w:rsid w:val="001372D1"/>
    <w:rsid w:val="001374A2"/>
    <w:rsid w:val="00137B8F"/>
    <w:rsid w:val="00137C0C"/>
    <w:rsid w:val="00140295"/>
    <w:rsid w:val="00141121"/>
    <w:rsid w:val="001429D7"/>
    <w:rsid w:val="00143437"/>
    <w:rsid w:val="00143891"/>
    <w:rsid w:val="00143DE4"/>
    <w:rsid w:val="0014403E"/>
    <w:rsid w:val="001447EF"/>
    <w:rsid w:val="00144800"/>
    <w:rsid w:val="00145073"/>
    <w:rsid w:val="0014515E"/>
    <w:rsid w:val="0014559E"/>
    <w:rsid w:val="00145749"/>
    <w:rsid w:val="00145EF0"/>
    <w:rsid w:val="001462D6"/>
    <w:rsid w:val="001464A7"/>
    <w:rsid w:val="00146F35"/>
    <w:rsid w:val="00147344"/>
    <w:rsid w:val="001476CB"/>
    <w:rsid w:val="001477F2"/>
    <w:rsid w:val="0015059D"/>
    <w:rsid w:val="0015080D"/>
    <w:rsid w:val="00151322"/>
    <w:rsid w:val="00152C66"/>
    <w:rsid w:val="00153A5A"/>
    <w:rsid w:val="00153EDA"/>
    <w:rsid w:val="001547CA"/>
    <w:rsid w:val="00154C02"/>
    <w:rsid w:val="00154C69"/>
    <w:rsid w:val="0015529D"/>
    <w:rsid w:val="00156328"/>
    <w:rsid w:val="00157085"/>
    <w:rsid w:val="001573B4"/>
    <w:rsid w:val="001601A2"/>
    <w:rsid w:val="00160295"/>
    <w:rsid w:val="001607B6"/>
    <w:rsid w:val="00162969"/>
    <w:rsid w:val="00162E86"/>
    <w:rsid w:val="0016388F"/>
    <w:rsid w:val="00163D73"/>
    <w:rsid w:val="00163D88"/>
    <w:rsid w:val="00164096"/>
    <w:rsid w:val="0016529E"/>
    <w:rsid w:val="0016575C"/>
    <w:rsid w:val="00165B1C"/>
    <w:rsid w:val="00165BF8"/>
    <w:rsid w:val="00166036"/>
    <w:rsid w:val="001662BD"/>
    <w:rsid w:val="0016649A"/>
    <w:rsid w:val="00166560"/>
    <w:rsid w:val="001675A5"/>
    <w:rsid w:val="00170111"/>
    <w:rsid w:val="00170697"/>
    <w:rsid w:val="00171392"/>
    <w:rsid w:val="00171C1A"/>
    <w:rsid w:val="00171C72"/>
    <w:rsid w:val="00172708"/>
    <w:rsid w:val="001727B0"/>
    <w:rsid w:val="001729BA"/>
    <w:rsid w:val="00172A27"/>
    <w:rsid w:val="00173260"/>
    <w:rsid w:val="00173C43"/>
    <w:rsid w:val="00174BEA"/>
    <w:rsid w:val="001751E2"/>
    <w:rsid w:val="0017537B"/>
    <w:rsid w:val="001759CF"/>
    <w:rsid w:val="00175B5D"/>
    <w:rsid w:val="00176986"/>
    <w:rsid w:val="00176B7D"/>
    <w:rsid w:val="00177302"/>
    <w:rsid w:val="00177FB1"/>
    <w:rsid w:val="001809EC"/>
    <w:rsid w:val="00180D02"/>
    <w:rsid w:val="00181809"/>
    <w:rsid w:val="00182FF5"/>
    <w:rsid w:val="0018316B"/>
    <w:rsid w:val="001837AA"/>
    <w:rsid w:val="00183BC0"/>
    <w:rsid w:val="0018456A"/>
    <w:rsid w:val="00184681"/>
    <w:rsid w:val="001847DB"/>
    <w:rsid w:val="00184AE6"/>
    <w:rsid w:val="00185C46"/>
    <w:rsid w:val="00185D1E"/>
    <w:rsid w:val="00185D2D"/>
    <w:rsid w:val="00185EF5"/>
    <w:rsid w:val="00185F81"/>
    <w:rsid w:val="0018652D"/>
    <w:rsid w:val="00186AA0"/>
    <w:rsid w:val="00187707"/>
    <w:rsid w:val="00187828"/>
    <w:rsid w:val="00187EAA"/>
    <w:rsid w:val="00190B5F"/>
    <w:rsid w:val="001912D2"/>
    <w:rsid w:val="00191575"/>
    <w:rsid w:val="00191FD8"/>
    <w:rsid w:val="0019224F"/>
    <w:rsid w:val="001923BA"/>
    <w:rsid w:val="00192DA5"/>
    <w:rsid w:val="0019338C"/>
    <w:rsid w:val="00194C01"/>
    <w:rsid w:val="001965CD"/>
    <w:rsid w:val="00196AD9"/>
    <w:rsid w:val="00197F91"/>
    <w:rsid w:val="001A0381"/>
    <w:rsid w:val="001A04B7"/>
    <w:rsid w:val="001A086B"/>
    <w:rsid w:val="001A10F0"/>
    <w:rsid w:val="001A24D5"/>
    <w:rsid w:val="001A2637"/>
    <w:rsid w:val="001A270B"/>
    <w:rsid w:val="001A2CE9"/>
    <w:rsid w:val="001A37A7"/>
    <w:rsid w:val="001A395C"/>
    <w:rsid w:val="001A397E"/>
    <w:rsid w:val="001A3D56"/>
    <w:rsid w:val="001A4A03"/>
    <w:rsid w:val="001A4CFB"/>
    <w:rsid w:val="001A51A4"/>
    <w:rsid w:val="001A52EC"/>
    <w:rsid w:val="001A592E"/>
    <w:rsid w:val="001A5B3D"/>
    <w:rsid w:val="001A608D"/>
    <w:rsid w:val="001A64AB"/>
    <w:rsid w:val="001A69D0"/>
    <w:rsid w:val="001A6CA2"/>
    <w:rsid w:val="001A79FC"/>
    <w:rsid w:val="001B08D0"/>
    <w:rsid w:val="001B0FFF"/>
    <w:rsid w:val="001B1422"/>
    <w:rsid w:val="001B1780"/>
    <w:rsid w:val="001B21BF"/>
    <w:rsid w:val="001B2789"/>
    <w:rsid w:val="001B3396"/>
    <w:rsid w:val="001B45AC"/>
    <w:rsid w:val="001B4641"/>
    <w:rsid w:val="001B49B9"/>
    <w:rsid w:val="001B53CE"/>
    <w:rsid w:val="001B5555"/>
    <w:rsid w:val="001B55FC"/>
    <w:rsid w:val="001B5A4E"/>
    <w:rsid w:val="001B5FB8"/>
    <w:rsid w:val="001B621A"/>
    <w:rsid w:val="001B639B"/>
    <w:rsid w:val="001B66C9"/>
    <w:rsid w:val="001B7226"/>
    <w:rsid w:val="001B79CA"/>
    <w:rsid w:val="001C006C"/>
    <w:rsid w:val="001C046C"/>
    <w:rsid w:val="001C0792"/>
    <w:rsid w:val="001C1068"/>
    <w:rsid w:val="001C111E"/>
    <w:rsid w:val="001C1954"/>
    <w:rsid w:val="001C1CB6"/>
    <w:rsid w:val="001C24F8"/>
    <w:rsid w:val="001C2637"/>
    <w:rsid w:val="001C2856"/>
    <w:rsid w:val="001C3032"/>
    <w:rsid w:val="001C36F2"/>
    <w:rsid w:val="001C37B8"/>
    <w:rsid w:val="001C3997"/>
    <w:rsid w:val="001C4006"/>
    <w:rsid w:val="001C4264"/>
    <w:rsid w:val="001C5049"/>
    <w:rsid w:val="001C5A88"/>
    <w:rsid w:val="001C5F33"/>
    <w:rsid w:val="001D131F"/>
    <w:rsid w:val="001D145B"/>
    <w:rsid w:val="001D2BC7"/>
    <w:rsid w:val="001D3347"/>
    <w:rsid w:val="001D342C"/>
    <w:rsid w:val="001D3D7A"/>
    <w:rsid w:val="001D3FE6"/>
    <w:rsid w:val="001D426E"/>
    <w:rsid w:val="001D47A2"/>
    <w:rsid w:val="001D4CB2"/>
    <w:rsid w:val="001D542E"/>
    <w:rsid w:val="001D5AB1"/>
    <w:rsid w:val="001D6C9C"/>
    <w:rsid w:val="001D7C0A"/>
    <w:rsid w:val="001D7CBC"/>
    <w:rsid w:val="001E135A"/>
    <w:rsid w:val="001E1B96"/>
    <w:rsid w:val="001E3151"/>
    <w:rsid w:val="001E33E7"/>
    <w:rsid w:val="001E361F"/>
    <w:rsid w:val="001E389A"/>
    <w:rsid w:val="001E3A70"/>
    <w:rsid w:val="001E4160"/>
    <w:rsid w:val="001E4638"/>
    <w:rsid w:val="001E4649"/>
    <w:rsid w:val="001E4806"/>
    <w:rsid w:val="001E4F61"/>
    <w:rsid w:val="001E5228"/>
    <w:rsid w:val="001E556F"/>
    <w:rsid w:val="001E56BE"/>
    <w:rsid w:val="001E5D7F"/>
    <w:rsid w:val="001E606C"/>
    <w:rsid w:val="001E6E0F"/>
    <w:rsid w:val="001E7383"/>
    <w:rsid w:val="001E7A45"/>
    <w:rsid w:val="001F0090"/>
    <w:rsid w:val="001F01FC"/>
    <w:rsid w:val="001F09B2"/>
    <w:rsid w:val="001F145B"/>
    <w:rsid w:val="001F1B44"/>
    <w:rsid w:val="001F20F0"/>
    <w:rsid w:val="001F220E"/>
    <w:rsid w:val="001F299F"/>
    <w:rsid w:val="001F30B7"/>
    <w:rsid w:val="001F3380"/>
    <w:rsid w:val="001F409D"/>
    <w:rsid w:val="001F4B03"/>
    <w:rsid w:val="001F53DC"/>
    <w:rsid w:val="001F612B"/>
    <w:rsid w:val="001F69C1"/>
    <w:rsid w:val="001F6A7D"/>
    <w:rsid w:val="001F78C9"/>
    <w:rsid w:val="00200210"/>
    <w:rsid w:val="002005D7"/>
    <w:rsid w:val="00200673"/>
    <w:rsid w:val="00200C07"/>
    <w:rsid w:val="00201D62"/>
    <w:rsid w:val="00201FA0"/>
    <w:rsid w:val="002030D5"/>
    <w:rsid w:val="00203236"/>
    <w:rsid w:val="00203374"/>
    <w:rsid w:val="002047A7"/>
    <w:rsid w:val="00204832"/>
    <w:rsid w:val="00205192"/>
    <w:rsid w:val="002069C4"/>
    <w:rsid w:val="00207574"/>
    <w:rsid w:val="00207788"/>
    <w:rsid w:val="0020781A"/>
    <w:rsid w:val="00207BB0"/>
    <w:rsid w:val="002100EE"/>
    <w:rsid w:val="00210236"/>
    <w:rsid w:val="00210822"/>
    <w:rsid w:val="00210837"/>
    <w:rsid w:val="00210B9B"/>
    <w:rsid w:val="002119E2"/>
    <w:rsid w:val="00213134"/>
    <w:rsid w:val="00214424"/>
    <w:rsid w:val="00214AE1"/>
    <w:rsid w:val="00215B9B"/>
    <w:rsid w:val="00215DE3"/>
    <w:rsid w:val="0021617D"/>
    <w:rsid w:val="00216288"/>
    <w:rsid w:val="002168F3"/>
    <w:rsid w:val="00216ACD"/>
    <w:rsid w:val="00217785"/>
    <w:rsid w:val="00217AA5"/>
    <w:rsid w:val="00220B21"/>
    <w:rsid w:val="00220BFA"/>
    <w:rsid w:val="00220CA4"/>
    <w:rsid w:val="00220EEC"/>
    <w:rsid w:val="00221ADA"/>
    <w:rsid w:val="00221C35"/>
    <w:rsid w:val="00221E2F"/>
    <w:rsid w:val="0022371D"/>
    <w:rsid w:val="00223AA0"/>
    <w:rsid w:val="00223AE2"/>
    <w:rsid w:val="00223DA7"/>
    <w:rsid w:val="002255D4"/>
    <w:rsid w:val="00225CAB"/>
    <w:rsid w:val="002262D7"/>
    <w:rsid w:val="002263C7"/>
    <w:rsid w:val="0022681A"/>
    <w:rsid w:val="00226A6D"/>
    <w:rsid w:val="00226C7E"/>
    <w:rsid w:val="00226F54"/>
    <w:rsid w:val="002277D4"/>
    <w:rsid w:val="00227BF2"/>
    <w:rsid w:val="00230B9C"/>
    <w:rsid w:val="0023120C"/>
    <w:rsid w:val="002313E0"/>
    <w:rsid w:val="002314F8"/>
    <w:rsid w:val="00231C0C"/>
    <w:rsid w:val="002323C0"/>
    <w:rsid w:val="00232AAB"/>
    <w:rsid w:val="00232BF8"/>
    <w:rsid w:val="0023312F"/>
    <w:rsid w:val="00233272"/>
    <w:rsid w:val="002332E7"/>
    <w:rsid w:val="00234D73"/>
    <w:rsid w:val="00235F11"/>
    <w:rsid w:val="00236110"/>
    <w:rsid w:val="00236A1E"/>
    <w:rsid w:val="0023765F"/>
    <w:rsid w:val="002406B7"/>
    <w:rsid w:val="00240858"/>
    <w:rsid w:val="00240C76"/>
    <w:rsid w:val="002420BD"/>
    <w:rsid w:val="002428DE"/>
    <w:rsid w:val="00244795"/>
    <w:rsid w:val="00244A39"/>
    <w:rsid w:val="00244F4D"/>
    <w:rsid w:val="00245603"/>
    <w:rsid w:val="00245C72"/>
    <w:rsid w:val="002460FA"/>
    <w:rsid w:val="00246576"/>
    <w:rsid w:val="002471B8"/>
    <w:rsid w:val="002472D1"/>
    <w:rsid w:val="00247F10"/>
    <w:rsid w:val="00247FE9"/>
    <w:rsid w:val="00250231"/>
    <w:rsid w:val="00250620"/>
    <w:rsid w:val="002518C7"/>
    <w:rsid w:val="00251E58"/>
    <w:rsid w:val="00253905"/>
    <w:rsid w:val="00253B1F"/>
    <w:rsid w:val="00254615"/>
    <w:rsid w:val="00254CE6"/>
    <w:rsid w:val="00254EAD"/>
    <w:rsid w:val="002554CD"/>
    <w:rsid w:val="00255AD8"/>
    <w:rsid w:val="00256102"/>
    <w:rsid w:val="00256160"/>
    <w:rsid w:val="002562BF"/>
    <w:rsid w:val="002569C6"/>
    <w:rsid w:val="00256BBA"/>
    <w:rsid w:val="00257F6D"/>
    <w:rsid w:val="00260023"/>
    <w:rsid w:val="0026021A"/>
    <w:rsid w:val="00260547"/>
    <w:rsid w:val="00260C1C"/>
    <w:rsid w:val="002617CC"/>
    <w:rsid w:val="0026186B"/>
    <w:rsid w:val="00261A0E"/>
    <w:rsid w:val="002625CB"/>
    <w:rsid w:val="00263A90"/>
    <w:rsid w:val="00263D22"/>
    <w:rsid w:val="00264009"/>
    <w:rsid w:val="00264B45"/>
    <w:rsid w:val="002652AD"/>
    <w:rsid w:val="00266004"/>
    <w:rsid w:val="00267040"/>
    <w:rsid w:val="00267D9A"/>
    <w:rsid w:val="00270584"/>
    <w:rsid w:val="00270EA2"/>
    <w:rsid w:val="00271121"/>
    <w:rsid w:val="00272DFC"/>
    <w:rsid w:val="002757DA"/>
    <w:rsid w:val="00275BF2"/>
    <w:rsid w:val="00275E57"/>
    <w:rsid w:val="0027616F"/>
    <w:rsid w:val="00276544"/>
    <w:rsid w:val="00276976"/>
    <w:rsid w:val="00280525"/>
    <w:rsid w:val="00280656"/>
    <w:rsid w:val="00280870"/>
    <w:rsid w:val="002833C1"/>
    <w:rsid w:val="00284030"/>
    <w:rsid w:val="002846C4"/>
    <w:rsid w:val="00284927"/>
    <w:rsid w:val="00284BF6"/>
    <w:rsid w:val="00284C89"/>
    <w:rsid w:val="0028576F"/>
    <w:rsid w:val="00286140"/>
    <w:rsid w:val="00286B67"/>
    <w:rsid w:val="00287246"/>
    <w:rsid w:val="002906BB"/>
    <w:rsid w:val="002908FC"/>
    <w:rsid w:val="00290940"/>
    <w:rsid w:val="00290E68"/>
    <w:rsid w:val="002910C9"/>
    <w:rsid w:val="00291DAD"/>
    <w:rsid w:val="00293BF8"/>
    <w:rsid w:val="00293EC9"/>
    <w:rsid w:val="00294080"/>
    <w:rsid w:val="00294418"/>
    <w:rsid w:val="00294552"/>
    <w:rsid w:val="00295227"/>
    <w:rsid w:val="00295F39"/>
    <w:rsid w:val="00295F45"/>
    <w:rsid w:val="00296775"/>
    <w:rsid w:val="00297942"/>
    <w:rsid w:val="002A0ED2"/>
    <w:rsid w:val="002A11BA"/>
    <w:rsid w:val="002A135C"/>
    <w:rsid w:val="002A267D"/>
    <w:rsid w:val="002A270F"/>
    <w:rsid w:val="002A2B15"/>
    <w:rsid w:val="002A2B1E"/>
    <w:rsid w:val="002A323D"/>
    <w:rsid w:val="002A40F2"/>
    <w:rsid w:val="002A5325"/>
    <w:rsid w:val="002A53B5"/>
    <w:rsid w:val="002A724F"/>
    <w:rsid w:val="002B05B1"/>
    <w:rsid w:val="002B0936"/>
    <w:rsid w:val="002B0C56"/>
    <w:rsid w:val="002B128E"/>
    <w:rsid w:val="002B1B6D"/>
    <w:rsid w:val="002B213F"/>
    <w:rsid w:val="002B278C"/>
    <w:rsid w:val="002B2A48"/>
    <w:rsid w:val="002B2D48"/>
    <w:rsid w:val="002B4C67"/>
    <w:rsid w:val="002B4F5A"/>
    <w:rsid w:val="002B5256"/>
    <w:rsid w:val="002B56E3"/>
    <w:rsid w:val="002B604A"/>
    <w:rsid w:val="002B63A2"/>
    <w:rsid w:val="002B6DF3"/>
    <w:rsid w:val="002B7809"/>
    <w:rsid w:val="002C04C6"/>
    <w:rsid w:val="002C0FD0"/>
    <w:rsid w:val="002C2AE1"/>
    <w:rsid w:val="002C35C5"/>
    <w:rsid w:val="002C37C7"/>
    <w:rsid w:val="002C3950"/>
    <w:rsid w:val="002C3E69"/>
    <w:rsid w:val="002C4303"/>
    <w:rsid w:val="002C4472"/>
    <w:rsid w:val="002C4C8F"/>
    <w:rsid w:val="002C5B91"/>
    <w:rsid w:val="002C6C98"/>
    <w:rsid w:val="002D00D0"/>
    <w:rsid w:val="002D00D7"/>
    <w:rsid w:val="002D038D"/>
    <w:rsid w:val="002D04B3"/>
    <w:rsid w:val="002D0A76"/>
    <w:rsid w:val="002D0F4F"/>
    <w:rsid w:val="002D12D5"/>
    <w:rsid w:val="002D19C8"/>
    <w:rsid w:val="002D25AB"/>
    <w:rsid w:val="002D3C69"/>
    <w:rsid w:val="002D4074"/>
    <w:rsid w:val="002D4855"/>
    <w:rsid w:val="002D4F1C"/>
    <w:rsid w:val="002D5561"/>
    <w:rsid w:val="002D5749"/>
    <w:rsid w:val="002D681C"/>
    <w:rsid w:val="002D750B"/>
    <w:rsid w:val="002D7B35"/>
    <w:rsid w:val="002D7B63"/>
    <w:rsid w:val="002E0070"/>
    <w:rsid w:val="002E08D4"/>
    <w:rsid w:val="002E0964"/>
    <w:rsid w:val="002E0DD0"/>
    <w:rsid w:val="002E0E77"/>
    <w:rsid w:val="002E1625"/>
    <w:rsid w:val="002E30CD"/>
    <w:rsid w:val="002E334E"/>
    <w:rsid w:val="002E3AE8"/>
    <w:rsid w:val="002E3FFE"/>
    <w:rsid w:val="002E53D0"/>
    <w:rsid w:val="002E5625"/>
    <w:rsid w:val="002E5931"/>
    <w:rsid w:val="002E6A86"/>
    <w:rsid w:val="002E6E46"/>
    <w:rsid w:val="002E7D58"/>
    <w:rsid w:val="002E7E40"/>
    <w:rsid w:val="002F00FE"/>
    <w:rsid w:val="002F0468"/>
    <w:rsid w:val="002F0609"/>
    <w:rsid w:val="002F1457"/>
    <w:rsid w:val="002F1614"/>
    <w:rsid w:val="002F17EB"/>
    <w:rsid w:val="002F1947"/>
    <w:rsid w:val="002F1B84"/>
    <w:rsid w:val="002F1D85"/>
    <w:rsid w:val="002F284C"/>
    <w:rsid w:val="002F2B81"/>
    <w:rsid w:val="002F3352"/>
    <w:rsid w:val="002F456C"/>
    <w:rsid w:val="002F461E"/>
    <w:rsid w:val="002F4DAB"/>
    <w:rsid w:val="002F5103"/>
    <w:rsid w:val="002F5779"/>
    <w:rsid w:val="002F5C3F"/>
    <w:rsid w:val="002F5C8F"/>
    <w:rsid w:val="002F6AC6"/>
    <w:rsid w:val="002F703B"/>
    <w:rsid w:val="00301558"/>
    <w:rsid w:val="00302300"/>
    <w:rsid w:val="003023C6"/>
    <w:rsid w:val="00302A77"/>
    <w:rsid w:val="00302CF7"/>
    <w:rsid w:val="00302D27"/>
    <w:rsid w:val="00302E1C"/>
    <w:rsid w:val="00303D3C"/>
    <w:rsid w:val="0030429A"/>
    <w:rsid w:val="003052AB"/>
    <w:rsid w:val="00305F0B"/>
    <w:rsid w:val="003060C4"/>
    <w:rsid w:val="0030668D"/>
    <w:rsid w:val="003069D9"/>
    <w:rsid w:val="003073F5"/>
    <w:rsid w:val="00307B9C"/>
    <w:rsid w:val="00307BA1"/>
    <w:rsid w:val="003100DF"/>
    <w:rsid w:val="00311B0A"/>
    <w:rsid w:val="003137D4"/>
    <w:rsid w:val="00314227"/>
    <w:rsid w:val="00314DBA"/>
    <w:rsid w:val="00314EFA"/>
    <w:rsid w:val="00315AB3"/>
    <w:rsid w:val="003164A3"/>
    <w:rsid w:val="00317A63"/>
    <w:rsid w:val="00317BA9"/>
    <w:rsid w:val="003200AE"/>
    <w:rsid w:val="0032034B"/>
    <w:rsid w:val="00320BF6"/>
    <w:rsid w:val="00320EFA"/>
    <w:rsid w:val="00321739"/>
    <w:rsid w:val="00321E23"/>
    <w:rsid w:val="0032215C"/>
    <w:rsid w:val="00322259"/>
    <w:rsid w:val="003255F1"/>
    <w:rsid w:val="00325789"/>
    <w:rsid w:val="00325A5A"/>
    <w:rsid w:val="00325A89"/>
    <w:rsid w:val="00325FE2"/>
    <w:rsid w:val="00326A2E"/>
    <w:rsid w:val="003272E3"/>
    <w:rsid w:val="0032780E"/>
    <w:rsid w:val="00327CF0"/>
    <w:rsid w:val="00330325"/>
    <w:rsid w:val="00331922"/>
    <w:rsid w:val="00331AFB"/>
    <w:rsid w:val="0033295D"/>
    <w:rsid w:val="00332B79"/>
    <w:rsid w:val="00333CAB"/>
    <w:rsid w:val="00333D3B"/>
    <w:rsid w:val="00334C5E"/>
    <w:rsid w:val="00334F81"/>
    <w:rsid w:val="00335E06"/>
    <w:rsid w:val="003362B6"/>
    <w:rsid w:val="00336AC2"/>
    <w:rsid w:val="00336FD3"/>
    <w:rsid w:val="00337B76"/>
    <w:rsid w:val="00337BB7"/>
    <w:rsid w:val="00341DE7"/>
    <w:rsid w:val="00341FEE"/>
    <w:rsid w:val="003430E1"/>
    <w:rsid w:val="0034324B"/>
    <w:rsid w:val="00343464"/>
    <w:rsid w:val="00345199"/>
    <w:rsid w:val="003451FE"/>
    <w:rsid w:val="003462BA"/>
    <w:rsid w:val="00346B52"/>
    <w:rsid w:val="00346C19"/>
    <w:rsid w:val="00346E53"/>
    <w:rsid w:val="003471EA"/>
    <w:rsid w:val="0034781A"/>
    <w:rsid w:val="00350096"/>
    <w:rsid w:val="003503CD"/>
    <w:rsid w:val="00350421"/>
    <w:rsid w:val="0035042D"/>
    <w:rsid w:val="00350759"/>
    <w:rsid w:val="0035088B"/>
    <w:rsid w:val="00350FBD"/>
    <w:rsid w:val="003510DF"/>
    <w:rsid w:val="003511E3"/>
    <w:rsid w:val="0035181E"/>
    <w:rsid w:val="0035252E"/>
    <w:rsid w:val="00353BBF"/>
    <w:rsid w:val="00353C02"/>
    <w:rsid w:val="00353F48"/>
    <w:rsid w:val="0035422F"/>
    <w:rsid w:val="00354301"/>
    <w:rsid w:val="003544A3"/>
    <w:rsid w:val="00354AC8"/>
    <w:rsid w:val="00355454"/>
    <w:rsid w:val="0035571F"/>
    <w:rsid w:val="003560A3"/>
    <w:rsid w:val="00356A1A"/>
    <w:rsid w:val="0035700D"/>
    <w:rsid w:val="0035772B"/>
    <w:rsid w:val="00357768"/>
    <w:rsid w:val="003579C1"/>
    <w:rsid w:val="00357A6C"/>
    <w:rsid w:val="00357B7A"/>
    <w:rsid w:val="00360B24"/>
    <w:rsid w:val="00360B88"/>
    <w:rsid w:val="00361409"/>
    <w:rsid w:val="00361478"/>
    <w:rsid w:val="00362098"/>
    <w:rsid w:val="003621B0"/>
    <w:rsid w:val="00363105"/>
    <w:rsid w:val="00363317"/>
    <w:rsid w:val="00363BEF"/>
    <w:rsid w:val="00365288"/>
    <w:rsid w:val="00366C33"/>
    <w:rsid w:val="0036705C"/>
    <w:rsid w:val="003673C9"/>
    <w:rsid w:val="003679D6"/>
    <w:rsid w:val="003737B0"/>
    <w:rsid w:val="003743F8"/>
    <w:rsid w:val="00374B13"/>
    <w:rsid w:val="00374BBC"/>
    <w:rsid w:val="00374FC1"/>
    <w:rsid w:val="003756A2"/>
    <w:rsid w:val="00375C87"/>
    <w:rsid w:val="00375DC1"/>
    <w:rsid w:val="00375E94"/>
    <w:rsid w:val="00376DED"/>
    <w:rsid w:val="003774A0"/>
    <w:rsid w:val="0037767D"/>
    <w:rsid w:val="003776C9"/>
    <w:rsid w:val="003810DB"/>
    <w:rsid w:val="00381624"/>
    <w:rsid w:val="003816C1"/>
    <w:rsid w:val="00381985"/>
    <w:rsid w:val="00382571"/>
    <w:rsid w:val="0038489B"/>
    <w:rsid w:val="003849B0"/>
    <w:rsid w:val="003857D9"/>
    <w:rsid w:val="003862DF"/>
    <w:rsid w:val="003863BE"/>
    <w:rsid w:val="00386566"/>
    <w:rsid w:val="00387330"/>
    <w:rsid w:val="003876FF"/>
    <w:rsid w:val="00393401"/>
    <w:rsid w:val="00393583"/>
    <w:rsid w:val="003955B2"/>
    <w:rsid w:val="00395890"/>
    <w:rsid w:val="003959A5"/>
    <w:rsid w:val="00395F26"/>
    <w:rsid w:val="00395FAA"/>
    <w:rsid w:val="00397827"/>
    <w:rsid w:val="00397BEE"/>
    <w:rsid w:val="003A063A"/>
    <w:rsid w:val="003A0B73"/>
    <w:rsid w:val="003A104E"/>
    <w:rsid w:val="003A13C4"/>
    <w:rsid w:val="003A14AF"/>
    <w:rsid w:val="003A2DD9"/>
    <w:rsid w:val="003A32F3"/>
    <w:rsid w:val="003A3817"/>
    <w:rsid w:val="003A384F"/>
    <w:rsid w:val="003A3985"/>
    <w:rsid w:val="003A50D9"/>
    <w:rsid w:val="003A543D"/>
    <w:rsid w:val="003A62CE"/>
    <w:rsid w:val="003A6FA5"/>
    <w:rsid w:val="003A7CFF"/>
    <w:rsid w:val="003B01F4"/>
    <w:rsid w:val="003B16AA"/>
    <w:rsid w:val="003B188F"/>
    <w:rsid w:val="003B1BEC"/>
    <w:rsid w:val="003B23ED"/>
    <w:rsid w:val="003B2BA8"/>
    <w:rsid w:val="003B3AF7"/>
    <w:rsid w:val="003B4180"/>
    <w:rsid w:val="003B4356"/>
    <w:rsid w:val="003B4407"/>
    <w:rsid w:val="003B481F"/>
    <w:rsid w:val="003B536B"/>
    <w:rsid w:val="003B5DFF"/>
    <w:rsid w:val="003B6043"/>
    <w:rsid w:val="003B7850"/>
    <w:rsid w:val="003B7A06"/>
    <w:rsid w:val="003B7BF7"/>
    <w:rsid w:val="003C15D0"/>
    <w:rsid w:val="003C2435"/>
    <w:rsid w:val="003C2CE0"/>
    <w:rsid w:val="003C2F76"/>
    <w:rsid w:val="003C4C71"/>
    <w:rsid w:val="003C4DC7"/>
    <w:rsid w:val="003C5558"/>
    <w:rsid w:val="003C738A"/>
    <w:rsid w:val="003D06B5"/>
    <w:rsid w:val="003D1898"/>
    <w:rsid w:val="003D1F0B"/>
    <w:rsid w:val="003D22D7"/>
    <w:rsid w:val="003D25F7"/>
    <w:rsid w:val="003D2EF6"/>
    <w:rsid w:val="003D3096"/>
    <w:rsid w:val="003D3994"/>
    <w:rsid w:val="003D3D95"/>
    <w:rsid w:val="003D3EC0"/>
    <w:rsid w:val="003D4492"/>
    <w:rsid w:val="003D519A"/>
    <w:rsid w:val="003D7120"/>
    <w:rsid w:val="003D73AB"/>
    <w:rsid w:val="003E00AC"/>
    <w:rsid w:val="003E095B"/>
    <w:rsid w:val="003E1840"/>
    <w:rsid w:val="003E2533"/>
    <w:rsid w:val="003E2F30"/>
    <w:rsid w:val="003E30A3"/>
    <w:rsid w:val="003E39C3"/>
    <w:rsid w:val="003E3D24"/>
    <w:rsid w:val="003E414B"/>
    <w:rsid w:val="003E431F"/>
    <w:rsid w:val="003E439D"/>
    <w:rsid w:val="003E5810"/>
    <w:rsid w:val="003E5A25"/>
    <w:rsid w:val="003E5C5F"/>
    <w:rsid w:val="003E5D32"/>
    <w:rsid w:val="003E691B"/>
    <w:rsid w:val="003E6E97"/>
    <w:rsid w:val="003E7765"/>
    <w:rsid w:val="003E778E"/>
    <w:rsid w:val="003E78F0"/>
    <w:rsid w:val="003E79D7"/>
    <w:rsid w:val="003E7F3F"/>
    <w:rsid w:val="003F0FAD"/>
    <w:rsid w:val="003F0FC1"/>
    <w:rsid w:val="003F1894"/>
    <w:rsid w:val="003F1C77"/>
    <w:rsid w:val="003F3898"/>
    <w:rsid w:val="003F3A1B"/>
    <w:rsid w:val="003F3D0B"/>
    <w:rsid w:val="003F3E3F"/>
    <w:rsid w:val="003F42B8"/>
    <w:rsid w:val="003F4825"/>
    <w:rsid w:val="003F4E50"/>
    <w:rsid w:val="003F4EDF"/>
    <w:rsid w:val="003F564A"/>
    <w:rsid w:val="003F572D"/>
    <w:rsid w:val="003F5D0D"/>
    <w:rsid w:val="003F6A41"/>
    <w:rsid w:val="003F6B54"/>
    <w:rsid w:val="003F6CAD"/>
    <w:rsid w:val="003F7235"/>
    <w:rsid w:val="004003FD"/>
    <w:rsid w:val="00402898"/>
    <w:rsid w:val="00402A13"/>
    <w:rsid w:val="0040368D"/>
    <w:rsid w:val="00403A8C"/>
    <w:rsid w:val="004049EE"/>
    <w:rsid w:val="00404D01"/>
    <w:rsid w:val="00404D50"/>
    <w:rsid w:val="00404ECC"/>
    <w:rsid w:val="00404F56"/>
    <w:rsid w:val="004051A6"/>
    <w:rsid w:val="00405A3D"/>
    <w:rsid w:val="0040652E"/>
    <w:rsid w:val="004071FD"/>
    <w:rsid w:val="0040738B"/>
    <w:rsid w:val="0041009D"/>
    <w:rsid w:val="004112F1"/>
    <w:rsid w:val="00411E8B"/>
    <w:rsid w:val="004122FB"/>
    <w:rsid w:val="00412D87"/>
    <w:rsid w:val="00412F73"/>
    <w:rsid w:val="00413F7A"/>
    <w:rsid w:val="004147E2"/>
    <w:rsid w:val="00415BD1"/>
    <w:rsid w:val="00416802"/>
    <w:rsid w:val="00416812"/>
    <w:rsid w:val="00416BBD"/>
    <w:rsid w:val="00416D0A"/>
    <w:rsid w:val="00417112"/>
    <w:rsid w:val="00420556"/>
    <w:rsid w:val="00420B78"/>
    <w:rsid w:val="00420E3D"/>
    <w:rsid w:val="0042141A"/>
    <w:rsid w:val="00421725"/>
    <w:rsid w:val="00421E05"/>
    <w:rsid w:val="00422223"/>
    <w:rsid w:val="00422AB4"/>
    <w:rsid w:val="00422E58"/>
    <w:rsid w:val="0042311F"/>
    <w:rsid w:val="004234EC"/>
    <w:rsid w:val="004235E3"/>
    <w:rsid w:val="00423606"/>
    <w:rsid w:val="00424647"/>
    <w:rsid w:val="00424703"/>
    <w:rsid w:val="00424934"/>
    <w:rsid w:val="00425C37"/>
    <w:rsid w:val="0042603F"/>
    <w:rsid w:val="004274AD"/>
    <w:rsid w:val="00427703"/>
    <w:rsid w:val="00430C76"/>
    <w:rsid w:val="00430F20"/>
    <w:rsid w:val="00431CF2"/>
    <w:rsid w:val="00431D90"/>
    <w:rsid w:val="00431E46"/>
    <w:rsid w:val="00432002"/>
    <w:rsid w:val="00432672"/>
    <w:rsid w:val="004329FE"/>
    <w:rsid w:val="00432A04"/>
    <w:rsid w:val="0043402A"/>
    <w:rsid w:val="00434769"/>
    <w:rsid w:val="0043518D"/>
    <w:rsid w:val="004351DE"/>
    <w:rsid w:val="00435C11"/>
    <w:rsid w:val="00436611"/>
    <w:rsid w:val="00437A2F"/>
    <w:rsid w:val="00437D58"/>
    <w:rsid w:val="00440164"/>
    <w:rsid w:val="004405EC"/>
    <w:rsid w:val="00440E18"/>
    <w:rsid w:val="004426B7"/>
    <w:rsid w:val="00442C6D"/>
    <w:rsid w:val="00443834"/>
    <w:rsid w:val="00444140"/>
    <w:rsid w:val="00444217"/>
    <w:rsid w:val="00444ACC"/>
    <w:rsid w:val="00444B3E"/>
    <w:rsid w:val="00445234"/>
    <w:rsid w:val="00446AE3"/>
    <w:rsid w:val="00446DAE"/>
    <w:rsid w:val="00446E47"/>
    <w:rsid w:val="004476FB"/>
    <w:rsid w:val="00447854"/>
    <w:rsid w:val="00447B58"/>
    <w:rsid w:val="00450013"/>
    <w:rsid w:val="00450709"/>
    <w:rsid w:val="004508C5"/>
    <w:rsid w:val="00450A8E"/>
    <w:rsid w:val="00450C55"/>
    <w:rsid w:val="004514E0"/>
    <w:rsid w:val="004516ED"/>
    <w:rsid w:val="00451E7C"/>
    <w:rsid w:val="004531AD"/>
    <w:rsid w:val="004532BB"/>
    <w:rsid w:val="004534D6"/>
    <w:rsid w:val="00453696"/>
    <w:rsid w:val="0045377E"/>
    <w:rsid w:val="00453DA8"/>
    <w:rsid w:val="004540DE"/>
    <w:rsid w:val="00454359"/>
    <w:rsid w:val="00454638"/>
    <w:rsid w:val="00454961"/>
    <w:rsid w:val="00455031"/>
    <w:rsid w:val="004551EE"/>
    <w:rsid w:val="00455682"/>
    <w:rsid w:val="00455922"/>
    <w:rsid w:val="00456610"/>
    <w:rsid w:val="00456BE9"/>
    <w:rsid w:val="00460061"/>
    <w:rsid w:val="004603B8"/>
    <w:rsid w:val="004607E7"/>
    <w:rsid w:val="004610FB"/>
    <w:rsid w:val="00461667"/>
    <w:rsid w:val="00461CAB"/>
    <w:rsid w:val="00463040"/>
    <w:rsid w:val="00463317"/>
    <w:rsid w:val="00463CCF"/>
    <w:rsid w:val="00463E66"/>
    <w:rsid w:val="0046562A"/>
    <w:rsid w:val="00465DDA"/>
    <w:rsid w:val="00465E8B"/>
    <w:rsid w:val="0046640E"/>
    <w:rsid w:val="00467256"/>
    <w:rsid w:val="00467674"/>
    <w:rsid w:val="00467A24"/>
    <w:rsid w:val="00470443"/>
    <w:rsid w:val="00470652"/>
    <w:rsid w:val="0047201A"/>
    <w:rsid w:val="004729B4"/>
    <w:rsid w:val="0047422F"/>
    <w:rsid w:val="004742C1"/>
    <w:rsid w:val="00477289"/>
    <w:rsid w:val="00477456"/>
    <w:rsid w:val="00477793"/>
    <w:rsid w:val="00477A00"/>
    <w:rsid w:val="00477F75"/>
    <w:rsid w:val="00480059"/>
    <w:rsid w:val="00480DC1"/>
    <w:rsid w:val="00480DE2"/>
    <w:rsid w:val="00481480"/>
    <w:rsid w:val="00481709"/>
    <w:rsid w:val="00481D6F"/>
    <w:rsid w:val="00482162"/>
    <w:rsid w:val="0048291E"/>
    <w:rsid w:val="00482A59"/>
    <w:rsid w:val="00483666"/>
    <w:rsid w:val="004843A9"/>
    <w:rsid w:val="0048472A"/>
    <w:rsid w:val="00484B49"/>
    <w:rsid w:val="00484D59"/>
    <w:rsid w:val="00485526"/>
    <w:rsid w:val="00485F07"/>
    <w:rsid w:val="00486100"/>
    <w:rsid w:val="0048646C"/>
    <w:rsid w:val="00486503"/>
    <w:rsid w:val="004866D8"/>
    <w:rsid w:val="00486987"/>
    <w:rsid w:val="00487537"/>
    <w:rsid w:val="00487B57"/>
    <w:rsid w:val="00487CCD"/>
    <w:rsid w:val="00491CDE"/>
    <w:rsid w:val="00492566"/>
    <w:rsid w:val="00492C10"/>
    <w:rsid w:val="00492E53"/>
    <w:rsid w:val="004933FA"/>
    <w:rsid w:val="004935EE"/>
    <w:rsid w:val="004936C5"/>
    <w:rsid w:val="00493F1E"/>
    <w:rsid w:val="00493F29"/>
    <w:rsid w:val="00493F3D"/>
    <w:rsid w:val="00494354"/>
    <w:rsid w:val="004945B6"/>
    <w:rsid w:val="00494E82"/>
    <w:rsid w:val="00495886"/>
    <w:rsid w:val="0049662F"/>
    <w:rsid w:val="00496E76"/>
    <w:rsid w:val="00497018"/>
    <w:rsid w:val="00497A39"/>
    <w:rsid w:val="00497B27"/>
    <w:rsid w:val="00497F5B"/>
    <w:rsid w:val="004A0666"/>
    <w:rsid w:val="004A19F6"/>
    <w:rsid w:val="004A1CF8"/>
    <w:rsid w:val="004A1F56"/>
    <w:rsid w:val="004A259D"/>
    <w:rsid w:val="004A2E1F"/>
    <w:rsid w:val="004A3892"/>
    <w:rsid w:val="004A4799"/>
    <w:rsid w:val="004A487F"/>
    <w:rsid w:val="004A4B9D"/>
    <w:rsid w:val="004A4CA4"/>
    <w:rsid w:val="004A6288"/>
    <w:rsid w:val="004A6F45"/>
    <w:rsid w:val="004A76E5"/>
    <w:rsid w:val="004A78CA"/>
    <w:rsid w:val="004B02A4"/>
    <w:rsid w:val="004B0356"/>
    <w:rsid w:val="004B0916"/>
    <w:rsid w:val="004B1C66"/>
    <w:rsid w:val="004B1FAC"/>
    <w:rsid w:val="004B2291"/>
    <w:rsid w:val="004B2624"/>
    <w:rsid w:val="004B2A6A"/>
    <w:rsid w:val="004B2E7D"/>
    <w:rsid w:val="004B317D"/>
    <w:rsid w:val="004B4463"/>
    <w:rsid w:val="004B4B08"/>
    <w:rsid w:val="004B53FF"/>
    <w:rsid w:val="004B55ED"/>
    <w:rsid w:val="004B6418"/>
    <w:rsid w:val="004B666A"/>
    <w:rsid w:val="004B6989"/>
    <w:rsid w:val="004B6AD2"/>
    <w:rsid w:val="004B6B15"/>
    <w:rsid w:val="004B763D"/>
    <w:rsid w:val="004B76D4"/>
    <w:rsid w:val="004C0192"/>
    <w:rsid w:val="004C04BD"/>
    <w:rsid w:val="004C0E2B"/>
    <w:rsid w:val="004C1270"/>
    <w:rsid w:val="004C1B57"/>
    <w:rsid w:val="004C1E9C"/>
    <w:rsid w:val="004C36A9"/>
    <w:rsid w:val="004C497E"/>
    <w:rsid w:val="004C4AD3"/>
    <w:rsid w:val="004C53C4"/>
    <w:rsid w:val="004C5844"/>
    <w:rsid w:val="004C6408"/>
    <w:rsid w:val="004C6AD2"/>
    <w:rsid w:val="004C6F26"/>
    <w:rsid w:val="004C7513"/>
    <w:rsid w:val="004C782F"/>
    <w:rsid w:val="004D00C0"/>
    <w:rsid w:val="004D0448"/>
    <w:rsid w:val="004D0BA0"/>
    <w:rsid w:val="004D0BD0"/>
    <w:rsid w:val="004D1D79"/>
    <w:rsid w:val="004D34C3"/>
    <w:rsid w:val="004D45C4"/>
    <w:rsid w:val="004D487B"/>
    <w:rsid w:val="004D4D09"/>
    <w:rsid w:val="004D5792"/>
    <w:rsid w:val="004D6A43"/>
    <w:rsid w:val="004D7C59"/>
    <w:rsid w:val="004E02E5"/>
    <w:rsid w:val="004E15D4"/>
    <w:rsid w:val="004E16F7"/>
    <w:rsid w:val="004E2127"/>
    <w:rsid w:val="004E296C"/>
    <w:rsid w:val="004E2AE2"/>
    <w:rsid w:val="004E3A28"/>
    <w:rsid w:val="004E3C34"/>
    <w:rsid w:val="004E3C87"/>
    <w:rsid w:val="004E3CE1"/>
    <w:rsid w:val="004E41E2"/>
    <w:rsid w:val="004E55B7"/>
    <w:rsid w:val="004E56D9"/>
    <w:rsid w:val="004E5DCB"/>
    <w:rsid w:val="004E637C"/>
    <w:rsid w:val="004E662F"/>
    <w:rsid w:val="004E725F"/>
    <w:rsid w:val="004E790B"/>
    <w:rsid w:val="004E7D1F"/>
    <w:rsid w:val="004F0307"/>
    <w:rsid w:val="004F0C75"/>
    <w:rsid w:val="004F142E"/>
    <w:rsid w:val="004F1517"/>
    <w:rsid w:val="004F1523"/>
    <w:rsid w:val="004F2892"/>
    <w:rsid w:val="004F29DC"/>
    <w:rsid w:val="004F2DD5"/>
    <w:rsid w:val="004F3ECB"/>
    <w:rsid w:val="004F42F7"/>
    <w:rsid w:val="004F45A5"/>
    <w:rsid w:val="004F49AE"/>
    <w:rsid w:val="004F4D44"/>
    <w:rsid w:val="004F60F0"/>
    <w:rsid w:val="004F6534"/>
    <w:rsid w:val="004F6FCA"/>
    <w:rsid w:val="004F7292"/>
    <w:rsid w:val="004F7453"/>
    <w:rsid w:val="005005A1"/>
    <w:rsid w:val="00500B8C"/>
    <w:rsid w:val="0050150A"/>
    <w:rsid w:val="005016FD"/>
    <w:rsid w:val="005017CC"/>
    <w:rsid w:val="005027F1"/>
    <w:rsid w:val="00502B48"/>
    <w:rsid w:val="00502EEA"/>
    <w:rsid w:val="00503DD2"/>
    <w:rsid w:val="005046E8"/>
    <w:rsid w:val="005048DA"/>
    <w:rsid w:val="00504C15"/>
    <w:rsid w:val="00504CCB"/>
    <w:rsid w:val="00505537"/>
    <w:rsid w:val="00506754"/>
    <w:rsid w:val="00506C1E"/>
    <w:rsid w:val="00506CCD"/>
    <w:rsid w:val="0050717B"/>
    <w:rsid w:val="00507647"/>
    <w:rsid w:val="0051007E"/>
    <w:rsid w:val="00510BB6"/>
    <w:rsid w:val="00511D79"/>
    <w:rsid w:val="0051432D"/>
    <w:rsid w:val="005154AD"/>
    <w:rsid w:val="00515628"/>
    <w:rsid w:val="00515BE6"/>
    <w:rsid w:val="005160F6"/>
    <w:rsid w:val="005168F6"/>
    <w:rsid w:val="005173B6"/>
    <w:rsid w:val="00520280"/>
    <w:rsid w:val="00520497"/>
    <w:rsid w:val="00520520"/>
    <w:rsid w:val="00520CEA"/>
    <w:rsid w:val="005213D0"/>
    <w:rsid w:val="00521423"/>
    <w:rsid w:val="005229B8"/>
    <w:rsid w:val="00523135"/>
    <w:rsid w:val="0052318E"/>
    <w:rsid w:val="00523C54"/>
    <w:rsid w:val="00523E78"/>
    <w:rsid w:val="00524020"/>
    <w:rsid w:val="0052466B"/>
    <w:rsid w:val="005248DE"/>
    <w:rsid w:val="00525D3A"/>
    <w:rsid w:val="005261D6"/>
    <w:rsid w:val="005262E7"/>
    <w:rsid w:val="00526A26"/>
    <w:rsid w:val="0053207B"/>
    <w:rsid w:val="00532381"/>
    <w:rsid w:val="005323FA"/>
    <w:rsid w:val="0053380D"/>
    <w:rsid w:val="00533837"/>
    <w:rsid w:val="00534688"/>
    <w:rsid w:val="00534A8F"/>
    <w:rsid w:val="00535A75"/>
    <w:rsid w:val="0053617F"/>
    <w:rsid w:val="005362E8"/>
    <w:rsid w:val="0053654A"/>
    <w:rsid w:val="00536689"/>
    <w:rsid w:val="00536855"/>
    <w:rsid w:val="00536872"/>
    <w:rsid w:val="00536D50"/>
    <w:rsid w:val="00536D89"/>
    <w:rsid w:val="00536F4A"/>
    <w:rsid w:val="00537C9C"/>
    <w:rsid w:val="0054163B"/>
    <w:rsid w:val="00542B31"/>
    <w:rsid w:val="00542F15"/>
    <w:rsid w:val="00545239"/>
    <w:rsid w:val="005454E5"/>
    <w:rsid w:val="00546B8A"/>
    <w:rsid w:val="00546D05"/>
    <w:rsid w:val="00547244"/>
    <w:rsid w:val="00547933"/>
    <w:rsid w:val="005508AD"/>
    <w:rsid w:val="0055098D"/>
    <w:rsid w:val="00550B24"/>
    <w:rsid w:val="00550FD2"/>
    <w:rsid w:val="005513B4"/>
    <w:rsid w:val="00552031"/>
    <w:rsid w:val="00552244"/>
    <w:rsid w:val="005528E7"/>
    <w:rsid w:val="00553018"/>
    <w:rsid w:val="0055382B"/>
    <w:rsid w:val="0055412E"/>
    <w:rsid w:val="0055419D"/>
    <w:rsid w:val="0055583F"/>
    <w:rsid w:val="00556FA0"/>
    <w:rsid w:val="005573C1"/>
    <w:rsid w:val="00557817"/>
    <w:rsid w:val="00557A6F"/>
    <w:rsid w:val="00557ED9"/>
    <w:rsid w:val="005601C1"/>
    <w:rsid w:val="005603EF"/>
    <w:rsid w:val="00560A56"/>
    <w:rsid w:val="00560B40"/>
    <w:rsid w:val="00560CD8"/>
    <w:rsid w:val="005611CE"/>
    <w:rsid w:val="005612EC"/>
    <w:rsid w:val="00561575"/>
    <w:rsid w:val="005627B1"/>
    <w:rsid w:val="005631C0"/>
    <w:rsid w:val="0056408D"/>
    <w:rsid w:val="005651D0"/>
    <w:rsid w:val="00565220"/>
    <w:rsid w:val="00565370"/>
    <w:rsid w:val="00565470"/>
    <w:rsid w:val="005658E3"/>
    <w:rsid w:val="00565B06"/>
    <w:rsid w:val="00566941"/>
    <w:rsid w:val="00566DB4"/>
    <w:rsid w:val="005670F9"/>
    <w:rsid w:val="005672F2"/>
    <w:rsid w:val="005678DE"/>
    <w:rsid w:val="0056793E"/>
    <w:rsid w:val="00567C83"/>
    <w:rsid w:val="005700B8"/>
    <w:rsid w:val="0057024B"/>
    <w:rsid w:val="00570292"/>
    <w:rsid w:val="0057092B"/>
    <w:rsid w:val="0057110F"/>
    <w:rsid w:val="00571B2A"/>
    <w:rsid w:val="00572145"/>
    <w:rsid w:val="00572CE9"/>
    <w:rsid w:val="00573A2D"/>
    <w:rsid w:val="005749DA"/>
    <w:rsid w:val="0057769E"/>
    <w:rsid w:val="00580435"/>
    <w:rsid w:val="005805B7"/>
    <w:rsid w:val="00580751"/>
    <w:rsid w:val="005812C5"/>
    <w:rsid w:val="00581990"/>
    <w:rsid w:val="0058223C"/>
    <w:rsid w:val="0058260F"/>
    <w:rsid w:val="00583EF1"/>
    <w:rsid w:val="00585913"/>
    <w:rsid w:val="005865CB"/>
    <w:rsid w:val="00586646"/>
    <w:rsid w:val="00586784"/>
    <w:rsid w:val="00586C4A"/>
    <w:rsid w:val="005871CB"/>
    <w:rsid w:val="00587424"/>
    <w:rsid w:val="005878DB"/>
    <w:rsid w:val="0058797B"/>
    <w:rsid w:val="00587E29"/>
    <w:rsid w:val="005927A5"/>
    <w:rsid w:val="005936F6"/>
    <w:rsid w:val="00593785"/>
    <w:rsid w:val="005938A2"/>
    <w:rsid w:val="005940FD"/>
    <w:rsid w:val="00595AA4"/>
    <w:rsid w:val="00595B4C"/>
    <w:rsid w:val="0059666A"/>
    <w:rsid w:val="00596851"/>
    <w:rsid w:val="0059713E"/>
    <w:rsid w:val="00597444"/>
    <w:rsid w:val="005A00B5"/>
    <w:rsid w:val="005A08EF"/>
    <w:rsid w:val="005A0AC7"/>
    <w:rsid w:val="005A0E6F"/>
    <w:rsid w:val="005A1051"/>
    <w:rsid w:val="005A16C7"/>
    <w:rsid w:val="005A299D"/>
    <w:rsid w:val="005A2F32"/>
    <w:rsid w:val="005A328B"/>
    <w:rsid w:val="005A3AC4"/>
    <w:rsid w:val="005A4B7F"/>
    <w:rsid w:val="005A5AC3"/>
    <w:rsid w:val="005A5B4C"/>
    <w:rsid w:val="005A5BE3"/>
    <w:rsid w:val="005A691E"/>
    <w:rsid w:val="005A6A43"/>
    <w:rsid w:val="005A6F87"/>
    <w:rsid w:val="005A70AD"/>
    <w:rsid w:val="005A797A"/>
    <w:rsid w:val="005B0BD6"/>
    <w:rsid w:val="005B13FA"/>
    <w:rsid w:val="005B197A"/>
    <w:rsid w:val="005B201E"/>
    <w:rsid w:val="005B23DC"/>
    <w:rsid w:val="005B321C"/>
    <w:rsid w:val="005B37F7"/>
    <w:rsid w:val="005B3D2A"/>
    <w:rsid w:val="005B45A3"/>
    <w:rsid w:val="005B4D67"/>
    <w:rsid w:val="005B535B"/>
    <w:rsid w:val="005B59CB"/>
    <w:rsid w:val="005B5DAB"/>
    <w:rsid w:val="005B6435"/>
    <w:rsid w:val="005B775D"/>
    <w:rsid w:val="005B790D"/>
    <w:rsid w:val="005C0C8C"/>
    <w:rsid w:val="005C1213"/>
    <w:rsid w:val="005C1661"/>
    <w:rsid w:val="005C17AA"/>
    <w:rsid w:val="005C27A6"/>
    <w:rsid w:val="005C3507"/>
    <w:rsid w:val="005C373C"/>
    <w:rsid w:val="005C3DFA"/>
    <w:rsid w:val="005C4574"/>
    <w:rsid w:val="005C45D7"/>
    <w:rsid w:val="005C4AFE"/>
    <w:rsid w:val="005C5F92"/>
    <w:rsid w:val="005C684D"/>
    <w:rsid w:val="005C6997"/>
    <w:rsid w:val="005C7210"/>
    <w:rsid w:val="005C784C"/>
    <w:rsid w:val="005C786F"/>
    <w:rsid w:val="005C79C9"/>
    <w:rsid w:val="005C7AFE"/>
    <w:rsid w:val="005D02BA"/>
    <w:rsid w:val="005D0A54"/>
    <w:rsid w:val="005D0B56"/>
    <w:rsid w:val="005D0F20"/>
    <w:rsid w:val="005D10E6"/>
    <w:rsid w:val="005D1294"/>
    <w:rsid w:val="005D25F9"/>
    <w:rsid w:val="005D3885"/>
    <w:rsid w:val="005D3F38"/>
    <w:rsid w:val="005D500D"/>
    <w:rsid w:val="005D51FF"/>
    <w:rsid w:val="005D5CE7"/>
    <w:rsid w:val="005D625F"/>
    <w:rsid w:val="005D6357"/>
    <w:rsid w:val="005D6D4B"/>
    <w:rsid w:val="005D6FB7"/>
    <w:rsid w:val="005D70FE"/>
    <w:rsid w:val="005E0FBD"/>
    <w:rsid w:val="005E11B5"/>
    <w:rsid w:val="005E2AFF"/>
    <w:rsid w:val="005E3430"/>
    <w:rsid w:val="005E396E"/>
    <w:rsid w:val="005E477F"/>
    <w:rsid w:val="005E4D25"/>
    <w:rsid w:val="005E4DCC"/>
    <w:rsid w:val="005E5151"/>
    <w:rsid w:val="005E5214"/>
    <w:rsid w:val="005E5F08"/>
    <w:rsid w:val="005E658F"/>
    <w:rsid w:val="005E7885"/>
    <w:rsid w:val="005F0613"/>
    <w:rsid w:val="005F0850"/>
    <w:rsid w:val="005F0A72"/>
    <w:rsid w:val="005F0ADB"/>
    <w:rsid w:val="005F0F9C"/>
    <w:rsid w:val="005F101C"/>
    <w:rsid w:val="005F12E1"/>
    <w:rsid w:val="005F1F1F"/>
    <w:rsid w:val="005F1F64"/>
    <w:rsid w:val="005F29AA"/>
    <w:rsid w:val="005F2E3B"/>
    <w:rsid w:val="005F334D"/>
    <w:rsid w:val="005F38B1"/>
    <w:rsid w:val="005F3B90"/>
    <w:rsid w:val="005F3BC1"/>
    <w:rsid w:val="005F3D78"/>
    <w:rsid w:val="005F4276"/>
    <w:rsid w:val="005F4746"/>
    <w:rsid w:val="005F4791"/>
    <w:rsid w:val="005F4CCA"/>
    <w:rsid w:val="005F50F3"/>
    <w:rsid w:val="005F55C1"/>
    <w:rsid w:val="005F5C1E"/>
    <w:rsid w:val="005F5EAC"/>
    <w:rsid w:val="005F5FB6"/>
    <w:rsid w:val="005F6107"/>
    <w:rsid w:val="005F61AE"/>
    <w:rsid w:val="005F6F92"/>
    <w:rsid w:val="005F7C3B"/>
    <w:rsid w:val="005F7E8D"/>
    <w:rsid w:val="00600398"/>
    <w:rsid w:val="00600A90"/>
    <w:rsid w:val="00600DCD"/>
    <w:rsid w:val="0060129B"/>
    <w:rsid w:val="006017EB"/>
    <w:rsid w:val="006020AC"/>
    <w:rsid w:val="00602E24"/>
    <w:rsid w:val="00602E6A"/>
    <w:rsid w:val="006046C8"/>
    <w:rsid w:val="00604E35"/>
    <w:rsid w:val="0060528E"/>
    <w:rsid w:val="00605574"/>
    <w:rsid w:val="00606941"/>
    <w:rsid w:val="006072E7"/>
    <w:rsid w:val="0061131E"/>
    <w:rsid w:val="00611B2A"/>
    <w:rsid w:val="006122AE"/>
    <w:rsid w:val="006130AE"/>
    <w:rsid w:val="00613CB7"/>
    <w:rsid w:val="00613E1F"/>
    <w:rsid w:val="0061448D"/>
    <w:rsid w:val="00614C4F"/>
    <w:rsid w:val="00614DC7"/>
    <w:rsid w:val="00615AA2"/>
    <w:rsid w:val="00616395"/>
    <w:rsid w:val="0062044D"/>
    <w:rsid w:val="0062044E"/>
    <w:rsid w:val="00620606"/>
    <w:rsid w:val="00620639"/>
    <w:rsid w:val="00620EE7"/>
    <w:rsid w:val="00621018"/>
    <w:rsid w:val="0062169F"/>
    <w:rsid w:val="00621D10"/>
    <w:rsid w:val="006229C0"/>
    <w:rsid w:val="00622CB5"/>
    <w:rsid w:val="00623997"/>
    <w:rsid w:val="00623A30"/>
    <w:rsid w:val="0062476E"/>
    <w:rsid w:val="006248E6"/>
    <w:rsid w:val="00624EC6"/>
    <w:rsid w:val="0062534F"/>
    <w:rsid w:val="006270FF"/>
    <w:rsid w:val="006279E4"/>
    <w:rsid w:val="00627E13"/>
    <w:rsid w:val="00630222"/>
    <w:rsid w:val="00630459"/>
    <w:rsid w:val="00630F6F"/>
    <w:rsid w:val="00631505"/>
    <w:rsid w:val="00632245"/>
    <w:rsid w:val="0063225C"/>
    <w:rsid w:val="006327BB"/>
    <w:rsid w:val="00632FD3"/>
    <w:rsid w:val="006335EF"/>
    <w:rsid w:val="00633EE8"/>
    <w:rsid w:val="006348C2"/>
    <w:rsid w:val="00634A4C"/>
    <w:rsid w:val="00634DE6"/>
    <w:rsid w:val="0063508F"/>
    <w:rsid w:val="006372BF"/>
    <w:rsid w:val="00637322"/>
    <w:rsid w:val="00637434"/>
    <w:rsid w:val="0063785D"/>
    <w:rsid w:val="0064055F"/>
    <w:rsid w:val="0064076F"/>
    <w:rsid w:val="00640CA8"/>
    <w:rsid w:val="006418E5"/>
    <w:rsid w:val="006421EA"/>
    <w:rsid w:val="00642772"/>
    <w:rsid w:val="00642ED3"/>
    <w:rsid w:val="006431C8"/>
    <w:rsid w:val="006439AE"/>
    <w:rsid w:val="006441C1"/>
    <w:rsid w:val="006446BC"/>
    <w:rsid w:val="0064578A"/>
    <w:rsid w:val="00645953"/>
    <w:rsid w:val="00646614"/>
    <w:rsid w:val="00646BC6"/>
    <w:rsid w:val="00646CCC"/>
    <w:rsid w:val="00646D03"/>
    <w:rsid w:val="00651109"/>
    <w:rsid w:val="006517A0"/>
    <w:rsid w:val="00651A1C"/>
    <w:rsid w:val="006536AF"/>
    <w:rsid w:val="00654230"/>
    <w:rsid w:val="00655371"/>
    <w:rsid w:val="00655DFD"/>
    <w:rsid w:val="006562D8"/>
    <w:rsid w:val="00656B2E"/>
    <w:rsid w:val="00656B88"/>
    <w:rsid w:val="00657332"/>
    <w:rsid w:val="00657C33"/>
    <w:rsid w:val="006605F9"/>
    <w:rsid w:val="006606BF"/>
    <w:rsid w:val="00660999"/>
    <w:rsid w:val="00660BC7"/>
    <w:rsid w:val="00661E42"/>
    <w:rsid w:val="006620E0"/>
    <w:rsid w:val="006630BE"/>
    <w:rsid w:val="00664805"/>
    <w:rsid w:val="00664B10"/>
    <w:rsid w:val="00664E88"/>
    <w:rsid w:val="006650D3"/>
    <w:rsid w:val="006653B3"/>
    <w:rsid w:val="006654A9"/>
    <w:rsid w:val="006667E1"/>
    <w:rsid w:val="00670317"/>
    <w:rsid w:val="0067093E"/>
    <w:rsid w:val="006713AB"/>
    <w:rsid w:val="00671976"/>
    <w:rsid w:val="00672890"/>
    <w:rsid w:val="00672B19"/>
    <w:rsid w:val="00673B1C"/>
    <w:rsid w:val="00674A59"/>
    <w:rsid w:val="00674C74"/>
    <w:rsid w:val="00674DC4"/>
    <w:rsid w:val="00675260"/>
    <w:rsid w:val="00675350"/>
    <w:rsid w:val="0067650E"/>
    <w:rsid w:val="0067657F"/>
    <w:rsid w:val="00676E14"/>
    <w:rsid w:val="00676F2E"/>
    <w:rsid w:val="00677896"/>
    <w:rsid w:val="00677AAE"/>
    <w:rsid w:val="00677ABE"/>
    <w:rsid w:val="00677DB8"/>
    <w:rsid w:val="00680141"/>
    <w:rsid w:val="00680FCC"/>
    <w:rsid w:val="006811FF"/>
    <w:rsid w:val="00681B16"/>
    <w:rsid w:val="00681BF8"/>
    <w:rsid w:val="00681E6F"/>
    <w:rsid w:val="00682287"/>
    <w:rsid w:val="006822B5"/>
    <w:rsid w:val="00683102"/>
    <w:rsid w:val="0068317C"/>
    <w:rsid w:val="006832D6"/>
    <w:rsid w:val="00683CE9"/>
    <w:rsid w:val="006841BF"/>
    <w:rsid w:val="006845A4"/>
    <w:rsid w:val="00684DB1"/>
    <w:rsid w:val="006872CF"/>
    <w:rsid w:val="00687FB6"/>
    <w:rsid w:val="006914EA"/>
    <w:rsid w:val="00691B91"/>
    <w:rsid w:val="006925DD"/>
    <w:rsid w:val="006928AC"/>
    <w:rsid w:val="00692BB2"/>
    <w:rsid w:val="00692BFF"/>
    <w:rsid w:val="00693091"/>
    <w:rsid w:val="006948AC"/>
    <w:rsid w:val="00694D39"/>
    <w:rsid w:val="006953CA"/>
    <w:rsid w:val="006954EC"/>
    <w:rsid w:val="006959D6"/>
    <w:rsid w:val="00695EC8"/>
    <w:rsid w:val="00696909"/>
    <w:rsid w:val="00697114"/>
    <w:rsid w:val="00697BC6"/>
    <w:rsid w:val="00697E84"/>
    <w:rsid w:val="006A1119"/>
    <w:rsid w:val="006A1B84"/>
    <w:rsid w:val="006A1FEF"/>
    <w:rsid w:val="006A27C2"/>
    <w:rsid w:val="006A2EBD"/>
    <w:rsid w:val="006A3009"/>
    <w:rsid w:val="006A3ACE"/>
    <w:rsid w:val="006A3E7B"/>
    <w:rsid w:val="006A4D9B"/>
    <w:rsid w:val="006A6950"/>
    <w:rsid w:val="006A7210"/>
    <w:rsid w:val="006A757D"/>
    <w:rsid w:val="006A7B32"/>
    <w:rsid w:val="006B002A"/>
    <w:rsid w:val="006B130C"/>
    <w:rsid w:val="006B15F2"/>
    <w:rsid w:val="006B28B5"/>
    <w:rsid w:val="006B32C8"/>
    <w:rsid w:val="006B3A46"/>
    <w:rsid w:val="006B5301"/>
    <w:rsid w:val="006B5544"/>
    <w:rsid w:val="006B698B"/>
    <w:rsid w:val="006B7C2C"/>
    <w:rsid w:val="006C1A19"/>
    <w:rsid w:val="006C221E"/>
    <w:rsid w:val="006C376B"/>
    <w:rsid w:val="006C4319"/>
    <w:rsid w:val="006C440B"/>
    <w:rsid w:val="006C453C"/>
    <w:rsid w:val="006C45C7"/>
    <w:rsid w:val="006C4881"/>
    <w:rsid w:val="006C4BC0"/>
    <w:rsid w:val="006C50E7"/>
    <w:rsid w:val="006C5C73"/>
    <w:rsid w:val="006C5DC3"/>
    <w:rsid w:val="006C616B"/>
    <w:rsid w:val="006C63FB"/>
    <w:rsid w:val="006C6AC0"/>
    <w:rsid w:val="006C6D72"/>
    <w:rsid w:val="006D0115"/>
    <w:rsid w:val="006D0279"/>
    <w:rsid w:val="006D03DF"/>
    <w:rsid w:val="006D1327"/>
    <w:rsid w:val="006D1F03"/>
    <w:rsid w:val="006D1F8F"/>
    <w:rsid w:val="006D2971"/>
    <w:rsid w:val="006D2E24"/>
    <w:rsid w:val="006D38EB"/>
    <w:rsid w:val="006D4A4A"/>
    <w:rsid w:val="006D4ADB"/>
    <w:rsid w:val="006D4D36"/>
    <w:rsid w:val="006D5DCF"/>
    <w:rsid w:val="006D6E79"/>
    <w:rsid w:val="006E017B"/>
    <w:rsid w:val="006E06A9"/>
    <w:rsid w:val="006E07C2"/>
    <w:rsid w:val="006E0888"/>
    <w:rsid w:val="006E097F"/>
    <w:rsid w:val="006E0E4A"/>
    <w:rsid w:val="006E16C4"/>
    <w:rsid w:val="006E1778"/>
    <w:rsid w:val="006E17B0"/>
    <w:rsid w:val="006E1A8C"/>
    <w:rsid w:val="006E2595"/>
    <w:rsid w:val="006E2694"/>
    <w:rsid w:val="006E2A1F"/>
    <w:rsid w:val="006E2A78"/>
    <w:rsid w:val="006E4FB2"/>
    <w:rsid w:val="006E5500"/>
    <w:rsid w:val="006E58AF"/>
    <w:rsid w:val="006E5D0E"/>
    <w:rsid w:val="006E6261"/>
    <w:rsid w:val="006E65F8"/>
    <w:rsid w:val="006E6A69"/>
    <w:rsid w:val="006E6AC7"/>
    <w:rsid w:val="006E6B4F"/>
    <w:rsid w:val="006E6DD4"/>
    <w:rsid w:val="006E73BA"/>
    <w:rsid w:val="006E7651"/>
    <w:rsid w:val="006E7C40"/>
    <w:rsid w:val="006E7F60"/>
    <w:rsid w:val="006F0181"/>
    <w:rsid w:val="006F03E3"/>
    <w:rsid w:val="006F0660"/>
    <w:rsid w:val="006F0A1F"/>
    <w:rsid w:val="006F0EA8"/>
    <w:rsid w:val="006F0F5F"/>
    <w:rsid w:val="006F150D"/>
    <w:rsid w:val="006F26F3"/>
    <w:rsid w:val="006F2CF3"/>
    <w:rsid w:val="006F3059"/>
    <w:rsid w:val="006F36F5"/>
    <w:rsid w:val="006F3A64"/>
    <w:rsid w:val="006F5987"/>
    <w:rsid w:val="006F5F1A"/>
    <w:rsid w:val="006F6C67"/>
    <w:rsid w:val="006F6EB9"/>
    <w:rsid w:val="006F7078"/>
    <w:rsid w:val="00700222"/>
    <w:rsid w:val="007002FB"/>
    <w:rsid w:val="0070040B"/>
    <w:rsid w:val="007008C7"/>
    <w:rsid w:val="007008D0"/>
    <w:rsid w:val="00701188"/>
    <w:rsid w:val="0070137E"/>
    <w:rsid w:val="0070287D"/>
    <w:rsid w:val="00702DB9"/>
    <w:rsid w:val="00702E2E"/>
    <w:rsid w:val="00703F39"/>
    <w:rsid w:val="0070554F"/>
    <w:rsid w:val="00705942"/>
    <w:rsid w:val="00705AB2"/>
    <w:rsid w:val="0070619A"/>
    <w:rsid w:val="0070678A"/>
    <w:rsid w:val="00707173"/>
    <w:rsid w:val="00707607"/>
    <w:rsid w:val="0071055F"/>
    <w:rsid w:val="0071095F"/>
    <w:rsid w:val="007118EB"/>
    <w:rsid w:val="00712C57"/>
    <w:rsid w:val="007136CC"/>
    <w:rsid w:val="00713902"/>
    <w:rsid w:val="00713B9A"/>
    <w:rsid w:val="00714281"/>
    <w:rsid w:val="00714BEF"/>
    <w:rsid w:val="00714DED"/>
    <w:rsid w:val="007157C8"/>
    <w:rsid w:val="007161CE"/>
    <w:rsid w:val="00716B38"/>
    <w:rsid w:val="00717EE2"/>
    <w:rsid w:val="007206D3"/>
    <w:rsid w:val="00721BEF"/>
    <w:rsid w:val="00722055"/>
    <w:rsid w:val="007228F2"/>
    <w:rsid w:val="00722C23"/>
    <w:rsid w:val="007246ED"/>
    <w:rsid w:val="0072578A"/>
    <w:rsid w:val="00725A8D"/>
    <w:rsid w:val="00727851"/>
    <w:rsid w:val="00727B18"/>
    <w:rsid w:val="00727FA5"/>
    <w:rsid w:val="007314A9"/>
    <w:rsid w:val="007318E5"/>
    <w:rsid w:val="00731984"/>
    <w:rsid w:val="00733157"/>
    <w:rsid w:val="007333F4"/>
    <w:rsid w:val="00733EE3"/>
    <w:rsid w:val="00733F89"/>
    <w:rsid w:val="00734A03"/>
    <w:rsid w:val="007372F4"/>
    <w:rsid w:val="00737A2D"/>
    <w:rsid w:val="00737FDC"/>
    <w:rsid w:val="007400AC"/>
    <w:rsid w:val="007406F0"/>
    <w:rsid w:val="0074189A"/>
    <w:rsid w:val="00741BAA"/>
    <w:rsid w:val="00741E2A"/>
    <w:rsid w:val="007421DB"/>
    <w:rsid w:val="0074274E"/>
    <w:rsid w:val="00744BA5"/>
    <w:rsid w:val="0074528C"/>
    <w:rsid w:val="00745567"/>
    <w:rsid w:val="00745D02"/>
    <w:rsid w:val="00745D65"/>
    <w:rsid w:val="00745F54"/>
    <w:rsid w:val="007461D4"/>
    <w:rsid w:val="007463A4"/>
    <w:rsid w:val="00746C32"/>
    <w:rsid w:val="00747802"/>
    <w:rsid w:val="00747E9F"/>
    <w:rsid w:val="00747F86"/>
    <w:rsid w:val="00750184"/>
    <w:rsid w:val="007520CE"/>
    <w:rsid w:val="00752414"/>
    <w:rsid w:val="00752573"/>
    <w:rsid w:val="00752A09"/>
    <w:rsid w:val="007548EC"/>
    <w:rsid w:val="00754B63"/>
    <w:rsid w:val="0075548A"/>
    <w:rsid w:val="00756180"/>
    <w:rsid w:val="00756636"/>
    <w:rsid w:val="007566F3"/>
    <w:rsid w:val="00756BC6"/>
    <w:rsid w:val="00756F23"/>
    <w:rsid w:val="00757736"/>
    <w:rsid w:val="00760777"/>
    <w:rsid w:val="00762B3F"/>
    <w:rsid w:val="00762B7E"/>
    <w:rsid w:val="007637A9"/>
    <w:rsid w:val="00763B8B"/>
    <w:rsid w:val="0076417B"/>
    <w:rsid w:val="00764C92"/>
    <w:rsid w:val="007651DB"/>
    <w:rsid w:val="0076552A"/>
    <w:rsid w:val="007674EC"/>
    <w:rsid w:val="007675BE"/>
    <w:rsid w:val="0077012E"/>
    <w:rsid w:val="00770158"/>
    <w:rsid w:val="00770B56"/>
    <w:rsid w:val="00770EC4"/>
    <w:rsid w:val="007710A5"/>
    <w:rsid w:val="007717BF"/>
    <w:rsid w:val="0077225D"/>
    <w:rsid w:val="00772E28"/>
    <w:rsid w:val="007734C9"/>
    <w:rsid w:val="00773560"/>
    <w:rsid w:val="007736D0"/>
    <w:rsid w:val="007737B8"/>
    <w:rsid w:val="0077463A"/>
    <w:rsid w:val="007747D1"/>
    <w:rsid w:val="00776341"/>
    <w:rsid w:val="007767C3"/>
    <w:rsid w:val="00776BC9"/>
    <w:rsid w:val="00777325"/>
    <w:rsid w:val="0077786E"/>
    <w:rsid w:val="00777E53"/>
    <w:rsid w:val="007801E4"/>
    <w:rsid w:val="00780A67"/>
    <w:rsid w:val="00780A9A"/>
    <w:rsid w:val="00780AC7"/>
    <w:rsid w:val="00780BED"/>
    <w:rsid w:val="00781105"/>
    <w:rsid w:val="007816AC"/>
    <w:rsid w:val="007817D3"/>
    <w:rsid w:val="0078183C"/>
    <w:rsid w:val="00781D05"/>
    <w:rsid w:val="007823ED"/>
    <w:rsid w:val="007838C6"/>
    <w:rsid w:val="007839AA"/>
    <w:rsid w:val="00783C5E"/>
    <w:rsid w:val="00784784"/>
    <w:rsid w:val="0078491B"/>
    <w:rsid w:val="00784D14"/>
    <w:rsid w:val="00784F1D"/>
    <w:rsid w:val="0078588F"/>
    <w:rsid w:val="00787636"/>
    <w:rsid w:val="00787B5A"/>
    <w:rsid w:val="007906B4"/>
    <w:rsid w:val="00791372"/>
    <w:rsid w:val="007916AA"/>
    <w:rsid w:val="007919DB"/>
    <w:rsid w:val="00791A91"/>
    <w:rsid w:val="007929EE"/>
    <w:rsid w:val="00792B92"/>
    <w:rsid w:val="00792E68"/>
    <w:rsid w:val="00792FF5"/>
    <w:rsid w:val="007930CD"/>
    <w:rsid w:val="00793F64"/>
    <w:rsid w:val="00795243"/>
    <w:rsid w:val="0079532A"/>
    <w:rsid w:val="00795D00"/>
    <w:rsid w:val="0079678C"/>
    <w:rsid w:val="00796F83"/>
    <w:rsid w:val="007972C6"/>
    <w:rsid w:val="00797CE7"/>
    <w:rsid w:val="007A02B7"/>
    <w:rsid w:val="007A0950"/>
    <w:rsid w:val="007A2176"/>
    <w:rsid w:val="007A2429"/>
    <w:rsid w:val="007A27C4"/>
    <w:rsid w:val="007A34D9"/>
    <w:rsid w:val="007A3771"/>
    <w:rsid w:val="007A39B7"/>
    <w:rsid w:val="007A3A5D"/>
    <w:rsid w:val="007A41EC"/>
    <w:rsid w:val="007A5446"/>
    <w:rsid w:val="007A5766"/>
    <w:rsid w:val="007A5863"/>
    <w:rsid w:val="007A5F29"/>
    <w:rsid w:val="007A6883"/>
    <w:rsid w:val="007A6D85"/>
    <w:rsid w:val="007A6E92"/>
    <w:rsid w:val="007A7F00"/>
    <w:rsid w:val="007B06CC"/>
    <w:rsid w:val="007B1015"/>
    <w:rsid w:val="007B1A5C"/>
    <w:rsid w:val="007B3AB0"/>
    <w:rsid w:val="007B4168"/>
    <w:rsid w:val="007B433E"/>
    <w:rsid w:val="007B4AB9"/>
    <w:rsid w:val="007B5BF6"/>
    <w:rsid w:val="007B5C2D"/>
    <w:rsid w:val="007B623D"/>
    <w:rsid w:val="007B7058"/>
    <w:rsid w:val="007B74E0"/>
    <w:rsid w:val="007B77EC"/>
    <w:rsid w:val="007B785D"/>
    <w:rsid w:val="007B7B20"/>
    <w:rsid w:val="007C164A"/>
    <w:rsid w:val="007C236F"/>
    <w:rsid w:val="007C2738"/>
    <w:rsid w:val="007C2746"/>
    <w:rsid w:val="007C2BCF"/>
    <w:rsid w:val="007C3645"/>
    <w:rsid w:val="007C429E"/>
    <w:rsid w:val="007C445E"/>
    <w:rsid w:val="007C4B10"/>
    <w:rsid w:val="007C56A9"/>
    <w:rsid w:val="007C5785"/>
    <w:rsid w:val="007C627E"/>
    <w:rsid w:val="007C6C74"/>
    <w:rsid w:val="007C76C8"/>
    <w:rsid w:val="007D03D2"/>
    <w:rsid w:val="007D0A66"/>
    <w:rsid w:val="007D27D9"/>
    <w:rsid w:val="007D2842"/>
    <w:rsid w:val="007D3061"/>
    <w:rsid w:val="007D376D"/>
    <w:rsid w:val="007D3BA1"/>
    <w:rsid w:val="007D401F"/>
    <w:rsid w:val="007D4F2C"/>
    <w:rsid w:val="007D5151"/>
    <w:rsid w:val="007D7383"/>
    <w:rsid w:val="007D7E2A"/>
    <w:rsid w:val="007E1113"/>
    <w:rsid w:val="007E155F"/>
    <w:rsid w:val="007E1BDD"/>
    <w:rsid w:val="007E20BA"/>
    <w:rsid w:val="007E28AC"/>
    <w:rsid w:val="007E2928"/>
    <w:rsid w:val="007E2AA9"/>
    <w:rsid w:val="007E2C07"/>
    <w:rsid w:val="007E3350"/>
    <w:rsid w:val="007E3ABE"/>
    <w:rsid w:val="007E455D"/>
    <w:rsid w:val="007E467A"/>
    <w:rsid w:val="007E51A5"/>
    <w:rsid w:val="007E5E3C"/>
    <w:rsid w:val="007E6085"/>
    <w:rsid w:val="007E65BE"/>
    <w:rsid w:val="007E69AB"/>
    <w:rsid w:val="007E6BB3"/>
    <w:rsid w:val="007F042F"/>
    <w:rsid w:val="007F081A"/>
    <w:rsid w:val="007F0A0A"/>
    <w:rsid w:val="007F1727"/>
    <w:rsid w:val="007F1B48"/>
    <w:rsid w:val="007F1D70"/>
    <w:rsid w:val="007F1E8C"/>
    <w:rsid w:val="007F2464"/>
    <w:rsid w:val="007F248C"/>
    <w:rsid w:val="007F3C2C"/>
    <w:rsid w:val="007F441B"/>
    <w:rsid w:val="007F5555"/>
    <w:rsid w:val="007F5AD1"/>
    <w:rsid w:val="007F5EF6"/>
    <w:rsid w:val="007F6A57"/>
    <w:rsid w:val="007F6BBF"/>
    <w:rsid w:val="007F6EAA"/>
    <w:rsid w:val="007F782D"/>
    <w:rsid w:val="00800136"/>
    <w:rsid w:val="00800575"/>
    <w:rsid w:val="00801CCA"/>
    <w:rsid w:val="0080270C"/>
    <w:rsid w:val="0080270E"/>
    <w:rsid w:val="00802783"/>
    <w:rsid w:val="0080290B"/>
    <w:rsid w:val="0080417F"/>
    <w:rsid w:val="008043A1"/>
    <w:rsid w:val="008045E4"/>
    <w:rsid w:val="008051C9"/>
    <w:rsid w:val="00806D25"/>
    <w:rsid w:val="008110DA"/>
    <w:rsid w:val="0081135B"/>
    <w:rsid w:val="00812EDE"/>
    <w:rsid w:val="0081304C"/>
    <w:rsid w:val="00813373"/>
    <w:rsid w:val="0081353E"/>
    <w:rsid w:val="00814CE6"/>
    <w:rsid w:val="0081696A"/>
    <w:rsid w:val="00816EBB"/>
    <w:rsid w:val="008170CE"/>
    <w:rsid w:val="00817642"/>
    <w:rsid w:val="0082018D"/>
    <w:rsid w:val="00821C08"/>
    <w:rsid w:val="00821D78"/>
    <w:rsid w:val="0082313D"/>
    <w:rsid w:val="00823153"/>
    <w:rsid w:val="008235A6"/>
    <w:rsid w:val="00823718"/>
    <w:rsid w:val="008240B3"/>
    <w:rsid w:val="0082410C"/>
    <w:rsid w:val="00824186"/>
    <w:rsid w:val="008248CE"/>
    <w:rsid w:val="00826265"/>
    <w:rsid w:val="00826288"/>
    <w:rsid w:val="008264E8"/>
    <w:rsid w:val="00826980"/>
    <w:rsid w:val="008277D5"/>
    <w:rsid w:val="008303D2"/>
    <w:rsid w:val="008313D1"/>
    <w:rsid w:val="008325BF"/>
    <w:rsid w:val="00832658"/>
    <w:rsid w:val="00832E14"/>
    <w:rsid w:val="00833150"/>
    <w:rsid w:val="00834231"/>
    <w:rsid w:val="008344B3"/>
    <w:rsid w:val="00834CEE"/>
    <w:rsid w:val="00834EA0"/>
    <w:rsid w:val="00836163"/>
    <w:rsid w:val="008368B9"/>
    <w:rsid w:val="008368E9"/>
    <w:rsid w:val="00837134"/>
    <w:rsid w:val="0083735B"/>
    <w:rsid w:val="0083787C"/>
    <w:rsid w:val="008378CA"/>
    <w:rsid w:val="00840131"/>
    <w:rsid w:val="008403BF"/>
    <w:rsid w:val="00840A7D"/>
    <w:rsid w:val="00841D48"/>
    <w:rsid w:val="00842CE2"/>
    <w:rsid w:val="0084355E"/>
    <w:rsid w:val="008439AB"/>
    <w:rsid w:val="00844042"/>
    <w:rsid w:val="008447D4"/>
    <w:rsid w:val="008464F6"/>
    <w:rsid w:val="00846FC6"/>
    <w:rsid w:val="0084736E"/>
    <w:rsid w:val="00847BDD"/>
    <w:rsid w:val="00851680"/>
    <w:rsid w:val="00851BBA"/>
    <w:rsid w:val="0085254F"/>
    <w:rsid w:val="00852DE2"/>
    <w:rsid w:val="008540D0"/>
    <w:rsid w:val="00854918"/>
    <w:rsid w:val="008553AA"/>
    <w:rsid w:val="00855BAE"/>
    <w:rsid w:val="00856DFA"/>
    <w:rsid w:val="00857B23"/>
    <w:rsid w:val="0086027E"/>
    <w:rsid w:val="008603B7"/>
    <w:rsid w:val="00861681"/>
    <w:rsid w:val="00861B04"/>
    <w:rsid w:val="00863552"/>
    <w:rsid w:val="00863A44"/>
    <w:rsid w:val="00864042"/>
    <w:rsid w:val="00864AE7"/>
    <w:rsid w:val="00864B06"/>
    <w:rsid w:val="00865BC3"/>
    <w:rsid w:val="0086628D"/>
    <w:rsid w:val="008662A7"/>
    <w:rsid w:val="0086762E"/>
    <w:rsid w:val="00867691"/>
    <w:rsid w:val="00867E3B"/>
    <w:rsid w:val="00870161"/>
    <w:rsid w:val="00870708"/>
    <w:rsid w:val="00870782"/>
    <w:rsid w:val="008707B8"/>
    <w:rsid w:val="00871C82"/>
    <w:rsid w:val="008723AE"/>
    <w:rsid w:val="008726D6"/>
    <w:rsid w:val="008732ED"/>
    <w:rsid w:val="008733D7"/>
    <w:rsid w:val="008737F3"/>
    <w:rsid w:val="00873938"/>
    <w:rsid w:val="00873A79"/>
    <w:rsid w:val="00874C47"/>
    <w:rsid w:val="00874D4F"/>
    <w:rsid w:val="00874DFA"/>
    <w:rsid w:val="008755B8"/>
    <w:rsid w:val="00875AAC"/>
    <w:rsid w:val="00875D0E"/>
    <w:rsid w:val="00875EFD"/>
    <w:rsid w:val="00876641"/>
    <w:rsid w:val="008771EE"/>
    <w:rsid w:val="0087737B"/>
    <w:rsid w:val="00877D5F"/>
    <w:rsid w:val="00880E16"/>
    <w:rsid w:val="00880F2B"/>
    <w:rsid w:val="00881330"/>
    <w:rsid w:val="008817D2"/>
    <w:rsid w:val="00881C8C"/>
    <w:rsid w:val="00882464"/>
    <w:rsid w:val="00882833"/>
    <w:rsid w:val="00882FC1"/>
    <w:rsid w:val="00883CEE"/>
    <w:rsid w:val="00883D25"/>
    <w:rsid w:val="00884A53"/>
    <w:rsid w:val="0088507D"/>
    <w:rsid w:val="008853ED"/>
    <w:rsid w:val="0088545D"/>
    <w:rsid w:val="00885EAC"/>
    <w:rsid w:val="00885F21"/>
    <w:rsid w:val="008860D2"/>
    <w:rsid w:val="0088628D"/>
    <w:rsid w:val="008863A2"/>
    <w:rsid w:val="00887DF6"/>
    <w:rsid w:val="00890810"/>
    <w:rsid w:val="00890C62"/>
    <w:rsid w:val="00891E31"/>
    <w:rsid w:val="00892ADB"/>
    <w:rsid w:val="008933B8"/>
    <w:rsid w:val="0089360E"/>
    <w:rsid w:val="00893671"/>
    <w:rsid w:val="00893ACE"/>
    <w:rsid w:val="00893D30"/>
    <w:rsid w:val="00893FAF"/>
    <w:rsid w:val="00894B07"/>
    <w:rsid w:val="00894D05"/>
    <w:rsid w:val="00894EE4"/>
    <w:rsid w:val="0089507F"/>
    <w:rsid w:val="00896C03"/>
    <w:rsid w:val="00896EFD"/>
    <w:rsid w:val="008974FE"/>
    <w:rsid w:val="00897F5D"/>
    <w:rsid w:val="008A01B8"/>
    <w:rsid w:val="008A0F38"/>
    <w:rsid w:val="008A1BF8"/>
    <w:rsid w:val="008A1E13"/>
    <w:rsid w:val="008A353B"/>
    <w:rsid w:val="008A54E7"/>
    <w:rsid w:val="008A5BDF"/>
    <w:rsid w:val="008A6A26"/>
    <w:rsid w:val="008A6BAF"/>
    <w:rsid w:val="008A6F28"/>
    <w:rsid w:val="008A7640"/>
    <w:rsid w:val="008A79A1"/>
    <w:rsid w:val="008B08A8"/>
    <w:rsid w:val="008B0934"/>
    <w:rsid w:val="008B09E4"/>
    <w:rsid w:val="008B0B15"/>
    <w:rsid w:val="008B10CB"/>
    <w:rsid w:val="008B17E9"/>
    <w:rsid w:val="008B1E15"/>
    <w:rsid w:val="008B1E21"/>
    <w:rsid w:val="008B1FA5"/>
    <w:rsid w:val="008B2BA3"/>
    <w:rsid w:val="008B3133"/>
    <w:rsid w:val="008B33AC"/>
    <w:rsid w:val="008B3900"/>
    <w:rsid w:val="008B3CB6"/>
    <w:rsid w:val="008B4B66"/>
    <w:rsid w:val="008B562D"/>
    <w:rsid w:val="008B643D"/>
    <w:rsid w:val="008B69BE"/>
    <w:rsid w:val="008B6CA7"/>
    <w:rsid w:val="008B7868"/>
    <w:rsid w:val="008B7DFC"/>
    <w:rsid w:val="008C021D"/>
    <w:rsid w:val="008C0654"/>
    <w:rsid w:val="008C0853"/>
    <w:rsid w:val="008C3975"/>
    <w:rsid w:val="008C47BA"/>
    <w:rsid w:val="008C5185"/>
    <w:rsid w:val="008C55EB"/>
    <w:rsid w:val="008C67E5"/>
    <w:rsid w:val="008C6C0B"/>
    <w:rsid w:val="008C73C3"/>
    <w:rsid w:val="008C766F"/>
    <w:rsid w:val="008D0819"/>
    <w:rsid w:val="008D0859"/>
    <w:rsid w:val="008D14CF"/>
    <w:rsid w:val="008D297A"/>
    <w:rsid w:val="008D2B08"/>
    <w:rsid w:val="008D35B1"/>
    <w:rsid w:val="008D4205"/>
    <w:rsid w:val="008D49C9"/>
    <w:rsid w:val="008D5FAB"/>
    <w:rsid w:val="008D6020"/>
    <w:rsid w:val="008D63E9"/>
    <w:rsid w:val="008D6BBC"/>
    <w:rsid w:val="008D7455"/>
    <w:rsid w:val="008D74D0"/>
    <w:rsid w:val="008D74EB"/>
    <w:rsid w:val="008D7BCB"/>
    <w:rsid w:val="008E0C42"/>
    <w:rsid w:val="008E1494"/>
    <w:rsid w:val="008E15EA"/>
    <w:rsid w:val="008E1B5A"/>
    <w:rsid w:val="008E2F74"/>
    <w:rsid w:val="008E3532"/>
    <w:rsid w:val="008E3E3E"/>
    <w:rsid w:val="008E4681"/>
    <w:rsid w:val="008E5216"/>
    <w:rsid w:val="008E55F1"/>
    <w:rsid w:val="008E68A7"/>
    <w:rsid w:val="008E728C"/>
    <w:rsid w:val="008E7327"/>
    <w:rsid w:val="008E78BF"/>
    <w:rsid w:val="008F01F0"/>
    <w:rsid w:val="008F03CC"/>
    <w:rsid w:val="008F087E"/>
    <w:rsid w:val="008F189D"/>
    <w:rsid w:val="008F1B54"/>
    <w:rsid w:val="008F255D"/>
    <w:rsid w:val="008F2853"/>
    <w:rsid w:val="008F3209"/>
    <w:rsid w:val="008F3A03"/>
    <w:rsid w:val="008F3FDD"/>
    <w:rsid w:val="008F64D5"/>
    <w:rsid w:val="008F702F"/>
    <w:rsid w:val="008F70E1"/>
    <w:rsid w:val="008F735D"/>
    <w:rsid w:val="008F78C0"/>
    <w:rsid w:val="009012A5"/>
    <w:rsid w:val="00901A8A"/>
    <w:rsid w:val="0090208D"/>
    <w:rsid w:val="009024C4"/>
    <w:rsid w:val="009029DE"/>
    <w:rsid w:val="0090316E"/>
    <w:rsid w:val="009032CC"/>
    <w:rsid w:val="0090353B"/>
    <w:rsid w:val="009040EB"/>
    <w:rsid w:val="009045E3"/>
    <w:rsid w:val="0090627F"/>
    <w:rsid w:val="0090766A"/>
    <w:rsid w:val="00907B64"/>
    <w:rsid w:val="009101A0"/>
    <w:rsid w:val="009101A1"/>
    <w:rsid w:val="0091055F"/>
    <w:rsid w:val="009115D6"/>
    <w:rsid w:val="00912AAC"/>
    <w:rsid w:val="00913442"/>
    <w:rsid w:val="00913CB2"/>
    <w:rsid w:val="00913E0F"/>
    <w:rsid w:val="00915D22"/>
    <w:rsid w:val="00915ECE"/>
    <w:rsid w:val="0091610D"/>
    <w:rsid w:val="009163AD"/>
    <w:rsid w:val="009166B8"/>
    <w:rsid w:val="00916EFB"/>
    <w:rsid w:val="009201EE"/>
    <w:rsid w:val="009209BD"/>
    <w:rsid w:val="009212C2"/>
    <w:rsid w:val="00921361"/>
    <w:rsid w:val="0092191C"/>
    <w:rsid w:val="00922464"/>
    <w:rsid w:val="00922D98"/>
    <w:rsid w:val="00923600"/>
    <w:rsid w:val="0092394D"/>
    <w:rsid w:val="00923AC1"/>
    <w:rsid w:val="00923BAC"/>
    <w:rsid w:val="00923E46"/>
    <w:rsid w:val="00923E7D"/>
    <w:rsid w:val="00925FA1"/>
    <w:rsid w:val="00926019"/>
    <w:rsid w:val="00926A42"/>
    <w:rsid w:val="0092700E"/>
    <w:rsid w:val="00927194"/>
    <w:rsid w:val="009276B1"/>
    <w:rsid w:val="009301AE"/>
    <w:rsid w:val="0093039C"/>
    <w:rsid w:val="00930F58"/>
    <w:rsid w:val="00932182"/>
    <w:rsid w:val="00932A54"/>
    <w:rsid w:val="00932C21"/>
    <w:rsid w:val="00933057"/>
    <w:rsid w:val="009333DA"/>
    <w:rsid w:val="0093379B"/>
    <w:rsid w:val="00933B5D"/>
    <w:rsid w:val="00933BE8"/>
    <w:rsid w:val="00933C65"/>
    <w:rsid w:val="00933CA9"/>
    <w:rsid w:val="00934CDB"/>
    <w:rsid w:val="00936B38"/>
    <w:rsid w:val="00936B7E"/>
    <w:rsid w:val="00937046"/>
    <w:rsid w:val="009370FF"/>
    <w:rsid w:val="009375FD"/>
    <w:rsid w:val="00937911"/>
    <w:rsid w:val="00941CE3"/>
    <w:rsid w:val="00942B91"/>
    <w:rsid w:val="00943A37"/>
    <w:rsid w:val="00944258"/>
    <w:rsid w:val="00944518"/>
    <w:rsid w:val="00944F09"/>
    <w:rsid w:val="0094537C"/>
    <w:rsid w:val="00945899"/>
    <w:rsid w:val="009460D9"/>
    <w:rsid w:val="00946B3E"/>
    <w:rsid w:val="00946D21"/>
    <w:rsid w:val="009474A0"/>
    <w:rsid w:val="00947ACC"/>
    <w:rsid w:val="00947B58"/>
    <w:rsid w:val="00947ECA"/>
    <w:rsid w:val="00950865"/>
    <w:rsid w:val="00950C35"/>
    <w:rsid w:val="00951444"/>
    <w:rsid w:val="00951816"/>
    <w:rsid w:val="0095273E"/>
    <w:rsid w:val="00952C40"/>
    <w:rsid w:val="00953589"/>
    <w:rsid w:val="009535F6"/>
    <w:rsid w:val="00953A15"/>
    <w:rsid w:val="00954DB3"/>
    <w:rsid w:val="00955755"/>
    <w:rsid w:val="00956091"/>
    <w:rsid w:val="009564B0"/>
    <w:rsid w:val="00957D5A"/>
    <w:rsid w:val="0096023A"/>
    <w:rsid w:val="009602F2"/>
    <w:rsid w:val="0096059E"/>
    <w:rsid w:val="00960F4B"/>
    <w:rsid w:val="0096139B"/>
    <w:rsid w:val="00961AFF"/>
    <w:rsid w:val="009634B8"/>
    <w:rsid w:val="0096394B"/>
    <w:rsid w:val="00963ED8"/>
    <w:rsid w:val="009640D3"/>
    <w:rsid w:val="00964D5A"/>
    <w:rsid w:val="00965C2C"/>
    <w:rsid w:val="00966078"/>
    <w:rsid w:val="00966CA6"/>
    <w:rsid w:val="00970C34"/>
    <w:rsid w:val="0097102C"/>
    <w:rsid w:val="00972702"/>
    <w:rsid w:val="0097275B"/>
    <w:rsid w:val="0097285E"/>
    <w:rsid w:val="00972ED7"/>
    <w:rsid w:val="00973519"/>
    <w:rsid w:val="00973A11"/>
    <w:rsid w:val="0097533B"/>
    <w:rsid w:val="0097578C"/>
    <w:rsid w:val="0097581D"/>
    <w:rsid w:val="00975B95"/>
    <w:rsid w:val="00976CE7"/>
    <w:rsid w:val="00976F30"/>
    <w:rsid w:val="00976F92"/>
    <w:rsid w:val="00977563"/>
    <w:rsid w:val="00977A76"/>
    <w:rsid w:val="00980019"/>
    <w:rsid w:val="009804CB"/>
    <w:rsid w:val="009806F1"/>
    <w:rsid w:val="009811F7"/>
    <w:rsid w:val="0098199C"/>
    <w:rsid w:val="00982F14"/>
    <w:rsid w:val="00983CBC"/>
    <w:rsid w:val="00983CFE"/>
    <w:rsid w:val="009842DC"/>
    <w:rsid w:val="0098438F"/>
    <w:rsid w:val="00984EEA"/>
    <w:rsid w:val="00984FC0"/>
    <w:rsid w:val="0098554F"/>
    <w:rsid w:val="009855AE"/>
    <w:rsid w:val="00985667"/>
    <w:rsid w:val="00986287"/>
    <w:rsid w:val="009875FA"/>
    <w:rsid w:val="0098764F"/>
    <w:rsid w:val="0098784D"/>
    <w:rsid w:val="009878CD"/>
    <w:rsid w:val="00987C93"/>
    <w:rsid w:val="00987EA5"/>
    <w:rsid w:val="0099023B"/>
    <w:rsid w:val="009909C3"/>
    <w:rsid w:val="00991216"/>
    <w:rsid w:val="00991349"/>
    <w:rsid w:val="00991354"/>
    <w:rsid w:val="009913D2"/>
    <w:rsid w:val="00991A65"/>
    <w:rsid w:val="00992415"/>
    <w:rsid w:val="009924AE"/>
    <w:rsid w:val="009934BD"/>
    <w:rsid w:val="009935C1"/>
    <w:rsid w:val="00993943"/>
    <w:rsid w:val="00993F01"/>
    <w:rsid w:val="00994035"/>
    <w:rsid w:val="0099436C"/>
    <w:rsid w:val="0099441A"/>
    <w:rsid w:val="0099476D"/>
    <w:rsid w:val="009960CC"/>
    <w:rsid w:val="00996724"/>
    <w:rsid w:val="00996779"/>
    <w:rsid w:val="00997F2B"/>
    <w:rsid w:val="009A01C9"/>
    <w:rsid w:val="009A0607"/>
    <w:rsid w:val="009A3457"/>
    <w:rsid w:val="009A357E"/>
    <w:rsid w:val="009A368D"/>
    <w:rsid w:val="009A3D96"/>
    <w:rsid w:val="009A3E02"/>
    <w:rsid w:val="009A4829"/>
    <w:rsid w:val="009A4ACF"/>
    <w:rsid w:val="009A621B"/>
    <w:rsid w:val="009A6ECD"/>
    <w:rsid w:val="009A6EFC"/>
    <w:rsid w:val="009A7E33"/>
    <w:rsid w:val="009B0780"/>
    <w:rsid w:val="009B11D0"/>
    <w:rsid w:val="009B13CF"/>
    <w:rsid w:val="009B16B7"/>
    <w:rsid w:val="009B21D3"/>
    <w:rsid w:val="009B2D7F"/>
    <w:rsid w:val="009B2E9F"/>
    <w:rsid w:val="009B2EB9"/>
    <w:rsid w:val="009B414C"/>
    <w:rsid w:val="009B41C6"/>
    <w:rsid w:val="009B498F"/>
    <w:rsid w:val="009B51AF"/>
    <w:rsid w:val="009B53E1"/>
    <w:rsid w:val="009B5586"/>
    <w:rsid w:val="009B5934"/>
    <w:rsid w:val="009B5EB5"/>
    <w:rsid w:val="009B6EEB"/>
    <w:rsid w:val="009B7205"/>
    <w:rsid w:val="009B72F3"/>
    <w:rsid w:val="009B737A"/>
    <w:rsid w:val="009B7639"/>
    <w:rsid w:val="009B77EE"/>
    <w:rsid w:val="009B7F81"/>
    <w:rsid w:val="009C0449"/>
    <w:rsid w:val="009C04C6"/>
    <w:rsid w:val="009C0C34"/>
    <w:rsid w:val="009C0E53"/>
    <w:rsid w:val="009C13F5"/>
    <w:rsid w:val="009C14DE"/>
    <w:rsid w:val="009C20F0"/>
    <w:rsid w:val="009C336E"/>
    <w:rsid w:val="009C3B4C"/>
    <w:rsid w:val="009C4C7E"/>
    <w:rsid w:val="009C5240"/>
    <w:rsid w:val="009C566F"/>
    <w:rsid w:val="009C56FC"/>
    <w:rsid w:val="009C5ABE"/>
    <w:rsid w:val="009C6600"/>
    <w:rsid w:val="009C690C"/>
    <w:rsid w:val="009C70A3"/>
    <w:rsid w:val="009C72E1"/>
    <w:rsid w:val="009C7776"/>
    <w:rsid w:val="009C7BEF"/>
    <w:rsid w:val="009D02B7"/>
    <w:rsid w:val="009D2726"/>
    <w:rsid w:val="009D2834"/>
    <w:rsid w:val="009D4FAE"/>
    <w:rsid w:val="009D7292"/>
    <w:rsid w:val="009E0B58"/>
    <w:rsid w:val="009E147D"/>
    <w:rsid w:val="009E17C0"/>
    <w:rsid w:val="009E1BC1"/>
    <w:rsid w:val="009E1BF4"/>
    <w:rsid w:val="009E1F8D"/>
    <w:rsid w:val="009E2020"/>
    <w:rsid w:val="009E21C8"/>
    <w:rsid w:val="009E27AA"/>
    <w:rsid w:val="009E2A3E"/>
    <w:rsid w:val="009E4219"/>
    <w:rsid w:val="009E431F"/>
    <w:rsid w:val="009E47C1"/>
    <w:rsid w:val="009E4F4F"/>
    <w:rsid w:val="009E501C"/>
    <w:rsid w:val="009E521F"/>
    <w:rsid w:val="009E56E2"/>
    <w:rsid w:val="009E5CBF"/>
    <w:rsid w:val="009E621E"/>
    <w:rsid w:val="009E6BBC"/>
    <w:rsid w:val="009F0826"/>
    <w:rsid w:val="009F15A7"/>
    <w:rsid w:val="009F1638"/>
    <w:rsid w:val="009F19E1"/>
    <w:rsid w:val="009F200C"/>
    <w:rsid w:val="009F210D"/>
    <w:rsid w:val="009F287D"/>
    <w:rsid w:val="009F3454"/>
    <w:rsid w:val="009F3BBB"/>
    <w:rsid w:val="009F44FF"/>
    <w:rsid w:val="009F50E1"/>
    <w:rsid w:val="009F57EC"/>
    <w:rsid w:val="009F68AA"/>
    <w:rsid w:val="009F695B"/>
    <w:rsid w:val="009F6F83"/>
    <w:rsid w:val="00A0011F"/>
    <w:rsid w:val="00A00A2A"/>
    <w:rsid w:val="00A02D8B"/>
    <w:rsid w:val="00A02DDE"/>
    <w:rsid w:val="00A0317A"/>
    <w:rsid w:val="00A035A2"/>
    <w:rsid w:val="00A0362D"/>
    <w:rsid w:val="00A037BD"/>
    <w:rsid w:val="00A0384A"/>
    <w:rsid w:val="00A03C44"/>
    <w:rsid w:val="00A041E4"/>
    <w:rsid w:val="00A045F2"/>
    <w:rsid w:val="00A06BDD"/>
    <w:rsid w:val="00A07308"/>
    <w:rsid w:val="00A07345"/>
    <w:rsid w:val="00A07D1C"/>
    <w:rsid w:val="00A07F05"/>
    <w:rsid w:val="00A112F0"/>
    <w:rsid w:val="00A11DD5"/>
    <w:rsid w:val="00A1544B"/>
    <w:rsid w:val="00A1659E"/>
    <w:rsid w:val="00A16FAC"/>
    <w:rsid w:val="00A178A9"/>
    <w:rsid w:val="00A17D48"/>
    <w:rsid w:val="00A20927"/>
    <w:rsid w:val="00A21479"/>
    <w:rsid w:val="00A21640"/>
    <w:rsid w:val="00A21747"/>
    <w:rsid w:val="00A2188E"/>
    <w:rsid w:val="00A224F8"/>
    <w:rsid w:val="00A22832"/>
    <w:rsid w:val="00A22AB4"/>
    <w:rsid w:val="00A23FB0"/>
    <w:rsid w:val="00A241BD"/>
    <w:rsid w:val="00A251F4"/>
    <w:rsid w:val="00A26358"/>
    <w:rsid w:val="00A26652"/>
    <w:rsid w:val="00A26AC9"/>
    <w:rsid w:val="00A26BE1"/>
    <w:rsid w:val="00A277E4"/>
    <w:rsid w:val="00A27A5F"/>
    <w:rsid w:val="00A301C7"/>
    <w:rsid w:val="00A30AB2"/>
    <w:rsid w:val="00A316DF"/>
    <w:rsid w:val="00A323E5"/>
    <w:rsid w:val="00A32B87"/>
    <w:rsid w:val="00A3441A"/>
    <w:rsid w:val="00A34B0C"/>
    <w:rsid w:val="00A34E8B"/>
    <w:rsid w:val="00A35996"/>
    <w:rsid w:val="00A35E78"/>
    <w:rsid w:val="00A363C8"/>
    <w:rsid w:val="00A37422"/>
    <w:rsid w:val="00A37478"/>
    <w:rsid w:val="00A37922"/>
    <w:rsid w:val="00A4023F"/>
    <w:rsid w:val="00A4043C"/>
    <w:rsid w:val="00A41276"/>
    <w:rsid w:val="00A4136F"/>
    <w:rsid w:val="00A41873"/>
    <w:rsid w:val="00A41B6D"/>
    <w:rsid w:val="00A41E6E"/>
    <w:rsid w:val="00A41F5A"/>
    <w:rsid w:val="00A421B9"/>
    <w:rsid w:val="00A42493"/>
    <w:rsid w:val="00A43592"/>
    <w:rsid w:val="00A43D18"/>
    <w:rsid w:val="00A43F1F"/>
    <w:rsid w:val="00A44262"/>
    <w:rsid w:val="00A44CBD"/>
    <w:rsid w:val="00A5139A"/>
    <w:rsid w:val="00A52F63"/>
    <w:rsid w:val="00A5436E"/>
    <w:rsid w:val="00A54D38"/>
    <w:rsid w:val="00A550AE"/>
    <w:rsid w:val="00A559C9"/>
    <w:rsid w:val="00A564D4"/>
    <w:rsid w:val="00A56BA0"/>
    <w:rsid w:val="00A57F14"/>
    <w:rsid w:val="00A600ED"/>
    <w:rsid w:val="00A6080C"/>
    <w:rsid w:val="00A61E0B"/>
    <w:rsid w:val="00A6224B"/>
    <w:rsid w:val="00A623BD"/>
    <w:rsid w:val="00A62A82"/>
    <w:rsid w:val="00A6368B"/>
    <w:rsid w:val="00A63B46"/>
    <w:rsid w:val="00A64D8F"/>
    <w:rsid w:val="00A64ED2"/>
    <w:rsid w:val="00A65040"/>
    <w:rsid w:val="00A651BE"/>
    <w:rsid w:val="00A66666"/>
    <w:rsid w:val="00A677E0"/>
    <w:rsid w:val="00A67840"/>
    <w:rsid w:val="00A67966"/>
    <w:rsid w:val="00A70383"/>
    <w:rsid w:val="00A70393"/>
    <w:rsid w:val="00A719AE"/>
    <w:rsid w:val="00A734B1"/>
    <w:rsid w:val="00A74588"/>
    <w:rsid w:val="00A75216"/>
    <w:rsid w:val="00A75999"/>
    <w:rsid w:val="00A75A90"/>
    <w:rsid w:val="00A767C9"/>
    <w:rsid w:val="00A7699E"/>
    <w:rsid w:val="00A769AD"/>
    <w:rsid w:val="00A76DAA"/>
    <w:rsid w:val="00A76F0D"/>
    <w:rsid w:val="00A80636"/>
    <w:rsid w:val="00A80866"/>
    <w:rsid w:val="00A8105D"/>
    <w:rsid w:val="00A811E4"/>
    <w:rsid w:val="00A81FB6"/>
    <w:rsid w:val="00A824FE"/>
    <w:rsid w:val="00A82727"/>
    <w:rsid w:val="00A846B2"/>
    <w:rsid w:val="00A850D2"/>
    <w:rsid w:val="00A856A7"/>
    <w:rsid w:val="00A85E75"/>
    <w:rsid w:val="00A86002"/>
    <w:rsid w:val="00A86104"/>
    <w:rsid w:val="00A86836"/>
    <w:rsid w:val="00A8687B"/>
    <w:rsid w:val="00A873F7"/>
    <w:rsid w:val="00A87773"/>
    <w:rsid w:val="00A877E2"/>
    <w:rsid w:val="00A87C20"/>
    <w:rsid w:val="00A90992"/>
    <w:rsid w:val="00A90C4D"/>
    <w:rsid w:val="00A918BA"/>
    <w:rsid w:val="00A92ACF"/>
    <w:rsid w:val="00A92CE3"/>
    <w:rsid w:val="00A92DAE"/>
    <w:rsid w:val="00A93317"/>
    <w:rsid w:val="00A93F88"/>
    <w:rsid w:val="00A94055"/>
    <w:rsid w:val="00A94056"/>
    <w:rsid w:val="00A94231"/>
    <w:rsid w:val="00A94B5C"/>
    <w:rsid w:val="00A9529C"/>
    <w:rsid w:val="00A9558D"/>
    <w:rsid w:val="00A9577C"/>
    <w:rsid w:val="00A95D47"/>
    <w:rsid w:val="00A964CC"/>
    <w:rsid w:val="00A964D0"/>
    <w:rsid w:val="00A9695C"/>
    <w:rsid w:val="00A9697D"/>
    <w:rsid w:val="00A97928"/>
    <w:rsid w:val="00A97D17"/>
    <w:rsid w:val="00AA038F"/>
    <w:rsid w:val="00AA04CA"/>
    <w:rsid w:val="00AA0EB9"/>
    <w:rsid w:val="00AA13A3"/>
    <w:rsid w:val="00AA18FB"/>
    <w:rsid w:val="00AA1FD0"/>
    <w:rsid w:val="00AA2110"/>
    <w:rsid w:val="00AA2C69"/>
    <w:rsid w:val="00AA32CE"/>
    <w:rsid w:val="00AA3660"/>
    <w:rsid w:val="00AA382B"/>
    <w:rsid w:val="00AA4549"/>
    <w:rsid w:val="00AA4601"/>
    <w:rsid w:val="00AA47E3"/>
    <w:rsid w:val="00AA4DAB"/>
    <w:rsid w:val="00AA4E66"/>
    <w:rsid w:val="00AA4FFC"/>
    <w:rsid w:val="00AA51D2"/>
    <w:rsid w:val="00AA63EB"/>
    <w:rsid w:val="00AA648F"/>
    <w:rsid w:val="00AA6F19"/>
    <w:rsid w:val="00AA7073"/>
    <w:rsid w:val="00AB0120"/>
    <w:rsid w:val="00AB02DB"/>
    <w:rsid w:val="00AB0B13"/>
    <w:rsid w:val="00AB0C37"/>
    <w:rsid w:val="00AB0E61"/>
    <w:rsid w:val="00AB106D"/>
    <w:rsid w:val="00AB1D9F"/>
    <w:rsid w:val="00AB26E6"/>
    <w:rsid w:val="00AB4868"/>
    <w:rsid w:val="00AB499B"/>
    <w:rsid w:val="00AB4E90"/>
    <w:rsid w:val="00AB4FF3"/>
    <w:rsid w:val="00AB51E5"/>
    <w:rsid w:val="00AB53FB"/>
    <w:rsid w:val="00AB541F"/>
    <w:rsid w:val="00AB5906"/>
    <w:rsid w:val="00AB5DC4"/>
    <w:rsid w:val="00AB6092"/>
    <w:rsid w:val="00AB636C"/>
    <w:rsid w:val="00AB6716"/>
    <w:rsid w:val="00AB6937"/>
    <w:rsid w:val="00AB69AA"/>
    <w:rsid w:val="00AB6ADF"/>
    <w:rsid w:val="00AB6ED5"/>
    <w:rsid w:val="00AB6F6D"/>
    <w:rsid w:val="00AB769C"/>
    <w:rsid w:val="00AC052D"/>
    <w:rsid w:val="00AC0B88"/>
    <w:rsid w:val="00AC0E21"/>
    <w:rsid w:val="00AC2F81"/>
    <w:rsid w:val="00AC3332"/>
    <w:rsid w:val="00AC35F0"/>
    <w:rsid w:val="00AC3ADF"/>
    <w:rsid w:val="00AC3EF5"/>
    <w:rsid w:val="00AC48F4"/>
    <w:rsid w:val="00AC5317"/>
    <w:rsid w:val="00AC5EF6"/>
    <w:rsid w:val="00AC6587"/>
    <w:rsid w:val="00AC6E1C"/>
    <w:rsid w:val="00AC7E2C"/>
    <w:rsid w:val="00AD0218"/>
    <w:rsid w:val="00AD07F8"/>
    <w:rsid w:val="00AD0E73"/>
    <w:rsid w:val="00AD0F7B"/>
    <w:rsid w:val="00AD18A8"/>
    <w:rsid w:val="00AD1F9D"/>
    <w:rsid w:val="00AD29DB"/>
    <w:rsid w:val="00AD36A2"/>
    <w:rsid w:val="00AD3A1E"/>
    <w:rsid w:val="00AD3CEC"/>
    <w:rsid w:val="00AD44EF"/>
    <w:rsid w:val="00AD45C8"/>
    <w:rsid w:val="00AD4F49"/>
    <w:rsid w:val="00AD5E9A"/>
    <w:rsid w:val="00AD66DB"/>
    <w:rsid w:val="00AD6AA9"/>
    <w:rsid w:val="00AE0B1E"/>
    <w:rsid w:val="00AE233C"/>
    <w:rsid w:val="00AE2434"/>
    <w:rsid w:val="00AE26DB"/>
    <w:rsid w:val="00AE51FE"/>
    <w:rsid w:val="00AE5313"/>
    <w:rsid w:val="00AE5364"/>
    <w:rsid w:val="00AE6A54"/>
    <w:rsid w:val="00AE720B"/>
    <w:rsid w:val="00AE786D"/>
    <w:rsid w:val="00AE7F27"/>
    <w:rsid w:val="00AF0C7C"/>
    <w:rsid w:val="00AF2C27"/>
    <w:rsid w:val="00AF353E"/>
    <w:rsid w:val="00AF3D70"/>
    <w:rsid w:val="00AF439D"/>
    <w:rsid w:val="00AF442F"/>
    <w:rsid w:val="00AF44B7"/>
    <w:rsid w:val="00AF4926"/>
    <w:rsid w:val="00AF52C6"/>
    <w:rsid w:val="00AF5A60"/>
    <w:rsid w:val="00AF73EA"/>
    <w:rsid w:val="00B00CD6"/>
    <w:rsid w:val="00B00FD2"/>
    <w:rsid w:val="00B0227F"/>
    <w:rsid w:val="00B0344F"/>
    <w:rsid w:val="00B0354B"/>
    <w:rsid w:val="00B059A7"/>
    <w:rsid w:val="00B05BCF"/>
    <w:rsid w:val="00B061BF"/>
    <w:rsid w:val="00B06780"/>
    <w:rsid w:val="00B067C4"/>
    <w:rsid w:val="00B06DC0"/>
    <w:rsid w:val="00B073F1"/>
    <w:rsid w:val="00B07B9A"/>
    <w:rsid w:val="00B07DEC"/>
    <w:rsid w:val="00B07FEE"/>
    <w:rsid w:val="00B102FC"/>
    <w:rsid w:val="00B1057D"/>
    <w:rsid w:val="00B10A34"/>
    <w:rsid w:val="00B110F4"/>
    <w:rsid w:val="00B121E6"/>
    <w:rsid w:val="00B125D5"/>
    <w:rsid w:val="00B127D2"/>
    <w:rsid w:val="00B131C6"/>
    <w:rsid w:val="00B13282"/>
    <w:rsid w:val="00B13596"/>
    <w:rsid w:val="00B156D1"/>
    <w:rsid w:val="00B16429"/>
    <w:rsid w:val="00B16808"/>
    <w:rsid w:val="00B169A4"/>
    <w:rsid w:val="00B16D9A"/>
    <w:rsid w:val="00B20176"/>
    <w:rsid w:val="00B2055C"/>
    <w:rsid w:val="00B207D8"/>
    <w:rsid w:val="00B20C48"/>
    <w:rsid w:val="00B20D3C"/>
    <w:rsid w:val="00B21604"/>
    <w:rsid w:val="00B21940"/>
    <w:rsid w:val="00B21C7D"/>
    <w:rsid w:val="00B22A72"/>
    <w:rsid w:val="00B22AC4"/>
    <w:rsid w:val="00B23174"/>
    <w:rsid w:val="00B24083"/>
    <w:rsid w:val="00B240A5"/>
    <w:rsid w:val="00B24F20"/>
    <w:rsid w:val="00B25DD6"/>
    <w:rsid w:val="00B26209"/>
    <w:rsid w:val="00B27215"/>
    <w:rsid w:val="00B27EA2"/>
    <w:rsid w:val="00B315DB"/>
    <w:rsid w:val="00B319A4"/>
    <w:rsid w:val="00B3204F"/>
    <w:rsid w:val="00B3285B"/>
    <w:rsid w:val="00B32984"/>
    <w:rsid w:val="00B337CA"/>
    <w:rsid w:val="00B33E86"/>
    <w:rsid w:val="00B3428E"/>
    <w:rsid w:val="00B34686"/>
    <w:rsid w:val="00B349AC"/>
    <w:rsid w:val="00B36577"/>
    <w:rsid w:val="00B36ED3"/>
    <w:rsid w:val="00B372A1"/>
    <w:rsid w:val="00B400DB"/>
    <w:rsid w:val="00B42F2E"/>
    <w:rsid w:val="00B43466"/>
    <w:rsid w:val="00B449D1"/>
    <w:rsid w:val="00B44C4F"/>
    <w:rsid w:val="00B45276"/>
    <w:rsid w:val="00B4541F"/>
    <w:rsid w:val="00B45583"/>
    <w:rsid w:val="00B45B7A"/>
    <w:rsid w:val="00B46195"/>
    <w:rsid w:val="00B46836"/>
    <w:rsid w:val="00B46B6A"/>
    <w:rsid w:val="00B46D80"/>
    <w:rsid w:val="00B47314"/>
    <w:rsid w:val="00B47CDE"/>
    <w:rsid w:val="00B47D08"/>
    <w:rsid w:val="00B51292"/>
    <w:rsid w:val="00B521DD"/>
    <w:rsid w:val="00B53257"/>
    <w:rsid w:val="00B53617"/>
    <w:rsid w:val="00B53B68"/>
    <w:rsid w:val="00B53D02"/>
    <w:rsid w:val="00B5450A"/>
    <w:rsid w:val="00B54600"/>
    <w:rsid w:val="00B56587"/>
    <w:rsid w:val="00B56594"/>
    <w:rsid w:val="00B56A88"/>
    <w:rsid w:val="00B5708C"/>
    <w:rsid w:val="00B57E4B"/>
    <w:rsid w:val="00B57E5E"/>
    <w:rsid w:val="00B6023B"/>
    <w:rsid w:val="00B60FCB"/>
    <w:rsid w:val="00B61D17"/>
    <w:rsid w:val="00B63EE9"/>
    <w:rsid w:val="00B64E8F"/>
    <w:rsid w:val="00B6559F"/>
    <w:rsid w:val="00B6597A"/>
    <w:rsid w:val="00B65E65"/>
    <w:rsid w:val="00B66056"/>
    <w:rsid w:val="00B66127"/>
    <w:rsid w:val="00B6617F"/>
    <w:rsid w:val="00B667EB"/>
    <w:rsid w:val="00B66B42"/>
    <w:rsid w:val="00B67071"/>
    <w:rsid w:val="00B6719C"/>
    <w:rsid w:val="00B67E4B"/>
    <w:rsid w:val="00B70A84"/>
    <w:rsid w:val="00B71787"/>
    <w:rsid w:val="00B71B1C"/>
    <w:rsid w:val="00B71C39"/>
    <w:rsid w:val="00B721F6"/>
    <w:rsid w:val="00B731BB"/>
    <w:rsid w:val="00B734ED"/>
    <w:rsid w:val="00B73712"/>
    <w:rsid w:val="00B73A9E"/>
    <w:rsid w:val="00B74418"/>
    <w:rsid w:val="00B75816"/>
    <w:rsid w:val="00B759C0"/>
    <w:rsid w:val="00B76545"/>
    <w:rsid w:val="00B775BA"/>
    <w:rsid w:val="00B80651"/>
    <w:rsid w:val="00B82842"/>
    <w:rsid w:val="00B84155"/>
    <w:rsid w:val="00B84431"/>
    <w:rsid w:val="00B853F9"/>
    <w:rsid w:val="00B85425"/>
    <w:rsid w:val="00B85762"/>
    <w:rsid w:val="00B85D59"/>
    <w:rsid w:val="00B863E2"/>
    <w:rsid w:val="00B86B25"/>
    <w:rsid w:val="00B86F02"/>
    <w:rsid w:val="00B87693"/>
    <w:rsid w:val="00B87DB4"/>
    <w:rsid w:val="00B904E4"/>
    <w:rsid w:val="00B905FC"/>
    <w:rsid w:val="00B90FE8"/>
    <w:rsid w:val="00B9204F"/>
    <w:rsid w:val="00B929CE"/>
    <w:rsid w:val="00B92FCF"/>
    <w:rsid w:val="00B93380"/>
    <w:rsid w:val="00B9444D"/>
    <w:rsid w:val="00B945FE"/>
    <w:rsid w:val="00B954F6"/>
    <w:rsid w:val="00B95A48"/>
    <w:rsid w:val="00B970A4"/>
    <w:rsid w:val="00B97855"/>
    <w:rsid w:val="00BA03DC"/>
    <w:rsid w:val="00BA061F"/>
    <w:rsid w:val="00BA079A"/>
    <w:rsid w:val="00BA277F"/>
    <w:rsid w:val="00BA2D7D"/>
    <w:rsid w:val="00BA3C8B"/>
    <w:rsid w:val="00BA4155"/>
    <w:rsid w:val="00BA4378"/>
    <w:rsid w:val="00BA5587"/>
    <w:rsid w:val="00BA6434"/>
    <w:rsid w:val="00BA66EA"/>
    <w:rsid w:val="00BA7346"/>
    <w:rsid w:val="00BA755A"/>
    <w:rsid w:val="00BA7BCA"/>
    <w:rsid w:val="00BA7D14"/>
    <w:rsid w:val="00BA7FD6"/>
    <w:rsid w:val="00BB0428"/>
    <w:rsid w:val="00BB05E7"/>
    <w:rsid w:val="00BB0621"/>
    <w:rsid w:val="00BB0DE4"/>
    <w:rsid w:val="00BB1E00"/>
    <w:rsid w:val="00BB1E03"/>
    <w:rsid w:val="00BB2FE2"/>
    <w:rsid w:val="00BB30CF"/>
    <w:rsid w:val="00BB4421"/>
    <w:rsid w:val="00BB4887"/>
    <w:rsid w:val="00BB55ED"/>
    <w:rsid w:val="00BC11E2"/>
    <w:rsid w:val="00BC1DCC"/>
    <w:rsid w:val="00BC26C0"/>
    <w:rsid w:val="00BC2FDB"/>
    <w:rsid w:val="00BC3215"/>
    <w:rsid w:val="00BC42AF"/>
    <w:rsid w:val="00BC4471"/>
    <w:rsid w:val="00BC4A30"/>
    <w:rsid w:val="00BC4A90"/>
    <w:rsid w:val="00BC5334"/>
    <w:rsid w:val="00BC5610"/>
    <w:rsid w:val="00BC6026"/>
    <w:rsid w:val="00BC6061"/>
    <w:rsid w:val="00BC6A12"/>
    <w:rsid w:val="00BC6C11"/>
    <w:rsid w:val="00BC7A84"/>
    <w:rsid w:val="00BC7F3D"/>
    <w:rsid w:val="00BD0F58"/>
    <w:rsid w:val="00BD13D8"/>
    <w:rsid w:val="00BD1CE5"/>
    <w:rsid w:val="00BD2860"/>
    <w:rsid w:val="00BD2AB3"/>
    <w:rsid w:val="00BD327A"/>
    <w:rsid w:val="00BD3315"/>
    <w:rsid w:val="00BD349B"/>
    <w:rsid w:val="00BD398B"/>
    <w:rsid w:val="00BD3A56"/>
    <w:rsid w:val="00BD5A3D"/>
    <w:rsid w:val="00BD61A8"/>
    <w:rsid w:val="00BD6459"/>
    <w:rsid w:val="00BD6714"/>
    <w:rsid w:val="00BD6A05"/>
    <w:rsid w:val="00BD6DE4"/>
    <w:rsid w:val="00BD6DF0"/>
    <w:rsid w:val="00BD745F"/>
    <w:rsid w:val="00BE1064"/>
    <w:rsid w:val="00BE14F4"/>
    <w:rsid w:val="00BE1820"/>
    <w:rsid w:val="00BE1D76"/>
    <w:rsid w:val="00BE1D92"/>
    <w:rsid w:val="00BE287F"/>
    <w:rsid w:val="00BE2C6C"/>
    <w:rsid w:val="00BE34DB"/>
    <w:rsid w:val="00BE3CD6"/>
    <w:rsid w:val="00BE52E7"/>
    <w:rsid w:val="00BE5BC1"/>
    <w:rsid w:val="00BE62F1"/>
    <w:rsid w:val="00BE63A7"/>
    <w:rsid w:val="00BE6828"/>
    <w:rsid w:val="00BE68FA"/>
    <w:rsid w:val="00BE77EC"/>
    <w:rsid w:val="00BF03F1"/>
    <w:rsid w:val="00BF053B"/>
    <w:rsid w:val="00BF199C"/>
    <w:rsid w:val="00BF1BF2"/>
    <w:rsid w:val="00BF1D61"/>
    <w:rsid w:val="00BF218A"/>
    <w:rsid w:val="00BF2D94"/>
    <w:rsid w:val="00BF3303"/>
    <w:rsid w:val="00BF3D6F"/>
    <w:rsid w:val="00BF477A"/>
    <w:rsid w:val="00BF5FBB"/>
    <w:rsid w:val="00BF68E0"/>
    <w:rsid w:val="00BF7334"/>
    <w:rsid w:val="00C003AB"/>
    <w:rsid w:val="00C0083B"/>
    <w:rsid w:val="00C01354"/>
    <w:rsid w:val="00C013C5"/>
    <w:rsid w:val="00C02477"/>
    <w:rsid w:val="00C02AFC"/>
    <w:rsid w:val="00C043FD"/>
    <w:rsid w:val="00C0478B"/>
    <w:rsid w:val="00C047D6"/>
    <w:rsid w:val="00C04836"/>
    <w:rsid w:val="00C0489F"/>
    <w:rsid w:val="00C05234"/>
    <w:rsid w:val="00C052D3"/>
    <w:rsid w:val="00C06502"/>
    <w:rsid w:val="00C065DD"/>
    <w:rsid w:val="00C06A90"/>
    <w:rsid w:val="00C06B2A"/>
    <w:rsid w:val="00C07078"/>
    <w:rsid w:val="00C0767A"/>
    <w:rsid w:val="00C1042D"/>
    <w:rsid w:val="00C11019"/>
    <w:rsid w:val="00C1162A"/>
    <w:rsid w:val="00C11A89"/>
    <w:rsid w:val="00C1223E"/>
    <w:rsid w:val="00C135C4"/>
    <w:rsid w:val="00C13D55"/>
    <w:rsid w:val="00C15312"/>
    <w:rsid w:val="00C15836"/>
    <w:rsid w:val="00C15EF3"/>
    <w:rsid w:val="00C171A0"/>
    <w:rsid w:val="00C1789C"/>
    <w:rsid w:val="00C17E85"/>
    <w:rsid w:val="00C20A03"/>
    <w:rsid w:val="00C2199F"/>
    <w:rsid w:val="00C21AFE"/>
    <w:rsid w:val="00C222FA"/>
    <w:rsid w:val="00C223AA"/>
    <w:rsid w:val="00C2243A"/>
    <w:rsid w:val="00C22D7C"/>
    <w:rsid w:val="00C22E37"/>
    <w:rsid w:val="00C2370D"/>
    <w:rsid w:val="00C24249"/>
    <w:rsid w:val="00C2518F"/>
    <w:rsid w:val="00C2627F"/>
    <w:rsid w:val="00C26FDC"/>
    <w:rsid w:val="00C27520"/>
    <w:rsid w:val="00C27B79"/>
    <w:rsid w:val="00C3079D"/>
    <w:rsid w:val="00C30DA7"/>
    <w:rsid w:val="00C310A9"/>
    <w:rsid w:val="00C31837"/>
    <w:rsid w:val="00C31A2D"/>
    <w:rsid w:val="00C320FB"/>
    <w:rsid w:val="00C32173"/>
    <w:rsid w:val="00C322EE"/>
    <w:rsid w:val="00C328BF"/>
    <w:rsid w:val="00C3378A"/>
    <w:rsid w:val="00C34F6E"/>
    <w:rsid w:val="00C34FEB"/>
    <w:rsid w:val="00C357FE"/>
    <w:rsid w:val="00C364E8"/>
    <w:rsid w:val="00C36F60"/>
    <w:rsid w:val="00C378AD"/>
    <w:rsid w:val="00C40861"/>
    <w:rsid w:val="00C4131C"/>
    <w:rsid w:val="00C421C7"/>
    <w:rsid w:val="00C42572"/>
    <w:rsid w:val="00C42630"/>
    <w:rsid w:val="00C426F8"/>
    <w:rsid w:val="00C4304E"/>
    <w:rsid w:val="00C4350F"/>
    <w:rsid w:val="00C43B95"/>
    <w:rsid w:val="00C43D50"/>
    <w:rsid w:val="00C43F65"/>
    <w:rsid w:val="00C469E4"/>
    <w:rsid w:val="00C46BE6"/>
    <w:rsid w:val="00C47D80"/>
    <w:rsid w:val="00C47EC1"/>
    <w:rsid w:val="00C50EBA"/>
    <w:rsid w:val="00C5116C"/>
    <w:rsid w:val="00C5301F"/>
    <w:rsid w:val="00C5349E"/>
    <w:rsid w:val="00C538F8"/>
    <w:rsid w:val="00C53E0C"/>
    <w:rsid w:val="00C53FC9"/>
    <w:rsid w:val="00C5498C"/>
    <w:rsid w:val="00C55058"/>
    <w:rsid w:val="00C55175"/>
    <w:rsid w:val="00C552A6"/>
    <w:rsid w:val="00C559BF"/>
    <w:rsid w:val="00C55BC4"/>
    <w:rsid w:val="00C55FD1"/>
    <w:rsid w:val="00C5730F"/>
    <w:rsid w:val="00C60154"/>
    <w:rsid w:val="00C60A1A"/>
    <w:rsid w:val="00C613D2"/>
    <w:rsid w:val="00C617BA"/>
    <w:rsid w:val="00C62A9D"/>
    <w:rsid w:val="00C633F7"/>
    <w:rsid w:val="00C63707"/>
    <w:rsid w:val="00C63825"/>
    <w:rsid w:val="00C64206"/>
    <w:rsid w:val="00C64525"/>
    <w:rsid w:val="00C64E9E"/>
    <w:rsid w:val="00C658FB"/>
    <w:rsid w:val="00C6643E"/>
    <w:rsid w:val="00C66E4B"/>
    <w:rsid w:val="00C67CF0"/>
    <w:rsid w:val="00C700F2"/>
    <w:rsid w:val="00C710F6"/>
    <w:rsid w:val="00C712D9"/>
    <w:rsid w:val="00C7156E"/>
    <w:rsid w:val="00C71DA3"/>
    <w:rsid w:val="00C72940"/>
    <w:rsid w:val="00C72B99"/>
    <w:rsid w:val="00C737C9"/>
    <w:rsid w:val="00C744B1"/>
    <w:rsid w:val="00C74E7A"/>
    <w:rsid w:val="00C7568D"/>
    <w:rsid w:val="00C75698"/>
    <w:rsid w:val="00C7651F"/>
    <w:rsid w:val="00C76659"/>
    <w:rsid w:val="00C76E2C"/>
    <w:rsid w:val="00C80780"/>
    <w:rsid w:val="00C80796"/>
    <w:rsid w:val="00C80907"/>
    <w:rsid w:val="00C81AF4"/>
    <w:rsid w:val="00C8201C"/>
    <w:rsid w:val="00C8246F"/>
    <w:rsid w:val="00C8276D"/>
    <w:rsid w:val="00C82E23"/>
    <w:rsid w:val="00C833AB"/>
    <w:rsid w:val="00C837F9"/>
    <w:rsid w:val="00C84170"/>
    <w:rsid w:val="00C8533B"/>
    <w:rsid w:val="00C85E21"/>
    <w:rsid w:val="00C86421"/>
    <w:rsid w:val="00C8708C"/>
    <w:rsid w:val="00C87547"/>
    <w:rsid w:val="00C87D64"/>
    <w:rsid w:val="00C9049F"/>
    <w:rsid w:val="00C905E1"/>
    <w:rsid w:val="00C90EB3"/>
    <w:rsid w:val="00C93360"/>
    <w:rsid w:val="00C934A7"/>
    <w:rsid w:val="00C9600E"/>
    <w:rsid w:val="00C967BD"/>
    <w:rsid w:val="00C97452"/>
    <w:rsid w:val="00C9767C"/>
    <w:rsid w:val="00C97F01"/>
    <w:rsid w:val="00CA052C"/>
    <w:rsid w:val="00CA098E"/>
    <w:rsid w:val="00CA0A19"/>
    <w:rsid w:val="00CA0F7C"/>
    <w:rsid w:val="00CA2649"/>
    <w:rsid w:val="00CA278C"/>
    <w:rsid w:val="00CA2991"/>
    <w:rsid w:val="00CA4A2B"/>
    <w:rsid w:val="00CA4A3D"/>
    <w:rsid w:val="00CA5D42"/>
    <w:rsid w:val="00CA666A"/>
    <w:rsid w:val="00CA79E2"/>
    <w:rsid w:val="00CB03D3"/>
    <w:rsid w:val="00CB0504"/>
    <w:rsid w:val="00CB07F3"/>
    <w:rsid w:val="00CB1515"/>
    <w:rsid w:val="00CB164B"/>
    <w:rsid w:val="00CB1F8E"/>
    <w:rsid w:val="00CB270E"/>
    <w:rsid w:val="00CB2FBE"/>
    <w:rsid w:val="00CB33F8"/>
    <w:rsid w:val="00CB462C"/>
    <w:rsid w:val="00CB484E"/>
    <w:rsid w:val="00CB5900"/>
    <w:rsid w:val="00CB6519"/>
    <w:rsid w:val="00CB67D0"/>
    <w:rsid w:val="00CB6878"/>
    <w:rsid w:val="00CC03BA"/>
    <w:rsid w:val="00CC1386"/>
    <w:rsid w:val="00CC172C"/>
    <w:rsid w:val="00CC3AF2"/>
    <w:rsid w:val="00CC404B"/>
    <w:rsid w:val="00CC410F"/>
    <w:rsid w:val="00CC495D"/>
    <w:rsid w:val="00CC553D"/>
    <w:rsid w:val="00CC5721"/>
    <w:rsid w:val="00CC6292"/>
    <w:rsid w:val="00CC6DA8"/>
    <w:rsid w:val="00CC72CB"/>
    <w:rsid w:val="00CC7564"/>
    <w:rsid w:val="00CC79EA"/>
    <w:rsid w:val="00CD06C6"/>
    <w:rsid w:val="00CD0947"/>
    <w:rsid w:val="00CD0B5F"/>
    <w:rsid w:val="00CD115F"/>
    <w:rsid w:val="00CD153C"/>
    <w:rsid w:val="00CD1705"/>
    <w:rsid w:val="00CD1A26"/>
    <w:rsid w:val="00CD2219"/>
    <w:rsid w:val="00CD2C07"/>
    <w:rsid w:val="00CD2DFE"/>
    <w:rsid w:val="00CD48D4"/>
    <w:rsid w:val="00CD4E71"/>
    <w:rsid w:val="00CD6A2E"/>
    <w:rsid w:val="00CD6F4C"/>
    <w:rsid w:val="00CE031A"/>
    <w:rsid w:val="00CE05F5"/>
    <w:rsid w:val="00CE0A30"/>
    <w:rsid w:val="00CE1DFF"/>
    <w:rsid w:val="00CE1F7F"/>
    <w:rsid w:val="00CE32B1"/>
    <w:rsid w:val="00CE32F8"/>
    <w:rsid w:val="00CE3300"/>
    <w:rsid w:val="00CE390B"/>
    <w:rsid w:val="00CE4129"/>
    <w:rsid w:val="00CE4EA4"/>
    <w:rsid w:val="00CE50C4"/>
    <w:rsid w:val="00CE575F"/>
    <w:rsid w:val="00CE57DE"/>
    <w:rsid w:val="00CE647F"/>
    <w:rsid w:val="00CE66BB"/>
    <w:rsid w:val="00CE69DB"/>
    <w:rsid w:val="00CE6A2A"/>
    <w:rsid w:val="00CE6A53"/>
    <w:rsid w:val="00CE71EF"/>
    <w:rsid w:val="00CE73AD"/>
    <w:rsid w:val="00CE75F6"/>
    <w:rsid w:val="00CF038A"/>
    <w:rsid w:val="00CF065A"/>
    <w:rsid w:val="00CF127D"/>
    <w:rsid w:val="00CF23B9"/>
    <w:rsid w:val="00CF278D"/>
    <w:rsid w:val="00CF35E8"/>
    <w:rsid w:val="00CF3EC8"/>
    <w:rsid w:val="00CF4189"/>
    <w:rsid w:val="00CF4334"/>
    <w:rsid w:val="00CF4402"/>
    <w:rsid w:val="00CF4569"/>
    <w:rsid w:val="00CF4888"/>
    <w:rsid w:val="00CF4F70"/>
    <w:rsid w:val="00CF5484"/>
    <w:rsid w:val="00CF60EC"/>
    <w:rsid w:val="00CF7E56"/>
    <w:rsid w:val="00D00492"/>
    <w:rsid w:val="00D00AA3"/>
    <w:rsid w:val="00D01014"/>
    <w:rsid w:val="00D018A0"/>
    <w:rsid w:val="00D01B90"/>
    <w:rsid w:val="00D01D34"/>
    <w:rsid w:val="00D0245F"/>
    <w:rsid w:val="00D0253F"/>
    <w:rsid w:val="00D02699"/>
    <w:rsid w:val="00D030AD"/>
    <w:rsid w:val="00D03D7B"/>
    <w:rsid w:val="00D04157"/>
    <w:rsid w:val="00D0433D"/>
    <w:rsid w:val="00D0490A"/>
    <w:rsid w:val="00D05068"/>
    <w:rsid w:val="00D05B1B"/>
    <w:rsid w:val="00D06088"/>
    <w:rsid w:val="00D068E3"/>
    <w:rsid w:val="00D0764C"/>
    <w:rsid w:val="00D07F60"/>
    <w:rsid w:val="00D1088D"/>
    <w:rsid w:val="00D1117C"/>
    <w:rsid w:val="00D11238"/>
    <w:rsid w:val="00D11D67"/>
    <w:rsid w:val="00D12D17"/>
    <w:rsid w:val="00D12D91"/>
    <w:rsid w:val="00D135A5"/>
    <w:rsid w:val="00D1388C"/>
    <w:rsid w:val="00D13E42"/>
    <w:rsid w:val="00D145D4"/>
    <w:rsid w:val="00D15EEA"/>
    <w:rsid w:val="00D20BA9"/>
    <w:rsid w:val="00D224E7"/>
    <w:rsid w:val="00D22FB3"/>
    <w:rsid w:val="00D236C2"/>
    <w:rsid w:val="00D23814"/>
    <w:rsid w:val="00D251AB"/>
    <w:rsid w:val="00D25292"/>
    <w:rsid w:val="00D25507"/>
    <w:rsid w:val="00D256E5"/>
    <w:rsid w:val="00D25A2C"/>
    <w:rsid w:val="00D26E1C"/>
    <w:rsid w:val="00D274D2"/>
    <w:rsid w:val="00D2786B"/>
    <w:rsid w:val="00D27D85"/>
    <w:rsid w:val="00D3122B"/>
    <w:rsid w:val="00D31B75"/>
    <w:rsid w:val="00D3201B"/>
    <w:rsid w:val="00D33326"/>
    <w:rsid w:val="00D347E9"/>
    <w:rsid w:val="00D34D53"/>
    <w:rsid w:val="00D34F0D"/>
    <w:rsid w:val="00D3532B"/>
    <w:rsid w:val="00D36388"/>
    <w:rsid w:val="00D364BC"/>
    <w:rsid w:val="00D37712"/>
    <w:rsid w:val="00D37D94"/>
    <w:rsid w:val="00D401FA"/>
    <w:rsid w:val="00D407CC"/>
    <w:rsid w:val="00D408AA"/>
    <w:rsid w:val="00D41146"/>
    <w:rsid w:val="00D417DB"/>
    <w:rsid w:val="00D418F4"/>
    <w:rsid w:val="00D42794"/>
    <w:rsid w:val="00D42ADB"/>
    <w:rsid w:val="00D42CDC"/>
    <w:rsid w:val="00D44575"/>
    <w:rsid w:val="00D44D89"/>
    <w:rsid w:val="00D44DCE"/>
    <w:rsid w:val="00D453A1"/>
    <w:rsid w:val="00D46546"/>
    <w:rsid w:val="00D46A00"/>
    <w:rsid w:val="00D46D25"/>
    <w:rsid w:val="00D516D3"/>
    <w:rsid w:val="00D517B4"/>
    <w:rsid w:val="00D518D2"/>
    <w:rsid w:val="00D51D03"/>
    <w:rsid w:val="00D52AB6"/>
    <w:rsid w:val="00D52D4B"/>
    <w:rsid w:val="00D5360A"/>
    <w:rsid w:val="00D53D03"/>
    <w:rsid w:val="00D540AB"/>
    <w:rsid w:val="00D54A42"/>
    <w:rsid w:val="00D56598"/>
    <w:rsid w:val="00D56C08"/>
    <w:rsid w:val="00D5764E"/>
    <w:rsid w:val="00D577D1"/>
    <w:rsid w:val="00D57A67"/>
    <w:rsid w:val="00D602BB"/>
    <w:rsid w:val="00D61112"/>
    <w:rsid w:val="00D62347"/>
    <w:rsid w:val="00D64D10"/>
    <w:rsid w:val="00D65856"/>
    <w:rsid w:val="00D66903"/>
    <w:rsid w:val="00D66B91"/>
    <w:rsid w:val="00D67422"/>
    <w:rsid w:val="00D708E2"/>
    <w:rsid w:val="00D70A0F"/>
    <w:rsid w:val="00D719E8"/>
    <w:rsid w:val="00D71AFB"/>
    <w:rsid w:val="00D723DA"/>
    <w:rsid w:val="00D7255C"/>
    <w:rsid w:val="00D72856"/>
    <w:rsid w:val="00D72E86"/>
    <w:rsid w:val="00D74F8F"/>
    <w:rsid w:val="00D75373"/>
    <w:rsid w:val="00D764A3"/>
    <w:rsid w:val="00D76BB7"/>
    <w:rsid w:val="00D80F3A"/>
    <w:rsid w:val="00D82BCE"/>
    <w:rsid w:val="00D82DA2"/>
    <w:rsid w:val="00D82E48"/>
    <w:rsid w:val="00D83DCA"/>
    <w:rsid w:val="00D844AB"/>
    <w:rsid w:val="00D851BB"/>
    <w:rsid w:val="00D8521D"/>
    <w:rsid w:val="00D861C2"/>
    <w:rsid w:val="00D86267"/>
    <w:rsid w:val="00D86582"/>
    <w:rsid w:val="00D86B73"/>
    <w:rsid w:val="00D8731D"/>
    <w:rsid w:val="00D87574"/>
    <w:rsid w:val="00D87C5D"/>
    <w:rsid w:val="00D908C0"/>
    <w:rsid w:val="00D90DA0"/>
    <w:rsid w:val="00D92B1A"/>
    <w:rsid w:val="00D935C4"/>
    <w:rsid w:val="00D93896"/>
    <w:rsid w:val="00D9579F"/>
    <w:rsid w:val="00D95979"/>
    <w:rsid w:val="00D95C97"/>
    <w:rsid w:val="00D96DE2"/>
    <w:rsid w:val="00D97057"/>
    <w:rsid w:val="00D97559"/>
    <w:rsid w:val="00DA0229"/>
    <w:rsid w:val="00DA0897"/>
    <w:rsid w:val="00DA0A99"/>
    <w:rsid w:val="00DA15D2"/>
    <w:rsid w:val="00DA27B9"/>
    <w:rsid w:val="00DA29D1"/>
    <w:rsid w:val="00DA30D8"/>
    <w:rsid w:val="00DA3932"/>
    <w:rsid w:val="00DA3C65"/>
    <w:rsid w:val="00DA3CE0"/>
    <w:rsid w:val="00DA4E66"/>
    <w:rsid w:val="00DA4FA3"/>
    <w:rsid w:val="00DA5092"/>
    <w:rsid w:val="00DA6975"/>
    <w:rsid w:val="00DA6AC1"/>
    <w:rsid w:val="00DA7243"/>
    <w:rsid w:val="00DA77FA"/>
    <w:rsid w:val="00DA7D1C"/>
    <w:rsid w:val="00DB127E"/>
    <w:rsid w:val="00DB1C28"/>
    <w:rsid w:val="00DB2AAD"/>
    <w:rsid w:val="00DB3094"/>
    <w:rsid w:val="00DB3431"/>
    <w:rsid w:val="00DB3972"/>
    <w:rsid w:val="00DB3F40"/>
    <w:rsid w:val="00DB5BDE"/>
    <w:rsid w:val="00DB5EE3"/>
    <w:rsid w:val="00DB603C"/>
    <w:rsid w:val="00DB6187"/>
    <w:rsid w:val="00DB61C7"/>
    <w:rsid w:val="00DB6EF7"/>
    <w:rsid w:val="00DB7153"/>
    <w:rsid w:val="00DB7503"/>
    <w:rsid w:val="00DB7B4A"/>
    <w:rsid w:val="00DC0A31"/>
    <w:rsid w:val="00DC10CC"/>
    <w:rsid w:val="00DC215E"/>
    <w:rsid w:val="00DC2824"/>
    <w:rsid w:val="00DC28A9"/>
    <w:rsid w:val="00DC2B34"/>
    <w:rsid w:val="00DC2B56"/>
    <w:rsid w:val="00DC33C3"/>
    <w:rsid w:val="00DC3532"/>
    <w:rsid w:val="00DC3963"/>
    <w:rsid w:val="00DC3CAC"/>
    <w:rsid w:val="00DC44A5"/>
    <w:rsid w:val="00DC4707"/>
    <w:rsid w:val="00DC51B4"/>
    <w:rsid w:val="00DC5976"/>
    <w:rsid w:val="00DC61C5"/>
    <w:rsid w:val="00DC63ED"/>
    <w:rsid w:val="00DC667E"/>
    <w:rsid w:val="00DC69A0"/>
    <w:rsid w:val="00DC7DAF"/>
    <w:rsid w:val="00DD0713"/>
    <w:rsid w:val="00DD1090"/>
    <w:rsid w:val="00DD1520"/>
    <w:rsid w:val="00DD157A"/>
    <w:rsid w:val="00DD1903"/>
    <w:rsid w:val="00DD1A3B"/>
    <w:rsid w:val="00DD2065"/>
    <w:rsid w:val="00DD2BEC"/>
    <w:rsid w:val="00DD3051"/>
    <w:rsid w:val="00DD3A56"/>
    <w:rsid w:val="00DD456D"/>
    <w:rsid w:val="00DD46CA"/>
    <w:rsid w:val="00DD5130"/>
    <w:rsid w:val="00DD5605"/>
    <w:rsid w:val="00DD5716"/>
    <w:rsid w:val="00DD5FBC"/>
    <w:rsid w:val="00DD645B"/>
    <w:rsid w:val="00DD64AD"/>
    <w:rsid w:val="00DD6BDA"/>
    <w:rsid w:val="00DD707A"/>
    <w:rsid w:val="00DD776F"/>
    <w:rsid w:val="00DD7F79"/>
    <w:rsid w:val="00DE0573"/>
    <w:rsid w:val="00DE27E3"/>
    <w:rsid w:val="00DE2840"/>
    <w:rsid w:val="00DE2A9B"/>
    <w:rsid w:val="00DE348F"/>
    <w:rsid w:val="00DE34A7"/>
    <w:rsid w:val="00DE3907"/>
    <w:rsid w:val="00DE3A0D"/>
    <w:rsid w:val="00DE4ACE"/>
    <w:rsid w:val="00DE521C"/>
    <w:rsid w:val="00DE643A"/>
    <w:rsid w:val="00DE6590"/>
    <w:rsid w:val="00DE7AC1"/>
    <w:rsid w:val="00DF033F"/>
    <w:rsid w:val="00DF05AF"/>
    <w:rsid w:val="00DF11F1"/>
    <w:rsid w:val="00DF1DBD"/>
    <w:rsid w:val="00DF2899"/>
    <w:rsid w:val="00DF3E05"/>
    <w:rsid w:val="00DF3FF1"/>
    <w:rsid w:val="00DF422F"/>
    <w:rsid w:val="00DF4557"/>
    <w:rsid w:val="00DF5A06"/>
    <w:rsid w:val="00DF60D3"/>
    <w:rsid w:val="00DF7320"/>
    <w:rsid w:val="00DF7897"/>
    <w:rsid w:val="00DF7F27"/>
    <w:rsid w:val="00E00686"/>
    <w:rsid w:val="00E02B92"/>
    <w:rsid w:val="00E03753"/>
    <w:rsid w:val="00E05A52"/>
    <w:rsid w:val="00E06F82"/>
    <w:rsid w:val="00E07987"/>
    <w:rsid w:val="00E07ECB"/>
    <w:rsid w:val="00E10446"/>
    <w:rsid w:val="00E10AAD"/>
    <w:rsid w:val="00E114F8"/>
    <w:rsid w:val="00E11D41"/>
    <w:rsid w:val="00E12DF9"/>
    <w:rsid w:val="00E13002"/>
    <w:rsid w:val="00E1364B"/>
    <w:rsid w:val="00E13966"/>
    <w:rsid w:val="00E14140"/>
    <w:rsid w:val="00E144A9"/>
    <w:rsid w:val="00E14D66"/>
    <w:rsid w:val="00E16313"/>
    <w:rsid w:val="00E1744E"/>
    <w:rsid w:val="00E17953"/>
    <w:rsid w:val="00E17F9D"/>
    <w:rsid w:val="00E2049B"/>
    <w:rsid w:val="00E205A9"/>
    <w:rsid w:val="00E2071B"/>
    <w:rsid w:val="00E20754"/>
    <w:rsid w:val="00E20F60"/>
    <w:rsid w:val="00E21725"/>
    <w:rsid w:val="00E22196"/>
    <w:rsid w:val="00E229AE"/>
    <w:rsid w:val="00E235FA"/>
    <w:rsid w:val="00E23D60"/>
    <w:rsid w:val="00E24871"/>
    <w:rsid w:val="00E24F99"/>
    <w:rsid w:val="00E25502"/>
    <w:rsid w:val="00E25653"/>
    <w:rsid w:val="00E257C1"/>
    <w:rsid w:val="00E25C8E"/>
    <w:rsid w:val="00E26760"/>
    <w:rsid w:val="00E27381"/>
    <w:rsid w:val="00E30406"/>
    <w:rsid w:val="00E30438"/>
    <w:rsid w:val="00E30BF9"/>
    <w:rsid w:val="00E313AD"/>
    <w:rsid w:val="00E31BD8"/>
    <w:rsid w:val="00E3246B"/>
    <w:rsid w:val="00E325D8"/>
    <w:rsid w:val="00E328FF"/>
    <w:rsid w:val="00E331B7"/>
    <w:rsid w:val="00E3365B"/>
    <w:rsid w:val="00E336E4"/>
    <w:rsid w:val="00E3400D"/>
    <w:rsid w:val="00E34436"/>
    <w:rsid w:val="00E34996"/>
    <w:rsid w:val="00E34CEB"/>
    <w:rsid w:val="00E3538C"/>
    <w:rsid w:val="00E35810"/>
    <w:rsid w:val="00E35F86"/>
    <w:rsid w:val="00E3648E"/>
    <w:rsid w:val="00E36E30"/>
    <w:rsid w:val="00E37263"/>
    <w:rsid w:val="00E374F7"/>
    <w:rsid w:val="00E37608"/>
    <w:rsid w:val="00E37751"/>
    <w:rsid w:val="00E37BDB"/>
    <w:rsid w:val="00E4079E"/>
    <w:rsid w:val="00E40D7F"/>
    <w:rsid w:val="00E41ABD"/>
    <w:rsid w:val="00E41E65"/>
    <w:rsid w:val="00E421CC"/>
    <w:rsid w:val="00E425E6"/>
    <w:rsid w:val="00E42878"/>
    <w:rsid w:val="00E429EF"/>
    <w:rsid w:val="00E430DF"/>
    <w:rsid w:val="00E434F9"/>
    <w:rsid w:val="00E43C39"/>
    <w:rsid w:val="00E43CA1"/>
    <w:rsid w:val="00E44793"/>
    <w:rsid w:val="00E44950"/>
    <w:rsid w:val="00E44AD3"/>
    <w:rsid w:val="00E452F9"/>
    <w:rsid w:val="00E45377"/>
    <w:rsid w:val="00E45DC9"/>
    <w:rsid w:val="00E45E05"/>
    <w:rsid w:val="00E46978"/>
    <w:rsid w:val="00E46C71"/>
    <w:rsid w:val="00E47C67"/>
    <w:rsid w:val="00E514C7"/>
    <w:rsid w:val="00E5156F"/>
    <w:rsid w:val="00E51BC2"/>
    <w:rsid w:val="00E51E96"/>
    <w:rsid w:val="00E52404"/>
    <w:rsid w:val="00E52F36"/>
    <w:rsid w:val="00E53F5C"/>
    <w:rsid w:val="00E544B6"/>
    <w:rsid w:val="00E545B0"/>
    <w:rsid w:val="00E54861"/>
    <w:rsid w:val="00E54AFA"/>
    <w:rsid w:val="00E5516A"/>
    <w:rsid w:val="00E55347"/>
    <w:rsid w:val="00E5556C"/>
    <w:rsid w:val="00E55890"/>
    <w:rsid w:val="00E55D8D"/>
    <w:rsid w:val="00E56A40"/>
    <w:rsid w:val="00E57667"/>
    <w:rsid w:val="00E600C0"/>
    <w:rsid w:val="00E603F8"/>
    <w:rsid w:val="00E60ED2"/>
    <w:rsid w:val="00E60FC4"/>
    <w:rsid w:val="00E615F5"/>
    <w:rsid w:val="00E62CD8"/>
    <w:rsid w:val="00E64E53"/>
    <w:rsid w:val="00E6715F"/>
    <w:rsid w:val="00E673FD"/>
    <w:rsid w:val="00E67C5E"/>
    <w:rsid w:val="00E70061"/>
    <w:rsid w:val="00E7096F"/>
    <w:rsid w:val="00E71682"/>
    <w:rsid w:val="00E720FC"/>
    <w:rsid w:val="00E72401"/>
    <w:rsid w:val="00E7271A"/>
    <w:rsid w:val="00E731A5"/>
    <w:rsid w:val="00E7376C"/>
    <w:rsid w:val="00E747A9"/>
    <w:rsid w:val="00E74862"/>
    <w:rsid w:val="00E748B6"/>
    <w:rsid w:val="00E74950"/>
    <w:rsid w:val="00E753B5"/>
    <w:rsid w:val="00E759C3"/>
    <w:rsid w:val="00E75B7B"/>
    <w:rsid w:val="00E75F11"/>
    <w:rsid w:val="00E7700B"/>
    <w:rsid w:val="00E77C6E"/>
    <w:rsid w:val="00E809EB"/>
    <w:rsid w:val="00E80A86"/>
    <w:rsid w:val="00E8501C"/>
    <w:rsid w:val="00E851A5"/>
    <w:rsid w:val="00E851AA"/>
    <w:rsid w:val="00E8576B"/>
    <w:rsid w:val="00E85A30"/>
    <w:rsid w:val="00E85FBE"/>
    <w:rsid w:val="00E86CBC"/>
    <w:rsid w:val="00E86E48"/>
    <w:rsid w:val="00E870AB"/>
    <w:rsid w:val="00E87CD5"/>
    <w:rsid w:val="00E9082B"/>
    <w:rsid w:val="00E911CE"/>
    <w:rsid w:val="00E91664"/>
    <w:rsid w:val="00E91C0B"/>
    <w:rsid w:val="00E924C5"/>
    <w:rsid w:val="00E92D29"/>
    <w:rsid w:val="00E92D44"/>
    <w:rsid w:val="00E9394D"/>
    <w:rsid w:val="00E94337"/>
    <w:rsid w:val="00E94965"/>
    <w:rsid w:val="00E94A5A"/>
    <w:rsid w:val="00E96BBA"/>
    <w:rsid w:val="00E975EF"/>
    <w:rsid w:val="00E97801"/>
    <w:rsid w:val="00EA11FC"/>
    <w:rsid w:val="00EA1C42"/>
    <w:rsid w:val="00EA2324"/>
    <w:rsid w:val="00EA3529"/>
    <w:rsid w:val="00EA42DD"/>
    <w:rsid w:val="00EA49B8"/>
    <w:rsid w:val="00EA4A5A"/>
    <w:rsid w:val="00EA4F11"/>
    <w:rsid w:val="00EA5A37"/>
    <w:rsid w:val="00EA5F42"/>
    <w:rsid w:val="00EA61F1"/>
    <w:rsid w:val="00EA62A2"/>
    <w:rsid w:val="00EA655B"/>
    <w:rsid w:val="00EA68D6"/>
    <w:rsid w:val="00EA6C92"/>
    <w:rsid w:val="00EA7669"/>
    <w:rsid w:val="00EA7C44"/>
    <w:rsid w:val="00EA7D61"/>
    <w:rsid w:val="00EB05EC"/>
    <w:rsid w:val="00EB0C1A"/>
    <w:rsid w:val="00EB15FB"/>
    <w:rsid w:val="00EB1E31"/>
    <w:rsid w:val="00EB1EA2"/>
    <w:rsid w:val="00EB21C2"/>
    <w:rsid w:val="00EB26ED"/>
    <w:rsid w:val="00EB279C"/>
    <w:rsid w:val="00EB320E"/>
    <w:rsid w:val="00EB4FFB"/>
    <w:rsid w:val="00EB598D"/>
    <w:rsid w:val="00EB6C1C"/>
    <w:rsid w:val="00EB7271"/>
    <w:rsid w:val="00EC0FD6"/>
    <w:rsid w:val="00EC190C"/>
    <w:rsid w:val="00EC27BB"/>
    <w:rsid w:val="00EC3C4B"/>
    <w:rsid w:val="00EC3CF5"/>
    <w:rsid w:val="00EC3E9E"/>
    <w:rsid w:val="00EC42C8"/>
    <w:rsid w:val="00EC5A7B"/>
    <w:rsid w:val="00EC5B60"/>
    <w:rsid w:val="00EC5EF1"/>
    <w:rsid w:val="00EC6072"/>
    <w:rsid w:val="00EC75EC"/>
    <w:rsid w:val="00EC798B"/>
    <w:rsid w:val="00ED183B"/>
    <w:rsid w:val="00ED2F0F"/>
    <w:rsid w:val="00ED30D0"/>
    <w:rsid w:val="00ED31A4"/>
    <w:rsid w:val="00ED3203"/>
    <w:rsid w:val="00ED337A"/>
    <w:rsid w:val="00ED367A"/>
    <w:rsid w:val="00ED36E8"/>
    <w:rsid w:val="00ED50C9"/>
    <w:rsid w:val="00ED603D"/>
    <w:rsid w:val="00ED6328"/>
    <w:rsid w:val="00ED6345"/>
    <w:rsid w:val="00ED672A"/>
    <w:rsid w:val="00ED6A9A"/>
    <w:rsid w:val="00ED6BF1"/>
    <w:rsid w:val="00ED6C96"/>
    <w:rsid w:val="00ED6FE7"/>
    <w:rsid w:val="00ED7570"/>
    <w:rsid w:val="00EE01BA"/>
    <w:rsid w:val="00EE0A61"/>
    <w:rsid w:val="00EE1534"/>
    <w:rsid w:val="00EE199A"/>
    <w:rsid w:val="00EE377B"/>
    <w:rsid w:val="00EE3AD2"/>
    <w:rsid w:val="00EE558E"/>
    <w:rsid w:val="00EE5937"/>
    <w:rsid w:val="00EE645F"/>
    <w:rsid w:val="00EE678E"/>
    <w:rsid w:val="00EE6918"/>
    <w:rsid w:val="00EE6A0F"/>
    <w:rsid w:val="00EE6A86"/>
    <w:rsid w:val="00EF072D"/>
    <w:rsid w:val="00EF119D"/>
    <w:rsid w:val="00EF135F"/>
    <w:rsid w:val="00EF1B00"/>
    <w:rsid w:val="00EF375B"/>
    <w:rsid w:val="00EF38F2"/>
    <w:rsid w:val="00EF41B6"/>
    <w:rsid w:val="00EF4A7B"/>
    <w:rsid w:val="00EF71EE"/>
    <w:rsid w:val="00EF74B5"/>
    <w:rsid w:val="00EF7825"/>
    <w:rsid w:val="00F0044E"/>
    <w:rsid w:val="00F010E9"/>
    <w:rsid w:val="00F01974"/>
    <w:rsid w:val="00F0290D"/>
    <w:rsid w:val="00F02F72"/>
    <w:rsid w:val="00F0307B"/>
    <w:rsid w:val="00F03948"/>
    <w:rsid w:val="00F03C1D"/>
    <w:rsid w:val="00F03E5D"/>
    <w:rsid w:val="00F04615"/>
    <w:rsid w:val="00F04771"/>
    <w:rsid w:val="00F04F98"/>
    <w:rsid w:val="00F05675"/>
    <w:rsid w:val="00F056BB"/>
    <w:rsid w:val="00F05F14"/>
    <w:rsid w:val="00F06DFD"/>
    <w:rsid w:val="00F0752F"/>
    <w:rsid w:val="00F0765A"/>
    <w:rsid w:val="00F10236"/>
    <w:rsid w:val="00F104E3"/>
    <w:rsid w:val="00F125FA"/>
    <w:rsid w:val="00F1277D"/>
    <w:rsid w:val="00F135D5"/>
    <w:rsid w:val="00F13836"/>
    <w:rsid w:val="00F13863"/>
    <w:rsid w:val="00F14190"/>
    <w:rsid w:val="00F15C0E"/>
    <w:rsid w:val="00F16015"/>
    <w:rsid w:val="00F16281"/>
    <w:rsid w:val="00F1658B"/>
    <w:rsid w:val="00F16A50"/>
    <w:rsid w:val="00F16B55"/>
    <w:rsid w:val="00F17396"/>
    <w:rsid w:val="00F17C65"/>
    <w:rsid w:val="00F20046"/>
    <w:rsid w:val="00F21062"/>
    <w:rsid w:val="00F215A0"/>
    <w:rsid w:val="00F21E7C"/>
    <w:rsid w:val="00F22176"/>
    <w:rsid w:val="00F228D8"/>
    <w:rsid w:val="00F22F76"/>
    <w:rsid w:val="00F2317A"/>
    <w:rsid w:val="00F23C66"/>
    <w:rsid w:val="00F23D8D"/>
    <w:rsid w:val="00F242DC"/>
    <w:rsid w:val="00F24BD1"/>
    <w:rsid w:val="00F260C9"/>
    <w:rsid w:val="00F261EF"/>
    <w:rsid w:val="00F2635F"/>
    <w:rsid w:val="00F26FFB"/>
    <w:rsid w:val="00F27404"/>
    <w:rsid w:val="00F278C4"/>
    <w:rsid w:val="00F27DA3"/>
    <w:rsid w:val="00F27E8A"/>
    <w:rsid w:val="00F3085A"/>
    <w:rsid w:val="00F30905"/>
    <w:rsid w:val="00F30BCD"/>
    <w:rsid w:val="00F30BD6"/>
    <w:rsid w:val="00F314A2"/>
    <w:rsid w:val="00F323A5"/>
    <w:rsid w:val="00F32894"/>
    <w:rsid w:val="00F32A44"/>
    <w:rsid w:val="00F32D4D"/>
    <w:rsid w:val="00F32F58"/>
    <w:rsid w:val="00F333B8"/>
    <w:rsid w:val="00F33A07"/>
    <w:rsid w:val="00F33B22"/>
    <w:rsid w:val="00F33B6F"/>
    <w:rsid w:val="00F34415"/>
    <w:rsid w:val="00F34606"/>
    <w:rsid w:val="00F3478A"/>
    <w:rsid w:val="00F353BC"/>
    <w:rsid w:val="00F35686"/>
    <w:rsid w:val="00F3614C"/>
    <w:rsid w:val="00F3738D"/>
    <w:rsid w:val="00F37786"/>
    <w:rsid w:val="00F377DB"/>
    <w:rsid w:val="00F37AA3"/>
    <w:rsid w:val="00F37E99"/>
    <w:rsid w:val="00F400CB"/>
    <w:rsid w:val="00F41035"/>
    <w:rsid w:val="00F41688"/>
    <w:rsid w:val="00F4242E"/>
    <w:rsid w:val="00F424A3"/>
    <w:rsid w:val="00F42F6A"/>
    <w:rsid w:val="00F431B8"/>
    <w:rsid w:val="00F43CF7"/>
    <w:rsid w:val="00F44F27"/>
    <w:rsid w:val="00F45F1D"/>
    <w:rsid w:val="00F46401"/>
    <w:rsid w:val="00F471FD"/>
    <w:rsid w:val="00F4768E"/>
    <w:rsid w:val="00F50BCC"/>
    <w:rsid w:val="00F50C08"/>
    <w:rsid w:val="00F5100A"/>
    <w:rsid w:val="00F5136B"/>
    <w:rsid w:val="00F5159B"/>
    <w:rsid w:val="00F51E48"/>
    <w:rsid w:val="00F52316"/>
    <w:rsid w:val="00F5293A"/>
    <w:rsid w:val="00F52AC0"/>
    <w:rsid w:val="00F52E2D"/>
    <w:rsid w:val="00F54084"/>
    <w:rsid w:val="00F549A1"/>
    <w:rsid w:val="00F5603F"/>
    <w:rsid w:val="00F56E01"/>
    <w:rsid w:val="00F57DA4"/>
    <w:rsid w:val="00F603F8"/>
    <w:rsid w:val="00F6062F"/>
    <w:rsid w:val="00F606A7"/>
    <w:rsid w:val="00F606C2"/>
    <w:rsid w:val="00F60715"/>
    <w:rsid w:val="00F60B09"/>
    <w:rsid w:val="00F61877"/>
    <w:rsid w:val="00F61ABE"/>
    <w:rsid w:val="00F61ACE"/>
    <w:rsid w:val="00F61D84"/>
    <w:rsid w:val="00F62810"/>
    <w:rsid w:val="00F63B1C"/>
    <w:rsid w:val="00F64888"/>
    <w:rsid w:val="00F65260"/>
    <w:rsid w:val="00F6612D"/>
    <w:rsid w:val="00F662BB"/>
    <w:rsid w:val="00F66A9E"/>
    <w:rsid w:val="00F67239"/>
    <w:rsid w:val="00F70762"/>
    <w:rsid w:val="00F721CA"/>
    <w:rsid w:val="00F72655"/>
    <w:rsid w:val="00F72660"/>
    <w:rsid w:val="00F73B9F"/>
    <w:rsid w:val="00F740A0"/>
    <w:rsid w:val="00F74801"/>
    <w:rsid w:val="00F74AE7"/>
    <w:rsid w:val="00F74C5A"/>
    <w:rsid w:val="00F76B6A"/>
    <w:rsid w:val="00F76C17"/>
    <w:rsid w:val="00F7713B"/>
    <w:rsid w:val="00F80F83"/>
    <w:rsid w:val="00F81011"/>
    <w:rsid w:val="00F81B08"/>
    <w:rsid w:val="00F81BDE"/>
    <w:rsid w:val="00F8258B"/>
    <w:rsid w:val="00F82614"/>
    <w:rsid w:val="00F826C1"/>
    <w:rsid w:val="00F828EE"/>
    <w:rsid w:val="00F83970"/>
    <w:rsid w:val="00F84018"/>
    <w:rsid w:val="00F84B09"/>
    <w:rsid w:val="00F84B5A"/>
    <w:rsid w:val="00F84B93"/>
    <w:rsid w:val="00F84D11"/>
    <w:rsid w:val="00F855B5"/>
    <w:rsid w:val="00F858B5"/>
    <w:rsid w:val="00F85FF6"/>
    <w:rsid w:val="00F868C1"/>
    <w:rsid w:val="00F87A66"/>
    <w:rsid w:val="00F87CBF"/>
    <w:rsid w:val="00F90206"/>
    <w:rsid w:val="00F90DC6"/>
    <w:rsid w:val="00F9230A"/>
    <w:rsid w:val="00F92626"/>
    <w:rsid w:val="00F9285A"/>
    <w:rsid w:val="00F92B52"/>
    <w:rsid w:val="00F93BBC"/>
    <w:rsid w:val="00F94F5F"/>
    <w:rsid w:val="00F958C2"/>
    <w:rsid w:val="00F95F56"/>
    <w:rsid w:val="00F96137"/>
    <w:rsid w:val="00F9644D"/>
    <w:rsid w:val="00F97296"/>
    <w:rsid w:val="00F979AC"/>
    <w:rsid w:val="00F97DF6"/>
    <w:rsid w:val="00FA0BA0"/>
    <w:rsid w:val="00FA19C1"/>
    <w:rsid w:val="00FA1ED1"/>
    <w:rsid w:val="00FA25EE"/>
    <w:rsid w:val="00FA3B86"/>
    <w:rsid w:val="00FA3ECA"/>
    <w:rsid w:val="00FA4969"/>
    <w:rsid w:val="00FA53D7"/>
    <w:rsid w:val="00FA58E1"/>
    <w:rsid w:val="00FA60BD"/>
    <w:rsid w:val="00FA6796"/>
    <w:rsid w:val="00FA7557"/>
    <w:rsid w:val="00FA7558"/>
    <w:rsid w:val="00FA774E"/>
    <w:rsid w:val="00FB12FB"/>
    <w:rsid w:val="00FB1E74"/>
    <w:rsid w:val="00FB2347"/>
    <w:rsid w:val="00FB2D85"/>
    <w:rsid w:val="00FB3108"/>
    <w:rsid w:val="00FB3587"/>
    <w:rsid w:val="00FB3B2E"/>
    <w:rsid w:val="00FB3D97"/>
    <w:rsid w:val="00FB3EE6"/>
    <w:rsid w:val="00FB440B"/>
    <w:rsid w:val="00FB4510"/>
    <w:rsid w:val="00FB4A92"/>
    <w:rsid w:val="00FB56AF"/>
    <w:rsid w:val="00FB5AA2"/>
    <w:rsid w:val="00FB5BD7"/>
    <w:rsid w:val="00FB63BC"/>
    <w:rsid w:val="00FB6514"/>
    <w:rsid w:val="00FB6614"/>
    <w:rsid w:val="00FB7083"/>
    <w:rsid w:val="00FC05C0"/>
    <w:rsid w:val="00FC085D"/>
    <w:rsid w:val="00FC1CE1"/>
    <w:rsid w:val="00FC29E0"/>
    <w:rsid w:val="00FC2B13"/>
    <w:rsid w:val="00FC315E"/>
    <w:rsid w:val="00FC3E96"/>
    <w:rsid w:val="00FC5728"/>
    <w:rsid w:val="00FC572D"/>
    <w:rsid w:val="00FC6714"/>
    <w:rsid w:val="00FC6E87"/>
    <w:rsid w:val="00FC7EBB"/>
    <w:rsid w:val="00FC7F08"/>
    <w:rsid w:val="00FD0FD1"/>
    <w:rsid w:val="00FD106D"/>
    <w:rsid w:val="00FD13AA"/>
    <w:rsid w:val="00FD1975"/>
    <w:rsid w:val="00FD1A3D"/>
    <w:rsid w:val="00FD2191"/>
    <w:rsid w:val="00FD266B"/>
    <w:rsid w:val="00FD2B28"/>
    <w:rsid w:val="00FD2D33"/>
    <w:rsid w:val="00FD3580"/>
    <w:rsid w:val="00FD4710"/>
    <w:rsid w:val="00FD5B50"/>
    <w:rsid w:val="00FD6195"/>
    <w:rsid w:val="00FD63FC"/>
    <w:rsid w:val="00FE0670"/>
    <w:rsid w:val="00FE2147"/>
    <w:rsid w:val="00FE219D"/>
    <w:rsid w:val="00FE2620"/>
    <w:rsid w:val="00FE3864"/>
    <w:rsid w:val="00FE3E75"/>
    <w:rsid w:val="00FE4B0E"/>
    <w:rsid w:val="00FE4D6E"/>
    <w:rsid w:val="00FE6349"/>
    <w:rsid w:val="00FE6BFA"/>
    <w:rsid w:val="00FE7282"/>
    <w:rsid w:val="00FE7304"/>
    <w:rsid w:val="00FE79B7"/>
    <w:rsid w:val="00FF0310"/>
    <w:rsid w:val="00FF11DA"/>
    <w:rsid w:val="00FF20DC"/>
    <w:rsid w:val="00FF23DE"/>
    <w:rsid w:val="00FF2792"/>
    <w:rsid w:val="00FF59D0"/>
    <w:rsid w:val="00FF670F"/>
    <w:rsid w:val="00FF72F4"/>
    <w:rsid w:val="00FF7454"/>
    <w:rsid w:val="00FF7ED8"/>
    <w:rsid w:val="010354AC"/>
    <w:rsid w:val="010F11F6"/>
    <w:rsid w:val="01195FD9"/>
    <w:rsid w:val="01255330"/>
    <w:rsid w:val="01301ECB"/>
    <w:rsid w:val="01985B95"/>
    <w:rsid w:val="01F42E2D"/>
    <w:rsid w:val="01FB5C4F"/>
    <w:rsid w:val="0256548E"/>
    <w:rsid w:val="02657094"/>
    <w:rsid w:val="02890D36"/>
    <w:rsid w:val="029370C7"/>
    <w:rsid w:val="02960963"/>
    <w:rsid w:val="02BD78CB"/>
    <w:rsid w:val="02D05017"/>
    <w:rsid w:val="02DE1725"/>
    <w:rsid w:val="02FF41F8"/>
    <w:rsid w:val="030F23A0"/>
    <w:rsid w:val="0314419D"/>
    <w:rsid w:val="0315776F"/>
    <w:rsid w:val="03265180"/>
    <w:rsid w:val="035C032D"/>
    <w:rsid w:val="03DE77DD"/>
    <w:rsid w:val="04691FC5"/>
    <w:rsid w:val="04A12FC1"/>
    <w:rsid w:val="04E24159"/>
    <w:rsid w:val="04E81B1A"/>
    <w:rsid w:val="04EE6171"/>
    <w:rsid w:val="05097AD0"/>
    <w:rsid w:val="05187985"/>
    <w:rsid w:val="056D3AD0"/>
    <w:rsid w:val="05C52B46"/>
    <w:rsid w:val="05CC0E93"/>
    <w:rsid w:val="05CD58B2"/>
    <w:rsid w:val="05F306FA"/>
    <w:rsid w:val="06443FD4"/>
    <w:rsid w:val="066C1DBB"/>
    <w:rsid w:val="069471B1"/>
    <w:rsid w:val="06BD225B"/>
    <w:rsid w:val="07277E4A"/>
    <w:rsid w:val="073F1CAD"/>
    <w:rsid w:val="07402F73"/>
    <w:rsid w:val="07B16AC6"/>
    <w:rsid w:val="08073E22"/>
    <w:rsid w:val="081437C9"/>
    <w:rsid w:val="087424D8"/>
    <w:rsid w:val="08822685"/>
    <w:rsid w:val="08D46F0F"/>
    <w:rsid w:val="08FA104A"/>
    <w:rsid w:val="08FA57C7"/>
    <w:rsid w:val="09403420"/>
    <w:rsid w:val="09AA1547"/>
    <w:rsid w:val="09E3201C"/>
    <w:rsid w:val="0A18470E"/>
    <w:rsid w:val="0A765FB8"/>
    <w:rsid w:val="0A814349"/>
    <w:rsid w:val="0AF8308E"/>
    <w:rsid w:val="0B077F8D"/>
    <w:rsid w:val="0B1157E3"/>
    <w:rsid w:val="0B581C7A"/>
    <w:rsid w:val="0B733CEA"/>
    <w:rsid w:val="0B832C72"/>
    <w:rsid w:val="0C483CB5"/>
    <w:rsid w:val="0C5F0057"/>
    <w:rsid w:val="0CA926F0"/>
    <w:rsid w:val="0CAF268A"/>
    <w:rsid w:val="0CEA79D7"/>
    <w:rsid w:val="0D38584D"/>
    <w:rsid w:val="0D6126DC"/>
    <w:rsid w:val="0D8D654B"/>
    <w:rsid w:val="0DA914DF"/>
    <w:rsid w:val="0E263246"/>
    <w:rsid w:val="0E26741D"/>
    <w:rsid w:val="0E3015D7"/>
    <w:rsid w:val="0E6A02CB"/>
    <w:rsid w:val="0F195CD1"/>
    <w:rsid w:val="0F1C5B09"/>
    <w:rsid w:val="0F2446FC"/>
    <w:rsid w:val="0FB177F3"/>
    <w:rsid w:val="101500B2"/>
    <w:rsid w:val="10507C42"/>
    <w:rsid w:val="105A7962"/>
    <w:rsid w:val="109C3C4F"/>
    <w:rsid w:val="10E45C0D"/>
    <w:rsid w:val="115C57C9"/>
    <w:rsid w:val="11BC2E71"/>
    <w:rsid w:val="11F62C07"/>
    <w:rsid w:val="124F3295"/>
    <w:rsid w:val="12E80675"/>
    <w:rsid w:val="13155DB5"/>
    <w:rsid w:val="1319100A"/>
    <w:rsid w:val="13737B75"/>
    <w:rsid w:val="13894B8D"/>
    <w:rsid w:val="13B43E61"/>
    <w:rsid w:val="13EC5F71"/>
    <w:rsid w:val="147719A1"/>
    <w:rsid w:val="148C1946"/>
    <w:rsid w:val="149C7709"/>
    <w:rsid w:val="14A4244E"/>
    <w:rsid w:val="14AD2260"/>
    <w:rsid w:val="14B405A4"/>
    <w:rsid w:val="14B8240A"/>
    <w:rsid w:val="14F0383F"/>
    <w:rsid w:val="1534142B"/>
    <w:rsid w:val="15392D4C"/>
    <w:rsid w:val="154C7218"/>
    <w:rsid w:val="155557E1"/>
    <w:rsid w:val="1559560C"/>
    <w:rsid w:val="156D5FF4"/>
    <w:rsid w:val="15F333DA"/>
    <w:rsid w:val="160135B3"/>
    <w:rsid w:val="160D7DF3"/>
    <w:rsid w:val="169317A6"/>
    <w:rsid w:val="16AE3114"/>
    <w:rsid w:val="17043858"/>
    <w:rsid w:val="17385FEC"/>
    <w:rsid w:val="17707100"/>
    <w:rsid w:val="17853822"/>
    <w:rsid w:val="179A1B6A"/>
    <w:rsid w:val="17E06C0C"/>
    <w:rsid w:val="182C2A5B"/>
    <w:rsid w:val="1868584B"/>
    <w:rsid w:val="18947263"/>
    <w:rsid w:val="189E2345"/>
    <w:rsid w:val="18B50E83"/>
    <w:rsid w:val="19334F1D"/>
    <w:rsid w:val="194C23DB"/>
    <w:rsid w:val="196C5A40"/>
    <w:rsid w:val="19814326"/>
    <w:rsid w:val="19C2556A"/>
    <w:rsid w:val="19C41B53"/>
    <w:rsid w:val="1A2608F3"/>
    <w:rsid w:val="1A2A3350"/>
    <w:rsid w:val="1A336B23"/>
    <w:rsid w:val="1A750A6F"/>
    <w:rsid w:val="1AAD645B"/>
    <w:rsid w:val="1AB00CD7"/>
    <w:rsid w:val="1B087B35"/>
    <w:rsid w:val="1B143072"/>
    <w:rsid w:val="1B28788F"/>
    <w:rsid w:val="1B686DBB"/>
    <w:rsid w:val="1B824877"/>
    <w:rsid w:val="1BCD57AB"/>
    <w:rsid w:val="1BDE43F2"/>
    <w:rsid w:val="1C0E1A98"/>
    <w:rsid w:val="1C1E3533"/>
    <w:rsid w:val="1C2078F3"/>
    <w:rsid w:val="1C2428E7"/>
    <w:rsid w:val="1C490289"/>
    <w:rsid w:val="1C5A21E7"/>
    <w:rsid w:val="1C6F4FB4"/>
    <w:rsid w:val="1CA6768D"/>
    <w:rsid w:val="1CDB5968"/>
    <w:rsid w:val="1CFE635D"/>
    <w:rsid w:val="1D1F6145"/>
    <w:rsid w:val="1D501E57"/>
    <w:rsid w:val="1D54432D"/>
    <w:rsid w:val="1D651739"/>
    <w:rsid w:val="1DA63635"/>
    <w:rsid w:val="1DA82A10"/>
    <w:rsid w:val="1DAF569C"/>
    <w:rsid w:val="1DC86030"/>
    <w:rsid w:val="1E2D620F"/>
    <w:rsid w:val="1E422931"/>
    <w:rsid w:val="1E98574D"/>
    <w:rsid w:val="1EA615BB"/>
    <w:rsid w:val="1EC91F8E"/>
    <w:rsid w:val="1ED10ED1"/>
    <w:rsid w:val="1F210622"/>
    <w:rsid w:val="1F306401"/>
    <w:rsid w:val="1F3D4ADB"/>
    <w:rsid w:val="1F4277F5"/>
    <w:rsid w:val="1F5E4382"/>
    <w:rsid w:val="1FC3020C"/>
    <w:rsid w:val="1FF258FC"/>
    <w:rsid w:val="201812D5"/>
    <w:rsid w:val="20515ADA"/>
    <w:rsid w:val="205737C2"/>
    <w:rsid w:val="20621846"/>
    <w:rsid w:val="2066678B"/>
    <w:rsid w:val="206F32C6"/>
    <w:rsid w:val="208244E5"/>
    <w:rsid w:val="208337BA"/>
    <w:rsid w:val="21221E77"/>
    <w:rsid w:val="217E06CB"/>
    <w:rsid w:val="21907648"/>
    <w:rsid w:val="21AE27C3"/>
    <w:rsid w:val="21BD09EA"/>
    <w:rsid w:val="21C734F7"/>
    <w:rsid w:val="21D2510C"/>
    <w:rsid w:val="220D5256"/>
    <w:rsid w:val="22112672"/>
    <w:rsid w:val="2216360C"/>
    <w:rsid w:val="22352E85"/>
    <w:rsid w:val="22550749"/>
    <w:rsid w:val="22823F04"/>
    <w:rsid w:val="22B60C01"/>
    <w:rsid w:val="231879A1"/>
    <w:rsid w:val="2322375E"/>
    <w:rsid w:val="23242793"/>
    <w:rsid w:val="237D1557"/>
    <w:rsid w:val="239A46F7"/>
    <w:rsid w:val="23D5257E"/>
    <w:rsid w:val="2411343C"/>
    <w:rsid w:val="2425741B"/>
    <w:rsid w:val="247174BF"/>
    <w:rsid w:val="24855F40"/>
    <w:rsid w:val="249E6E14"/>
    <w:rsid w:val="249F6523"/>
    <w:rsid w:val="24A54BEC"/>
    <w:rsid w:val="24EE61B2"/>
    <w:rsid w:val="2593314B"/>
    <w:rsid w:val="25AD1ED4"/>
    <w:rsid w:val="25B84A72"/>
    <w:rsid w:val="25DC3FAF"/>
    <w:rsid w:val="25F52A65"/>
    <w:rsid w:val="25FA34AB"/>
    <w:rsid w:val="25FF506E"/>
    <w:rsid w:val="260141F7"/>
    <w:rsid w:val="262249B0"/>
    <w:rsid w:val="26824AC6"/>
    <w:rsid w:val="26B71A66"/>
    <w:rsid w:val="26CA35AD"/>
    <w:rsid w:val="2749366C"/>
    <w:rsid w:val="275F40AE"/>
    <w:rsid w:val="28145A17"/>
    <w:rsid w:val="28377363"/>
    <w:rsid w:val="289D572F"/>
    <w:rsid w:val="28AF1EA4"/>
    <w:rsid w:val="28B1694E"/>
    <w:rsid w:val="28BC0562"/>
    <w:rsid w:val="28D33785"/>
    <w:rsid w:val="290877C9"/>
    <w:rsid w:val="2919170E"/>
    <w:rsid w:val="29254FDF"/>
    <w:rsid w:val="29747D10"/>
    <w:rsid w:val="298635F5"/>
    <w:rsid w:val="29EA739F"/>
    <w:rsid w:val="29F96A50"/>
    <w:rsid w:val="2A1F2738"/>
    <w:rsid w:val="2A2D713F"/>
    <w:rsid w:val="2A3C699D"/>
    <w:rsid w:val="2A423861"/>
    <w:rsid w:val="2A5C0462"/>
    <w:rsid w:val="2A63541A"/>
    <w:rsid w:val="2A7964DB"/>
    <w:rsid w:val="2A8F5EDF"/>
    <w:rsid w:val="2AA84B6D"/>
    <w:rsid w:val="2AAB11ED"/>
    <w:rsid w:val="2AB06ECA"/>
    <w:rsid w:val="2ABA4466"/>
    <w:rsid w:val="2ABF0192"/>
    <w:rsid w:val="2AD7262F"/>
    <w:rsid w:val="2AFB6893"/>
    <w:rsid w:val="2B937D0B"/>
    <w:rsid w:val="2BB521F8"/>
    <w:rsid w:val="2C0262C1"/>
    <w:rsid w:val="2C773E97"/>
    <w:rsid w:val="2CC54020"/>
    <w:rsid w:val="2D094EA9"/>
    <w:rsid w:val="2D2F5194"/>
    <w:rsid w:val="2D566901"/>
    <w:rsid w:val="2D7D2E49"/>
    <w:rsid w:val="2D966AB6"/>
    <w:rsid w:val="2D9D552B"/>
    <w:rsid w:val="2DCA0C7A"/>
    <w:rsid w:val="2E0B1B47"/>
    <w:rsid w:val="2E144A59"/>
    <w:rsid w:val="2E1E06B9"/>
    <w:rsid w:val="2E2C3E41"/>
    <w:rsid w:val="2E3704AF"/>
    <w:rsid w:val="2E5A3DAC"/>
    <w:rsid w:val="2E810779"/>
    <w:rsid w:val="2EB61B31"/>
    <w:rsid w:val="2EDE1D07"/>
    <w:rsid w:val="2EF8259B"/>
    <w:rsid w:val="2EF835AC"/>
    <w:rsid w:val="2EF8398F"/>
    <w:rsid w:val="2F2537C4"/>
    <w:rsid w:val="2F2954D5"/>
    <w:rsid w:val="2F312813"/>
    <w:rsid w:val="2F6F09B3"/>
    <w:rsid w:val="2F8F3DC0"/>
    <w:rsid w:val="2F9959A7"/>
    <w:rsid w:val="2FDE4A00"/>
    <w:rsid w:val="302000BC"/>
    <w:rsid w:val="30251807"/>
    <w:rsid w:val="30332B06"/>
    <w:rsid w:val="30575FA2"/>
    <w:rsid w:val="30A957E4"/>
    <w:rsid w:val="30C56DD2"/>
    <w:rsid w:val="30E177A7"/>
    <w:rsid w:val="3138472C"/>
    <w:rsid w:val="314225B0"/>
    <w:rsid w:val="31511AD6"/>
    <w:rsid w:val="3198766B"/>
    <w:rsid w:val="319D0DD6"/>
    <w:rsid w:val="31AA329C"/>
    <w:rsid w:val="323B7E0F"/>
    <w:rsid w:val="325D1392"/>
    <w:rsid w:val="328966D0"/>
    <w:rsid w:val="328E3A30"/>
    <w:rsid w:val="32CA15BD"/>
    <w:rsid w:val="32DE1F01"/>
    <w:rsid w:val="32FD564D"/>
    <w:rsid w:val="331630E9"/>
    <w:rsid w:val="335F6FD7"/>
    <w:rsid w:val="33885C18"/>
    <w:rsid w:val="33996899"/>
    <w:rsid w:val="33C22678"/>
    <w:rsid w:val="33F83188"/>
    <w:rsid w:val="34227F73"/>
    <w:rsid w:val="3430230D"/>
    <w:rsid w:val="34377FF9"/>
    <w:rsid w:val="343B6470"/>
    <w:rsid w:val="343E4844"/>
    <w:rsid w:val="34C131AF"/>
    <w:rsid w:val="34CA3577"/>
    <w:rsid w:val="34E87C04"/>
    <w:rsid w:val="35476355"/>
    <w:rsid w:val="35681C92"/>
    <w:rsid w:val="356928AF"/>
    <w:rsid w:val="358C0256"/>
    <w:rsid w:val="35AA0C3E"/>
    <w:rsid w:val="35CF7321"/>
    <w:rsid w:val="35D579E0"/>
    <w:rsid w:val="35E84393"/>
    <w:rsid w:val="36013D27"/>
    <w:rsid w:val="36025D97"/>
    <w:rsid w:val="36B45A08"/>
    <w:rsid w:val="36C9251E"/>
    <w:rsid w:val="36E47B9D"/>
    <w:rsid w:val="370928C0"/>
    <w:rsid w:val="3747231F"/>
    <w:rsid w:val="37645C9B"/>
    <w:rsid w:val="376C2F19"/>
    <w:rsid w:val="376E015B"/>
    <w:rsid w:val="3776484C"/>
    <w:rsid w:val="37A23B04"/>
    <w:rsid w:val="37B81B43"/>
    <w:rsid w:val="38095130"/>
    <w:rsid w:val="38733E42"/>
    <w:rsid w:val="38A754F7"/>
    <w:rsid w:val="38C2712E"/>
    <w:rsid w:val="38EB4DDC"/>
    <w:rsid w:val="38F41A89"/>
    <w:rsid w:val="3925521E"/>
    <w:rsid w:val="39A62C24"/>
    <w:rsid w:val="39CB790F"/>
    <w:rsid w:val="39CF05D0"/>
    <w:rsid w:val="39F45841"/>
    <w:rsid w:val="3A0749A0"/>
    <w:rsid w:val="3A29797A"/>
    <w:rsid w:val="3A3E409C"/>
    <w:rsid w:val="3A5B7D04"/>
    <w:rsid w:val="3AB30E95"/>
    <w:rsid w:val="3AF15396"/>
    <w:rsid w:val="3B045C51"/>
    <w:rsid w:val="3B1D351E"/>
    <w:rsid w:val="3B2575DE"/>
    <w:rsid w:val="3B2F5F58"/>
    <w:rsid w:val="3B863442"/>
    <w:rsid w:val="3BA95E0D"/>
    <w:rsid w:val="3C682428"/>
    <w:rsid w:val="3C9402BA"/>
    <w:rsid w:val="3CB51561"/>
    <w:rsid w:val="3CF66AB4"/>
    <w:rsid w:val="3D0B7466"/>
    <w:rsid w:val="3D417B8C"/>
    <w:rsid w:val="3D4C5F1D"/>
    <w:rsid w:val="3DA13429"/>
    <w:rsid w:val="3DB712D8"/>
    <w:rsid w:val="3E1A5671"/>
    <w:rsid w:val="3E2B0D78"/>
    <w:rsid w:val="3E667CEF"/>
    <w:rsid w:val="3E6809D1"/>
    <w:rsid w:val="3E780B78"/>
    <w:rsid w:val="3E8C73DD"/>
    <w:rsid w:val="3E9779B7"/>
    <w:rsid w:val="3ED34AA0"/>
    <w:rsid w:val="3EEC5C83"/>
    <w:rsid w:val="3F1C4C99"/>
    <w:rsid w:val="3F2A54AE"/>
    <w:rsid w:val="3F375A43"/>
    <w:rsid w:val="3F6E789D"/>
    <w:rsid w:val="3F856CAD"/>
    <w:rsid w:val="3FE04FF8"/>
    <w:rsid w:val="3FED2FEE"/>
    <w:rsid w:val="406A624F"/>
    <w:rsid w:val="406A6AFE"/>
    <w:rsid w:val="409704D7"/>
    <w:rsid w:val="40A91E62"/>
    <w:rsid w:val="40B118C6"/>
    <w:rsid w:val="40CE78E8"/>
    <w:rsid w:val="40ED414F"/>
    <w:rsid w:val="40FE0BC1"/>
    <w:rsid w:val="412874F2"/>
    <w:rsid w:val="41664225"/>
    <w:rsid w:val="419701EC"/>
    <w:rsid w:val="42014C57"/>
    <w:rsid w:val="42161379"/>
    <w:rsid w:val="42AF6075"/>
    <w:rsid w:val="42CC520C"/>
    <w:rsid w:val="42CF43AB"/>
    <w:rsid w:val="42E12969"/>
    <w:rsid w:val="42EE6E5E"/>
    <w:rsid w:val="430F4AB3"/>
    <w:rsid w:val="43200ED3"/>
    <w:rsid w:val="43204EC2"/>
    <w:rsid w:val="43B06F1C"/>
    <w:rsid w:val="43C845C3"/>
    <w:rsid w:val="44001485"/>
    <w:rsid w:val="447B4624"/>
    <w:rsid w:val="449C7814"/>
    <w:rsid w:val="44A479C5"/>
    <w:rsid w:val="44A553F2"/>
    <w:rsid w:val="44AB5BB5"/>
    <w:rsid w:val="44D74953"/>
    <w:rsid w:val="44ED7546"/>
    <w:rsid w:val="44FF51C4"/>
    <w:rsid w:val="452A70C4"/>
    <w:rsid w:val="45AA6F6F"/>
    <w:rsid w:val="45EE038E"/>
    <w:rsid w:val="463F0BC5"/>
    <w:rsid w:val="4673796C"/>
    <w:rsid w:val="46737A24"/>
    <w:rsid w:val="4674666E"/>
    <w:rsid w:val="46C85F5F"/>
    <w:rsid w:val="46CA0433"/>
    <w:rsid w:val="46E44703"/>
    <w:rsid w:val="471E0126"/>
    <w:rsid w:val="47287FB8"/>
    <w:rsid w:val="47530F1F"/>
    <w:rsid w:val="47772728"/>
    <w:rsid w:val="47C876CB"/>
    <w:rsid w:val="47D73A93"/>
    <w:rsid w:val="48034366"/>
    <w:rsid w:val="481B4154"/>
    <w:rsid w:val="48516FB5"/>
    <w:rsid w:val="4860425D"/>
    <w:rsid w:val="488E0B7F"/>
    <w:rsid w:val="48910A08"/>
    <w:rsid w:val="48B459D5"/>
    <w:rsid w:val="48F416EC"/>
    <w:rsid w:val="49497D40"/>
    <w:rsid w:val="4A3A6E9E"/>
    <w:rsid w:val="4A4E3578"/>
    <w:rsid w:val="4A5E657A"/>
    <w:rsid w:val="4A9216E3"/>
    <w:rsid w:val="4AE820F1"/>
    <w:rsid w:val="4B5C51AF"/>
    <w:rsid w:val="4B951311"/>
    <w:rsid w:val="4BA62F67"/>
    <w:rsid w:val="4BF42B9E"/>
    <w:rsid w:val="4C1D45E0"/>
    <w:rsid w:val="4C3677AE"/>
    <w:rsid w:val="4C3E19EB"/>
    <w:rsid w:val="4C6B2F56"/>
    <w:rsid w:val="4CAA52F9"/>
    <w:rsid w:val="4D2211DC"/>
    <w:rsid w:val="4D5060FA"/>
    <w:rsid w:val="4D560717"/>
    <w:rsid w:val="4D9066EF"/>
    <w:rsid w:val="4DAB5852"/>
    <w:rsid w:val="4DB217E7"/>
    <w:rsid w:val="4DB231AD"/>
    <w:rsid w:val="4E6241F5"/>
    <w:rsid w:val="4E634927"/>
    <w:rsid w:val="4E6D0038"/>
    <w:rsid w:val="4E751CC3"/>
    <w:rsid w:val="4EAD1E2E"/>
    <w:rsid w:val="4EB73815"/>
    <w:rsid w:val="4F105D44"/>
    <w:rsid w:val="4F132029"/>
    <w:rsid w:val="4F355850"/>
    <w:rsid w:val="4F437C01"/>
    <w:rsid w:val="4F5C4B3F"/>
    <w:rsid w:val="4F645657"/>
    <w:rsid w:val="4F8B14B0"/>
    <w:rsid w:val="4FB671CF"/>
    <w:rsid w:val="4FEFB9BD"/>
    <w:rsid w:val="4FFD7F4B"/>
    <w:rsid w:val="501F5F01"/>
    <w:rsid w:val="50275F90"/>
    <w:rsid w:val="505521CD"/>
    <w:rsid w:val="5063360F"/>
    <w:rsid w:val="5079308D"/>
    <w:rsid w:val="507C3AF5"/>
    <w:rsid w:val="509B62B4"/>
    <w:rsid w:val="50BF05A8"/>
    <w:rsid w:val="50D93451"/>
    <w:rsid w:val="50E009E8"/>
    <w:rsid w:val="50E74F74"/>
    <w:rsid w:val="516223FD"/>
    <w:rsid w:val="519F5DF6"/>
    <w:rsid w:val="51A04A97"/>
    <w:rsid w:val="51C63383"/>
    <w:rsid w:val="51DF1D99"/>
    <w:rsid w:val="52077FA0"/>
    <w:rsid w:val="523E6CC9"/>
    <w:rsid w:val="524E473C"/>
    <w:rsid w:val="52797ECC"/>
    <w:rsid w:val="52B03DCF"/>
    <w:rsid w:val="52E361B6"/>
    <w:rsid w:val="52F61E27"/>
    <w:rsid w:val="530B34BA"/>
    <w:rsid w:val="5346701B"/>
    <w:rsid w:val="535951CF"/>
    <w:rsid w:val="53920459"/>
    <w:rsid w:val="539D3912"/>
    <w:rsid w:val="541D3002"/>
    <w:rsid w:val="545C6276"/>
    <w:rsid w:val="54674E8E"/>
    <w:rsid w:val="54895F85"/>
    <w:rsid w:val="556C60B3"/>
    <w:rsid w:val="55EF7972"/>
    <w:rsid w:val="56000B25"/>
    <w:rsid w:val="561A74D1"/>
    <w:rsid w:val="562C6DA4"/>
    <w:rsid w:val="565A7F33"/>
    <w:rsid w:val="568850AA"/>
    <w:rsid w:val="57283E0B"/>
    <w:rsid w:val="574A1DC1"/>
    <w:rsid w:val="57A16150"/>
    <w:rsid w:val="57C00B06"/>
    <w:rsid w:val="58021570"/>
    <w:rsid w:val="580E5197"/>
    <w:rsid w:val="582C16A6"/>
    <w:rsid w:val="582F247B"/>
    <w:rsid w:val="5831455A"/>
    <w:rsid w:val="5863030F"/>
    <w:rsid w:val="589A3B73"/>
    <w:rsid w:val="58E93DFA"/>
    <w:rsid w:val="58F52B38"/>
    <w:rsid w:val="5906339C"/>
    <w:rsid w:val="592616D2"/>
    <w:rsid w:val="59341B00"/>
    <w:rsid w:val="598D0A35"/>
    <w:rsid w:val="59DE0E81"/>
    <w:rsid w:val="59F55223"/>
    <w:rsid w:val="59FF35B4"/>
    <w:rsid w:val="5A3971B1"/>
    <w:rsid w:val="5A9E4C3C"/>
    <w:rsid w:val="5AE470AA"/>
    <w:rsid w:val="5AF2051E"/>
    <w:rsid w:val="5AF57202"/>
    <w:rsid w:val="5B2B34B2"/>
    <w:rsid w:val="5B2D2E71"/>
    <w:rsid w:val="5B301727"/>
    <w:rsid w:val="5B384A6B"/>
    <w:rsid w:val="5B5A5DEF"/>
    <w:rsid w:val="5BB41608"/>
    <w:rsid w:val="5BC56904"/>
    <w:rsid w:val="5C0A6E8C"/>
    <w:rsid w:val="5C5049C8"/>
    <w:rsid w:val="5CA9096B"/>
    <w:rsid w:val="5CCE6D02"/>
    <w:rsid w:val="5CEC2D02"/>
    <w:rsid w:val="5D16383F"/>
    <w:rsid w:val="5D1E3476"/>
    <w:rsid w:val="5D2353DA"/>
    <w:rsid w:val="5D2F1D61"/>
    <w:rsid w:val="5DA14B7B"/>
    <w:rsid w:val="5DDF7727"/>
    <w:rsid w:val="5E0D2DD9"/>
    <w:rsid w:val="5E2A2B5D"/>
    <w:rsid w:val="5E8E347A"/>
    <w:rsid w:val="5F2438BB"/>
    <w:rsid w:val="5F4257D5"/>
    <w:rsid w:val="5F6D531F"/>
    <w:rsid w:val="5FAE2505"/>
    <w:rsid w:val="5FB33563"/>
    <w:rsid w:val="5FBB7494"/>
    <w:rsid w:val="60056797"/>
    <w:rsid w:val="6027437A"/>
    <w:rsid w:val="60291EE3"/>
    <w:rsid w:val="60B453AD"/>
    <w:rsid w:val="61094D40"/>
    <w:rsid w:val="61271980"/>
    <w:rsid w:val="614172DE"/>
    <w:rsid w:val="6160574F"/>
    <w:rsid w:val="61893B26"/>
    <w:rsid w:val="621818DF"/>
    <w:rsid w:val="62214A74"/>
    <w:rsid w:val="62B40E40"/>
    <w:rsid w:val="630700DA"/>
    <w:rsid w:val="634A4FAD"/>
    <w:rsid w:val="64134CCE"/>
    <w:rsid w:val="64342372"/>
    <w:rsid w:val="643F6C0E"/>
    <w:rsid w:val="64453605"/>
    <w:rsid w:val="646B5BC7"/>
    <w:rsid w:val="646E0A8E"/>
    <w:rsid w:val="64770E73"/>
    <w:rsid w:val="648B18C9"/>
    <w:rsid w:val="64C161CD"/>
    <w:rsid w:val="64CD2937"/>
    <w:rsid w:val="6511265D"/>
    <w:rsid w:val="651C4271"/>
    <w:rsid w:val="652D52AB"/>
    <w:rsid w:val="655B398A"/>
    <w:rsid w:val="65A8181D"/>
    <w:rsid w:val="65A836AB"/>
    <w:rsid w:val="65A93AD5"/>
    <w:rsid w:val="65BB2FC6"/>
    <w:rsid w:val="66167FB6"/>
    <w:rsid w:val="662B3EC2"/>
    <w:rsid w:val="66636F9A"/>
    <w:rsid w:val="66786787"/>
    <w:rsid w:val="66A15D14"/>
    <w:rsid w:val="66A4629C"/>
    <w:rsid w:val="66B25BAB"/>
    <w:rsid w:val="679F4E53"/>
    <w:rsid w:val="6808013C"/>
    <w:rsid w:val="68490BA5"/>
    <w:rsid w:val="685305E5"/>
    <w:rsid w:val="6872092B"/>
    <w:rsid w:val="68A320F0"/>
    <w:rsid w:val="68B11D24"/>
    <w:rsid w:val="68C10A03"/>
    <w:rsid w:val="68FB5567"/>
    <w:rsid w:val="691702F9"/>
    <w:rsid w:val="692E7F1E"/>
    <w:rsid w:val="69430A4C"/>
    <w:rsid w:val="695A32F7"/>
    <w:rsid w:val="69625FE3"/>
    <w:rsid w:val="698C6D71"/>
    <w:rsid w:val="6A242849"/>
    <w:rsid w:val="6A496830"/>
    <w:rsid w:val="6A8F166B"/>
    <w:rsid w:val="6ACD111D"/>
    <w:rsid w:val="6ADF78E5"/>
    <w:rsid w:val="6B0B3C2C"/>
    <w:rsid w:val="6B3A4BD0"/>
    <w:rsid w:val="6B57739A"/>
    <w:rsid w:val="6B596996"/>
    <w:rsid w:val="6B72636C"/>
    <w:rsid w:val="6B8C53C3"/>
    <w:rsid w:val="6B8D0D02"/>
    <w:rsid w:val="6B961170"/>
    <w:rsid w:val="6BBB152F"/>
    <w:rsid w:val="6C35079A"/>
    <w:rsid w:val="6C7C2B89"/>
    <w:rsid w:val="6C8143AB"/>
    <w:rsid w:val="6C9003BD"/>
    <w:rsid w:val="6CB30AE5"/>
    <w:rsid w:val="6CE20953"/>
    <w:rsid w:val="6D0914F3"/>
    <w:rsid w:val="6D6F3466"/>
    <w:rsid w:val="6E10608E"/>
    <w:rsid w:val="6E3147D9"/>
    <w:rsid w:val="6E360C61"/>
    <w:rsid w:val="6E625BD5"/>
    <w:rsid w:val="6E92338D"/>
    <w:rsid w:val="6EA50F15"/>
    <w:rsid w:val="6EDA4A7D"/>
    <w:rsid w:val="6EFA3169"/>
    <w:rsid w:val="6F1218C9"/>
    <w:rsid w:val="6F35142D"/>
    <w:rsid w:val="6F563453"/>
    <w:rsid w:val="6F737876"/>
    <w:rsid w:val="6FE10C9C"/>
    <w:rsid w:val="6FE11054"/>
    <w:rsid w:val="7013143E"/>
    <w:rsid w:val="70157CF8"/>
    <w:rsid w:val="70257F20"/>
    <w:rsid w:val="70375E28"/>
    <w:rsid w:val="70593DDE"/>
    <w:rsid w:val="707375B2"/>
    <w:rsid w:val="70A81A46"/>
    <w:rsid w:val="70CE3BAA"/>
    <w:rsid w:val="70E24D98"/>
    <w:rsid w:val="70E75380"/>
    <w:rsid w:val="7105681E"/>
    <w:rsid w:val="71080E6A"/>
    <w:rsid w:val="71103748"/>
    <w:rsid w:val="713F3812"/>
    <w:rsid w:val="71653017"/>
    <w:rsid w:val="717C1858"/>
    <w:rsid w:val="71900D99"/>
    <w:rsid w:val="72401A80"/>
    <w:rsid w:val="726603B7"/>
    <w:rsid w:val="7298562B"/>
    <w:rsid w:val="73047240"/>
    <w:rsid w:val="7306587D"/>
    <w:rsid w:val="73403E28"/>
    <w:rsid w:val="73577E87"/>
    <w:rsid w:val="737C78ED"/>
    <w:rsid w:val="73823391"/>
    <w:rsid w:val="74025A20"/>
    <w:rsid w:val="74125278"/>
    <w:rsid w:val="742D6B8B"/>
    <w:rsid w:val="7474619D"/>
    <w:rsid w:val="74DD7D93"/>
    <w:rsid w:val="750300CE"/>
    <w:rsid w:val="75063D16"/>
    <w:rsid w:val="75435570"/>
    <w:rsid w:val="7596318B"/>
    <w:rsid w:val="75F145C2"/>
    <w:rsid w:val="763E2D8B"/>
    <w:rsid w:val="764146E0"/>
    <w:rsid w:val="76444DA6"/>
    <w:rsid w:val="765E373E"/>
    <w:rsid w:val="76642619"/>
    <w:rsid w:val="767D7332"/>
    <w:rsid w:val="76912AA8"/>
    <w:rsid w:val="76936197"/>
    <w:rsid w:val="76B352E5"/>
    <w:rsid w:val="76BB5179"/>
    <w:rsid w:val="77A85FA7"/>
    <w:rsid w:val="77B42785"/>
    <w:rsid w:val="77F9738A"/>
    <w:rsid w:val="77FD0061"/>
    <w:rsid w:val="784A497A"/>
    <w:rsid w:val="786E73D3"/>
    <w:rsid w:val="78F00C0D"/>
    <w:rsid w:val="79015EE8"/>
    <w:rsid w:val="790C5439"/>
    <w:rsid w:val="79AB5AA7"/>
    <w:rsid w:val="7A2D6D03"/>
    <w:rsid w:val="7A926212"/>
    <w:rsid w:val="7AF15D92"/>
    <w:rsid w:val="7AF244C2"/>
    <w:rsid w:val="7B567BF2"/>
    <w:rsid w:val="7B612529"/>
    <w:rsid w:val="7B7968C3"/>
    <w:rsid w:val="7C0D4B58"/>
    <w:rsid w:val="7C1F2672"/>
    <w:rsid w:val="7C32323F"/>
    <w:rsid w:val="7C492337"/>
    <w:rsid w:val="7C5D1F33"/>
    <w:rsid w:val="7C8313D5"/>
    <w:rsid w:val="7C89453B"/>
    <w:rsid w:val="7C9149ED"/>
    <w:rsid w:val="7C9D0A90"/>
    <w:rsid w:val="7CB1637A"/>
    <w:rsid w:val="7CD82311"/>
    <w:rsid w:val="7CEA6A35"/>
    <w:rsid w:val="7D040F8D"/>
    <w:rsid w:val="7D0564AB"/>
    <w:rsid w:val="7D4444CB"/>
    <w:rsid w:val="7D5052A6"/>
    <w:rsid w:val="7DA912DF"/>
    <w:rsid w:val="7DE50961"/>
    <w:rsid w:val="7DE62533"/>
    <w:rsid w:val="7E0E489F"/>
    <w:rsid w:val="7E1A6070"/>
    <w:rsid w:val="7E351938"/>
    <w:rsid w:val="7E3A462D"/>
    <w:rsid w:val="7E813419"/>
    <w:rsid w:val="7E9A1E92"/>
    <w:rsid w:val="7EC74BC9"/>
    <w:rsid w:val="7F0204F0"/>
    <w:rsid w:val="7F06137B"/>
    <w:rsid w:val="7F106C3A"/>
    <w:rsid w:val="7F6E6C48"/>
    <w:rsid w:val="7F880827"/>
    <w:rsid w:val="7FFB1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iPriority="99" w:semiHidden="0" w:name="index 8"/>
    <w:lsdException w:uiPriority="99" w:name="index 9"/>
    <w:lsdException w:qFormat="1" w:unhideWhenUsed="0" w:uiPriority="39" w:semiHidden="0" w:name="toc 1"/>
    <w:lsdException w:qFormat="1" w:unhideWhenUsed="0" w:uiPriority="39" w:semiHidden="0" w:name="toc 2"/>
    <w:lsdException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55"/>
    <w:qFormat/>
    <w:uiPriority w:val="9"/>
    <w:pPr>
      <w:keepNext/>
      <w:keepLines/>
      <w:spacing w:before="340" w:after="330" w:line="578" w:lineRule="auto"/>
      <w:jc w:val="center"/>
      <w:outlineLvl w:val="0"/>
    </w:pPr>
    <w:rPr>
      <w:rFonts w:eastAsia="仿宋_GB2312"/>
      <w:b/>
      <w:bCs/>
      <w:kern w:val="44"/>
      <w:sz w:val="44"/>
      <w:szCs w:val="44"/>
    </w:rPr>
  </w:style>
  <w:style w:type="paragraph" w:styleId="4">
    <w:name w:val="heading 2"/>
    <w:basedOn w:val="1"/>
    <w:next w:val="1"/>
    <w:link w:val="51"/>
    <w:qFormat/>
    <w:uiPriority w:val="9"/>
    <w:pPr>
      <w:keepNext/>
      <w:keepLines/>
      <w:spacing w:before="260" w:after="260" w:line="400" w:lineRule="exact"/>
      <w:outlineLvl w:val="1"/>
    </w:pPr>
    <w:rPr>
      <w:rFonts w:ascii="Arial" w:hAnsi="Arial" w:eastAsia="黑体"/>
      <w:b/>
      <w:bCs/>
      <w:sz w:val="24"/>
      <w:szCs w:val="32"/>
    </w:rPr>
  </w:style>
  <w:style w:type="paragraph" w:styleId="2">
    <w:name w:val="heading 3"/>
    <w:basedOn w:val="1"/>
    <w:next w:val="1"/>
    <w:link w:val="66"/>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133"/>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134"/>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135"/>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136"/>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137"/>
    <w:qFormat/>
    <w:uiPriority w:val="0"/>
    <w:pPr>
      <w:keepNext/>
      <w:keepLines/>
      <w:numPr>
        <w:ilvl w:val="8"/>
        <w:numId w:val="1"/>
      </w:numPr>
      <w:spacing w:before="240" w:after="64" w:line="320" w:lineRule="auto"/>
      <w:outlineLvl w:val="8"/>
    </w:pPr>
    <w:rPr>
      <w:rFonts w:ascii="Arial" w:hAnsi="Arial" w:eastAsia="黑体"/>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7">
    <w:name w:val="Normal Indent"/>
    <w:basedOn w:val="1"/>
    <w:link w:val="64"/>
    <w:qFormat/>
    <w:uiPriority w:val="0"/>
    <w:pPr>
      <w:ind w:firstLine="420"/>
    </w:pPr>
    <w:rPr>
      <w:szCs w:val="20"/>
    </w:rPr>
  </w:style>
  <w:style w:type="paragraph" w:styleId="12">
    <w:name w:val="index 8"/>
    <w:basedOn w:val="1"/>
    <w:next w:val="1"/>
    <w:unhideWhenUsed/>
    <w:qFormat/>
    <w:uiPriority w:val="99"/>
    <w:pPr>
      <w:ind w:left="1400" w:leftChars="1400"/>
    </w:pPr>
  </w:style>
  <w:style w:type="paragraph" w:styleId="13">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link w:val="138"/>
    <w:qFormat/>
    <w:uiPriority w:val="0"/>
    <w:pPr>
      <w:shd w:val="clear" w:color="auto" w:fill="000080"/>
    </w:pPr>
  </w:style>
  <w:style w:type="paragraph" w:styleId="16">
    <w:name w:val="annotation text"/>
    <w:basedOn w:val="1"/>
    <w:link w:val="80"/>
    <w:qFormat/>
    <w:uiPriority w:val="0"/>
    <w:pPr>
      <w:jc w:val="left"/>
    </w:pPr>
  </w:style>
  <w:style w:type="paragraph" w:styleId="17">
    <w:name w:val="Body Text 3"/>
    <w:basedOn w:val="1"/>
    <w:link w:val="139"/>
    <w:qFormat/>
    <w:uiPriority w:val="0"/>
    <w:pPr>
      <w:spacing w:line="500" w:lineRule="exact"/>
    </w:pPr>
    <w:rPr>
      <w:b/>
      <w:bCs/>
      <w:sz w:val="24"/>
    </w:rPr>
  </w:style>
  <w:style w:type="paragraph" w:styleId="18">
    <w:name w:val="Body Text"/>
    <w:basedOn w:val="1"/>
    <w:next w:val="19"/>
    <w:link w:val="140"/>
    <w:qFormat/>
    <w:uiPriority w:val="0"/>
    <w:pPr>
      <w:spacing w:line="380" w:lineRule="exact"/>
    </w:pPr>
    <w:rPr>
      <w:sz w:val="24"/>
    </w:rPr>
  </w:style>
  <w:style w:type="paragraph" w:styleId="19">
    <w:name w:val="toc 2"/>
    <w:basedOn w:val="1"/>
    <w:next w:val="1"/>
    <w:qFormat/>
    <w:uiPriority w:val="39"/>
    <w:pPr>
      <w:ind w:left="420" w:leftChars="200"/>
    </w:pPr>
  </w:style>
  <w:style w:type="paragraph" w:styleId="20">
    <w:name w:val="Body Text Indent"/>
    <w:basedOn w:val="1"/>
    <w:next w:val="1"/>
    <w:link w:val="73"/>
    <w:qFormat/>
    <w:uiPriority w:val="0"/>
    <w:pPr>
      <w:ind w:firstLine="830" w:firstLineChars="352"/>
    </w:pPr>
    <w:rPr>
      <w:rFonts w:ascii="仿宋_GB2312" w:eastAsia="仿宋_GB2312"/>
      <w:sz w:val="32"/>
      <w:szCs w:val="20"/>
    </w:rPr>
  </w:style>
  <w:style w:type="paragraph" w:styleId="21">
    <w:name w:val="List Number 3"/>
    <w:basedOn w:val="1"/>
    <w:qFormat/>
    <w:uiPriority w:val="0"/>
    <w:pPr>
      <w:numPr>
        <w:ilvl w:val="0"/>
        <w:numId w:val="1"/>
      </w:numPr>
    </w:pPr>
  </w:style>
  <w:style w:type="paragraph" w:styleId="22">
    <w:name w:val="List 2"/>
    <w:basedOn w:val="1"/>
    <w:qFormat/>
    <w:uiPriority w:val="0"/>
    <w:pPr>
      <w:ind w:left="100" w:leftChars="200" w:hanging="200" w:hangingChars="200"/>
    </w:pPr>
    <w:rPr>
      <w:sz w:val="28"/>
    </w:rPr>
  </w:style>
  <w:style w:type="paragraph" w:styleId="23">
    <w:name w:val="Plain Text"/>
    <w:basedOn w:val="1"/>
    <w:next w:val="1"/>
    <w:link w:val="60"/>
    <w:qFormat/>
    <w:uiPriority w:val="0"/>
    <w:rPr>
      <w:rFonts w:ascii="宋体" w:hAnsi="Courier New" w:cs="Courier New"/>
      <w:szCs w:val="21"/>
    </w:rPr>
  </w:style>
  <w:style w:type="paragraph" w:styleId="24">
    <w:name w:val="Date"/>
    <w:basedOn w:val="1"/>
    <w:next w:val="1"/>
    <w:link w:val="141"/>
    <w:qFormat/>
    <w:uiPriority w:val="0"/>
    <w:pPr>
      <w:ind w:left="100" w:leftChars="2500"/>
    </w:pPr>
    <w:rPr>
      <w:rFonts w:ascii="宋体" w:hAnsi="Courier New" w:cs="Courier New"/>
      <w:szCs w:val="21"/>
    </w:rPr>
  </w:style>
  <w:style w:type="paragraph" w:styleId="25">
    <w:name w:val="Body Text Indent 2"/>
    <w:basedOn w:val="1"/>
    <w:link w:val="142"/>
    <w:qFormat/>
    <w:uiPriority w:val="0"/>
    <w:pPr>
      <w:ind w:firstLine="630"/>
    </w:pPr>
    <w:rPr>
      <w:sz w:val="32"/>
      <w:szCs w:val="20"/>
    </w:rPr>
  </w:style>
  <w:style w:type="paragraph" w:styleId="26">
    <w:name w:val="Balloon Text"/>
    <w:basedOn w:val="1"/>
    <w:link w:val="79"/>
    <w:qFormat/>
    <w:uiPriority w:val="0"/>
    <w:rPr>
      <w:sz w:val="18"/>
      <w:szCs w:val="18"/>
      <w:lang w:val="zh-CN"/>
    </w:rPr>
  </w:style>
  <w:style w:type="paragraph" w:styleId="27">
    <w:name w:val="footer"/>
    <w:basedOn w:val="1"/>
    <w:next w:val="1"/>
    <w:link w:val="75"/>
    <w:qFormat/>
    <w:uiPriority w:val="99"/>
    <w:pPr>
      <w:tabs>
        <w:tab w:val="center" w:pos="4153"/>
        <w:tab w:val="right" w:pos="8306"/>
      </w:tabs>
      <w:snapToGrid w:val="0"/>
      <w:jc w:val="left"/>
    </w:pPr>
    <w:rPr>
      <w:sz w:val="18"/>
      <w:szCs w:val="18"/>
      <w:lang w:val="zh-CN"/>
    </w:rPr>
  </w:style>
  <w:style w:type="paragraph" w:styleId="28">
    <w:name w:val="header"/>
    <w:basedOn w:val="1"/>
    <w:link w:val="77"/>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style>
  <w:style w:type="paragraph" w:styleId="30">
    <w:name w:val="Subtitle"/>
    <w:basedOn w:val="1"/>
    <w:next w:val="1"/>
    <w:link w:val="78"/>
    <w:qFormat/>
    <w:uiPriority w:val="0"/>
    <w:pPr>
      <w:spacing w:line="312" w:lineRule="auto"/>
      <w:ind w:left="200" w:leftChars="200"/>
      <w:jc w:val="left"/>
      <w:outlineLvl w:val="1"/>
    </w:pPr>
    <w:rPr>
      <w:rFonts w:ascii="Cambria" w:hAnsi="Cambria"/>
      <w:b/>
      <w:bCs/>
      <w:kern w:val="28"/>
      <w:sz w:val="28"/>
      <w:szCs w:val="32"/>
    </w:rPr>
  </w:style>
  <w:style w:type="paragraph" w:styleId="31">
    <w:name w:val="List"/>
    <w:basedOn w:val="1"/>
    <w:qFormat/>
    <w:uiPriority w:val="0"/>
    <w:pPr>
      <w:ind w:left="200" w:hanging="200" w:hangingChars="200"/>
    </w:pPr>
    <w:rPr>
      <w:sz w:val="28"/>
    </w:rPr>
  </w:style>
  <w:style w:type="paragraph" w:styleId="32">
    <w:name w:val="footnote text"/>
    <w:basedOn w:val="1"/>
    <w:qFormat/>
    <w:uiPriority w:val="0"/>
    <w:pPr>
      <w:snapToGrid w:val="0"/>
      <w:jc w:val="left"/>
    </w:pPr>
    <w:rPr>
      <w:rFonts w:ascii="Calibri" w:hAnsi="Calibri"/>
      <w:sz w:val="18"/>
    </w:rPr>
  </w:style>
  <w:style w:type="paragraph" w:styleId="33">
    <w:name w:val="Body Text Indent 3"/>
    <w:basedOn w:val="1"/>
    <w:link w:val="143"/>
    <w:qFormat/>
    <w:uiPriority w:val="0"/>
    <w:pPr>
      <w:spacing w:after="120"/>
      <w:ind w:left="420" w:leftChars="200"/>
    </w:pPr>
    <w:rPr>
      <w:sz w:val="16"/>
      <w:szCs w:val="16"/>
    </w:rPr>
  </w:style>
  <w:style w:type="paragraph" w:styleId="34">
    <w:name w:val="Body Text 2"/>
    <w:basedOn w:val="1"/>
    <w:link w:val="144"/>
    <w:qFormat/>
    <w:uiPriority w:val="0"/>
    <w:pPr>
      <w:spacing w:after="120" w:line="480" w:lineRule="auto"/>
    </w:pPr>
  </w:style>
  <w:style w:type="paragraph" w:styleId="35">
    <w:name w:val="HTML Preformatted"/>
    <w:basedOn w:val="1"/>
    <w:link w:val="14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6">
    <w:name w:val="Normal (Web)"/>
    <w:basedOn w:val="1"/>
    <w:qFormat/>
    <w:uiPriority w:val="0"/>
    <w:pPr>
      <w:widowControl/>
      <w:spacing w:before="100" w:beforeAutospacing="1" w:after="100" w:afterAutospacing="1"/>
      <w:jc w:val="left"/>
    </w:pPr>
    <w:rPr>
      <w:rFonts w:ascii="宋体" w:hAnsi="宋体"/>
      <w:kern w:val="0"/>
      <w:sz w:val="24"/>
    </w:rPr>
  </w:style>
  <w:style w:type="paragraph" w:styleId="37">
    <w:name w:val="index 1"/>
    <w:basedOn w:val="1"/>
    <w:next w:val="1"/>
    <w:semiHidden/>
    <w:qFormat/>
    <w:uiPriority w:val="0"/>
    <w:pPr>
      <w:spacing w:line="400" w:lineRule="exact"/>
      <w:ind w:firstLine="420" w:firstLineChars="200"/>
    </w:pPr>
    <w:rPr>
      <w:rFonts w:ascii="宋体" w:hAnsi="Courier New"/>
      <w:b/>
      <w:szCs w:val="20"/>
    </w:rPr>
  </w:style>
  <w:style w:type="paragraph" w:styleId="38">
    <w:name w:val="Title"/>
    <w:basedOn w:val="1"/>
    <w:qFormat/>
    <w:uiPriority w:val="0"/>
    <w:pPr>
      <w:widowControl/>
      <w:kinsoku w:val="0"/>
      <w:autoSpaceDE w:val="0"/>
      <w:autoSpaceDN w:val="0"/>
      <w:adjustRightInd w:val="0"/>
      <w:snapToGrid w:val="0"/>
      <w:spacing w:before="240" w:after="60"/>
      <w:jc w:val="center"/>
      <w:textAlignment w:val="baseline"/>
      <w:outlineLvl w:val="0"/>
    </w:pPr>
    <w:rPr>
      <w:rFonts w:ascii="Arial" w:hAnsi="Arial" w:eastAsia="微软雅黑" w:cs="Arial"/>
      <w:b/>
      <w:snapToGrid w:val="0"/>
      <w:color w:val="000000"/>
      <w:kern w:val="0"/>
      <w:sz w:val="32"/>
      <w:szCs w:val="21"/>
    </w:rPr>
  </w:style>
  <w:style w:type="paragraph" w:styleId="39">
    <w:name w:val="annotation subject"/>
    <w:basedOn w:val="16"/>
    <w:next w:val="16"/>
    <w:link w:val="90"/>
    <w:qFormat/>
    <w:uiPriority w:val="0"/>
    <w:rPr>
      <w:b/>
      <w:bCs/>
    </w:rPr>
  </w:style>
  <w:style w:type="paragraph" w:styleId="40">
    <w:name w:val="Body Text First Indent"/>
    <w:basedOn w:val="18"/>
    <w:qFormat/>
    <w:uiPriority w:val="0"/>
    <w:pPr>
      <w:spacing w:after="120"/>
      <w:ind w:firstLine="420" w:firstLineChars="100"/>
    </w:pPr>
    <w:rPr>
      <w:rFonts w:ascii="宋体"/>
      <w:sz w:val="21"/>
    </w:rPr>
  </w:style>
  <w:style w:type="paragraph" w:styleId="41">
    <w:name w:val="Body Text First Indent 2"/>
    <w:basedOn w:val="20"/>
    <w:next w:val="1"/>
    <w:qFormat/>
    <w:uiPriority w:val="0"/>
    <w:pPr>
      <w:spacing w:after="120"/>
      <w:ind w:left="420" w:leftChars="200" w:firstLine="420" w:firstLineChars="200"/>
    </w:pPr>
    <w:rPr>
      <w:rFonts w:ascii="Times New Roman" w:eastAsia="宋体"/>
      <w:sz w:val="21"/>
      <w:szCs w:val="24"/>
    </w:rPr>
  </w:style>
  <w:style w:type="table" w:styleId="43">
    <w:name w:val="Table Grid"/>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rFonts w:ascii="Times New Roman" w:hAnsi="Times New Roman" w:eastAsia="宋体" w:cs="Times New Roman"/>
      <w:b/>
      <w:bCs/>
    </w:rPr>
  </w:style>
  <w:style w:type="character" w:styleId="46">
    <w:name w:val="page number"/>
    <w:qFormat/>
    <w:uiPriority w:val="0"/>
    <w:rPr>
      <w:rFonts w:ascii="Times New Roman" w:hAnsi="Times New Roman" w:eastAsia="宋体" w:cs="Times New Roman"/>
    </w:rPr>
  </w:style>
  <w:style w:type="character" w:styleId="47">
    <w:name w:val="FollowedHyperlink"/>
    <w:basedOn w:val="44"/>
    <w:unhideWhenUsed/>
    <w:qFormat/>
    <w:uiPriority w:val="99"/>
    <w:rPr>
      <w:color w:val="954F72" w:themeColor="followedHyperlink"/>
      <w:u w:val="single"/>
      <w14:textFill>
        <w14:solidFill>
          <w14:schemeClr w14:val="folHlink"/>
        </w14:solidFill>
      </w14:textFill>
    </w:rPr>
  </w:style>
  <w:style w:type="character" w:styleId="48">
    <w:name w:val="Emphasis"/>
    <w:qFormat/>
    <w:uiPriority w:val="0"/>
    <w:rPr>
      <w:rFonts w:ascii="Times New Roman" w:hAnsi="Times New Roman" w:eastAsia="宋体" w:cs="Times New Roman"/>
      <w:color w:val="CC0033"/>
    </w:rPr>
  </w:style>
  <w:style w:type="character" w:styleId="49">
    <w:name w:val="Hyperlink"/>
    <w:qFormat/>
    <w:uiPriority w:val="99"/>
    <w:rPr>
      <w:rFonts w:ascii="Times New Roman" w:hAnsi="Times New Roman" w:eastAsia="宋体" w:cs="Times New Roman"/>
      <w:color w:val="0000FF"/>
      <w:u w:val="single"/>
    </w:rPr>
  </w:style>
  <w:style w:type="character" w:styleId="50">
    <w:name w:val="annotation reference"/>
    <w:basedOn w:val="44"/>
    <w:qFormat/>
    <w:uiPriority w:val="0"/>
    <w:rPr>
      <w:rFonts w:ascii="Times New Roman" w:hAnsi="Times New Roman" w:eastAsia="宋体" w:cs="Times New Roman"/>
      <w:sz w:val="21"/>
      <w:szCs w:val="21"/>
    </w:rPr>
  </w:style>
  <w:style w:type="character" w:customStyle="1" w:styleId="51">
    <w:name w:val="标题 2 字符"/>
    <w:link w:val="4"/>
    <w:qFormat/>
    <w:uiPriority w:val="9"/>
    <w:rPr>
      <w:rFonts w:ascii="Arial" w:hAnsi="Arial" w:eastAsia="黑体"/>
      <w:b/>
      <w:bCs/>
      <w:kern w:val="2"/>
      <w:sz w:val="24"/>
      <w:szCs w:val="32"/>
    </w:rPr>
  </w:style>
  <w:style w:type="character" w:customStyle="1" w:styleId="52">
    <w:name w:val="标题 1 字符"/>
    <w:qFormat/>
    <w:uiPriority w:val="9"/>
    <w:rPr>
      <w:rFonts w:ascii="Times New Roman" w:hAnsi="Times New Roman" w:eastAsia="仿宋_GB2312" w:cs="Times New Roman"/>
      <w:b/>
      <w:bCs/>
      <w:kern w:val="44"/>
      <w:sz w:val="44"/>
      <w:szCs w:val="44"/>
      <w:lang w:val="en-US" w:eastAsia="zh-CN" w:bidi="ar-SA"/>
    </w:rPr>
  </w:style>
  <w:style w:type="paragraph" w:customStyle="1" w:styleId="53">
    <w:name w:val="Default"/>
    <w:qFormat/>
    <w:uiPriority w:val="0"/>
    <w:pPr>
      <w:widowControl w:val="0"/>
      <w:autoSpaceDE w:val="0"/>
      <w:autoSpaceDN w:val="0"/>
      <w:adjustRightInd w:val="0"/>
      <w:spacing w:line="360" w:lineRule="auto"/>
      <w:ind w:firstLine="147" w:firstLineChars="147"/>
      <w:jc w:val="both"/>
    </w:pPr>
    <w:rPr>
      <w:rFonts w:ascii="宋体" w:hAnsi="Times New Roman" w:eastAsia="宋体" w:cs="Times New Roman"/>
      <w:color w:val="000000"/>
      <w:sz w:val="24"/>
      <w:szCs w:val="24"/>
      <w:lang w:val="en-US" w:eastAsia="zh-CN" w:bidi="ar-SA"/>
    </w:rPr>
  </w:style>
  <w:style w:type="character" w:customStyle="1" w:styleId="54">
    <w:name w:val="font21"/>
    <w:basedOn w:val="44"/>
    <w:qFormat/>
    <w:uiPriority w:val="0"/>
    <w:rPr>
      <w:rFonts w:hint="eastAsia" w:ascii="宋体" w:hAnsi="宋体" w:eastAsia="宋体" w:cs="宋体"/>
      <w:color w:val="000000"/>
      <w:sz w:val="20"/>
      <w:szCs w:val="20"/>
    </w:rPr>
  </w:style>
  <w:style w:type="character" w:customStyle="1" w:styleId="55">
    <w:name w:val="st1"/>
    <w:qFormat/>
    <w:uiPriority w:val="0"/>
    <w:rPr>
      <w:rFonts w:ascii="Times New Roman" w:hAnsi="Times New Roman" w:eastAsia="宋体" w:cs="Times New Roman"/>
    </w:rPr>
  </w:style>
  <w:style w:type="character" w:customStyle="1" w:styleId="56">
    <w:name w:val="ca-2"/>
    <w:qFormat/>
    <w:uiPriority w:val="0"/>
    <w:rPr>
      <w:rFonts w:ascii="Times New Roman" w:hAnsi="Times New Roman" w:eastAsia="宋体" w:cs="Times New Roman"/>
    </w:rPr>
  </w:style>
  <w:style w:type="character" w:customStyle="1" w:styleId="57">
    <w:name w:val="H1 Char"/>
    <w:qFormat/>
    <w:uiPriority w:val="0"/>
    <w:rPr>
      <w:rFonts w:ascii="Times New Roman" w:hAnsi="Times New Roman" w:eastAsia="仿宋_GB2312" w:cs="Times New Roman"/>
      <w:b/>
      <w:bCs/>
      <w:kern w:val="44"/>
      <w:sz w:val="44"/>
      <w:szCs w:val="44"/>
      <w:lang w:val="en-US" w:eastAsia="zh-CN" w:bidi="ar-SA"/>
    </w:rPr>
  </w:style>
  <w:style w:type="character" w:customStyle="1" w:styleId="58">
    <w:name w:val="1ji Char"/>
    <w:link w:val="59"/>
    <w:qFormat/>
    <w:uiPriority w:val="0"/>
    <w:rPr>
      <w:rFonts w:ascii="宋体" w:hAnsi="宋体" w:eastAsia="仿宋_GB2312" w:cs="Times New Roman"/>
      <w:b/>
      <w:bCs/>
      <w:kern w:val="44"/>
      <w:sz w:val="36"/>
      <w:szCs w:val="44"/>
      <w:lang w:val="en-US" w:eastAsia="zh-CN" w:bidi="ar-SA"/>
    </w:rPr>
  </w:style>
  <w:style w:type="paragraph" w:customStyle="1" w:styleId="59">
    <w:name w:val="1ji"/>
    <w:basedOn w:val="3"/>
    <w:link w:val="58"/>
    <w:qFormat/>
    <w:uiPriority w:val="0"/>
    <w:pPr>
      <w:keepLines w:val="0"/>
      <w:widowControl/>
      <w:spacing w:before="0" w:after="0" w:line="240" w:lineRule="auto"/>
    </w:pPr>
    <w:rPr>
      <w:rFonts w:ascii="宋体" w:hAnsi="宋体"/>
      <w:sz w:val="36"/>
    </w:rPr>
  </w:style>
  <w:style w:type="character" w:customStyle="1" w:styleId="60">
    <w:name w:val="纯文本 字符"/>
    <w:link w:val="23"/>
    <w:qFormat/>
    <w:uiPriority w:val="0"/>
    <w:rPr>
      <w:rFonts w:ascii="宋体" w:hAnsi="Courier New" w:eastAsia="宋体" w:cs="Courier New"/>
      <w:kern w:val="2"/>
      <w:sz w:val="21"/>
      <w:szCs w:val="21"/>
      <w:lang w:val="en-US" w:eastAsia="zh-CN" w:bidi="ar-SA"/>
    </w:rPr>
  </w:style>
  <w:style w:type="character" w:customStyle="1" w:styleId="61">
    <w:name w:val="font41"/>
    <w:basedOn w:val="44"/>
    <w:qFormat/>
    <w:uiPriority w:val="0"/>
    <w:rPr>
      <w:rFonts w:hint="default" w:ascii="Times New Roman" w:hAnsi="Times New Roman" w:eastAsia="宋体" w:cs="Times New Roman"/>
      <w:color w:val="000000"/>
      <w:sz w:val="20"/>
      <w:szCs w:val="20"/>
    </w:rPr>
  </w:style>
  <w:style w:type="character" w:customStyle="1" w:styleId="62">
    <w:name w:val="font31"/>
    <w:basedOn w:val="44"/>
    <w:qFormat/>
    <w:uiPriority w:val="0"/>
    <w:rPr>
      <w:rFonts w:hint="default" w:ascii="Times New Roman" w:hAnsi="Times New Roman" w:eastAsia="宋体" w:cs="Times New Roman"/>
      <w:color w:val="000000"/>
      <w:sz w:val="20"/>
      <w:szCs w:val="20"/>
    </w:rPr>
  </w:style>
  <w:style w:type="character" w:customStyle="1" w:styleId="63">
    <w:name w:val="apple-style-span"/>
    <w:qFormat/>
    <w:uiPriority w:val="0"/>
    <w:rPr>
      <w:rFonts w:ascii="Times New Roman" w:hAnsi="Times New Roman" w:eastAsia="宋体" w:cs="Times New Roman"/>
    </w:rPr>
  </w:style>
  <w:style w:type="character" w:customStyle="1" w:styleId="64">
    <w:name w:val="正文缩进 字符"/>
    <w:link w:val="7"/>
    <w:qFormat/>
    <w:uiPriority w:val="0"/>
    <w:rPr>
      <w:rFonts w:ascii="Times New Roman" w:hAnsi="Times New Roman" w:eastAsia="宋体" w:cs="Times New Roman"/>
      <w:kern w:val="2"/>
      <w:sz w:val="21"/>
      <w:lang w:val="en-US" w:eastAsia="zh-CN" w:bidi="ar-SA"/>
    </w:rPr>
  </w:style>
  <w:style w:type="character" w:customStyle="1" w:styleId="65">
    <w:name w:val="font51"/>
    <w:qFormat/>
    <w:uiPriority w:val="0"/>
    <w:rPr>
      <w:rFonts w:hint="default" w:ascii="Times New Roman" w:hAnsi="Times New Roman" w:eastAsia="宋体" w:cs="Times New Roman"/>
      <w:color w:val="000000"/>
      <w:sz w:val="20"/>
      <w:szCs w:val="20"/>
    </w:rPr>
  </w:style>
  <w:style w:type="character" w:customStyle="1" w:styleId="66">
    <w:name w:val="标题 3 字符"/>
    <w:link w:val="2"/>
    <w:qFormat/>
    <w:uiPriority w:val="0"/>
    <w:rPr>
      <w:rFonts w:ascii="Times New Roman" w:hAnsi="Times New Roman" w:eastAsia="宋体" w:cs="Times New Roman"/>
      <w:b/>
      <w:bCs/>
      <w:kern w:val="2"/>
      <w:sz w:val="32"/>
      <w:szCs w:val="32"/>
      <w:lang w:val="en-US" w:eastAsia="zh-CN" w:bidi="ar-SA"/>
    </w:rPr>
  </w:style>
  <w:style w:type="character" w:customStyle="1" w:styleId="67">
    <w:name w:val="apple-converted-space"/>
    <w:qFormat/>
    <w:uiPriority w:val="0"/>
    <w:rPr>
      <w:rFonts w:ascii="Times New Roman" w:hAnsi="Times New Roman" w:eastAsia="宋体" w:cs="Times New Roman"/>
    </w:rPr>
  </w:style>
  <w:style w:type="character" w:customStyle="1" w:styleId="68">
    <w:name w:val="Header Char"/>
    <w:qFormat/>
    <w:uiPriority w:val="0"/>
    <w:rPr>
      <w:rFonts w:ascii="Calibri" w:hAnsi="Calibri" w:eastAsia="宋体" w:cs="Times New Roman"/>
      <w:kern w:val="2"/>
      <w:sz w:val="18"/>
      <w:szCs w:val="18"/>
      <w:lang w:val="en-US" w:eastAsia="zh-CN" w:bidi="ar-SA"/>
    </w:rPr>
  </w:style>
  <w:style w:type="character" w:customStyle="1" w:styleId="69">
    <w:name w:val="Footer Char"/>
    <w:qFormat/>
    <w:uiPriority w:val="0"/>
    <w:rPr>
      <w:rFonts w:ascii="Calibri" w:hAnsi="Calibri" w:eastAsia="宋体" w:cs="Times New Roman"/>
      <w:kern w:val="2"/>
      <w:sz w:val="18"/>
      <w:szCs w:val="18"/>
      <w:lang w:val="en-US" w:eastAsia="zh-CN" w:bidi="ar-SA"/>
    </w:rPr>
  </w:style>
  <w:style w:type="character" w:customStyle="1" w:styleId="70">
    <w:name w:val="Plain Text Char"/>
    <w:qFormat/>
    <w:uiPriority w:val="0"/>
    <w:rPr>
      <w:rFonts w:ascii="宋体" w:hAnsi="Courier New" w:eastAsia="宋体" w:cs="Times New Roman"/>
      <w:lang w:bidi="ar-SA"/>
    </w:rPr>
  </w:style>
  <w:style w:type="character" w:customStyle="1" w:styleId="71">
    <w:name w:val="普通文字 Char Char3"/>
    <w:qFormat/>
    <w:uiPriority w:val="0"/>
    <w:rPr>
      <w:rFonts w:ascii="宋体" w:hAnsi="Times New Roman" w:eastAsia="宋体" w:cs="Courier New"/>
      <w:kern w:val="2"/>
      <w:sz w:val="21"/>
      <w:szCs w:val="21"/>
      <w:lang w:val="en-US" w:eastAsia="zh-CN" w:bidi="ar-SA"/>
    </w:rPr>
  </w:style>
  <w:style w:type="character" w:customStyle="1" w:styleId="72">
    <w:name w:val="样式 正文 +"/>
    <w:qFormat/>
    <w:uiPriority w:val="0"/>
    <w:rPr>
      <w:rFonts w:ascii="Times New Roman" w:hAnsi="Times New Roman" w:eastAsia="宋体" w:cs="Times New Roman"/>
      <w:kern w:val="0"/>
      <w:sz w:val="28"/>
    </w:rPr>
  </w:style>
  <w:style w:type="character" w:customStyle="1" w:styleId="73">
    <w:name w:val="正文文本缩进 字符"/>
    <w:link w:val="20"/>
    <w:qFormat/>
    <w:uiPriority w:val="0"/>
    <w:rPr>
      <w:rFonts w:ascii="仿宋_GB2312" w:hAnsi="Times New Roman" w:eastAsia="仿宋_GB2312" w:cs="Times New Roman"/>
      <w:kern w:val="2"/>
      <w:sz w:val="32"/>
      <w:lang w:val="en-US" w:eastAsia="zh-CN" w:bidi="ar-SA"/>
    </w:rPr>
  </w:style>
  <w:style w:type="character" w:customStyle="1" w:styleId="74">
    <w:name w:val="普通文字 Char Char2"/>
    <w:qFormat/>
    <w:uiPriority w:val="0"/>
    <w:rPr>
      <w:rFonts w:ascii="宋体" w:hAnsi="Courier New" w:eastAsia="宋体" w:cs="Times New Roman"/>
      <w:kern w:val="2"/>
      <w:sz w:val="21"/>
      <w:lang w:val="en-US" w:eastAsia="zh-CN" w:bidi="ar-SA"/>
    </w:rPr>
  </w:style>
  <w:style w:type="character" w:customStyle="1" w:styleId="75">
    <w:name w:val="页脚 字符"/>
    <w:link w:val="27"/>
    <w:qFormat/>
    <w:uiPriority w:val="99"/>
    <w:rPr>
      <w:rFonts w:ascii="Times New Roman" w:hAnsi="Times New Roman" w:eastAsia="宋体" w:cs="Times New Roman"/>
      <w:kern w:val="2"/>
      <w:sz w:val="18"/>
      <w:szCs w:val="18"/>
    </w:rPr>
  </w:style>
  <w:style w:type="character" w:customStyle="1" w:styleId="76">
    <w:name w:val="样式 宋体 小四"/>
    <w:qFormat/>
    <w:uiPriority w:val="0"/>
    <w:rPr>
      <w:rFonts w:ascii="宋体" w:hAnsi="宋体" w:eastAsia="宋体" w:cs="Times New Roman"/>
      <w:sz w:val="24"/>
    </w:rPr>
  </w:style>
  <w:style w:type="character" w:customStyle="1" w:styleId="77">
    <w:name w:val="页眉 字符"/>
    <w:link w:val="28"/>
    <w:qFormat/>
    <w:uiPriority w:val="99"/>
    <w:rPr>
      <w:rFonts w:ascii="Times New Roman" w:hAnsi="Times New Roman" w:eastAsia="宋体" w:cs="Times New Roman"/>
      <w:kern w:val="2"/>
      <w:sz w:val="18"/>
      <w:szCs w:val="18"/>
      <w:lang w:val="en-US" w:eastAsia="zh-CN" w:bidi="ar-SA"/>
    </w:rPr>
  </w:style>
  <w:style w:type="character" w:customStyle="1" w:styleId="78">
    <w:name w:val="副标题 字符"/>
    <w:link w:val="30"/>
    <w:qFormat/>
    <w:uiPriority w:val="0"/>
    <w:rPr>
      <w:rFonts w:ascii="Cambria" w:hAnsi="Cambria" w:eastAsia="宋体" w:cs="Times New Roman"/>
      <w:b/>
      <w:bCs/>
      <w:kern w:val="28"/>
      <w:sz w:val="28"/>
      <w:szCs w:val="32"/>
      <w:lang w:val="en-US" w:eastAsia="zh-CN" w:bidi="ar-SA"/>
    </w:rPr>
  </w:style>
  <w:style w:type="character" w:customStyle="1" w:styleId="79">
    <w:name w:val="批注框文本 字符"/>
    <w:link w:val="26"/>
    <w:qFormat/>
    <w:uiPriority w:val="0"/>
    <w:rPr>
      <w:rFonts w:ascii="Times New Roman" w:hAnsi="Times New Roman" w:eastAsia="宋体" w:cs="Times New Roman"/>
      <w:kern w:val="2"/>
      <w:sz w:val="18"/>
      <w:szCs w:val="18"/>
    </w:rPr>
  </w:style>
  <w:style w:type="character" w:customStyle="1" w:styleId="80">
    <w:name w:val="批注文字 字符"/>
    <w:link w:val="16"/>
    <w:qFormat/>
    <w:uiPriority w:val="0"/>
    <w:rPr>
      <w:rFonts w:ascii="Times New Roman" w:hAnsi="Times New Roman" w:eastAsia="宋体" w:cs="Times New Roman"/>
      <w:kern w:val="2"/>
      <w:sz w:val="21"/>
      <w:szCs w:val="24"/>
      <w:lang w:val="en-US" w:eastAsia="zh-CN" w:bidi="ar-SA"/>
    </w:rPr>
  </w:style>
  <w:style w:type="character" w:customStyle="1" w:styleId="81">
    <w:name w:val="Char Char7"/>
    <w:qFormat/>
    <w:uiPriority w:val="0"/>
    <w:rPr>
      <w:rFonts w:ascii="Times New Roman" w:hAnsi="Times New Roman" w:eastAsia="仿宋_GB2312" w:cs="Times New Roman"/>
      <w:b/>
      <w:bCs/>
      <w:kern w:val="44"/>
      <w:sz w:val="44"/>
      <w:szCs w:val="44"/>
      <w:lang w:val="en-US" w:eastAsia="zh-CN" w:bidi="ar-SA"/>
    </w:rPr>
  </w:style>
  <w:style w:type="character" w:customStyle="1" w:styleId="82">
    <w:name w:val="ca-1"/>
    <w:qFormat/>
    <w:uiPriority w:val="0"/>
    <w:rPr>
      <w:rFonts w:ascii="Times New Roman" w:hAnsi="Times New Roman" w:eastAsia="宋体" w:cs="Times New Roman"/>
    </w:rPr>
  </w:style>
  <w:style w:type="character" w:customStyle="1" w:styleId="83">
    <w:name w:val="正文360首行缩进 Char"/>
    <w:link w:val="84"/>
    <w:qFormat/>
    <w:uiPriority w:val="0"/>
    <w:rPr>
      <w:rFonts w:ascii="Times New Roman" w:hAnsi="Times New Roman" w:eastAsia="宋体" w:cs="Times New Roman"/>
      <w:sz w:val="24"/>
      <w:szCs w:val="24"/>
    </w:rPr>
  </w:style>
  <w:style w:type="paragraph" w:customStyle="1" w:styleId="84">
    <w:name w:val="正文360首行缩进"/>
    <w:basedOn w:val="1"/>
    <w:link w:val="83"/>
    <w:qFormat/>
    <w:uiPriority w:val="0"/>
    <w:pPr>
      <w:widowControl/>
      <w:spacing w:before="120" w:line="300" w:lineRule="auto"/>
      <w:ind w:firstLine="200"/>
      <w:jc w:val="left"/>
    </w:pPr>
    <w:rPr>
      <w:kern w:val="0"/>
      <w:sz w:val="24"/>
    </w:rPr>
  </w:style>
  <w:style w:type="character" w:customStyle="1" w:styleId="85">
    <w:name w:val="List Paragraph Char"/>
    <w:link w:val="86"/>
    <w:qFormat/>
    <w:locked/>
    <w:uiPriority w:val="0"/>
    <w:rPr>
      <w:rFonts w:ascii="宋体" w:hAnsi="宋体" w:cs="宋体"/>
      <w:sz w:val="24"/>
      <w:szCs w:val="24"/>
    </w:rPr>
  </w:style>
  <w:style w:type="paragraph" w:customStyle="1" w:styleId="86">
    <w:name w:val="列表段落1"/>
    <w:basedOn w:val="1"/>
    <w:link w:val="85"/>
    <w:qFormat/>
    <w:uiPriority w:val="0"/>
    <w:pPr>
      <w:widowControl/>
      <w:ind w:firstLine="420" w:firstLineChars="200"/>
      <w:jc w:val="left"/>
    </w:pPr>
    <w:rPr>
      <w:rFonts w:ascii="宋体" w:hAnsi="宋体"/>
      <w:kern w:val="0"/>
      <w:sz w:val="24"/>
      <w:lang w:val="zh-CN"/>
    </w:rPr>
  </w:style>
  <w:style w:type="character" w:customStyle="1" w:styleId="87">
    <w:name w:val="yyii"/>
    <w:qFormat/>
    <w:uiPriority w:val="0"/>
    <w:rPr>
      <w:rFonts w:ascii="Times New Roman" w:hAnsi="Times New Roman" w:eastAsia="宋体" w:cs="Times New Roman"/>
    </w:rPr>
  </w:style>
  <w:style w:type="character" w:customStyle="1" w:styleId="88">
    <w:name w:val="纯文本 Char1"/>
    <w:qFormat/>
    <w:uiPriority w:val="0"/>
    <w:rPr>
      <w:rFonts w:ascii="宋体" w:hAnsi="Courier New" w:eastAsia="宋体" w:cs="Times New Roman"/>
      <w:kern w:val="2"/>
      <w:sz w:val="21"/>
    </w:rPr>
  </w:style>
  <w:style w:type="character" w:customStyle="1" w:styleId="89">
    <w:name w:val="标题 1 Char1"/>
    <w:qFormat/>
    <w:uiPriority w:val="0"/>
    <w:rPr>
      <w:rFonts w:ascii="Times New Roman" w:hAnsi="Times New Roman" w:eastAsia="宋体" w:cs="Times New Roman"/>
      <w:b/>
      <w:bCs/>
      <w:kern w:val="44"/>
      <w:sz w:val="44"/>
      <w:szCs w:val="44"/>
    </w:rPr>
  </w:style>
  <w:style w:type="character" w:customStyle="1" w:styleId="90">
    <w:name w:val="批注主题 字符"/>
    <w:link w:val="39"/>
    <w:qFormat/>
    <w:uiPriority w:val="0"/>
    <w:rPr>
      <w:rFonts w:ascii="Times New Roman" w:hAnsi="Times New Roman" w:eastAsia="宋体" w:cs="Times New Roman"/>
      <w:b/>
      <w:bCs/>
      <w:kern w:val="2"/>
      <w:sz w:val="21"/>
      <w:szCs w:val="24"/>
      <w:lang w:val="en-US" w:eastAsia="zh-CN" w:bidi="ar-SA"/>
    </w:rPr>
  </w:style>
  <w:style w:type="paragraph" w:customStyle="1" w:styleId="91">
    <w:name w:val="目录 11"/>
    <w:basedOn w:val="1"/>
    <w:next w:val="1"/>
    <w:qFormat/>
    <w:uiPriority w:val="39"/>
  </w:style>
  <w:style w:type="paragraph" w:customStyle="1" w:styleId="92">
    <w:name w:val="目录 21"/>
    <w:basedOn w:val="1"/>
    <w:next w:val="1"/>
    <w:qFormat/>
    <w:uiPriority w:val="39"/>
    <w:pPr>
      <w:tabs>
        <w:tab w:val="right" w:leader="dot" w:pos="9402"/>
      </w:tabs>
      <w:ind w:left="718" w:leftChars="200" w:hanging="298" w:hangingChars="142"/>
    </w:pPr>
  </w:style>
  <w:style w:type="paragraph" w:customStyle="1" w:styleId="93">
    <w:name w:val="目录 31"/>
    <w:basedOn w:val="1"/>
    <w:next w:val="1"/>
    <w:qFormat/>
    <w:uiPriority w:val="39"/>
    <w:pPr>
      <w:ind w:left="840" w:leftChars="400"/>
    </w:pPr>
  </w:style>
  <w:style w:type="paragraph" w:customStyle="1" w:styleId="94">
    <w:name w:val="正文首行缩进1"/>
    <w:basedOn w:val="18"/>
    <w:qFormat/>
    <w:uiPriority w:val="0"/>
    <w:pPr>
      <w:spacing w:after="120" w:line="240" w:lineRule="auto"/>
      <w:ind w:firstLine="420" w:firstLineChars="100"/>
    </w:pPr>
    <w:rPr>
      <w:sz w:val="21"/>
    </w:rPr>
  </w:style>
  <w:style w:type="paragraph" w:customStyle="1" w:styleId="95">
    <w:name w:val="Char Char1 Char Char Char Char"/>
    <w:basedOn w:val="15"/>
    <w:qFormat/>
    <w:uiPriority w:val="0"/>
    <w:rPr>
      <w:rFonts w:ascii="Tahoma" w:hAnsi="Tahoma"/>
      <w:sz w:val="24"/>
    </w:rPr>
  </w:style>
  <w:style w:type="paragraph" w:customStyle="1" w:styleId="96">
    <w:name w:val="列出段落1"/>
    <w:basedOn w:val="1"/>
    <w:qFormat/>
    <w:uiPriority w:val="99"/>
    <w:pPr>
      <w:ind w:firstLine="420" w:firstLineChars="200"/>
    </w:pPr>
    <w:rPr>
      <w:rFonts w:ascii="Calibri" w:hAnsi="Calibri"/>
    </w:rPr>
  </w:style>
  <w:style w:type="paragraph" w:customStyle="1" w:styleId="97">
    <w:name w:val="Char Char Char1 Char"/>
    <w:basedOn w:val="15"/>
    <w:qFormat/>
    <w:uiPriority w:val="0"/>
  </w:style>
  <w:style w:type="paragraph" w:customStyle="1" w:styleId="98">
    <w:name w:val="pa-5"/>
    <w:basedOn w:val="1"/>
    <w:qFormat/>
    <w:uiPriority w:val="0"/>
    <w:pPr>
      <w:widowControl/>
      <w:spacing w:before="150" w:after="150"/>
      <w:jc w:val="left"/>
    </w:pPr>
    <w:rPr>
      <w:rFonts w:ascii="宋体" w:hAnsi="宋体" w:cs="宋体"/>
      <w:kern w:val="0"/>
      <w:sz w:val="24"/>
    </w:rPr>
  </w:style>
  <w:style w:type="paragraph" w:customStyle="1" w:styleId="99">
    <w:name w:val="Table Text Char"/>
    <w:qFormat/>
    <w:uiPriority w:val="0"/>
    <w:pPr>
      <w:snapToGrid w:val="0"/>
      <w:spacing w:before="80" w:after="80"/>
    </w:pPr>
    <w:rPr>
      <w:rFonts w:ascii="Arial" w:hAnsi="Arial" w:eastAsia="宋体" w:cs="Times New Roman"/>
      <w:sz w:val="18"/>
      <w:lang w:val="en-US" w:eastAsia="zh-CN" w:bidi="ar-SA"/>
    </w:rPr>
  </w:style>
  <w:style w:type="paragraph" w:customStyle="1" w:styleId="100">
    <w:name w:val="Char Char1 Char Char Char Char1"/>
    <w:basedOn w:val="15"/>
    <w:qFormat/>
    <w:uiPriority w:val="0"/>
    <w:rPr>
      <w:rFonts w:ascii="Tahoma" w:hAnsi="Tahoma"/>
      <w:sz w:val="24"/>
    </w:rPr>
  </w:style>
  <w:style w:type="paragraph" w:customStyle="1" w:styleId="101">
    <w:name w:val="_Style 35"/>
    <w:basedOn w:val="15"/>
    <w:qFormat/>
    <w:uiPriority w:val="0"/>
    <w:pPr>
      <w:widowControl/>
      <w:ind w:firstLine="454"/>
      <w:jc w:val="left"/>
    </w:pPr>
  </w:style>
  <w:style w:type="paragraph" w:customStyle="1" w:styleId="102">
    <w:name w:val="5 Char Char Char Char Char Char Char Char Char Char"/>
    <w:basedOn w:val="1"/>
    <w:qFormat/>
    <w:uiPriority w:val="0"/>
  </w:style>
  <w:style w:type="paragraph" w:customStyle="1" w:styleId="10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104">
    <w:name w:val="Char Char2 Char Char Char Char Char Char Char Char Char Char"/>
    <w:basedOn w:val="1"/>
    <w:qFormat/>
    <w:uiPriority w:val="0"/>
    <w:pPr>
      <w:tabs>
        <w:tab w:val="left" w:pos="360"/>
      </w:tabs>
      <w:spacing w:line="360" w:lineRule="auto"/>
      <w:ind w:left="482" w:firstLine="200" w:firstLineChars="200"/>
    </w:pPr>
  </w:style>
  <w:style w:type="paragraph" w:customStyle="1" w:styleId="105">
    <w:name w:val="默认段落字体 Para Char"/>
    <w:basedOn w:val="1"/>
    <w:qFormat/>
    <w:uiPriority w:val="0"/>
    <w:rPr>
      <w:szCs w:val="20"/>
    </w:rPr>
  </w:style>
  <w:style w:type="paragraph" w:customStyle="1" w:styleId="106">
    <w:name w:val="表格文字"/>
    <w:basedOn w:val="1"/>
    <w:qFormat/>
    <w:uiPriority w:val="0"/>
    <w:pPr>
      <w:spacing w:before="25" w:after="25"/>
      <w:jc w:val="left"/>
    </w:pPr>
    <w:rPr>
      <w:bCs/>
      <w:spacing w:val="10"/>
      <w:kern w:val="0"/>
      <w:sz w:val="24"/>
    </w:rPr>
  </w:style>
  <w:style w:type="paragraph" w:customStyle="1" w:styleId="107">
    <w:name w:val="_Style 7"/>
    <w:basedOn w:val="15"/>
    <w:qFormat/>
    <w:uiPriority w:val="0"/>
  </w:style>
  <w:style w:type="paragraph" w:customStyle="1" w:styleId="108">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9">
    <w:name w:val="默认段落字体 Para Char Char Char Char Char Char Char Char Char1 Char Char Char Char"/>
    <w:basedOn w:val="1"/>
    <w:qFormat/>
    <w:uiPriority w:val="0"/>
    <w:rPr>
      <w:rFonts w:ascii="Tahoma" w:hAnsi="Tahoma"/>
      <w:sz w:val="24"/>
      <w:szCs w:val="20"/>
    </w:rPr>
  </w:style>
  <w:style w:type="paragraph" w:customStyle="1" w:styleId="110">
    <w:name w:val="样式 标题 1 + 居中 段前: 0 磅 段后: 0 磅 行距: 固定值 30 磅"/>
    <w:basedOn w:val="3"/>
    <w:qFormat/>
    <w:uiPriority w:val="0"/>
    <w:pPr>
      <w:spacing w:before="0" w:after="0" w:line="600" w:lineRule="exact"/>
    </w:pPr>
    <w:rPr>
      <w:rFonts w:eastAsia="宋体" w:cs="宋体"/>
      <w:szCs w:val="20"/>
    </w:rPr>
  </w:style>
  <w:style w:type="paragraph" w:customStyle="1" w:styleId="111">
    <w:name w:val="样式 小四 行距: 1.5 倍行距"/>
    <w:basedOn w:val="1"/>
    <w:qFormat/>
    <w:uiPriority w:val="0"/>
    <w:pPr>
      <w:spacing w:line="360" w:lineRule="auto"/>
      <w:ind w:firstLine="480" w:firstLineChars="200"/>
    </w:pPr>
    <w:rPr>
      <w:rFonts w:cs="宋体"/>
      <w:sz w:val="24"/>
      <w:szCs w:val="20"/>
    </w:rPr>
  </w:style>
  <w:style w:type="paragraph" w:customStyle="1" w:styleId="112">
    <w:name w:val="p0"/>
    <w:basedOn w:val="1"/>
    <w:qFormat/>
    <w:uiPriority w:val="0"/>
    <w:pPr>
      <w:widowControl/>
    </w:pPr>
    <w:rPr>
      <w:rFonts w:ascii="宋体" w:hAnsi="宋体" w:cs="宋体"/>
      <w:kern w:val="0"/>
      <w:szCs w:val="21"/>
    </w:rPr>
  </w:style>
  <w:style w:type="paragraph" w:customStyle="1" w:styleId="113">
    <w:name w:val="Char Char Char Char Char Char Char Char Char Char Char Char"/>
    <w:basedOn w:val="1"/>
    <w:qFormat/>
    <w:uiPriority w:val="0"/>
    <w:pPr>
      <w:widowControl/>
      <w:spacing w:after="160" w:line="240" w:lineRule="exact"/>
      <w:jc w:val="left"/>
    </w:pPr>
  </w:style>
  <w:style w:type="paragraph" w:customStyle="1" w:styleId="114">
    <w:name w:val="Char Char Char1 Char1"/>
    <w:basedOn w:val="1"/>
    <w:qFormat/>
    <w:uiPriority w:val="0"/>
    <w:rPr>
      <w:rFonts w:ascii="Calibri" w:hAnsi="Calibri"/>
      <w:szCs w:val="22"/>
    </w:rPr>
  </w:style>
  <w:style w:type="paragraph" w:customStyle="1" w:styleId="115">
    <w:name w:val="Char Char Char Char Char Char Char"/>
    <w:basedOn w:val="1"/>
    <w:qFormat/>
    <w:uiPriority w:val="0"/>
  </w:style>
  <w:style w:type="paragraph" w:customStyle="1" w:styleId="116">
    <w:name w:val="文档正文"/>
    <w:basedOn w:val="1"/>
    <w:qFormat/>
    <w:uiPriority w:val="0"/>
    <w:pPr>
      <w:autoSpaceDE w:val="0"/>
      <w:autoSpaceDN w:val="0"/>
      <w:adjustRightInd w:val="0"/>
      <w:spacing w:line="240" w:lineRule="atLeast"/>
      <w:ind w:firstLine="567"/>
    </w:pPr>
    <w:rPr>
      <w:rFonts w:ascii="Arial Narrow" w:hAnsi="Arial Narrow" w:cs="Arial"/>
      <w:sz w:val="24"/>
      <w:lang w:val="zh-CN"/>
    </w:rPr>
  </w:style>
  <w:style w:type="paragraph" w:customStyle="1" w:styleId="117">
    <w:name w:val="样式 正文2 + 仿宋 黑色 首行缩进:  2 字符"/>
    <w:basedOn w:val="1"/>
    <w:qFormat/>
    <w:uiPriority w:val="0"/>
    <w:pPr>
      <w:spacing w:line="360" w:lineRule="auto"/>
      <w:ind w:firstLine="480" w:firstLineChars="200"/>
    </w:pPr>
    <w:rPr>
      <w:rFonts w:ascii="仿宋" w:hAnsi="仿宋" w:eastAsia="仿宋" w:cs="宋体"/>
      <w:color w:val="000000"/>
      <w:sz w:val="24"/>
      <w:szCs w:val="20"/>
    </w:rPr>
  </w:style>
  <w:style w:type="paragraph" w:customStyle="1" w:styleId="118">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1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20">
    <w:name w:val="Char"/>
    <w:basedOn w:val="15"/>
    <w:qFormat/>
    <w:uiPriority w:val="0"/>
    <w:pPr>
      <w:widowControl/>
      <w:ind w:firstLine="454"/>
      <w:jc w:val="left"/>
    </w:pPr>
    <w:rPr>
      <w:rFonts w:ascii="Tahoma" w:hAnsi="Tahoma" w:cs="宋体"/>
      <w:kern w:val="0"/>
      <w:sz w:val="24"/>
      <w:szCs w:val="20"/>
    </w:rPr>
  </w:style>
  <w:style w:type="paragraph" w:customStyle="1" w:styleId="121">
    <w:name w:val="Char1"/>
    <w:basedOn w:val="15"/>
    <w:qFormat/>
    <w:uiPriority w:val="0"/>
    <w:pPr>
      <w:widowControl/>
      <w:ind w:firstLine="454"/>
      <w:jc w:val="left"/>
    </w:pPr>
    <w:rPr>
      <w:rFonts w:ascii="Tahoma" w:hAnsi="Tahoma" w:cs="宋体"/>
      <w:kern w:val="0"/>
      <w:sz w:val="24"/>
      <w:szCs w:val="20"/>
    </w:rPr>
  </w:style>
  <w:style w:type="paragraph" w:customStyle="1" w:styleId="122">
    <w:name w:val="1"/>
    <w:basedOn w:val="1"/>
    <w:next w:val="23"/>
    <w:qFormat/>
    <w:uiPriority w:val="0"/>
    <w:rPr>
      <w:rFonts w:ascii="宋体" w:hAnsi="Courier New"/>
      <w:szCs w:val="20"/>
    </w:rPr>
  </w:style>
  <w:style w:type="paragraph" w:customStyle="1" w:styleId="123">
    <w:name w:val="_Style 2"/>
    <w:basedOn w:val="1"/>
    <w:qFormat/>
    <w:uiPriority w:val="0"/>
    <w:pPr>
      <w:ind w:firstLine="420" w:firstLineChars="200"/>
    </w:pPr>
  </w:style>
  <w:style w:type="paragraph" w:customStyle="1" w:styleId="124">
    <w:name w:val="正文段"/>
    <w:basedOn w:val="1"/>
    <w:qFormat/>
    <w:uiPriority w:val="0"/>
    <w:pPr>
      <w:widowControl/>
      <w:snapToGrid w:val="0"/>
      <w:spacing w:afterLines="50"/>
      <w:ind w:firstLine="200" w:firstLineChars="200"/>
    </w:pPr>
    <w:rPr>
      <w:kern w:val="0"/>
      <w:sz w:val="24"/>
      <w:szCs w:val="20"/>
    </w:rPr>
  </w:style>
  <w:style w:type="paragraph" w:customStyle="1" w:styleId="125">
    <w:name w:val="列出段落2"/>
    <w:basedOn w:val="1"/>
    <w:qFormat/>
    <w:uiPriority w:val="34"/>
    <w:pPr>
      <w:ind w:firstLine="420" w:firstLineChars="200"/>
    </w:pPr>
    <w:rPr>
      <w:rFonts w:ascii="Calibri" w:hAnsi="Calibri"/>
      <w:szCs w:val="22"/>
    </w:rPr>
  </w:style>
  <w:style w:type="paragraph" w:customStyle="1" w:styleId="126">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127">
    <w:name w:val="未处理的提及1"/>
    <w:basedOn w:val="44"/>
    <w:unhideWhenUsed/>
    <w:qFormat/>
    <w:uiPriority w:val="99"/>
    <w:rPr>
      <w:color w:val="605E5C"/>
      <w:shd w:val="clear" w:color="auto" w:fill="E1DFDD"/>
    </w:rPr>
  </w:style>
  <w:style w:type="character" w:customStyle="1" w:styleId="128">
    <w:name w:val="font81"/>
    <w:basedOn w:val="44"/>
    <w:qFormat/>
    <w:uiPriority w:val="0"/>
    <w:rPr>
      <w:rFonts w:hint="eastAsia" w:ascii="宋体" w:hAnsi="宋体" w:eastAsia="宋体" w:cs="宋体"/>
      <w:color w:val="000000"/>
      <w:sz w:val="18"/>
      <w:szCs w:val="18"/>
      <w:u w:val="none"/>
    </w:rPr>
  </w:style>
  <w:style w:type="paragraph" w:customStyle="1" w:styleId="129">
    <w:name w:val="列表段落2"/>
    <w:basedOn w:val="1"/>
    <w:qFormat/>
    <w:uiPriority w:val="34"/>
    <w:pPr>
      <w:ind w:firstLine="420" w:firstLineChars="200"/>
    </w:pPr>
  </w:style>
  <w:style w:type="character" w:customStyle="1" w:styleId="130">
    <w:name w:val="未处理的提及2"/>
    <w:basedOn w:val="44"/>
    <w:unhideWhenUsed/>
    <w:qFormat/>
    <w:uiPriority w:val="99"/>
    <w:rPr>
      <w:color w:val="605E5C"/>
      <w:shd w:val="clear" w:color="auto" w:fill="E1DFDD"/>
    </w:rPr>
  </w:style>
  <w:style w:type="character" w:customStyle="1" w:styleId="131">
    <w:name w:val="纯文本 字符1"/>
    <w:qFormat/>
    <w:uiPriority w:val="0"/>
    <w:rPr>
      <w:rFonts w:ascii="宋体" w:hAnsi="Courier New" w:eastAsia="宋体" w:cs="Courier New"/>
      <w:kern w:val="2"/>
      <w:sz w:val="21"/>
      <w:szCs w:val="21"/>
      <w:lang w:val="en-US" w:eastAsia="zh-CN" w:bidi="ar-SA"/>
    </w:rPr>
  </w:style>
  <w:style w:type="paragraph" w:customStyle="1" w:styleId="132">
    <w:name w:val="Table Paragraph"/>
    <w:basedOn w:val="1"/>
    <w:qFormat/>
    <w:uiPriority w:val="1"/>
    <w:pPr>
      <w:autoSpaceDE w:val="0"/>
      <w:autoSpaceDN w:val="0"/>
      <w:jc w:val="left"/>
    </w:pPr>
    <w:rPr>
      <w:rFonts w:ascii="宋体" w:hAnsi="宋体" w:cs="宋体"/>
      <w:kern w:val="0"/>
      <w:sz w:val="22"/>
      <w:szCs w:val="22"/>
      <w:lang w:eastAsia="en-US"/>
    </w:rPr>
  </w:style>
  <w:style w:type="character" w:customStyle="1" w:styleId="133">
    <w:name w:val="标题 5 字符"/>
    <w:basedOn w:val="44"/>
    <w:link w:val="6"/>
    <w:qFormat/>
    <w:uiPriority w:val="0"/>
    <w:rPr>
      <w:b/>
      <w:kern w:val="2"/>
      <w:sz w:val="28"/>
      <w:szCs w:val="24"/>
    </w:rPr>
  </w:style>
  <w:style w:type="character" w:customStyle="1" w:styleId="134">
    <w:name w:val="标题 6 字符"/>
    <w:basedOn w:val="44"/>
    <w:link w:val="8"/>
    <w:qFormat/>
    <w:uiPriority w:val="0"/>
    <w:rPr>
      <w:rFonts w:ascii="Arial" w:hAnsi="Arial" w:eastAsia="黑体"/>
      <w:b/>
      <w:kern w:val="2"/>
      <w:sz w:val="24"/>
      <w:szCs w:val="24"/>
    </w:rPr>
  </w:style>
  <w:style w:type="character" w:customStyle="1" w:styleId="135">
    <w:name w:val="标题 7 字符"/>
    <w:basedOn w:val="44"/>
    <w:link w:val="9"/>
    <w:qFormat/>
    <w:uiPriority w:val="0"/>
    <w:rPr>
      <w:b/>
      <w:kern w:val="2"/>
      <w:sz w:val="24"/>
      <w:szCs w:val="24"/>
    </w:rPr>
  </w:style>
  <w:style w:type="character" w:customStyle="1" w:styleId="136">
    <w:name w:val="标题 8 字符"/>
    <w:basedOn w:val="44"/>
    <w:link w:val="10"/>
    <w:qFormat/>
    <w:uiPriority w:val="0"/>
    <w:rPr>
      <w:rFonts w:ascii="Arial" w:hAnsi="Arial" w:eastAsia="黑体"/>
      <w:kern w:val="2"/>
      <w:sz w:val="24"/>
      <w:szCs w:val="24"/>
    </w:rPr>
  </w:style>
  <w:style w:type="character" w:customStyle="1" w:styleId="137">
    <w:name w:val="标题 9 字符"/>
    <w:basedOn w:val="44"/>
    <w:link w:val="11"/>
    <w:qFormat/>
    <w:uiPriority w:val="0"/>
    <w:rPr>
      <w:rFonts w:ascii="Arial" w:hAnsi="Arial" w:eastAsia="黑体"/>
      <w:kern w:val="2"/>
      <w:sz w:val="21"/>
      <w:szCs w:val="24"/>
    </w:rPr>
  </w:style>
  <w:style w:type="character" w:customStyle="1" w:styleId="138">
    <w:name w:val="文档结构图 字符"/>
    <w:basedOn w:val="44"/>
    <w:link w:val="15"/>
    <w:qFormat/>
    <w:uiPriority w:val="0"/>
    <w:rPr>
      <w:kern w:val="2"/>
      <w:sz w:val="21"/>
      <w:szCs w:val="24"/>
      <w:shd w:val="clear" w:color="auto" w:fill="000080"/>
    </w:rPr>
  </w:style>
  <w:style w:type="character" w:customStyle="1" w:styleId="139">
    <w:name w:val="正文文本 3 字符"/>
    <w:basedOn w:val="44"/>
    <w:link w:val="17"/>
    <w:qFormat/>
    <w:uiPriority w:val="0"/>
    <w:rPr>
      <w:b/>
      <w:bCs/>
      <w:kern w:val="2"/>
      <w:sz w:val="24"/>
      <w:szCs w:val="24"/>
    </w:rPr>
  </w:style>
  <w:style w:type="character" w:customStyle="1" w:styleId="140">
    <w:name w:val="正文文本 字符"/>
    <w:basedOn w:val="44"/>
    <w:link w:val="18"/>
    <w:qFormat/>
    <w:uiPriority w:val="0"/>
    <w:rPr>
      <w:kern w:val="2"/>
      <w:sz w:val="24"/>
      <w:szCs w:val="24"/>
    </w:rPr>
  </w:style>
  <w:style w:type="character" w:customStyle="1" w:styleId="141">
    <w:name w:val="日期 字符"/>
    <w:basedOn w:val="44"/>
    <w:link w:val="24"/>
    <w:qFormat/>
    <w:uiPriority w:val="0"/>
    <w:rPr>
      <w:rFonts w:ascii="宋体" w:hAnsi="Courier New" w:cs="Courier New"/>
      <w:kern w:val="2"/>
      <w:sz w:val="21"/>
      <w:szCs w:val="21"/>
    </w:rPr>
  </w:style>
  <w:style w:type="character" w:customStyle="1" w:styleId="142">
    <w:name w:val="正文文本缩进 2 字符"/>
    <w:basedOn w:val="44"/>
    <w:link w:val="25"/>
    <w:qFormat/>
    <w:uiPriority w:val="0"/>
    <w:rPr>
      <w:kern w:val="2"/>
      <w:sz w:val="32"/>
    </w:rPr>
  </w:style>
  <w:style w:type="character" w:customStyle="1" w:styleId="143">
    <w:name w:val="正文文本缩进 3 字符"/>
    <w:basedOn w:val="44"/>
    <w:link w:val="33"/>
    <w:qFormat/>
    <w:uiPriority w:val="0"/>
    <w:rPr>
      <w:kern w:val="2"/>
      <w:sz w:val="16"/>
      <w:szCs w:val="16"/>
    </w:rPr>
  </w:style>
  <w:style w:type="character" w:customStyle="1" w:styleId="144">
    <w:name w:val="正文文本 2 字符"/>
    <w:basedOn w:val="44"/>
    <w:link w:val="34"/>
    <w:qFormat/>
    <w:uiPriority w:val="0"/>
    <w:rPr>
      <w:kern w:val="2"/>
      <w:sz w:val="21"/>
      <w:szCs w:val="24"/>
    </w:rPr>
  </w:style>
  <w:style w:type="character" w:customStyle="1" w:styleId="145">
    <w:name w:val="HTML 预设格式 字符"/>
    <w:basedOn w:val="44"/>
    <w:link w:val="35"/>
    <w:qFormat/>
    <w:uiPriority w:val="0"/>
    <w:rPr>
      <w:rFonts w:ascii="宋体" w:hAnsi="宋体" w:cs="宋体"/>
      <w:sz w:val="24"/>
      <w:szCs w:val="24"/>
    </w:rPr>
  </w:style>
  <w:style w:type="paragraph" w:customStyle="1" w:styleId="14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147">
    <w:name w:val="font122"/>
    <w:basedOn w:val="44"/>
    <w:qFormat/>
    <w:uiPriority w:val="0"/>
    <w:rPr>
      <w:rFonts w:hint="default" w:ascii="Times New Roman" w:hAnsi="Times New Roman" w:cs="Times New Roman"/>
      <w:color w:val="000000"/>
      <w:sz w:val="20"/>
      <w:szCs w:val="20"/>
      <w:u w:val="none"/>
    </w:rPr>
  </w:style>
  <w:style w:type="character" w:customStyle="1" w:styleId="148">
    <w:name w:val="font01"/>
    <w:basedOn w:val="44"/>
    <w:qFormat/>
    <w:uiPriority w:val="0"/>
    <w:rPr>
      <w:rFonts w:hint="eastAsia" w:ascii="宋体" w:hAnsi="宋体" w:eastAsia="宋体" w:cs="宋体"/>
      <w:color w:val="000000"/>
      <w:sz w:val="22"/>
      <w:szCs w:val="22"/>
      <w:u w:val="none"/>
    </w:rPr>
  </w:style>
  <w:style w:type="paragraph" w:customStyle="1" w:styleId="149">
    <w:name w:val="修订1"/>
    <w:hidden/>
    <w:unhideWhenUsed/>
    <w:qFormat/>
    <w:uiPriority w:val="99"/>
    <w:rPr>
      <w:rFonts w:ascii="Times New Roman" w:hAnsi="Times New Roman" w:eastAsia="宋体" w:cs="Times New Roman"/>
      <w:kern w:val="2"/>
      <w:sz w:val="21"/>
      <w:szCs w:val="24"/>
      <w:lang w:val="en-US" w:eastAsia="zh-CN" w:bidi="ar-SA"/>
    </w:rPr>
  </w:style>
  <w:style w:type="paragraph" w:customStyle="1" w:styleId="150">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51">
    <w:name w:val="Table Paragraph_file_341_file_582"/>
    <w:basedOn w:val="152"/>
    <w:qFormat/>
    <w:uiPriority w:val="1"/>
    <w:pPr>
      <w:autoSpaceDE w:val="0"/>
      <w:autoSpaceDN w:val="0"/>
      <w:adjustRightInd w:val="0"/>
      <w:jc w:val="left"/>
    </w:pPr>
    <w:rPr>
      <w:rFonts w:ascii="黑体" w:eastAsia="黑体" w:cs="黑体"/>
      <w:kern w:val="0"/>
      <w:sz w:val="24"/>
    </w:rPr>
  </w:style>
  <w:style w:type="paragraph" w:customStyle="1" w:styleId="152">
    <w:name w:val="Normal_file_341_file_582"/>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
    <w:name w:val="Table Paragraph_file_582"/>
    <w:basedOn w:val="154"/>
    <w:qFormat/>
    <w:uiPriority w:val="1"/>
    <w:pPr>
      <w:kinsoku w:val="0"/>
      <w:overflowPunct w:val="0"/>
      <w:autoSpaceDE w:val="0"/>
      <w:autoSpaceDN w:val="0"/>
      <w:adjustRightInd w:val="0"/>
      <w:spacing w:before="1"/>
      <w:ind w:left="162" w:firstLine="134" w:firstLineChars="56"/>
      <w:jc w:val="left"/>
    </w:pPr>
    <w:rPr>
      <w:rFonts w:ascii="黑体" w:eastAsia="黑体" w:cs="黑体"/>
      <w:kern w:val="0"/>
      <w:sz w:val="24"/>
    </w:rPr>
  </w:style>
  <w:style w:type="paragraph" w:customStyle="1" w:styleId="154">
    <w:name w:val="Normal_file_58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5">
    <w:name w:val="标题 1 字符1"/>
    <w:link w:val="3"/>
    <w:qFormat/>
    <w:uiPriority w:val="0"/>
    <w:rPr>
      <w:rFonts w:ascii="Times New Roman" w:hAnsi="Times New Roman" w:eastAsia="宋体"/>
      <w:b/>
      <w:bCs/>
      <w:kern w:val="44"/>
      <w:sz w:val="44"/>
      <w:szCs w:val="44"/>
    </w:rPr>
  </w:style>
  <w:style w:type="character" w:customStyle="1" w:styleId="156">
    <w:name w:val="font71"/>
    <w:basedOn w:val="44"/>
    <w:qFormat/>
    <w:uiPriority w:val="0"/>
    <w:rPr>
      <w:rFonts w:hint="eastAsia" w:ascii="宋体" w:hAnsi="宋体" w:eastAsia="宋体" w:cs="宋体"/>
      <w:color w:val="000000"/>
      <w:sz w:val="21"/>
      <w:szCs w:val="21"/>
      <w:u w:val="none"/>
    </w:rPr>
  </w:style>
  <w:style w:type="character" w:customStyle="1" w:styleId="157">
    <w:name w:val="font61"/>
    <w:qFormat/>
    <w:uiPriority w:val="0"/>
    <w:rPr>
      <w:rFonts w:hint="default" w:ascii="Times New Roman" w:hAnsi="Times New Roman" w:cs="Times New Roman"/>
      <w:color w:val="000000"/>
      <w:sz w:val="21"/>
      <w:szCs w:val="21"/>
      <w:u w:val="none"/>
    </w:rPr>
  </w:style>
  <w:style w:type="character" w:customStyle="1" w:styleId="158">
    <w:name w:val="font11"/>
    <w:basedOn w:val="44"/>
    <w:qFormat/>
    <w:uiPriority w:val="0"/>
    <w:rPr>
      <w:rFonts w:hint="eastAsia" w:ascii="宋体" w:hAnsi="宋体" w:eastAsia="宋体" w:cs="宋体"/>
      <w:color w:val="000000"/>
      <w:sz w:val="22"/>
      <w:szCs w:val="22"/>
      <w:u w:val="none"/>
    </w:rPr>
  </w:style>
  <w:style w:type="paragraph" w:customStyle="1" w:styleId="159">
    <w:name w:val="表格正文"/>
    <w:basedOn w:val="1"/>
    <w:qFormat/>
    <w:uiPriority w:val="0"/>
    <w:pPr>
      <w:spacing w:line="276" w:lineRule="auto"/>
      <w:jc w:val="center"/>
    </w:pPr>
    <w:rPr>
      <w:sz w:val="18"/>
    </w:rPr>
  </w:style>
  <w:style w:type="character" w:customStyle="1" w:styleId="160">
    <w:name w:val="font141"/>
    <w:basedOn w:val="44"/>
    <w:qFormat/>
    <w:uiPriority w:val="0"/>
    <w:rPr>
      <w:rFonts w:hint="eastAsia" w:ascii="宋体" w:hAnsi="宋体" w:eastAsia="宋体" w:cs="宋体"/>
      <w:color w:val="000000"/>
      <w:sz w:val="22"/>
      <w:szCs w:val="22"/>
      <w:u w:val="none"/>
    </w:rPr>
  </w:style>
  <w:style w:type="character" w:customStyle="1" w:styleId="161">
    <w:name w:val="font151"/>
    <w:basedOn w:val="44"/>
    <w:qFormat/>
    <w:uiPriority w:val="0"/>
    <w:rPr>
      <w:rFonts w:ascii="Arial" w:hAnsi="Arial" w:cs="Arial"/>
      <w:color w:val="000000"/>
      <w:sz w:val="16"/>
      <w:szCs w:val="16"/>
      <w:u w:val="none"/>
    </w:rPr>
  </w:style>
  <w:style w:type="character" w:customStyle="1" w:styleId="162">
    <w:name w:val="font161"/>
    <w:basedOn w:val="44"/>
    <w:qFormat/>
    <w:uiPriority w:val="0"/>
    <w:rPr>
      <w:rFonts w:hint="eastAsia" w:ascii="宋体" w:hAnsi="宋体" w:eastAsia="宋体" w:cs="宋体"/>
      <w:color w:val="000000"/>
      <w:sz w:val="16"/>
      <w:szCs w:val="16"/>
      <w:u w:val="none"/>
      <w:vertAlign w:val="superscript"/>
    </w:rPr>
  </w:style>
  <w:style w:type="character" w:customStyle="1" w:styleId="163">
    <w:name w:val="font171"/>
    <w:basedOn w:val="44"/>
    <w:qFormat/>
    <w:uiPriority w:val="0"/>
    <w:rPr>
      <w:rFonts w:hint="default" w:ascii="Times New Roman" w:hAnsi="Times New Roman" w:cs="Times New Roman"/>
      <w:color w:val="000000"/>
      <w:sz w:val="22"/>
      <w:szCs w:val="22"/>
      <w:u w:val="none"/>
    </w:rPr>
  </w:style>
  <w:style w:type="character" w:customStyle="1" w:styleId="164">
    <w:name w:val="font181"/>
    <w:basedOn w:val="44"/>
    <w:qFormat/>
    <w:uiPriority w:val="0"/>
    <w:rPr>
      <w:rFonts w:hint="eastAsia" w:ascii="宋体" w:hAnsi="宋体" w:eastAsia="宋体" w:cs="宋体"/>
      <w:color w:val="000000"/>
      <w:sz w:val="22"/>
      <w:szCs w:val="22"/>
      <w:u w:val="none"/>
      <w:vertAlign w:val="subscript"/>
    </w:rPr>
  </w:style>
  <w:style w:type="character" w:customStyle="1" w:styleId="165">
    <w:name w:val="font191"/>
    <w:basedOn w:val="44"/>
    <w:qFormat/>
    <w:uiPriority w:val="0"/>
    <w:rPr>
      <w:rFonts w:ascii="宋体" w:hAnsi="宋体" w:eastAsia="宋体" w:cs="宋体"/>
      <w:color w:val="000000"/>
      <w:sz w:val="16"/>
      <w:szCs w:val="16"/>
      <w:u w:val="none"/>
    </w:rPr>
  </w:style>
  <w:style w:type="character" w:customStyle="1" w:styleId="166">
    <w:name w:val="font101"/>
    <w:basedOn w:val="44"/>
    <w:qFormat/>
    <w:uiPriority w:val="0"/>
    <w:rPr>
      <w:rFonts w:hint="eastAsia" w:ascii="宋体" w:hAnsi="宋体" w:eastAsia="宋体" w:cs="宋体"/>
      <w:color w:val="000000"/>
      <w:sz w:val="16"/>
      <w:szCs w:val="16"/>
      <w:u w:val="none"/>
    </w:rPr>
  </w:style>
  <w:style w:type="character" w:customStyle="1" w:styleId="167">
    <w:name w:val="font91"/>
    <w:basedOn w:val="44"/>
    <w:qFormat/>
    <w:uiPriority w:val="0"/>
    <w:rPr>
      <w:rFonts w:hint="default" w:ascii="Times New Roman" w:hAnsi="Times New Roman" w:cs="Times New Roman"/>
      <w:color w:val="000000"/>
      <w:sz w:val="22"/>
      <w:szCs w:val="22"/>
      <w:u w:val="none"/>
    </w:rPr>
  </w:style>
  <w:style w:type="paragraph" w:customStyle="1" w:styleId="168">
    <w:name w:val="Revision"/>
    <w:hidden/>
    <w:semiHidden/>
    <w:qFormat/>
    <w:uiPriority w:val="99"/>
    <w:rPr>
      <w:rFonts w:ascii="Times New Roman" w:hAnsi="Times New Roman" w:eastAsia="宋体" w:cs="Times New Roman"/>
      <w:kern w:val="2"/>
      <w:sz w:val="21"/>
      <w:szCs w:val="24"/>
      <w:lang w:val="en-US" w:eastAsia="zh-CN" w:bidi="ar-SA"/>
    </w:rPr>
  </w:style>
  <w:style w:type="paragraph" w:customStyle="1" w:styleId="169">
    <w:name w:val="Table Text"/>
    <w:basedOn w:val="1"/>
    <w:semiHidden/>
    <w:qFormat/>
    <w:uiPriority w:val="0"/>
    <w:rPr>
      <w:rFonts w:ascii="黑体" w:hAnsi="黑体" w:eastAsia="黑体" w:cs="黑体"/>
      <w:sz w:val="18"/>
      <w:szCs w:val="18"/>
      <w:lang w:val="en-US" w:eastAsia="en-US" w:bidi="ar-SA"/>
    </w:rPr>
  </w:style>
  <w:style w:type="table" w:customStyle="1" w:styleId="17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103</Pages>
  <Words>6335</Words>
  <Characters>7492</Characters>
  <Lines>461</Lines>
  <Paragraphs>130</Paragraphs>
  <TotalTime>7</TotalTime>
  <ScaleCrop>false</ScaleCrop>
  <LinksUpToDate>false</LinksUpToDate>
  <CharactersWithSpaces>7571</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2024-06-17T15:53:00Z</dcterms:created>
  <dc:creator>Huang Qian</dc:creator>
  <cp:lastModifiedBy>Administrator</cp:lastModifiedBy>
  <cp:lastPrinted>2026-07-22T06:36:00Z</cp:lastPrinted>
  <dcterms:modified xsi:type="dcterms:W3CDTF">2026-07-23T08:36:23Z</dcterms:modified>
  <dc:title>竞争性谈判文件</dc:title>
  <cp:revision>167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62C36CC9B7824C94B7623D01EABA053B_13</vt:lpwstr>
  </property>
  <property fmtid="{D5CDD505-2E9C-101B-9397-08002B2CF9AE}" pid="4" name="KSOTemplateDocerSaveRecord">
    <vt:lpwstr>eyJoZGlkIjoiYzU0OTkwOGRiZWMxYzJjNzc1NDQxZGM5NzIyZWNkYjciLCJ1c2VySWQiOiIxODIwOTQ2NTM1In0=</vt:lpwstr>
  </property>
</Properties>
</file>