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508C8">
      <w:pPr>
        <w:widowControl/>
        <w:jc w:val="center"/>
        <w:textAlignment w:val="baseline"/>
        <w:rPr>
          <w:rFonts w:hint="eastAsia" w:ascii="黑体" w:hAnsi="黑体" w:eastAsia="黑体"/>
          <w:b/>
          <w:bCs/>
          <w:color w:val="auto"/>
          <w:sz w:val="72"/>
          <w:szCs w:val="72"/>
          <w:highlight w:val="none"/>
        </w:rPr>
      </w:pPr>
      <w:bookmarkStart w:id="0" w:name="_Toc434315322"/>
      <w:r>
        <w:rPr>
          <w:rFonts w:hint="eastAsia" w:ascii="宋体" w:hAnsi="宋体" w:eastAsia="黑体" w:cs="宋体"/>
          <w:b/>
          <w:bCs/>
          <w:color w:val="auto"/>
          <w:sz w:val="66"/>
          <w:szCs w:val="66"/>
          <w:highlight w:val="none"/>
          <w14:shadow w14:blurRad="50800" w14:dist="38100" w14:dir="2700000" w14:sx="100000" w14:sy="100000" w14:kx="0" w14:ky="0" w14:algn="tl">
            <w14:srgbClr w14:val="000000">
              <w14:alpha w14:val="60000"/>
            </w14:srgbClr>
          </w14:shadow>
        </w:rPr>
        <w:t>广西荣胜项目管理有限公司</w:t>
      </w:r>
    </w:p>
    <w:p w14:paraId="4F7EE08F">
      <w:pPr>
        <w:pStyle w:val="11"/>
        <w:jc w:val="center"/>
        <w:rPr>
          <w:rFonts w:hint="eastAsia" w:ascii="方正小标宋简体" w:hAnsi="方正小标宋简体" w:eastAsia="方正小标宋简体" w:cs="方正小标宋简体"/>
          <w:color w:val="auto"/>
          <w:sz w:val="32"/>
          <w:szCs w:val="32"/>
          <w:highlight w:val="none"/>
        </w:rPr>
      </w:pPr>
      <w:r>
        <w:rPr>
          <w:rFonts w:hint="eastAsia"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-309880</wp:posOffset>
                </wp:positionH>
                <wp:positionV relativeFrom="paragraph">
                  <wp:posOffset>236220</wp:posOffset>
                </wp:positionV>
                <wp:extent cx="6316345" cy="11430"/>
                <wp:effectExtent l="0" t="13970" r="8255" b="31750"/>
                <wp:wrapNone/>
                <wp:docPr id="1" name="直接连接符 1"/>
                <wp:cNvGraphicFramePr/>
                <a:graphic xmlns:a="http://schemas.openxmlformats.org/drawingml/2006/main">
                  <a:graphicData uri="http://schemas.microsoft.com/office/word/2010/wordprocessingShape">
                    <wps:wsp>
                      <wps:cNvCnPr/>
                      <wps:spPr>
                        <a:xfrm>
                          <a:off x="0" y="0"/>
                          <a:ext cx="6316345" cy="1143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4.4pt;margin-top:18.6pt;height:0.9pt;width:497.35pt;z-index:251659264;mso-width-relative:page;mso-height-relative:page;" filled="f" stroked="t" coordsize="21600,21600" o:gfxdata="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ZOJ0XZAAAACQEAAA8AAAAAAAAAAQAgAAAAIgAAAGRycy9kb3ducmV2LnhtbFBLAQIU&#10;ABQAAAAIAIdO4kDqljRY8gEAAN0DAAAOAAAAAAAAAAEAIAAAACgBAABkcnMvZTJvRG9jLnhtbFBL&#10;BQYAAAAABgAGAFkBAACMBQAAAAA=&#10;">
                <v:fill on="f" focussize="0,0"/>
                <v:stroke weight="2.25pt" color="#000000" joinstyle="round"/>
                <v:imagedata o:title=""/>
                <o:lock v:ext="edit" aspectratio="f"/>
              </v:line>
            </w:pict>
          </mc:Fallback>
        </mc:AlternateContent>
      </w:r>
    </w:p>
    <w:p w14:paraId="5179AA2F">
      <w:pPr>
        <w:pStyle w:val="11"/>
        <w:tabs>
          <w:tab w:val="left" w:pos="7854"/>
        </w:tabs>
        <w:rPr>
          <w:rFonts w:hint="eastAsia" w:ascii="方正小标宋简体" w:hAnsi="方正小标宋简体" w:eastAsia="方正小标宋简体" w:cs="方正小标宋简体"/>
          <w:color w:val="auto"/>
          <w:sz w:val="20"/>
          <w:highlight w:val="none"/>
        </w:rPr>
      </w:pPr>
    </w:p>
    <w:p w14:paraId="4382BDEB">
      <w:pPr>
        <w:tabs>
          <w:tab w:val="left" w:pos="1079"/>
          <w:tab w:val="left" w:pos="3240"/>
        </w:tabs>
        <w:spacing w:line="821" w:lineRule="exact"/>
        <w:ind w:right="138"/>
        <w:rPr>
          <w:rFonts w:hint="eastAsia" w:ascii="方正小标宋简体" w:hAnsi="方正小标宋简体" w:eastAsia="方正小标宋简体" w:cs="方正小标宋简体"/>
          <w:color w:val="auto"/>
          <w:sz w:val="72"/>
          <w:highlight w:val="none"/>
        </w:rPr>
      </w:pPr>
    </w:p>
    <w:p w14:paraId="09BCA8FB">
      <w:pPr>
        <w:pStyle w:val="46"/>
        <w:rPr>
          <w:rFonts w:hint="eastAsia" w:ascii="方正小标宋简体" w:hAnsi="方正小标宋简体" w:eastAsia="方正小标宋简体" w:cs="方正小标宋简体"/>
          <w:color w:val="auto"/>
          <w:sz w:val="72"/>
          <w:highlight w:val="none"/>
        </w:rPr>
      </w:pPr>
    </w:p>
    <w:p w14:paraId="25AB5909">
      <w:pPr>
        <w:tabs>
          <w:tab w:val="left" w:pos="1079"/>
          <w:tab w:val="left" w:pos="3240"/>
        </w:tabs>
        <w:spacing w:line="821" w:lineRule="exact"/>
        <w:ind w:right="138"/>
        <w:jc w:val="center"/>
        <w:rPr>
          <w:rFonts w:hint="eastAsia" w:ascii="方正小标宋简体" w:hAnsi="方正小标宋简体" w:eastAsia="方正小标宋简体" w:cs="方正小标宋简体"/>
          <w:color w:val="auto"/>
          <w:sz w:val="72"/>
          <w:highlight w:val="none"/>
        </w:rPr>
      </w:pPr>
      <w:r>
        <w:rPr>
          <w:rFonts w:hint="eastAsia" w:ascii="方正小标宋简体" w:hAnsi="方正小标宋简体" w:eastAsia="方正小标宋简体" w:cs="方正小标宋简体"/>
          <w:color w:val="auto"/>
          <w:sz w:val="72"/>
          <w:highlight w:val="none"/>
        </w:rPr>
        <w:t>竞争性磋商采购文件</w:t>
      </w:r>
    </w:p>
    <w:p w14:paraId="39837C6C">
      <w:pPr>
        <w:pStyle w:val="11"/>
        <w:rPr>
          <w:rFonts w:hint="eastAsia" w:ascii="方正小标宋简体" w:hAnsi="方正小标宋简体" w:eastAsia="方正小标宋简体" w:cs="方正小标宋简体"/>
          <w:color w:val="auto"/>
          <w:sz w:val="68"/>
          <w:highlight w:val="none"/>
        </w:rPr>
      </w:pPr>
    </w:p>
    <w:p w14:paraId="04490006">
      <w:pPr>
        <w:pStyle w:val="26"/>
        <w:rPr>
          <w:rFonts w:hint="eastAsia" w:ascii="方正小标宋简体" w:hAnsi="方正小标宋简体" w:eastAsia="方正小标宋简体" w:cs="方正小标宋简体"/>
          <w:color w:val="auto"/>
          <w:sz w:val="68"/>
          <w:highlight w:val="none"/>
        </w:rPr>
      </w:pPr>
    </w:p>
    <w:p w14:paraId="7F928FE9">
      <w:pPr>
        <w:rPr>
          <w:color w:val="auto"/>
          <w:highlight w:val="none"/>
        </w:rPr>
      </w:pPr>
    </w:p>
    <w:p w14:paraId="34A7E484">
      <w:pPr>
        <w:pStyle w:val="11"/>
        <w:rPr>
          <w:rFonts w:hint="eastAsia" w:ascii="方正小标宋简体" w:hAnsi="方正小标宋简体" w:eastAsia="方正小标宋简体" w:cs="方正小标宋简体"/>
          <w:color w:val="auto"/>
          <w:sz w:val="20"/>
          <w:highlight w:val="none"/>
        </w:rPr>
      </w:pPr>
    </w:p>
    <w:p w14:paraId="27F673FF">
      <w:pPr>
        <w:spacing w:after="317" w:afterLines="100"/>
        <w:ind w:left="2238" w:leftChars="304" w:hanging="1600" w:hangingChars="500"/>
        <w:rPr>
          <w:rFonts w:hint="eastAsia" w:ascii="宋体" w:hAnsi="宋体" w:eastAsia="宋体" w:cs="宋体"/>
          <w:color w:val="auto"/>
          <w:sz w:val="32"/>
          <w:highlight w:val="none"/>
          <w:lang w:eastAsia="zh-CN"/>
        </w:rPr>
      </w:pPr>
      <w:r>
        <w:rPr>
          <w:rFonts w:hint="eastAsia" w:ascii="宋体" w:hAnsi="宋体" w:cs="宋体"/>
          <w:color w:val="auto"/>
          <w:sz w:val="32"/>
          <w:highlight w:val="none"/>
        </w:rPr>
        <w:t>项目名称：</w:t>
      </w:r>
      <w:r>
        <w:rPr>
          <w:rFonts w:hint="eastAsia" w:ascii="宋体" w:hAnsi="宋体" w:cs="宋体"/>
          <w:color w:val="auto"/>
          <w:sz w:val="32"/>
          <w:highlight w:val="none"/>
          <w:lang w:eastAsia="zh-CN"/>
        </w:rPr>
        <w:t>2026年福旺镇华新村委旺岭至山冲道路硬化工程</w:t>
      </w:r>
    </w:p>
    <w:p w14:paraId="34CCC186">
      <w:pPr>
        <w:ind w:firstLine="640" w:firstLineChars="2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w:t>
      </w:r>
      <w:r>
        <w:rPr>
          <w:rFonts w:hint="eastAsia" w:ascii="宋体" w:hAnsi="宋体" w:cs="宋体"/>
          <w:color w:val="auto"/>
          <w:sz w:val="32"/>
          <w:szCs w:val="32"/>
          <w:highlight w:val="none"/>
          <w:lang w:eastAsia="zh-CN"/>
        </w:rPr>
        <w:t>QZZC2026-C2-220094-GXRS</w:t>
      </w:r>
    </w:p>
    <w:p w14:paraId="2E28FAE3">
      <w:pPr>
        <w:rPr>
          <w:color w:val="auto"/>
          <w:highlight w:val="none"/>
        </w:rPr>
      </w:pPr>
    </w:p>
    <w:p w14:paraId="752D9BB2">
      <w:pPr>
        <w:pStyle w:val="11"/>
        <w:rPr>
          <w:rFonts w:hint="eastAsia" w:ascii="方正小标宋简体" w:hAnsi="方正小标宋简体" w:eastAsia="方正小标宋简体" w:cs="方正小标宋简体"/>
          <w:color w:val="auto"/>
          <w:sz w:val="20"/>
          <w:highlight w:val="none"/>
        </w:rPr>
      </w:pPr>
      <w:r>
        <w:rPr>
          <w:rFonts w:hint="eastAsia" w:hAnsi="宋体" w:cs="宋体"/>
          <w:color w:val="auto"/>
          <w:sz w:val="20"/>
          <w:highlight w:val="none"/>
          <w:u w:val="single"/>
        </w:rPr>
        <mc:AlternateContent>
          <mc:Choice Requires="wps">
            <w:drawing>
              <wp:anchor distT="0" distB="0" distL="114300" distR="114300" simplePos="0" relativeHeight="251664384" behindDoc="0" locked="0" layoutInCell="1" allowOverlap="1">
                <wp:simplePos x="0" y="0"/>
                <wp:positionH relativeFrom="column">
                  <wp:posOffset>-452755</wp:posOffset>
                </wp:positionH>
                <wp:positionV relativeFrom="paragraph">
                  <wp:posOffset>56515</wp:posOffset>
                </wp:positionV>
                <wp:extent cx="6353810" cy="36195"/>
                <wp:effectExtent l="0" t="13970" r="8890" b="26035"/>
                <wp:wrapNone/>
                <wp:docPr id="8" name="直接连接符 8"/>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5.65pt;margin-top:4.45pt;height:2.85pt;width:500.3pt;z-index:251664384;mso-width-relative:page;mso-height-relative:page;" filled="f" stroked="t" coordsize="21600,21600" o:gfxdata="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NKJf1gAAAAgBAAAPAAAAAAAAAAEAIAAAACIAAABkcnMvZG93bnJldi54bWxQSwEC&#10;FAAUAAAACACHTuJASvSSi/YBAADnAwAADgAAAAAAAAABACAAAAAlAQAAZHJzL2Uyb0RvYy54bWxQ&#10;SwUGAAAAAAYABgBZAQAAjQUAAAAA&#10;">
                <v:fill on="f" focussize="0,0"/>
                <v:stroke weight="2.25pt" color="#000000" joinstyle="round"/>
                <v:imagedata o:title=""/>
                <o:lock v:ext="edit" aspectratio="f"/>
              </v:line>
            </w:pict>
          </mc:Fallback>
        </mc:AlternateContent>
      </w:r>
    </w:p>
    <w:p w14:paraId="71BAF592">
      <w:pPr>
        <w:pStyle w:val="11"/>
        <w:rPr>
          <w:rFonts w:hint="eastAsia" w:hAnsi="宋体" w:eastAsia="宋体" w:cs="宋体"/>
          <w:bCs/>
          <w:color w:val="auto"/>
          <w:sz w:val="32"/>
          <w:szCs w:val="32"/>
          <w:highlight w:val="none"/>
          <w:lang w:eastAsia="zh-CN"/>
        </w:rPr>
      </w:pPr>
      <w:r>
        <w:rPr>
          <w:rFonts w:hint="eastAsia" w:hAnsi="宋体" w:cs="宋体"/>
          <w:color w:val="auto"/>
          <w:sz w:val="32"/>
          <w:szCs w:val="32"/>
          <w:highlight w:val="none"/>
          <w:u w:val="single"/>
        </w:rPr>
        <mc:AlternateContent>
          <mc:Choice Requires="wps">
            <w:drawing>
              <wp:anchor distT="0" distB="0" distL="114300" distR="114300" simplePos="0" relativeHeight="251663360" behindDoc="0" locked="0" layoutInCell="1" allowOverlap="1">
                <wp:simplePos x="0" y="0"/>
                <wp:positionH relativeFrom="column">
                  <wp:posOffset>575310</wp:posOffset>
                </wp:positionH>
                <wp:positionV relativeFrom="paragraph">
                  <wp:posOffset>7171690</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45.3pt;margin-top:564.7pt;height:0.5pt;width:490.5pt;z-index:251663360;mso-width-relative:page;mso-height-relative:page;" filled="f" stroked="t" coordsize="21600,21600" o:gfxdata="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96jqDZAAAADQEAAA8AAAAAAAAAAQAgAAAAIgAAAGRycy9kb3ducmV2LnhtbFBL&#10;AQIUABQAAAAIAIdO4kDxw1G69QEAAOYDAAAOAAAAAAAAAAEAIAAAACgBAABkcnMvZTJvRG9jLnht&#10;bFBLBQYAAAAABgAGAFkBAACPBQ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u w:val="single"/>
        </w:rPr>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7019290</wp:posOffset>
                </wp:positionV>
                <wp:extent cx="622935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3.3pt;margin-top:552.7pt;height:0.5pt;width:490.5pt;z-index:251660288;mso-width-relative:page;mso-height-relative:page;" filled="f" stroked="t" coordsize="21600,21600" o:gfxdata="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g22AAAAA0BAAAPAAAAAAAAAAEAIAAAACIAAABkcnMvZG93bnJldi54bWxQSwEC&#10;FAAUAAAACACHTuJABuWcePQBAADmAwAADgAAAAAAAAABACAAAAAnAQAAZHJzL2Uyb0RvYy54bWxQ&#10;SwUGAAAAAAYABgBZAQAAjQU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rPr>
        <w:t xml:space="preserve">            采购单位：</w:t>
      </w:r>
      <w:r>
        <w:rPr>
          <w:rFonts w:hint="eastAsia" w:hAnsi="宋体" w:cs="宋体"/>
          <w:color w:val="auto"/>
          <w:sz w:val="32"/>
          <w:szCs w:val="32"/>
          <w:highlight w:val="none"/>
          <w:lang w:eastAsia="zh-CN"/>
        </w:rPr>
        <w:t>浦北县农业农村局</w:t>
      </w:r>
    </w:p>
    <w:p w14:paraId="2C6BD043">
      <w:pPr>
        <w:spacing w:line="80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 xml:space="preserve">            采购代理机构：广西荣胜项目管理有限公司</w:t>
      </w:r>
    </w:p>
    <w:p w14:paraId="3F21554F">
      <w:pPr>
        <w:spacing w:line="800" w:lineRule="exact"/>
        <w:jc w:val="center"/>
        <w:rPr>
          <w:rFonts w:hint="eastAsia" w:ascii="宋体" w:hAnsi="宋体" w:cs="宋体"/>
          <w:color w:val="auto"/>
          <w:highlight w:val="none"/>
        </w:rPr>
      </w:pPr>
      <w:r>
        <w:rPr>
          <w:rFonts w:hint="eastAsia" w:ascii="宋体" w:hAnsi="宋体" w:cs="宋体"/>
          <w:color w:val="auto"/>
          <w:sz w:val="32"/>
          <w:szCs w:val="32"/>
          <w:highlight w:val="none"/>
        </w:rPr>
        <w:t xml:space="preserve"> 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7</w:t>
      </w:r>
      <w:r>
        <w:rPr>
          <w:rFonts w:hint="eastAsia" w:ascii="宋体" w:hAnsi="宋体" w:cs="宋体"/>
          <w:color w:val="auto"/>
          <w:sz w:val="32"/>
          <w:szCs w:val="32"/>
          <w:highlight w:val="none"/>
        </w:rPr>
        <w:t>月</w:t>
      </w:r>
    </w:p>
    <w:p w14:paraId="7CD28FA9">
      <w:pPr>
        <w:spacing w:line="800" w:lineRule="exact"/>
        <w:rPr>
          <w:rFonts w:hint="eastAsia" w:ascii="宋体" w:hAnsi="宋体" w:cs="宋体"/>
          <w:color w:val="auto"/>
          <w:highlight w:val="none"/>
        </w:rPr>
        <w:sectPr>
          <w:pgSz w:w="11906" w:h="16838"/>
          <w:pgMar w:top="1134" w:right="1134" w:bottom="1134" w:left="1417" w:header="850" w:footer="992" w:gutter="0"/>
          <w:cols w:space="720" w:num="1"/>
          <w:docGrid w:type="lines" w:linePitch="317" w:charSpace="0"/>
        </w:sectPr>
      </w:pPr>
    </w:p>
    <w:p w14:paraId="34DE500A">
      <w:pPr>
        <w:pStyle w:val="46"/>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FB15D08">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624AEE18">
          <w:pPr>
            <w:pStyle w:val="20"/>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6F9D0806">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_Toc29312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7649D14D">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_Toc5416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8EF7262">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503D35F">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ED0BF13">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93F1465">
          <w:pPr>
            <w:pStyle w:val="20"/>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53FE2E06">
          <w:pPr>
            <w:pStyle w:val="20"/>
            <w:tabs>
              <w:tab w:val="right" w:leader="dot" w:pos="9799"/>
            </w:tabs>
            <w:spacing w:line="360" w:lineRule="auto"/>
            <w:rPr>
              <w:color w:val="auto"/>
              <w:sz w:val="20"/>
              <w:szCs w:val="22"/>
              <w:highlight w:val="none"/>
            </w:rPr>
          </w:pPr>
        </w:p>
        <w:p w14:paraId="59387305">
          <w:pPr>
            <w:pStyle w:val="20"/>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65A174A9">
      <w:pPr>
        <w:pStyle w:val="11"/>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7E055C2B">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2EADE997">
      <w:pPr>
        <w:pStyle w:val="3"/>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234F071C">
      <w:pPr>
        <w:spacing w:after="156" w:afterLines="50" w:line="460" w:lineRule="exact"/>
        <w:jc w:val="center"/>
        <w:rPr>
          <w:color w:val="auto"/>
          <w:sz w:val="30"/>
          <w:szCs w:val="30"/>
          <w:highlight w:val="none"/>
        </w:rPr>
      </w:pPr>
      <w:r>
        <w:rPr>
          <w:b/>
          <w:bCs/>
          <w:color w:val="auto"/>
          <w:sz w:val="30"/>
          <w:szCs w:val="30"/>
          <w:highlight w:val="none"/>
        </w:rPr>
        <w:t>广西荣胜项目管理有限公司关于2026年福旺镇华新村委旺岭至山冲道路硬化工程的竞争性磋商公告</w:t>
      </w:r>
      <w:bookmarkStart w:id="146" w:name="_GoBack"/>
      <w:bookmarkEnd w:id="146"/>
    </w:p>
    <w:tbl>
      <w:tblPr>
        <w:tblStyle w:val="30"/>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D0A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19B86F61">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5395988E">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2026年福旺镇华新村委旺岭至山冲道路硬化工程</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0"/>
                <w:rFonts w:hint="eastAsia" w:ascii="宋体" w:hAnsi="宋体" w:cs="宋体"/>
                <w:color w:val="auto"/>
                <w:szCs w:val="21"/>
                <w:highlight w:val="none"/>
              </w:rPr>
              <w:t>https://www.gcy.zfcg.gxzf.gov.cn/）获取</w:t>
            </w:r>
            <w:r>
              <w:rPr>
                <w:rStyle w:val="40"/>
                <w:rFonts w:hint="eastAsia" w:ascii="宋体" w:hAnsi="宋体" w:cs="宋体"/>
                <w:color w:val="auto"/>
                <w:highlight w:val="none"/>
              </w:rPr>
              <w:t>采购文件</w:t>
            </w:r>
            <w:r>
              <w:rPr>
                <w:rStyle w:val="40"/>
                <w:rFonts w:hint="eastAsia" w:ascii="宋体" w:hAnsi="宋体" w:cs="宋体"/>
                <w:color w:val="auto"/>
                <w:szCs w:val="21"/>
                <w:highlight w:val="none"/>
              </w:rPr>
              <w:t>，并于202</w:t>
            </w:r>
            <w:r>
              <w:rPr>
                <w:rStyle w:val="40"/>
                <w:rFonts w:hint="eastAsia" w:ascii="宋体" w:hAnsi="宋体" w:cs="宋体"/>
                <w:color w:val="auto"/>
                <w:szCs w:val="21"/>
                <w:highlight w:val="none"/>
                <w:lang w:val="en-US" w:eastAsia="zh-CN"/>
              </w:rPr>
              <w:t>6</w:t>
            </w:r>
            <w:r>
              <w:rPr>
                <w:rStyle w:val="40"/>
                <w:rFonts w:hint="eastAsia" w:ascii="宋体" w:hAnsi="宋体" w:cs="宋体"/>
                <w:color w:val="auto"/>
                <w:szCs w:val="21"/>
                <w:highlight w:val="none"/>
              </w:rPr>
              <w:t>年</w:t>
            </w:r>
            <w:r>
              <w:rPr>
                <w:rStyle w:val="40"/>
                <w:rFonts w:hint="eastAsia" w:ascii="宋体" w:hAnsi="宋体" w:cs="宋体"/>
                <w:color w:val="auto"/>
                <w:szCs w:val="21"/>
                <w:highlight w:val="none"/>
              </w:rPr>
              <w:fldChar w:fldCharType="end"/>
            </w:r>
            <w:r>
              <w:rPr>
                <w:rFonts w:hint="eastAsia" w:ascii="宋体" w:hAnsi="宋体" w:cs="宋体"/>
                <w:color w:val="auto"/>
                <w:szCs w:val="21"/>
                <w:highlight w:val="none"/>
                <w:u w:val="single"/>
                <w:lang w:val="en-US" w:eastAsia="zh-CN"/>
              </w:rPr>
              <w:t xml:space="preserve"> 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 xml:space="preserve"> 15</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 xml:space="preserve"> 15 </w:t>
            </w:r>
            <w:r>
              <w:rPr>
                <w:rFonts w:hint="eastAsia" w:ascii="宋体" w:hAnsi="宋体" w:cs="宋体"/>
                <w:color w:val="auto"/>
                <w:szCs w:val="21"/>
                <w:highlight w:val="none"/>
                <w:u w:val="single"/>
              </w:rPr>
              <w:t xml:space="preserve"> 时</w:t>
            </w:r>
            <w:r>
              <w:rPr>
                <w:rFonts w:hint="eastAsia" w:ascii="宋体" w:hAnsi="宋体" w:cs="宋体"/>
                <w:color w:val="auto"/>
                <w:szCs w:val="21"/>
                <w:highlight w:val="none"/>
                <w:u w:val="single"/>
                <w:lang w:val="en-US" w:eastAsia="zh-CN"/>
              </w:rPr>
              <w:t xml:space="preserve"> 00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025A4DA9">
      <w:pPr>
        <w:pStyle w:val="4"/>
        <w:spacing w:line="360" w:lineRule="auto"/>
        <w:ind w:firstLine="422" w:firstLineChars="200"/>
        <w:rPr>
          <w:rFonts w:hint="eastAsia" w:ascii="宋体" w:hAnsi="宋体" w:eastAsia="宋体" w:cs="宋体"/>
          <w:bCs w:val="0"/>
          <w:color w:val="auto"/>
          <w:sz w:val="21"/>
          <w:szCs w:val="21"/>
          <w:highlight w:val="none"/>
        </w:rPr>
      </w:pPr>
      <w:bookmarkStart w:id="3" w:name="_Toc35393629"/>
      <w:bookmarkStart w:id="4" w:name="_Toc28359089"/>
      <w:bookmarkStart w:id="5" w:name="_Toc31859"/>
      <w:bookmarkStart w:id="6" w:name="_Toc9324"/>
      <w:bookmarkStart w:id="7" w:name="_Toc28359012"/>
      <w:bookmarkStart w:id="8" w:name="_Toc35393798"/>
      <w:r>
        <w:rPr>
          <w:rFonts w:hint="eastAsia" w:ascii="宋体" w:hAnsi="宋体" w:eastAsia="宋体" w:cs="宋体"/>
          <w:bCs w:val="0"/>
          <w:color w:val="auto"/>
          <w:sz w:val="21"/>
          <w:szCs w:val="21"/>
          <w:highlight w:val="none"/>
        </w:rPr>
        <w:t>一、项目基本情况</w:t>
      </w:r>
      <w:bookmarkEnd w:id="3"/>
      <w:bookmarkEnd w:id="4"/>
      <w:bookmarkEnd w:id="5"/>
      <w:bookmarkEnd w:id="6"/>
      <w:bookmarkEnd w:id="7"/>
      <w:bookmarkEnd w:id="8"/>
    </w:p>
    <w:p w14:paraId="5D61FA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QZZC2026-C2-220094-GXRS</w:t>
      </w:r>
      <w:r>
        <w:rPr>
          <w:rFonts w:hint="eastAsia" w:ascii="宋体" w:hAnsi="宋体" w:cs="宋体"/>
          <w:color w:val="auto"/>
          <w:szCs w:val="21"/>
          <w:highlight w:val="none"/>
        </w:rPr>
        <w:t xml:space="preserve"> </w:t>
      </w:r>
    </w:p>
    <w:p w14:paraId="12C489A6">
      <w:pPr>
        <w:spacing w:line="360" w:lineRule="auto"/>
        <w:ind w:left="1470" w:leftChars="200" w:hanging="1050" w:hangingChars="5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2026年福旺镇华新村委旺岭至山冲道路硬化工程</w:t>
      </w:r>
    </w:p>
    <w:p w14:paraId="18E153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1748CB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986675.14</w:t>
      </w:r>
      <w:r>
        <w:rPr>
          <w:rFonts w:hint="eastAsia" w:ascii="宋体" w:hAnsi="宋体" w:cs="宋体"/>
          <w:color w:val="auto"/>
          <w:szCs w:val="21"/>
          <w:highlight w:val="none"/>
        </w:rPr>
        <w:t>元</w:t>
      </w:r>
    </w:p>
    <w:p w14:paraId="5EB921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7F51A8E7">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2026年福旺镇华新村委旺岭至山冲道路硬化工程</w:t>
      </w:r>
    </w:p>
    <w:p w14:paraId="7AC9AF6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265B34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986675.14</w:t>
      </w:r>
      <w:r>
        <w:rPr>
          <w:rFonts w:hint="eastAsia" w:ascii="宋体" w:hAnsi="宋体" w:cs="宋体"/>
          <w:color w:val="auto"/>
          <w:szCs w:val="21"/>
          <w:highlight w:val="none"/>
        </w:rPr>
        <w:t>元</w:t>
      </w:r>
    </w:p>
    <w:p w14:paraId="140C08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新建硬化道路全长2030米,混凝土路面宽度3.5米,路基4.5米,0.18米厚</w:t>
      </w:r>
      <w:r>
        <w:rPr>
          <w:rFonts w:hint="eastAsia" w:asciiTheme="minorEastAsia" w:hAnsiTheme="minorEastAsia" w:eastAsiaTheme="minorEastAsia" w:cstheme="minorEastAsia"/>
          <w:color w:val="auto"/>
          <w:szCs w:val="21"/>
          <w:highlight w:val="none"/>
        </w:rPr>
        <w:t>，</w:t>
      </w:r>
      <w:r>
        <w:rPr>
          <w:rFonts w:hint="eastAsia" w:ascii="宋体" w:hAnsi="宋体" w:cs="宋体"/>
          <w:color w:val="auto"/>
          <w:szCs w:val="21"/>
          <w:highlight w:val="none"/>
        </w:rPr>
        <w:t>具体详见竞争性磋商文件、工程量清单及图纸。</w:t>
      </w:r>
    </w:p>
    <w:p w14:paraId="2CB2D5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986675.14</w:t>
      </w:r>
      <w:r>
        <w:rPr>
          <w:rFonts w:hint="eastAsia" w:ascii="宋体" w:hAnsi="宋体" w:cs="宋体"/>
          <w:color w:val="auto"/>
          <w:szCs w:val="21"/>
          <w:highlight w:val="none"/>
        </w:rPr>
        <w:t>元</w:t>
      </w:r>
    </w:p>
    <w:p w14:paraId="63A672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0日历天</w:t>
      </w:r>
    </w:p>
    <w:p w14:paraId="039113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6FAC9E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4C512479">
      <w:pPr>
        <w:pStyle w:val="4"/>
        <w:spacing w:line="360" w:lineRule="auto"/>
        <w:ind w:firstLine="422" w:firstLineChars="200"/>
        <w:rPr>
          <w:rFonts w:hint="eastAsia" w:ascii="宋体" w:hAnsi="宋体" w:eastAsia="宋体" w:cs="宋体"/>
          <w:bCs w:val="0"/>
          <w:color w:val="auto"/>
          <w:sz w:val="21"/>
          <w:szCs w:val="21"/>
          <w:highlight w:val="none"/>
        </w:rPr>
      </w:pPr>
      <w:bookmarkStart w:id="9" w:name="_Toc21513"/>
      <w:bookmarkStart w:id="10" w:name="_Toc28359090"/>
      <w:bookmarkStart w:id="11" w:name="_Toc35393630"/>
      <w:bookmarkStart w:id="12" w:name="_Toc28359013"/>
      <w:bookmarkStart w:id="13" w:name="_Toc35393799"/>
      <w:r>
        <w:rPr>
          <w:rFonts w:hint="eastAsia" w:ascii="宋体" w:hAnsi="宋体" w:eastAsia="宋体" w:cs="宋体"/>
          <w:bCs w:val="0"/>
          <w:color w:val="auto"/>
          <w:sz w:val="21"/>
          <w:szCs w:val="21"/>
          <w:highlight w:val="none"/>
        </w:rPr>
        <w:t>二、申请人的资格要求：</w:t>
      </w:r>
      <w:bookmarkEnd w:id="9"/>
      <w:bookmarkEnd w:id="10"/>
      <w:bookmarkEnd w:id="11"/>
      <w:bookmarkEnd w:id="12"/>
      <w:bookmarkEnd w:id="13"/>
    </w:p>
    <w:p w14:paraId="5FF1221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40B537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03147D5F">
      <w:pPr>
        <w:pStyle w:val="11"/>
        <w:autoSpaceDE/>
        <w:autoSpaceDN/>
        <w:adjustRightInd/>
        <w:spacing w:after="0" w:line="360" w:lineRule="auto"/>
        <w:ind w:firstLine="420" w:firstLineChars="200"/>
        <w:rPr>
          <w:rFonts w:hint="eastAsia" w:hAnsi="宋体" w:cs="宋体"/>
          <w:color w:val="auto"/>
          <w:sz w:val="21"/>
          <w:szCs w:val="21"/>
          <w:highlight w:val="none"/>
        </w:rPr>
      </w:pPr>
      <w:bookmarkStart w:id="14" w:name="_Toc28359014"/>
      <w:bookmarkStart w:id="15" w:name="_Toc28359091"/>
      <w:r>
        <w:rPr>
          <w:rFonts w:hint="eastAsia" w:hAnsi="宋体" w:cs="宋体"/>
          <w:color w:val="auto"/>
          <w:sz w:val="21"/>
          <w:szCs w:val="21"/>
          <w:highlight w:val="none"/>
        </w:rPr>
        <w:t>3.本项目的特定资格要求：</w:t>
      </w:r>
    </w:p>
    <w:p w14:paraId="441A5C0F">
      <w:pPr>
        <w:pStyle w:val="11"/>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（1）本项目供应商企业资质要求具备公路工程施工总承包三级(含三级)以上资质</w:t>
      </w:r>
      <w:r>
        <w:rPr>
          <w:rFonts w:hint="eastAsia" w:hAnsi="宋体" w:cs="宋体"/>
          <w:color w:val="auto"/>
          <w:sz w:val="21"/>
          <w:szCs w:val="21"/>
          <w:highlight w:val="none"/>
          <w:lang w:eastAsia="zh-CN"/>
        </w:rPr>
        <w:t>或市政公用工程施工总承包三级(含三级)以上资质</w:t>
      </w:r>
      <w:r>
        <w:rPr>
          <w:rFonts w:hint="eastAsia" w:hAnsi="宋体" w:cs="宋体"/>
          <w:color w:val="auto"/>
          <w:sz w:val="21"/>
          <w:szCs w:val="21"/>
          <w:highlight w:val="none"/>
        </w:rPr>
        <w:t>，</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公路工程专业贰级以上（含贰级）或市政公用工程贰级以上（含贰级）注册建造师资格及安全生产考核合格证（B证），为供应商的在岗人员，且未担任其他在建项目或已中标未开工项目或已列为项目第一中标候选人项目的项目经理。</w:t>
      </w:r>
    </w:p>
    <w:p w14:paraId="424A8E48">
      <w:pPr>
        <w:pStyle w:val="4"/>
        <w:spacing w:line="360" w:lineRule="auto"/>
        <w:ind w:firstLine="422" w:firstLineChars="200"/>
        <w:rPr>
          <w:rFonts w:hint="eastAsia" w:ascii="宋体" w:hAnsi="宋体" w:eastAsia="宋体" w:cs="宋体"/>
          <w:bCs w:val="0"/>
          <w:color w:val="auto"/>
          <w:sz w:val="21"/>
          <w:szCs w:val="21"/>
          <w:highlight w:val="none"/>
        </w:rPr>
      </w:pPr>
      <w:bookmarkStart w:id="16" w:name="_Toc13777"/>
      <w:bookmarkStart w:id="17" w:name="_Toc35393631"/>
      <w:bookmarkStart w:id="18" w:name="_Toc9125"/>
      <w:bookmarkStart w:id="19" w:name="_Toc35393800"/>
      <w:r>
        <w:rPr>
          <w:rFonts w:hint="eastAsia" w:ascii="宋体" w:hAnsi="宋体" w:eastAsia="宋体" w:cs="宋体"/>
          <w:bCs w:val="0"/>
          <w:color w:val="auto"/>
          <w:sz w:val="21"/>
          <w:szCs w:val="21"/>
          <w:highlight w:val="none"/>
        </w:rPr>
        <w:t>三、获取采购文件</w:t>
      </w:r>
      <w:bookmarkEnd w:id="14"/>
      <w:bookmarkEnd w:id="15"/>
      <w:bookmarkEnd w:id="16"/>
      <w:bookmarkEnd w:id="17"/>
      <w:bookmarkEnd w:id="18"/>
      <w:bookmarkEnd w:id="19"/>
    </w:p>
    <w:p w14:paraId="414141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日，每天上午</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：00至12：00，下午1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：00至</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59</w:t>
      </w:r>
      <w:r>
        <w:rPr>
          <w:rFonts w:hint="eastAsia" w:ascii="宋体" w:hAnsi="宋体" w:cs="宋体"/>
          <w:color w:val="auto"/>
          <w:szCs w:val="21"/>
          <w:highlight w:val="none"/>
        </w:rPr>
        <w:t>（北京时间，法定节假日除外）。</w:t>
      </w:r>
    </w:p>
    <w:p w14:paraId="7F68F126">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77F83ACF">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08F508B8">
      <w:pPr>
        <w:pStyle w:val="4"/>
        <w:spacing w:line="360" w:lineRule="auto"/>
        <w:ind w:firstLine="422" w:firstLineChars="200"/>
        <w:rPr>
          <w:rFonts w:hint="eastAsia" w:ascii="宋体" w:hAnsi="宋体" w:eastAsia="宋体" w:cs="宋体"/>
          <w:bCs w:val="0"/>
          <w:color w:val="auto"/>
          <w:sz w:val="21"/>
          <w:szCs w:val="21"/>
          <w:highlight w:val="none"/>
        </w:rPr>
      </w:pPr>
      <w:bookmarkStart w:id="20" w:name="_Toc28970"/>
      <w:bookmarkStart w:id="21" w:name="_Toc28359015"/>
      <w:bookmarkStart w:id="22" w:name="_Toc18110"/>
      <w:bookmarkStart w:id="23" w:name="_Toc35393632"/>
      <w:bookmarkStart w:id="24" w:name="_Toc28359092"/>
      <w:bookmarkStart w:id="25" w:name="_Toc35393801"/>
      <w:r>
        <w:rPr>
          <w:rFonts w:hint="eastAsia" w:ascii="宋体" w:hAnsi="宋体" w:eastAsia="宋体" w:cs="宋体"/>
          <w:bCs w:val="0"/>
          <w:color w:val="auto"/>
          <w:sz w:val="21"/>
          <w:szCs w:val="21"/>
          <w:highlight w:val="none"/>
        </w:rPr>
        <w:t>四、响应文件提交</w:t>
      </w:r>
      <w:bookmarkEnd w:id="20"/>
      <w:bookmarkEnd w:id="21"/>
      <w:bookmarkEnd w:id="22"/>
      <w:bookmarkEnd w:id="23"/>
      <w:bookmarkEnd w:id="24"/>
      <w:bookmarkEnd w:id="25"/>
    </w:p>
    <w:p w14:paraId="3B5C3583">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15 </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 15 </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00  </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5B7DC50B">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2FD2AC4">
      <w:pPr>
        <w:pStyle w:val="4"/>
        <w:spacing w:line="360" w:lineRule="auto"/>
        <w:ind w:firstLine="422" w:firstLineChars="200"/>
        <w:rPr>
          <w:rFonts w:hint="eastAsia" w:ascii="宋体" w:hAnsi="宋体" w:eastAsia="宋体" w:cs="宋体"/>
          <w:bCs w:val="0"/>
          <w:color w:val="auto"/>
          <w:sz w:val="21"/>
          <w:szCs w:val="21"/>
          <w:highlight w:val="none"/>
        </w:rPr>
      </w:pPr>
      <w:bookmarkStart w:id="26" w:name="_Toc35393802"/>
      <w:bookmarkStart w:id="27" w:name="_Toc28359016"/>
      <w:bookmarkStart w:id="28" w:name="_Toc3197"/>
      <w:bookmarkStart w:id="29" w:name="_Toc28359093"/>
      <w:bookmarkStart w:id="30" w:name="_Toc24973"/>
      <w:bookmarkStart w:id="31" w:name="_Toc35393633"/>
      <w:r>
        <w:rPr>
          <w:rFonts w:hint="eastAsia" w:ascii="宋体" w:hAnsi="宋体" w:eastAsia="宋体" w:cs="宋体"/>
          <w:bCs w:val="0"/>
          <w:color w:val="auto"/>
          <w:sz w:val="21"/>
          <w:szCs w:val="21"/>
          <w:highlight w:val="none"/>
        </w:rPr>
        <w:t>五、响应文件开启</w:t>
      </w:r>
      <w:bookmarkEnd w:id="26"/>
      <w:bookmarkEnd w:id="27"/>
      <w:bookmarkEnd w:id="28"/>
      <w:bookmarkEnd w:id="29"/>
      <w:bookmarkEnd w:id="30"/>
      <w:bookmarkEnd w:id="31"/>
    </w:p>
    <w:p w14:paraId="455E46AB">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  15 </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 15 </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00  </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4CC9E112">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77CC3CF0">
      <w:pPr>
        <w:pStyle w:val="4"/>
        <w:spacing w:line="360" w:lineRule="auto"/>
        <w:ind w:firstLine="422" w:firstLineChars="200"/>
        <w:rPr>
          <w:rFonts w:hint="eastAsia" w:ascii="宋体" w:hAnsi="宋体" w:eastAsia="宋体" w:cs="宋体"/>
          <w:bCs w:val="0"/>
          <w:color w:val="auto"/>
          <w:sz w:val="21"/>
          <w:szCs w:val="21"/>
          <w:highlight w:val="none"/>
        </w:rPr>
      </w:pPr>
      <w:bookmarkStart w:id="32" w:name="_Toc28359094"/>
      <w:bookmarkStart w:id="33" w:name="_Toc5452"/>
      <w:bookmarkStart w:id="34" w:name="_Toc35393803"/>
      <w:bookmarkStart w:id="35" w:name="_Toc35393634"/>
      <w:bookmarkStart w:id="36" w:name="_Toc17419"/>
      <w:bookmarkStart w:id="37" w:name="_Toc28359017"/>
      <w:r>
        <w:rPr>
          <w:rFonts w:hint="eastAsia" w:ascii="宋体" w:hAnsi="宋体" w:eastAsia="宋体" w:cs="宋体"/>
          <w:bCs w:val="0"/>
          <w:color w:val="auto"/>
          <w:sz w:val="21"/>
          <w:szCs w:val="21"/>
          <w:highlight w:val="none"/>
        </w:rPr>
        <w:t>六、公告期限</w:t>
      </w:r>
      <w:bookmarkEnd w:id="32"/>
      <w:bookmarkEnd w:id="33"/>
      <w:bookmarkEnd w:id="34"/>
      <w:bookmarkEnd w:id="35"/>
      <w:bookmarkEnd w:id="36"/>
      <w:bookmarkEnd w:id="37"/>
    </w:p>
    <w:p w14:paraId="714AB5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A1D1D2F">
      <w:pPr>
        <w:pStyle w:val="4"/>
        <w:spacing w:line="360" w:lineRule="auto"/>
        <w:ind w:firstLine="422" w:firstLineChars="200"/>
        <w:rPr>
          <w:rFonts w:hint="eastAsia" w:ascii="宋体" w:hAnsi="宋体" w:eastAsia="宋体" w:cs="宋体"/>
          <w:bCs w:val="0"/>
          <w:color w:val="auto"/>
          <w:sz w:val="21"/>
          <w:szCs w:val="21"/>
          <w:highlight w:val="none"/>
        </w:rPr>
      </w:pPr>
      <w:bookmarkStart w:id="38" w:name="_Toc321"/>
      <w:bookmarkStart w:id="39" w:name="_Toc35393804"/>
      <w:bookmarkStart w:id="40" w:name="_Toc35393635"/>
      <w:bookmarkStart w:id="41" w:name="_Toc26297"/>
      <w:r>
        <w:rPr>
          <w:rFonts w:hint="eastAsia" w:ascii="宋体" w:hAnsi="宋体" w:eastAsia="宋体" w:cs="宋体"/>
          <w:bCs w:val="0"/>
          <w:color w:val="auto"/>
          <w:sz w:val="21"/>
          <w:szCs w:val="21"/>
          <w:highlight w:val="none"/>
        </w:rPr>
        <w:t>七、其他补充事宜</w:t>
      </w:r>
      <w:bookmarkEnd w:id="38"/>
      <w:bookmarkEnd w:id="39"/>
      <w:bookmarkEnd w:id="40"/>
      <w:bookmarkEnd w:id="41"/>
    </w:p>
    <w:p w14:paraId="29F570E9">
      <w:pPr>
        <w:spacing w:line="360" w:lineRule="auto"/>
        <w:ind w:firstLine="420" w:firstLineChars="200"/>
        <w:jc w:val="left"/>
        <w:rPr>
          <w:rFonts w:hint="eastAsia" w:ascii="宋体" w:hAnsi="宋体" w:cs="宋体"/>
          <w:color w:val="auto"/>
          <w:szCs w:val="21"/>
          <w:highlight w:val="none"/>
        </w:rPr>
      </w:pPr>
      <w:bookmarkStart w:id="42" w:name="_Toc35393636"/>
      <w:bookmarkStart w:id="43" w:name="_Toc28359095"/>
      <w:bookmarkStart w:id="44" w:name="_Toc28359018"/>
      <w:bookmarkStart w:id="45" w:name="_Toc35393805"/>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47F9768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4844273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79A1B94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4C4DD77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615102F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7BEBCA2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1FB6D6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444C8C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47C19A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694512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19F13939">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http：//zfcg.gxzf.gov.cn（广西政府采购网）、http：//www.ccgp.gov.cn/（中国政府采购网）、http：//ggzy.jgswj.gxzf.gov.cn/pbggzy/[全国公共资源交易平台（广西.浦北）]。</w:t>
      </w:r>
    </w:p>
    <w:p w14:paraId="562CF52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bidi="ar"/>
        </w:rPr>
        <w:t>监督部门：浦北县政府采购监督管理办公室   联系电话：0777-8314622</w:t>
      </w:r>
    </w:p>
    <w:p w14:paraId="15C4E063">
      <w:pPr>
        <w:pStyle w:val="4"/>
        <w:spacing w:line="360" w:lineRule="auto"/>
        <w:ind w:firstLine="422" w:firstLineChars="200"/>
        <w:rPr>
          <w:rFonts w:hint="eastAsia" w:ascii="宋体" w:hAnsi="宋体" w:eastAsia="宋体" w:cs="宋体"/>
          <w:bCs w:val="0"/>
          <w:color w:val="auto"/>
          <w:sz w:val="21"/>
          <w:szCs w:val="21"/>
          <w:highlight w:val="none"/>
        </w:rPr>
      </w:pPr>
      <w:bookmarkStart w:id="46" w:name="_Toc227"/>
      <w:bookmarkStart w:id="47" w:name="_Toc23726"/>
      <w:r>
        <w:rPr>
          <w:rFonts w:hint="eastAsia" w:ascii="宋体" w:hAnsi="宋体" w:eastAsia="宋体" w:cs="宋体"/>
          <w:bCs w:val="0"/>
          <w:color w:val="auto"/>
          <w:sz w:val="21"/>
          <w:szCs w:val="21"/>
          <w:highlight w:val="none"/>
        </w:rPr>
        <w:t>八、凡对本次采购提出询问，请按以下方式联系</w:t>
      </w:r>
      <w:bookmarkEnd w:id="42"/>
      <w:bookmarkEnd w:id="43"/>
      <w:bookmarkEnd w:id="44"/>
      <w:bookmarkEnd w:id="45"/>
      <w:bookmarkEnd w:id="46"/>
      <w:bookmarkEnd w:id="47"/>
    </w:p>
    <w:p w14:paraId="3CE0F0EF">
      <w:pPr>
        <w:pStyle w:val="4"/>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8" w:name="_Toc35393637"/>
      <w:bookmarkStart w:id="49" w:name="_Toc28359096"/>
      <w:bookmarkStart w:id="50" w:name="_Toc28359019"/>
      <w:bookmarkStart w:id="51" w:name="_Toc35393806"/>
      <w:r>
        <w:rPr>
          <w:rFonts w:hint="eastAsia" w:asciiTheme="minorEastAsia" w:hAnsiTheme="minorEastAsia" w:eastAsiaTheme="minorEastAsia" w:cstheme="minorEastAsia"/>
          <w:b w:val="0"/>
          <w:bCs w:val="0"/>
          <w:color w:val="auto"/>
          <w:kern w:val="0"/>
          <w:sz w:val="21"/>
          <w:szCs w:val="21"/>
          <w:highlight w:val="none"/>
        </w:rPr>
        <w:t>1.采购人信息</w:t>
      </w:r>
      <w:bookmarkEnd w:id="48"/>
      <w:bookmarkEnd w:id="49"/>
      <w:bookmarkEnd w:id="50"/>
      <w:bookmarkEnd w:id="51"/>
    </w:p>
    <w:p w14:paraId="1C87D8CB">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浦北县农业农村局</w:t>
      </w:r>
      <w:r>
        <w:rPr>
          <w:rFonts w:hint="eastAsia" w:asciiTheme="minorEastAsia" w:hAnsiTheme="minorEastAsia" w:eastAsiaTheme="minorEastAsia" w:cstheme="minorEastAsia"/>
          <w:color w:val="auto"/>
          <w:kern w:val="0"/>
          <w:szCs w:val="21"/>
          <w:highlight w:val="none"/>
        </w:rPr>
        <w:t xml:space="preserve">  </w:t>
      </w:r>
    </w:p>
    <w:p w14:paraId="2294A0AA">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址：浦北县江城街道越新路</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3AE4671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项目联系人：黄芳梅</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67537BD9">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项目联系方式：0777-8213919</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08C33144">
      <w:pPr>
        <w:pStyle w:val="4"/>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2" w:name="_Toc35393638"/>
      <w:bookmarkStart w:id="53" w:name="_Toc35393807"/>
      <w:bookmarkStart w:id="54" w:name="_Toc28359020"/>
      <w:bookmarkStart w:id="55" w:name="_Toc28359097"/>
      <w:r>
        <w:rPr>
          <w:rFonts w:hint="eastAsia" w:asciiTheme="minorEastAsia" w:hAnsiTheme="minorEastAsia" w:eastAsiaTheme="minorEastAsia" w:cstheme="minorEastAsia"/>
          <w:b w:val="0"/>
          <w:bCs w:val="0"/>
          <w:color w:val="auto"/>
          <w:kern w:val="0"/>
          <w:sz w:val="21"/>
          <w:szCs w:val="21"/>
          <w:highlight w:val="none"/>
        </w:rPr>
        <w:t>2.采购代理机构信息</w:t>
      </w:r>
      <w:bookmarkEnd w:id="52"/>
      <w:bookmarkEnd w:id="53"/>
      <w:bookmarkEnd w:id="54"/>
      <w:bookmarkEnd w:id="55"/>
    </w:p>
    <w:p w14:paraId="4345B3BA">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称：广西荣胜项目管理有限公司　</w:t>
      </w:r>
    </w:p>
    <w:p w14:paraId="640CBEFC">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6" w:name="_Toc35393639"/>
      <w:bookmarkStart w:id="57" w:name="_Toc28359021"/>
      <w:bookmarkStart w:id="58" w:name="_Toc35393808"/>
      <w:bookmarkStart w:id="59" w:name="_Toc28359098"/>
      <w:r>
        <w:rPr>
          <w:rFonts w:hint="eastAsia" w:asciiTheme="minorEastAsia" w:hAnsiTheme="minorEastAsia" w:eastAsiaTheme="minorEastAsia" w:cstheme="minorEastAsia"/>
          <w:color w:val="auto"/>
          <w:kern w:val="0"/>
          <w:szCs w:val="21"/>
          <w:highlight w:val="none"/>
        </w:rPr>
        <w:t>钦州市蓬莱大道鸿亭街333号皇庭天麓湖小区183栋203室       </w:t>
      </w:r>
    </w:p>
    <w:p w14:paraId="5807B046">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项目联系人：黄洁</w:t>
      </w:r>
      <w:r>
        <w:rPr>
          <w:rFonts w:hint="eastAsia" w:asciiTheme="minorEastAsia" w:hAnsiTheme="minorEastAsia" w:eastAsiaTheme="minorEastAsia" w:cstheme="minorEastAsia"/>
          <w:color w:val="auto"/>
          <w:kern w:val="0"/>
          <w:szCs w:val="21"/>
          <w:highlight w:val="none"/>
        </w:rPr>
        <w:tab/>
      </w:r>
    </w:p>
    <w:p w14:paraId="3A024865">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bookmarkEnd w:id="56"/>
      <w:bookmarkEnd w:id="57"/>
      <w:bookmarkEnd w:id="58"/>
      <w:bookmarkEnd w:id="59"/>
      <w:r>
        <w:rPr>
          <w:rFonts w:hint="eastAsia" w:asciiTheme="minorEastAsia" w:hAnsiTheme="minorEastAsia" w:eastAsiaTheme="minorEastAsia" w:cstheme="minorEastAsia"/>
          <w:color w:val="auto"/>
          <w:kern w:val="0"/>
          <w:szCs w:val="21"/>
          <w:highlight w:val="none"/>
        </w:rPr>
        <w:t>0777-5512166</w:t>
      </w:r>
    </w:p>
    <w:p w14:paraId="04A011CD">
      <w:pPr>
        <w:pStyle w:val="46"/>
        <w:spacing w:line="360" w:lineRule="auto"/>
        <w:rPr>
          <w:rFonts w:hint="eastAsia"/>
          <w:color w:val="auto"/>
          <w:highlight w:val="none"/>
        </w:rPr>
      </w:pPr>
    </w:p>
    <w:p w14:paraId="0BD7A76A">
      <w:pPr>
        <w:spacing w:line="360" w:lineRule="auto"/>
        <w:rPr>
          <w:rFonts w:hint="eastAsia" w:asciiTheme="minorEastAsia" w:hAnsiTheme="minorEastAsia" w:eastAsiaTheme="minorEastAsia" w:cstheme="minorEastAsia"/>
          <w:color w:val="auto"/>
          <w:kern w:val="0"/>
          <w:szCs w:val="21"/>
          <w:highlight w:val="none"/>
        </w:rPr>
      </w:pPr>
    </w:p>
    <w:p w14:paraId="6B3E3AFD">
      <w:pPr>
        <w:spacing w:line="360" w:lineRule="auto"/>
        <w:ind w:firstLine="420" w:firstLineChars="200"/>
        <w:jc w:val="center"/>
        <w:rPr>
          <w:rFonts w:hint="eastAsia" w:ascii="宋体" w:hAnsi="宋体" w:cs="宋体"/>
          <w:color w:val="auto"/>
          <w:highlight w:val="none"/>
        </w:rPr>
      </w:pPr>
      <w:r>
        <w:rPr>
          <w:rFonts w:hint="eastAsia" w:ascii="宋体" w:hAnsi="宋体" w:cs="宋体"/>
          <w:color w:val="auto"/>
          <w:highlight w:val="none"/>
        </w:rPr>
        <w:t xml:space="preserve">                                                       广西荣胜项目管理有限公司</w:t>
      </w:r>
    </w:p>
    <w:p w14:paraId="4D69DF90">
      <w:pPr>
        <w:pStyle w:val="11"/>
        <w:spacing w:after="0" w:line="360" w:lineRule="auto"/>
        <w:ind w:left="210" w:leftChars="100" w:firstLine="6930" w:firstLineChars="3300"/>
        <w:rPr>
          <w:rFonts w:hint="eastAsia" w:hAnsi="宋体" w:cs="宋体"/>
          <w:b/>
          <w:bCs/>
          <w:color w:val="auto"/>
          <w:sz w:val="28"/>
          <w:szCs w:val="28"/>
          <w:highlight w:val="none"/>
        </w:rPr>
      </w:pPr>
      <w:r>
        <w:rPr>
          <w:rFonts w:hint="eastAsia" w:hAnsi="宋体" w:cs="宋体"/>
          <w:color w:val="auto"/>
          <w:kern w:val="2"/>
          <w:sz w:val="21"/>
          <w:szCs w:val="24"/>
          <w:highlight w:val="none"/>
        </w:rPr>
        <w:t>202</w:t>
      </w:r>
      <w:r>
        <w:rPr>
          <w:rFonts w:hint="eastAsia" w:hAnsi="宋体" w:cs="宋体"/>
          <w:color w:val="auto"/>
          <w:kern w:val="2"/>
          <w:sz w:val="21"/>
          <w:szCs w:val="24"/>
          <w:highlight w:val="none"/>
          <w:lang w:val="en-US" w:eastAsia="zh-CN"/>
        </w:rPr>
        <w:t>6</w:t>
      </w:r>
      <w:r>
        <w:rPr>
          <w:rFonts w:hint="eastAsia" w:hAnsi="宋体" w:cs="宋体"/>
          <w:color w:val="auto"/>
          <w:kern w:val="2"/>
          <w:sz w:val="21"/>
          <w:szCs w:val="24"/>
          <w:highlight w:val="none"/>
        </w:rPr>
        <w:t>年</w:t>
      </w:r>
      <w:r>
        <w:rPr>
          <w:rFonts w:hint="eastAsia" w:hAnsi="宋体" w:cs="宋体"/>
          <w:color w:val="auto"/>
          <w:kern w:val="2"/>
          <w:sz w:val="21"/>
          <w:szCs w:val="24"/>
          <w:highlight w:val="none"/>
          <w:lang w:val="en-US" w:eastAsia="zh-CN"/>
        </w:rPr>
        <w:t>7</w:t>
      </w:r>
      <w:r>
        <w:rPr>
          <w:rFonts w:hint="eastAsia" w:hAnsi="宋体" w:cs="宋体"/>
          <w:color w:val="auto"/>
          <w:kern w:val="2"/>
          <w:sz w:val="21"/>
          <w:szCs w:val="24"/>
          <w:highlight w:val="none"/>
        </w:rPr>
        <w:t>月</w:t>
      </w:r>
      <w:r>
        <w:rPr>
          <w:rFonts w:hint="eastAsia" w:hAnsi="宋体" w:cs="宋体"/>
          <w:color w:val="auto"/>
          <w:kern w:val="2"/>
          <w:sz w:val="21"/>
          <w:szCs w:val="24"/>
          <w:highlight w:val="none"/>
          <w:lang w:val="en-US" w:eastAsia="zh-CN"/>
        </w:rPr>
        <w:t xml:space="preserve"> 3 </w:t>
      </w:r>
      <w:r>
        <w:rPr>
          <w:rFonts w:hint="eastAsia" w:hAnsi="宋体" w:cs="宋体"/>
          <w:color w:val="auto"/>
          <w:kern w:val="2"/>
          <w:sz w:val="21"/>
          <w:szCs w:val="24"/>
          <w:highlight w:val="none"/>
        </w:rPr>
        <w:t>日</w:t>
      </w:r>
    </w:p>
    <w:p w14:paraId="71B287A1">
      <w:pPr>
        <w:pStyle w:val="46"/>
        <w:rPr>
          <w:rFonts w:hint="eastAsia" w:asciiTheme="minorEastAsia" w:hAnsiTheme="minorEastAsia" w:eastAsiaTheme="minorEastAsia" w:cstheme="minorEastAsia"/>
          <w:color w:val="auto"/>
          <w:szCs w:val="21"/>
          <w:highlight w:val="none"/>
        </w:rPr>
      </w:pPr>
    </w:p>
    <w:p w14:paraId="0AB52040">
      <w:pPr>
        <w:pStyle w:val="46"/>
        <w:rPr>
          <w:rFonts w:hint="eastAsia" w:asciiTheme="minorEastAsia" w:hAnsiTheme="minorEastAsia" w:eastAsiaTheme="minorEastAsia" w:cstheme="minorEastAsia"/>
          <w:color w:val="auto"/>
          <w:szCs w:val="21"/>
          <w:highlight w:val="none"/>
        </w:rPr>
      </w:pPr>
    </w:p>
    <w:p w14:paraId="7378AD2B">
      <w:pPr>
        <w:pStyle w:val="46"/>
        <w:rPr>
          <w:rFonts w:hint="eastAsia" w:asciiTheme="minorEastAsia" w:hAnsiTheme="minorEastAsia" w:eastAsiaTheme="minorEastAsia" w:cstheme="minorEastAsia"/>
          <w:color w:val="auto"/>
          <w:szCs w:val="21"/>
          <w:highlight w:val="none"/>
        </w:rPr>
      </w:pPr>
    </w:p>
    <w:p w14:paraId="58986286">
      <w:pPr>
        <w:pStyle w:val="46"/>
        <w:rPr>
          <w:rFonts w:hint="eastAsia" w:ascii="宋体" w:hAnsi="宋体" w:eastAsia="宋体" w:cs="宋体"/>
          <w:color w:val="auto"/>
          <w:szCs w:val="21"/>
          <w:highlight w:val="none"/>
        </w:rPr>
      </w:pPr>
    </w:p>
    <w:p w14:paraId="690881FF">
      <w:pPr>
        <w:numPr>
          <w:ilvl w:val="0"/>
          <w:numId w:val="1"/>
        </w:numPr>
        <w:jc w:val="center"/>
        <w:outlineLvl w:val="0"/>
        <w:rPr>
          <w:rFonts w:hint="eastAsia" w:ascii="宋体" w:hAnsi="宋体" w:cs="宋体"/>
          <w:b/>
          <w:bCs/>
          <w:color w:val="auto"/>
          <w:kern w:val="0"/>
          <w:sz w:val="36"/>
          <w:szCs w:val="36"/>
          <w:highlight w:val="none"/>
        </w:rPr>
      </w:pPr>
      <w:bookmarkStart w:id="60" w:name="_Toc5416"/>
      <w:r>
        <w:rPr>
          <w:rFonts w:hint="eastAsia" w:ascii="宋体" w:hAnsi="宋体" w:cs="宋体"/>
          <w:b/>
          <w:bCs/>
          <w:color w:val="auto"/>
          <w:kern w:val="0"/>
          <w:sz w:val="36"/>
          <w:szCs w:val="36"/>
          <w:highlight w:val="none"/>
        </w:rPr>
        <w:t>供应商须知前附表</w:t>
      </w:r>
      <w:bookmarkEnd w:id="60"/>
    </w:p>
    <w:bookmarkEnd w:id="2"/>
    <w:tbl>
      <w:tblPr>
        <w:tblStyle w:val="30"/>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59B0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0670133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149EF1D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30AF8C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371F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5329474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71A01FC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26F0A702">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2026年福旺镇华新村委旺岭至山冲道路硬化工程</w:t>
            </w:r>
          </w:p>
          <w:p w14:paraId="7943BFBB">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QZZC2026-C2-220094-GXRS</w:t>
            </w:r>
            <w:r>
              <w:rPr>
                <w:rFonts w:hint="eastAsia" w:ascii="宋体" w:hAnsi="宋体" w:cs="宋体"/>
                <w:color w:val="auto"/>
                <w:szCs w:val="21"/>
                <w:highlight w:val="none"/>
              </w:rPr>
              <w:t xml:space="preserve"> </w:t>
            </w:r>
          </w:p>
        </w:tc>
      </w:tr>
      <w:tr w14:paraId="0C6A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4884B2B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25CA0B2D">
            <w:pPr>
              <w:pStyle w:val="15"/>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531B8341">
            <w:pPr>
              <w:spacing w:line="360" w:lineRule="auto"/>
              <w:jc w:val="left"/>
              <w:rPr>
                <w:b/>
                <w:bCs/>
                <w:color w:val="auto"/>
                <w:highlight w:val="none"/>
              </w:rPr>
            </w:pPr>
            <w:bookmarkStart w:id="61" w:name="OLE_LINK8"/>
            <w:r>
              <w:rPr>
                <w:rFonts w:hint="eastAsia"/>
                <w:b/>
                <w:bCs/>
                <w:color w:val="auto"/>
                <w:highlight w:val="none"/>
              </w:rPr>
              <w:t>供应商资格要求：</w:t>
            </w:r>
          </w:p>
          <w:bookmarkEnd w:id="61"/>
          <w:p w14:paraId="6187408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1CC2AA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73195999">
            <w:pPr>
              <w:pStyle w:val="11"/>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5DD004B6">
            <w:pPr>
              <w:pStyle w:val="11"/>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（1）本项目供应商企业资质要求具备公路工程施工总承包三级(含三级)以上资质</w:t>
            </w:r>
            <w:r>
              <w:rPr>
                <w:rFonts w:hint="eastAsia" w:hAnsi="宋体" w:cs="宋体"/>
                <w:color w:val="auto"/>
                <w:sz w:val="21"/>
                <w:szCs w:val="21"/>
                <w:highlight w:val="none"/>
                <w:lang w:eastAsia="zh-CN"/>
              </w:rPr>
              <w:t>或市政公用工程施工总承包三级(含三级)以上资质</w:t>
            </w:r>
            <w:r>
              <w:rPr>
                <w:rFonts w:hint="eastAsia" w:hAnsi="宋体" w:cs="宋体"/>
                <w:color w:val="auto"/>
                <w:sz w:val="21"/>
                <w:szCs w:val="21"/>
                <w:highlight w:val="none"/>
              </w:rPr>
              <w:t>，</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公路工程专业贰级以上（含贰级）或市政公用工程贰级以上（含贰级）注册建造师资格及安全生产考核合格证（B证），为供应商的在岗人员，且未担任其他在建项目或已中标未开工项目或已列为项目第一中标候选人项目的项目经理。</w:t>
            </w:r>
          </w:p>
          <w:p w14:paraId="494CA76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1CBF02B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6D820B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735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7BAA080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4502A4C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1178FF0D">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69DD6080">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6CCBF2FA">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4738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036DF0A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2BB63A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08DF7520">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F9D0E4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393E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708F00B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391AA24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4DD144B4">
            <w:pPr>
              <w:pStyle w:val="10"/>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70459A55">
            <w:pPr>
              <w:pStyle w:val="10"/>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634C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56AC36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5BD6BB54">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57DD63D9">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1DCB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06706BC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21E2FC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1BFF3F22">
            <w:pPr>
              <w:pStyle w:val="15"/>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2A25BEA4">
            <w:pPr>
              <w:pStyle w:val="15"/>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050F5167">
            <w:pPr>
              <w:pStyle w:val="15"/>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37B29C42">
            <w:pPr>
              <w:pStyle w:val="15"/>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5A216086">
            <w:pPr>
              <w:pStyle w:val="15"/>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4D80D8A2">
            <w:pPr>
              <w:pStyle w:val="15"/>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6303A487">
            <w:pPr>
              <w:pStyle w:val="15"/>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143D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2BE6779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4385FF18">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06981A8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44D5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1A0059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1A870CC7">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4A01F7CC">
            <w:pPr>
              <w:pStyle w:val="15"/>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评标委员会构成：3人，其中采购单位委托代表1人，专家2人；</w:t>
            </w:r>
          </w:p>
          <w:p w14:paraId="488C2E3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0E9F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5B9BA80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7D8B3A0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613D7AE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65A7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244414F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62E4E1E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01BA5DA4">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1190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56D4A7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371B744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334792F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5BDEE8A6">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24CA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5" w:hRule="atLeast"/>
        </w:trPr>
        <w:tc>
          <w:tcPr>
            <w:tcW w:w="648" w:type="dxa"/>
            <w:tcBorders>
              <w:top w:val="single" w:color="auto" w:sz="4" w:space="0"/>
              <w:left w:val="single" w:color="auto" w:sz="4" w:space="0"/>
              <w:bottom w:val="single" w:color="auto" w:sz="4" w:space="0"/>
              <w:right w:val="single" w:color="auto" w:sz="4" w:space="0"/>
            </w:tcBorders>
            <w:vAlign w:val="center"/>
          </w:tcPr>
          <w:p w14:paraId="5CA9575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6789B92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29908DE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p w14:paraId="29A1432B">
            <w:pPr>
              <w:autoSpaceDE w:val="0"/>
              <w:autoSpaceDN w:val="0"/>
              <w:snapToGri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2A9A9773">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r>
              <w:rPr>
                <w:rFonts w:hint="eastAsia" w:ascii="宋体" w:hAnsi="宋体" w:cs="宋体"/>
                <w:b/>
                <w:color w:val="auto"/>
                <w:szCs w:val="21"/>
                <w:highlight w:val="none"/>
              </w:rPr>
              <w:t>（注：履约保证金不超过</w:t>
            </w:r>
            <w:r>
              <w:rPr>
                <w:rFonts w:hint="eastAsia"/>
                <w:b/>
                <w:color w:val="auto"/>
                <w:highlight w:val="none"/>
              </w:rPr>
              <w:t>政府采购合同金额的</w:t>
            </w:r>
            <w:r>
              <w:rPr>
                <w:rFonts w:ascii="宋体" w:hAnsi="宋体" w:cs="宋体"/>
                <w:b/>
                <w:color w:val="auto"/>
                <w:szCs w:val="21"/>
                <w:highlight w:val="none"/>
              </w:rPr>
              <w:t>5</w:t>
            </w:r>
            <w:r>
              <w:rPr>
                <w:rFonts w:hint="eastAsia" w:ascii="宋体" w:hAnsi="宋体" w:cs="宋体"/>
                <w:b/>
                <w:color w:val="auto"/>
                <w:szCs w:val="21"/>
                <w:highlight w:val="none"/>
              </w:rPr>
              <w:t>%，对中小企业收取的履约保证金数额不得超过政府采购合同金额的2%。采购人可根据供应商的资信等情况减免履约保证金。</w:t>
            </w:r>
            <w:r>
              <w:rPr>
                <w:rFonts w:hint="eastAsia" w:ascii="宋体" w:hAnsi="宋体" w:cs="宋体"/>
                <w:b/>
                <w:color w:val="auto"/>
                <w:szCs w:val="21"/>
                <w:highlight w:val="none"/>
                <w:lang w:eastAsia="zh-CN"/>
              </w:rPr>
              <w:t>项目审计结算后退还承包人</w:t>
            </w:r>
            <w:r>
              <w:rPr>
                <w:rFonts w:hint="eastAsia" w:ascii="宋体" w:hAnsi="宋体" w:cs="宋体"/>
                <w:b/>
                <w:color w:val="auto"/>
                <w:szCs w:val="21"/>
                <w:highlight w:val="none"/>
              </w:rPr>
              <w:t>）</w:t>
            </w:r>
          </w:p>
          <w:p w14:paraId="07B0CD8E">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履约保证金提交方式：银行转账、支票、汇票、本票或者银行、保险机构出具的保函、保险单等非现金方式。</w:t>
            </w:r>
          </w:p>
        </w:tc>
      </w:tr>
      <w:tr w14:paraId="3B50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048E8A1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6B54BFC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2D4E990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本项目采购预算价：</w:t>
            </w:r>
            <w:r>
              <w:rPr>
                <w:rFonts w:hint="eastAsia" w:ascii="宋体" w:hAnsi="宋体" w:cs="宋体"/>
                <w:color w:val="auto"/>
                <w:szCs w:val="21"/>
                <w:highlight w:val="none"/>
                <w:lang w:val="en-US" w:eastAsia="zh-CN"/>
              </w:rPr>
              <w:t>986675.14</w:t>
            </w:r>
            <w:r>
              <w:rPr>
                <w:rFonts w:hint="eastAsia" w:ascii="宋体" w:hAnsi="宋体" w:cs="宋体"/>
                <w:color w:val="auto"/>
                <w:szCs w:val="21"/>
                <w:highlight w:val="none"/>
              </w:rPr>
              <w:t>元</w:t>
            </w:r>
          </w:p>
        </w:tc>
      </w:tr>
      <w:tr w14:paraId="727A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17C47F4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6852F63E">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51BD9E9C">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348D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6F381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26C28C03">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1082117B">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广西荣胜项目管理有限公司</w:t>
            </w:r>
          </w:p>
          <w:p w14:paraId="68E54C9C">
            <w:pPr>
              <w:snapToGrid w:val="0"/>
              <w:spacing w:line="360" w:lineRule="auto"/>
              <w:rPr>
                <w:rFonts w:hint="eastAsia"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：0777-5512166</w:t>
            </w:r>
          </w:p>
          <w:p w14:paraId="3FB8EDF7">
            <w:pPr>
              <w:snapToGrid w:val="0"/>
              <w:spacing w:line="360" w:lineRule="auto"/>
              <w:rPr>
                <w:rFonts w:hint="eastAsia" w:hAnsi="宋体"/>
                <w:b/>
                <w:color w:val="auto"/>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rPr>
              <w:t>钦州市蓬莱大道鸿亭街333号皇庭天麓湖小区183栋203室</w:t>
            </w:r>
          </w:p>
        </w:tc>
      </w:tr>
      <w:tr w14:paraId="2E14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648" w:type="dxa"/>
            <w:tcBorders>
              <w:top w:val="single" w:color="auto" w:sz="4" w:space="0"/>
              <w:left w:val="single" w:color="auto" w:sz="4" w:space="0"/>
              <w:bottom w:val="single" w:color="auto" w:sz="4" w:space="0"/>
              <w:right w:val="single" w:color="auto" w:sz="4" w:space="0"/>
            </w:tcBorders>
            <w:vAlign w:val="center"/>
          </w:tcPr>
          <w:p w14:paraId="432828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76A6D39F">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79117724">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53CC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65985B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20F97FF5">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1EAE956D">
            <w:pPr>
              <w:pStyle w:val="15"/>
              <w:numPr>
                <w:ilvl w:val="0"/>
                <w:numId w:val="2"/>
              </w:numPr>
              <w:snapToGrid w:val="0"/>
              <w:spacing w:line="360" w:lineRule="auto"/>
              <w:rPr>
                <w:rFonts w:hint="eastAsia" w:hAnsi="宋体" w:cs="宋体"/>
                <w:color w:val="auto"/>
                <w:highlight w:val="none"/>
              </w:rPr>
            </w:pPr>
            <w:r>
              <w:rPr>
                <w:rFonts w:hint="eastAsia" w:hAnsi="宋体" w:cs="宋体"/>
                <w:color w:val="auto"/>
                <w:highlight w:val="none"/>
              </w:rPr>
              <w:t>代理服务费：按差额定率累进法，</w:t>
            </w:r>
            <w:bookmarkStart w:id="62" w:name="EBb4b2c6e8d5ff421f91b11f10eb342239"/>
            <w:r>
              <w:rPr>
                <w:rFonts w:hint="eastAsia" w:hAnsi="宋体" w:cs="宋体"/>
                <w:color w:val="auto"/>
                <w:highlight w:val="none"/>
              </w:rPr>
              <w:t>参照广西壮族自治区工程建设其他费用定额|桂建标〔2018〕37号收费标准（工程类型）</w:t>
            </w:r>
            <w:bookmarkEnd w:id="62"/>
            <w:r>
              <w:rPr>
                <w:rFonts w:hint="eastAsia" w:hAnsi="宋体" w:cs="宋体"/>
                <w:color w:val="auto"/>
                <w:highlight w:val="none"/>
              </w:rPr>
              <w:t>计算，按计费依据计费向成交人计取。成交人在领取成交通知书前，一次性向采购代理机构支付。</w:t>
            </w:r>
          </w:p>
          <w:p w14:paraId="2AA72BA6">
            <w:pPr>
              <w:pStyle w:val="15"/>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p>
          <w:p w14:paraId="6A4249DB">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广西荣胜项目管理有限公司灵山分公司</w:t>
            </w:r>
          </w:p>
          <w:p w14:paraId="0C184C80">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w:t>
            </w:r>
            <w:r>
              <w:rPr>
                <w:rFonts w:hint="eastAsia" w:hAnsi="宋体" w:cs="宋体"/>
                <w:color w:val="auto"/>
                <w:highlight w:val="none"/>
                <w:lang w:eastAsia="zh-CN"/>
              </w:rPr>
              <w:t>811712010121967396</w:t>
            </w:r>
          </w:p>
          <w:p w14:paraId="1B3B7A3B">
            <w:pPr>
              <w:pStyle w:val="15"/>
              <w:snapToGrid w:val="0"/>
              <w:spacing w:line="360" w:lineRule="auto"/>
              <w:rPr>
                <w:rFonts w:hint="eastAsia" w:hAnsi="宋体" w:eastAsia="宋体"/>
                <w:color w:val="auto"/>
                <w:highlight w:val="none"/>
                <w:lang w:eastAsia="zh-CN"/>
              </w:rPr>
            </w:pPr>
            <w:r>
              <w:rPr>
                <w:rFonts w:hint="eastAsia" w:hAnsi="宋体" w:cs="宋体"/>
                <w:color w:val="auto"/>
                <w:highlight w:val="none"/>
              </w:rPr>
              <w:t>开户行：</w:t>
            </w:r>
            <w:r>
              <w:rPr>
                <w:rFonts w:hint="eastAsia" w:hAnsi="宋体" w:cs="宋体"/>
                <w:color w:val="auto"/>
                <w:highlight w:val="none"/>
                <w:lang w:eastAsia="zh-CN"/>
              </w:rPr>
              <w:t>灵山县农村信用合作联社平山信用社</w:t>
            </w:r>
          </w:p>
        </w:tc>
      </w:tr>
      <w:tr w14:paraId="285E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795159A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40E85758">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2C6BAD80">
            <w:pPr>
              <w:pStyle w:val="15"/>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39EBDBDF">
            <w:pPr>
              <w:pStyle w:val="15"/>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5AEC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63A832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1DC6BB8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6C13DDC9">
            <w:pPr>
              <w:pStyle w:val="15"/>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1306260">
            <w:pPr>
              <w:pStyle w:val="15"/>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483AEE8B">
            <w:pPr>
              <w:pStyle w:val="15"/>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7DE1308">
            <w:pPr>
              <w:pStyle w:val="15"/>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3D8CC6CA">
            <w:pPr>
              <w:pStyle w:val="15"/>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5CB305A7">
            <w:pPr>
              <w:pStyle w:val="15"/>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5605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47EC3CA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4CE0613C">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56FF10F7">
            <w:pPr>
              <w:pStyle w:val="15"/>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123AA93A">
            <w:pPr>
              <w:pStyle w:val="15"/>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6F7AD336">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4607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30F883C4">
            <w:pPr>
              <w:spacing w:line="360" w:lineRule="auto"/>
              <w:jc w:val="center"/>
              <w:rPr>
                <w:rFonts w:hint="eastAsia" w:ascii="宋体" w:hAnsi="宋体" w:cs="宋体"/>
                <w:color w:val="auto"/>
                <w:szCs w:val="21"/>
                <w:highlight w:val="none"/>
              </w:rPr>
            </w:pPr>
            <w:bookmarkStart w:id="63" w:name="_Toc8441"/>
            <w:bookmarkStart w:id="64" w:name="_Toc16298"/>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48E3D55D">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677D1E7C">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24642237">
      <w:pPr>
        <w:rPr>
          <w:color w:val="auto"/>
          <w:highlight w:val="none"/>
        </w:rPr>
      </w:pPr>
    </w:p>
    <w:p w14:paraId="30814FE1">
      <w:pPr>
        <w:pStyle w:val="2"/>
        <w:ind w:left="420"/>
        <w:rPr>
          <w:color w:val="auto"/>
          <w:highlight w:val="none"/>
        </w:rPr>
      </w:pPr>
    </w:p>
    <w:p w14:paraId="6BE2318B">
      <w:pPr>
        <w:pStyle w:val="3"/>
        <w:spacing w:before="156" w:beforeLines="50" w:after="0" w:line="600" w:lineRule="exact"/>
        <w:jc w:val="center"/>
        <w:rPr>
          <w:rFonts w:hint="eastAsia" w:ascii="宋体" w:hAnsi="宋体" w:cs="宋体"/>
          <w:bCs w:val="0"/>
          <w:color w:val="auto"/>
          <w:sz w:val="32"/>
          <w:szCs w:val="32"/>
          <w:highlight w:val="none"/>
        </w:rPr>
      </w:pPr>
    </w:p>
    <w:p w14:paraId="5F939449">
      <w:pPr>
        <w:rPr>
          <w:color w:val="auto"/>
          <w:highlight w:val="none"/>
        </w:rPr>
        <w:sectPr>
          <w:pgSz w:w="11906" w:h="16838"/>
          <w:pgMar w:top="1247" w:right="1417" w:bottom="1247" w:left="1417" w:header="851" w:footer="992" w:gutter="0"/>
          <w:cols w:space="0" w:num="1"/>
          <w:docGrid w:type="lines" w:linePitch="312" w:charSpace="0"/>
        </w:sectPr>
      </w:pPr>
    </w:p>
    <w:p w14:paraId="3BAC98D9">
      <w:pPr>
        <w:pStyle w:val="3"/>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3"/>
      <w:bookmarkEnd w:id="64"/>
    </w:p>
    <w:p w14:paraId="67709EFC">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669027C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353BFC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EF1537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0B1BE71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487CC5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759E8F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5F046BC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47A6EA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69843E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114CE2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4DA470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388D8B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291CE9E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554573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47533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7F5531D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026691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33F9E6A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15116F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8F631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77DEFD1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40A06E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65CDCD4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2348E49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3E75B5B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44C81C6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4BF71BE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61F617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38DE44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41F7D8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5C469C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BE43B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DB973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E856E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0FF891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DEB27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14F26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648267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79C50C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177D1B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589AD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DD4BA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650DCD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5D8972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7D0860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55B9A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64E0D0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5B5690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2F6FD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8718E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376F30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3FA720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0986DE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1600C448">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3676BC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435B24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1B0440C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0D35F1FB">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6990DB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广西荣胜项目管理有限公司和采购人就有关磋商的所有来往函电均应使用中文。供应商提交的支持文件和印刷的文献可以使用别的语言，但其相应内容必须附有中文翻译文本，在解释竞争性磋商响应文件时以翻译文本为准。</w:t>
      </w:r>
    </w:p>
    <w:p w14:paraId="7552510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71FBD81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659D63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61FAAB00">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687EF743">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69E0C47E">
      <w:pPr>
        <w:pStyle w:val="1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6EDEF8F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7B027B8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294A4C8E">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w:t>
      </w:r>
      <w:r>
        <w:rPr>
          <w:rFonts w:hint="eastAsia" w:ascii="宋体" w:hAnsi="宋体" w:cs="宋体"/>
          <w:bCs/>
          <w:color w:val="auto"/>
          <w:szCs w:val="21"/>
          <w:highlight w:val="none"/>
          <w:lang w:val="en-US" w:eastAsia="zh-CN"/>
        </w:rPr>
        <w:t>2024或2025年度</w:t>
      </w:r>
      <w:r>
        <w:rPr>
          <w:rFonts w:hint="eastAsia" w:ascii="宋体" w:hAnsi="宋体" w:cs="宋体"/>
          <w:bCs/>
          <w:color w:val="auto"/>
          <w:szCs w:val="21"/>
          <w:highlight w:val="none"/>
        </w:rPr>
        <w:t>]财务状况报告复印件；供应商成立不满一年的应按提供截标之日上一个月的财务状况报告复印件。</w:t>
      </w:r>
    </w:p>
    <w:p w14:paraId="22679AF6">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7BB08BC2">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4AE20169">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3EEE7AC0">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5DE7F988">
      <w:pPr>
        <w:spacing w:line="360" w:lineRule="auto"/>
        <w:ind w:firstLine="420" w:firstLineChars="200"/>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）本项目的特定资格</w:t>
      </w:r>
      <w:r>
        <w:rPr>
          <w:rFonts w:hint="eastAsia" w:ascii="宋体" w:hAnsi="宋体" w:cs="宋体"/>
          <w:bCs/>
          <w:color w:val="000000" w:themeColor="text1"/>
          <w:szCs w:val="21"/>
          <w:highlight w:val="none"/>
          <w14:textFill>
            <w14:solidFill>
              <w14:schemeClr w14:val="tx1"/>
            </w14:solidFill>
          </w14:textFill>
        </w:rPr>
        <w:t>要求：（1）本项目供应商企业资质要求具备公路工程施工总承包三级(含三级)以上资质</w:t>
      </w:r>
      <w:r>
        <w:rPr>
          <w:rFonts w:hint="eastAsia" w:ascii="宋体" w:hAnsi="宋体" w:cs="宋体"/>
          <w:bCs/>
          <w:color w:val="000000" w:themeColor="text1"/>
          <w:szCs w:val="21"/>
          <w:highlight w:val="none"/>
          <w:lang w:eastAsia="zh-CN"/>
          <w14:textFill>
            <w14:solidFill>
              <w14:schemeClr w14:val="tx1"/>
            </w14:solidFill>
          </w14:textFill>
        </w:rPr>
        <w:t>或市政公用工程施工总承包三级(含三级)以上资质</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eastAsia="zh-CN"/>
          <w14:textFill>
            <w14:solidFill>
              <w14:schemeClr w14:val="tx1"/>
            </w14:solidFill>
          </w14:textFill>
        </w:rPr>
        <w:t>且</w:t>
      </w:r>
      <w:r>
        <w:rPr>
          <w:rFonts w:hint="eastAsia" w:ascii="宋体" w:hAnsi="宋体" w:cs="宋体"/>
          <w:bCs/>
          <w:color w:val="000000" w:themeColor="text1"/>
          <w:szCs w:val="21"/>
          <w:highlight w:val="none"/>
          <w14:textFill>
            <w14:solidFill>
              <w14:schemeClr w14:val="tx1"/>
            </w14:solidFill>
          </w14:textFill>
        </w:rPr>
        <w:t>具备省级及以上建设行政主管部门颁发的安全生产许可证。并在人员、设备、资金等方面具有相应的施工能力；</w:t>
      </w:r>
      <w:r>
        <w:rPr>
          <w:rFonts w:hint="eastAsia" w:ascii="宋体" w:hAnsi="宋体" w:cs="宋体"/>
          <w:bCs/>
          <w:color w:val="000000" w:themeColor="text1"/>
          <w:szCs w:val="21"/>
          <w:highlight w:val="none"/>
          <w14:textFill>
            <w14:solidFill>
              <w14:schemeClr w14:val="tx1"/>
            </w14:solidFill>
          </w14:textFill>
        </w:rPr>
        <w:br w:type="textWrapping"/>
      </w:r>
      <w:r>
        <w:rPr>
          <w:rFonts w:hint="eastAsia" w:ascii="宋体" w:hAnsi="宋体" w:cs="宋体"/>
          <w:bCs/>
          <w:color w:val="000000" w:themeColor="text1"/>
          <w:szCs w:val="21"/>
          <w:highlight w:val="none"/>
          <w14:textFill>
            <w14:solidFill>
              <w14:schemeClr w14:val="tx1"/>
            </w14:solidFill>
          </w14:textFill>
        </w:rPr>
        <w:t xml:space="preserve">    （2）拟投入本工程的项目经理必须具有公路工程专业贰级以上（含贰级）或市政公用工程贰级以上（含贰级）注册建造师资格及安全生产考核合格证（B证），为供应商的在岗人员，且未担任其他在建项目或已中标未开工项目或已列为项目第一中标候选人项目的项目经理</w:t>
      </w:r>
      <w:r>
        <w:rPr>
          <w:rFonts w:hint="eastAsia" w:ascii="宋体" w:hAnsi="宋体" w:cs="宋体"/>
          <w:color w:val="000000" w:themeColor="text1"/>
          <w:szCs w:val="21"/>
          <w:highlight w:val="none"/>
          <w:lang w:eastAsia="zh-CN"/>
          <w14:textFill>
            <w14:solidFill>
              <w14:schemeClr w14:val="tx1"/>
            </w14:solidFill>
          </w14:textFill>
        </w:rPr>
        <w:t>。</w:t>
      </w:r>
    </w:p>
    <w:p w14:paraId="275CB1D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）供应商针对资格证明需要说明的其他证明文件和说明。（格式自拟）</w:t>
      </w:r>
    </w:p>
    <w:p w14:paraId="2A1E8FD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7181210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01DD7918">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287B35F5">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19D1C03D">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1EC8B28A">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14760B76">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0FA2719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65ED0293">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5088B53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279DDE52">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6E66BE9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76AB6A2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2914EB6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2298C5E3">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59EC50A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59DF29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615759D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6F1E35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74EB797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089F63A3">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65BE078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4632CEE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26387B7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5FE54E4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7AF8257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1CC36C1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1016075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3823964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4848F2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318017D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1A1E9AD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23273C3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333DEB7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697EF3C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465AA79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1EDCB3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3DA9AC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4470BE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3457778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1A9091C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3735CA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25B4BAB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216B889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35641D1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CBBD39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2CB12D7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2429C70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71C55C7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3B7923E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3163840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51CCC6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37FA34C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14C73C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3A5AEB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4CF622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198868F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212F93D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3946625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5C384E6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7725476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6C30D6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289F847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0AAAAEB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16.9对磋商过程提交的响应文件进行有效性、完整性和响应程度审查，通过审查的合格供应商不足3家的，除本须知正文第16.8条的情形外，采购人或采购代理机构应当重新开展采购活动。</w:t>
      </w:r>
    </w:p>
    <w:p w14:paraId="50FD6D4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16.10本项目所有响应文件的首次报价及所有磋商报价均不公布。最后磋商结束后，磋商小组不得再与供应商进行任何形式的商谈。</w:t>
      </w:r>
    </w:p>
    <w:p w14:paraId="2555617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57888F3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2CEBC07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6B42B27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78C5BCB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54E5ED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3CCC88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3236006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5CB9E74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62E963C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2EA6C2B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4E8870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635744E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25FC657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5ECE05A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20BC066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684E675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22E08C1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1B6A38E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5514B4E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166CDF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69C16CF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3C7D2CF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2932202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030727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48E6B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26B0259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4E9F95A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5B3C380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303E25A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5B3771F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791B61E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2A87A0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30290B1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319B2E5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94DE0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BAF41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D66258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52B9EB74">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418AAB7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7FE0C466">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6CDB8AE4">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3D6C473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7DF3C7B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0C428C8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016F6D4">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3C081BA7">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1E199A3B">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573E84A0">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1472DB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15483F8E">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按差额定率累进法，参照广西壮族自治区工程建设其他费用定额|桂建标〔2018〕37号收费标准（工程类型）计算，按计费依据计费向成交人计取。成交人在领取成交通知书前，一次性向采购代理机构支付。</w:t>
      </w:r>
    </w:p>
    <w:p w14:paraId="0FBAF90A">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12F0AEEE">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开户名称：</w:t>
      </w:r>
      <w:r>
        <w:rPr>
          <w:rFonts w:hint="eastAsia" w:hAnsi="宋体" w:cs="宋体"/>
          <w:color w:val="auto"/>
          <w:highlight w:val="none"/>
          <w:lang w:eastAsia="zh-CN"/>
        </w:rPr>
        <w:t>广西荣胜项目管理有限公司灵山分公司</w:t>
      </w:r>
    </w:p>
    <w:p w14:paraId="3673A013">
      <w:pPr>
        <w:pStyle w:val="15"/>
        <w:snapToGrid w:val="0"/>
        <w:spacing w:line="360" w:lineRule="auto"/>
        <w:rPr>
          <w:rFonts w:hint="eastAsia" w:hAnsi="宋体" w:eastAsia="宋体" w:cs="宋体"/>
          <w:color w:val="auto"/>
          <w:highlight w:val="none"/>
          <w:lang w:eastAsia="zh-CN"/>
        </w:rPr>
      </w:pPr>
      <w:r>
        <w:rPr>
          <w:rFonts w:hint="eastAsia" w:hAnsi="宋体" w:cs="宋体"/>
          <w:color w:val="auto"/>
          <w:highlight w:val="none"/>
        </w:rPr>
        <w:t>账  号：</w:t>
      </w:r>
      <w:r>
        <w:rPr>
          <w:rFonts w:hint="eastAsia" w:hAnsi="宋体" w:cs="宋体"/>
          <w:color w:val="auto"/>
          <w:highlight w:val="none"/>
          <w:lang w:eastAsia="zh-CN"/>
        </w:rPr>
        <w:t>811712010121967396</w:t>
      </w:r>
    </w:p>
    <w:p w14:paraId="0CD0DAE9">
      <w:pPr>
        <w:pStyle w:val="15"/>
        <w:snapToGrid w:val="0"/>
        <w:spacing w:line="360" w:lineRule="auto"/>
        <w:rPr>
          <w:rFonts w:hint="eastAsia" w:hAnsi="宋体" w:eastAsia="宋体" w:cs="宋体"/>
          <w:color w:val="auto"/>
          <w:szCs w:val="24"/>
          <w:highlight w:val="none"/>
          <w:lang w:eastAsia="zh-CN"/>
        </w:rPr>
      </w:pPr>
      <w:r>
        <w:rPr>
          <w:rFonts w:hint="eastAsia" w:hAnsi="宋体" w:cs="宋体"/>
          <w:color w:val="auto"/>
          <w:highlight w:val="none"/>
        </w:rPr>
        <w:t>开户行：</w:t>
      </w:r>
      <w:r>
        <w:rPr>
          <w:rFonts w:hint="eastAsia" w:hAnsi="宋体" w:cs="宋体"/>
          <w:color w:val="auto"/>
          <w:highlight w:val="none"/>
          <w:lang w:eastAsia="zh-CN"/>
        </w:rPr>
        <w:t>灵山县农村信用合作联社平山信用社</w:t>
      </w:r>
    </w:p>
    <w:p w14:paraId="771D6022">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代理服务费收费计算标准：</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2"/>
        <w:gridCol w:w="2111"/>
        <w:gridCol w:w="2111"/>
        <w:gridCol w:w="2112"/>
      </w:tblGrid>
      <w:tr w14:paraId="5117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vMerge w:val="restart"/>
            <w:noWrap w:val="0"/>
            <w:vAlign w:val="top"/>
          </w:tcPr>
          <w:p w14:paraId="39D0FF0A">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费用（万元）</w:t>
            </w:r>
          </w:p>
        </w:tc>
        <w:tc>
          <w:tcPr>
            <w:tcW w:w="6334" w:type="dxa"/>
            <w:gridSpan w:val="3"/>
            <w:noWrap w:val="0"/>
            <w:vAlign w:val="top"/>
          </w:tcPr>
          <w:p w14:paraId="296D6397">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服务类型费率（‰）</w:t>
            </w:r>
          </w:p>
        </w:tc>
      </w:tr>
      <w:tr w14:paraId="05C9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2182" w:type="dxa"/>
            <w:vMerge w:val="continue"/>
            <w:noWrap w:val="0"/>
            <w:vAlign w:val="top"/>
          </w:tcPr>
          <w:p w14:paraId="7456F8D3">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p>
        </w:tc>
        <w:tc>
          <w:tcPr>
            <w:tcW w:w="2111" w:type="dxa"/>
            <w:noWrap w:val="0"/>
            <w:vAlign w:val="top"/>
          </w:tcPr>
          <w:p w14:paraId="5D3573FC">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工程招标</w:t>
            </w:r>
          </w:p>
        </w:tc>
        <w:tc>
          <w:tcPr>
            <w:tcW w:w="2111" w:type="dxa"/>
            <w:noWrap w:val="0"/>
            <w:vAlign w:val="top"/>
          </w:tcPr>
          <w:p w14:paraId="7C7A2F2F">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货物招标</w:t>
            </w:r>
          </w:p>
        </w:tc>
        <w:tc>
          <w:tcPr>
            <w:tcW w:w="2112" w:type="dxa"/>
            <w:noWrap w:val="0"/>
            <w:vAlign w:val="top"/>
          </w:tcPr>
          <w:p w14:paraId="5E7EB3B6">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服务招标</w:t>
            </w:r>
          </w:p>
        </w:tc>
      </w:tr>
      <w:tr w14:paraId="0F9C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182" w:type="dxa"/>
            <w:noWrap w:val="0"/>
            <w:vAlign w:val="top"/>
          </w:tcPr>
          <w:p w14:paraId="2E5EF89C">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100以下</w:t>
            </w:r>
          </w:p>
        </w:tc>
        <w:tc>
          <w:tcPr>
            <w:tcW w:w="2111" w:type="dxa"/>
            <w:noWrap w:val="0"/>
            <w:vAlign w:val="top"/>
          </w:tcPr>
          <w:p w14:paraId="1F2744BA">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6.300</w:t>
            </w:r>
          </w:p>
        </w:tc>
        <w:tc>
          <w:tcPr>
            <w:tcW w:w="2111" w:type="dxa"/>
            <w:noWrap w:val="0"/>
            <w:vAlign w:val="top"/>
          </w:tcPr>
          <w:p w14:paraId="7D803A92">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9.450</w:t>
            </w:r>
          </w:p>
        </w:tc>
        <w:tc>
          <w:tcPr>
            <w:tcW w:w="2112" w:type="dxa"/>
            <w:noWrap w:val="0"/>
            <w:vAlign w:val="top"/>
          </w:tcPr>
          <w:p w14:paraId="5955C790">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9.450</w:t>
            </w:r>
          </w:p>
        </w:tc>
      </w:tr>
      <w:tr w14:paraId="4EF7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528560BF">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100~500</w:t>
            </w:r>
          </w:p>
        </w:tc>
        <w:tc>
          <w:tcPr>
            <w:tcW w:w="2111" w:type="dxa"/>
            <w:noWrap w:val="0"/>
            <w:vAlign w:val="top"/>
          </w:tcPr>
          <w:p w14:paraId="3E60DC0B">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4.410</w:t>
            </w:r>
          </w:p>
        </w:tc>
        <w:tc>
          <w:tcPr>
            <w:tcW w:w="2111" w:type="dxa"/>
            <w:noWrap w:val="0"/>
            <w:vAlign w:val="top"/>
          </w:tcPr>
          <w:p w14:paraId="6804819C">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6.930</w:t>
            </w:r>
          </w:p>
        </w:tc>
        <w:tc>
          <w:tcPr>
            <w:tcW w:w="2112" w:type="dxa"/>
            <w:noWrap w:val="0"/>
            <w:vAlign w:val="top"/>
          </w:tcPr>
          <w:p w14:paraId="6EDCB57D">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5.040</w:t>
            </w:r>
          </w:p>
        </w:tc>
      </w:tr>
      <w:tr w14:paraId="6928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57BA8D57">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500~1000</w:t>
            </w:r>
          </w:p>
        </w:tc>
        <w:tc>
          <w:tcPr>
            <w:tcW w:w="2111" w:type="dxa"/>
            <w:noWrap w:val="0"/>
            <w:vAlign w:val="top"/>
          </w:tcPr>
          <w:p w14:paraId="06D78ACB">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3.465</w:t>
            </w:r>
          </w:p>
        </w:tc>
        <w:tc>
          <w:tcPr>
            <w:tcW w:w="2111" w:type="dxa"/>
            <w:noWrap w:val="0"/>
            <w:vAlign w:val="top"/>
          </w:tcPr>
          <w:p w14:paraId="438462F2">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5.040</w:t>
            </w:r>
          </w:p>
        </w:tc>
        <w:tc>
          <w:tcPr>
            <w:tcW w:w="2112" w:type="dxa"/>
            <w:noWrap w:val="0"/>
            <w:vAlign w:val="top"/>
          </w:tcPr>
          <w:p w14:paraId="435B65EF">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2.835</w:t>
            </w:r>
          </w:p>
        </w:tc>
      </w:tr>
      <w:tr w14:paraId="1882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635858FC">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1000~5000</w:t>
            </w:r>
          </w:p>
        </w:tc>
        <w:tc>
          <w:tcPr>
            <w:tcW w:w="2111" w:type="dxa"/>
            <w:noWrap w:val="0"/>
            <w:vAlign w:val="top"/>
          </w:tcPr>
          <w:p w14:paraId="2C024B8C">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2.205</w:t>
            </w:r>
          </w:p>
        </w:tc>
        <w:tc>
          <w:tcPr>
            <w:tcW w:w="2111" w:type="dxa"/>
            <w:noWrap w:val="0"/>
            <w:vAlign w:val="top"/>
          </w:tcPr>
          <w:p w14:paraId="0654C399">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3.150</w:t>
            </w:r>
          </w:p>
        </w:tc>
        <w:tc>
          <w:tcPr>
            <w:tcW w:w="2112" w:type="dxa"/>
            <w:noWrap w:val="0"/>
            <w:vAlign w:val="top"/>
          </w:tcPr>
          <w:p w14:paraId="54462EF4">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1.575</w:t>
            </w:r>
          </w:p>
        </w:tc>
      </w:tr>
      <w:tr w14:paraId="1273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693D9E96">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5000~10000</w:t>
            </w:r>
          </w:p>
        </w:tc>
        <w:tc>
          <w:tcPr>
            <w:tcW w:w="2111" w:type="dxa"/>
            <w:noWrap w:val="0"/>
            <w:vAlign w:val="top"/>
          </w:tcPr>
          <w:p w14:paraId="30265A5B">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1.260</w:t>
            </w:r>
          </w:p>
        </w:tc>
        <w:tc>
          <w:tcPr>
            <w:tcW w:w="2111" w:type="dxa"/>
            <w:noWrap w:val="0"/>
            <w:vAlign w:val="top"/>
          </w:tcPr>
          <w:p w14:paraId="7ABF9BD0">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1.575</w:t>
            </w:r>
          </w:p>
        </w:tc>
        <w:tc>
          <w:tcPr>
            <w:tcW w:w="2112" w:type="dxa"/>
            <w:noWrap w:val="0"/>
            <w:vAlign w:val="top"/>
          </w:tcPr>
          <w:p w14:paraId="26373871">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0.630</w:t>
            </w:r>
          </w:p>
        </w:tc>
      </w:tr>
      <w:tr w14:paraId="6BD1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74263FD4">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10000~50000</w:t>
            </w:r>
          </w:p>
        </w:tc>
        <w:tc>
          <w:tcPr>
            <w:tcW w:w="2111" w:type="dxa"/>
            <w:noWrap w:val="0"/>
            <w:vAlign w:val="top"/>
          </w:tcPr>
          <w:p w14:paraId="2FBE28A2">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0.315</w:t>
            </w:r>
          </w:p>
        </w:tc>
        <w:tc>
          <w:tcPr>
            <w:tcW w:w="2111" w:type="dxa"/>
            <w:noWrap w:val="0"/>
            <w:vAlign w:val="top"/>
          </w:tcPr>
          <w:p w14:paraId="2CEE3EC4">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0.315</w:t>
            </w:r>
          </w:p>
        </w:tc>
        <w:tc>
          <w:tcPr>
            <w:tcW w:w="2112" w:type="dxa"/>
            <w:noWrap w:val="0"/>
            <w:vAlign w:val="top"/>
          </w:tcPr>
          <w:p w14:paraId="15E8A073">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0.315</w:t>
            </w:r>
          </w:p>
        </w:tc>
      </w:tr>
      <w:tr w14:paraId="2D41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0A26E43B">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50000~100000</w:t>
            </w:r>
          </w:p>
        </w:tc>
        <w:tc>
          <w:tcPr>
            <w:tcW w:w="2111" w:type="dxa"/>
            <w:noWrap w:val="0"/>
            <w:vAlign w:val="top"/>
          </w:tcPr>
          <w:p w14:paraId="0BABAAC1">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0.221</w:t>
            </w:r>
          </w:p>
        </w:tc>
        <w:tc>
          <w:tcPr>
            <w:tcW w:w="2111" w:type="dxa"/>
            <w:noWrap w:val="0"/>
            <w:vAlign w:val="top"/>
          </w:tcPr>
          <w:p w14:paraId="48569069">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0.221</w:t>
            </w:r>
          </w:p>
        </w:tc>
        <w:tc>
          <w:tcPr>
            <w:tcW w:w="2112" w:type="dxa"/>
            <w:noWrap w:val="0"/>
            <w:vAlign w:val="top"/>
          </w:tcPr>
          <w:p w14:paraId="79933149">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0.221</w:t>
            </w:r>
          </w:p>
        </w:tc>
      </w:tr>
      <w:tr w14:paraId="14E6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15B20439">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100000~500000</w:t>
            </w:r>
          </w:p>
        </w:tc>
        <w:tc>
          <w:tcPr>
            <w:tcW w:w="2111" w:type="dxa"/>
            <w:noWrap w:val="0"/>
            <w:vAlign w:val="top"/>
          </w:tcPr>
          <w:p w14:paraId="34721710">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0.050</w:t>
            </w:r>
          </w:p>
        </w:tc>
        <w:tc>
          <w:tcPr>
            <w:tcW w:w="2111" w:type="dxa"/>
            <w:noWrap w:val="0"/>
            <w:vAlign w:val="top"/>
          </w:tcPr>
          <w:p w14:paraId="7C7D08AF">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0.050</w:t>
            </w:r>
          </w:p>
        </w:tc>
        <w:tc>
          <w:tcPr>
            <w:tcW w:w="2112" w:type="dxa"/>
            <w:noWrap w:val="0"/>
            <w:vAlign w:val="top"/>
          </w:tcPr>
          <w:p w14:paraId="326E413A">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0.050</w:t>
            </w:r>
          </w:p>
        </w:tc>
      </w:tr>
      <w:tr w14:paraId="22BC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61F17292">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500000~1000000</w:t>
            </w:r>
          </w:p>
        </w:tc>
        <w:tc>
          <w:tcPr>
            <w:tcW w:w="2111" w:type="dxa"/>
            <w:noWrap w:val="0"/>
            <w:vAlign w:val="top"/>
          </w:tcPr>
          <w:p w14:paraId="2EB02ED7">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0.038</w:t>
            </w:r>
          </w:p>
        </w:tc>
        <w:tc>
          <w:tcPr>
            <w:tcW w:w="2111" w:type="dxa"/>
            <w:noWrap w:val="0"/>
            <w:vAlign w:val="top"/>
          </w:tcPr>
          <w:p w14:paraId="477470F6">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0.038</w:t>
            </w:r>
          </w:p>
        </w:tc>
        <w:tc>
          <w:tcPr>
            <w:tcW w:w="2112" w:type="dxa"/>
            <w:noWrap w:val="0"/>
            <w:vAlign w:val="top"/>
          </w:tcPr>
          <w:p w14:paraId="5B712983">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0.038</w:t>
            </w:r>
          </w:p>
        </w:tc>
      </w:tr>
      <w:tr w14:paraId="0874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2" w:type="dxa"/>
            <w:noWrap w:val="0"/>
            <w:vAlign w:val="top"/>
          </w:tcPr>
          <w:p w14:paraId="1CCD6BED">
            <w:pPr>
              <w:spacing w:before="62" w:beforeLines="20" w:after="31" w:afterLines="10" w:line="560" w:lineRule="exact"/>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lang w:val="en-US" w:eastAsia="zh-CN"/>
              </w:rPr>
              <w:t>1000000以上</w:t>
            </w:r>
          </w:p>
        </w:tc>
        <w:tc>
          <w:tcPr>
            <w:tcW w:w="2111" w:type="dxa"/>
            <w:noWrap w:val="0"/>
            <w:vAlign w:val="top"/>
          </w:tcPr>
          <w:p w14:paraId="7FE07A41">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0.025</w:t>
            </w:r>
          </w:p>
        </w:tc>
        <w:tc>
          <w:tcPr>
            <w:tcW w:w="2111" w:type="dxa"/>
            <w:noWrap w:val="0"/>
            <w:vAlign w:val="top"/>
          </w:tcPr>
          <w:p w14:paraId="6A5E5068">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0.025</w:t>
            </w:r>
          </w:p>
        </w:tc>
        <w:tc>
          <w:tcPr>
            <w:tcW w:w="2112" w:type="dxa"/>
            <w:noWrap w:val="0"/>
            <w:vAlign w:val="top"/>
          </w:tcPr>
          <w:p w14:paraId="78F060B2">
            <w:pPr>
              <w:pStyle w:val="4"/>
              <w:jc w:val="center"/>
              <w:rPr>
                <w:rFonts w:hint="eastAsia" w:asciiTheme="minorEastAsia" w:hAnsiTheme="minorEastAsia" w:eastAsiaTheme="minorEastAsia" w:cstheme="minorEastAsia"/>
                <w:b w:val="0"/>
                <w:bCs w:val="0"/>
                <w:kern w:val="2"/>
                <w:sz w:val="21"/>
                <w:szCs w:val="21"/>
                <w:highlight w:val="none"/>
                <w:lang w:val="en-US" w:eastAsia="zh-CN" w:bidi="ar-SA"/>
              </w:rPr>
            </w:pPr>
            <w:r>
              <w:rPr>
                <w:rFonts w:hint="eastAsia" w:asciiTheme="minorEastAsia" w:hAnsiTheme="minorEastAsia" w:eastAsiaTheme="minorEastAsia" w:cstheme="minorEastAsia"/>
                <w:b w:val="0"/>
                <w:bCs w:val="0"/>
                <w:kern w:val="2"/>
                <w:sz w:val="21"/>
                <w:szCs w:val="21"/>
                <w:highlight w:val="none"/>
                <w:lang w:val="en-US" w:eastAsia="zh-CN" w:bidi="ar-SA"/>
              </w:rPr>
              <w:t>0.025</w:t>
            </w:r>
          </w:p>
        </w:tc>
      </w:tr>
    </w:tbl>
    <w:p w14:paraId="51EEA91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注：招标代理服务收费按差额定率累进法计算。</w:t>
      </w:r>
    </w:p>
    <w:p w14:paraId="4BD9ED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0287F41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34ABA2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378885D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0B829E6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2D03E2C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0920EF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4F97767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00A8C36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655CBF7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32297CB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7CA33B6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1D2B73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26EC8B3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5BA46DE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4E18287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0FD5C51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16F5AA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698CEAD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5E190F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0268BE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07666C6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7F586D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7E75602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77F6BE1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4FE65C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通讯地址：钦州市蓬莱大道鸿亭街333号皇庭天麓湖小区183栋203室</w:t>
      </w:r>
    </w:p>
    <w:p w14:paraId="5374C2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电话：0777-5512166</w:t>
      </w:r>
    </w:p>
    <w:p w14:paraId="414726A1">
      <w:pPr>
        <w:spacing w:line="360" w:lineRule="auto"/>
        <w:ind w:firstLine="420" w:firstLineChars="200"/>
        <w:rPr>
          <w:rFonts w:hint="eastAsia" w:ascii="宋体" w:hAnsi="宋体" w:cs="宋体"/>
          <w:bCs/>
          <w:color w:val="auto"/>
          <w:szCs w:val="21"/>
          <w:highlight w:val="none"/>
        </w:rPr>
      </w:pPr>
    </w:p>
    <w:p w14:paraId="61A1B764">
      <w:pPr>
        <w:pStyle w:val="2"/>
        <w:ind w:left="420"/>
        <w:rPr>
          <w:rFonts w:hint="eastAsia" w:ascii="宋体" w:hAnsi="宋体" w:cs="宋体"/>
          <w:bCs/>
          <w:color w:val="auto"/>
          <w:szCs w:val="21"/>
          <w:highlight w:val="none"/>
        </w:rPr>
      </w:pPr>
    </w:p>
    <w:p w14:paraId="2F435F8A">
      <w:pPr>
        <w:jc w:val="center"/>
        <w:outlineLvl w:val="0"/>
        <w:rPr>
          <w:rFonts w:hint="eastAsia" w:ascii="宋体" w:hAnsi="宋体" w:cs="宋体"/>
          <w:b/>
          <w:bCs/>
          <w:color w:val="auto"/>
          <w:kern w:val="0"/>
          <w:sz w:val="36"/>
          <w:szCs w:val="36"/>
          <w:highlight w:val="none"/>
        </w:rPr>
      </w:pPr>
      <w:bookmarkStart w:id="65" w:name="_Toc26558"/>
      <w:r>
        <w:rPr>
          <w:rFonts w:hint="eastAsia" w:ascii="宋体" w:hAnsi="宋体" w:cs="宋体"/>
          <w:b/>
          <w:bCs/>
          <w:color w:val="auto"/>
          <w:kern w:val="0"/>
          <w:sz w:val="36"/>
          <w:szCs w:val="36"/>
          <w:highlight w:val="none"/>
        </w:rPr>
        <w:t>第三章  项目基本情况及要求</w:t>
      </w:r>
      <w:bookmarkEnd w:id="65"/>
    </w:p>
    <w:p w14:paraId="46B4F76A">
      <w:pPr>
        <w:pStyle w:val="47"/>
        <w:ind w:firstLine="845"/>
        <w:rPr>
          <w:color w:val="auto"/>
          <w:spacing w:val="0"/>
          <w:highlight w:val="none"/>
        </w:rPr>
      </w:pPr>
    </w:p>
    <w:p w14:paraId="278485E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221109E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02B6358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2330DFA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2501C2F3">
      <w:pPr>
        <w:spacing w:line="360" w:lineRule="auto"/>
        <w:ind w:firstLine="424" w:firstLineChars="202"/>
        <w:jc w:val="left"/>
        <w:rPr>
          <w:rFonts w:hint="eastAsia" w:ascii="宋体" w:hAnsi="宋体" w:cs="宋体"/>
          <w:color w:val="auto"/>
          <w:szCs w:val="21"/>
          <w:highlight w:val="none"/>
        </w:rPr>
      </w:pPr>
      <w:bookmarkStart w:id="66" w:name="_Toc20069"/>
      <w:r>
        <w:rPr>
          <w:rFonts w:hint="eastAsia" w:ascii="宋体" w:hAnsi="宋体" w:cs="宋体"/>
          <w:color w:val="auto"/>
          <w:szCs w:val="21"/>
          <w:highlight w:val="none"/>
        </w:rPr>
        <w:t>4、采购范围详见：工程量清单及图纸（另册）。</w:t>
      </w:r>
    </w:p>
    <w:p w14:paraId="4FA09940">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▲5、商务条款：</w:t>
      </w:r>
    </w:p>
    <w:p w14:paraId="5F24163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0674763A">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0个日历天；</w:t>
      </w:r>
    </w:p>
    <w:p w14:paraId="3CE83E6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质保期：竣工验收后1年；</w:t>
      </w:r>
    </w:p>
    <w:p w14:paraId="34AFADA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付款方式：工程款原则上按月支付，合同内进度款支付限额为已完成工程量的90%，工程变更部分进度款支付限额为已完成工程量的60%。工程完工验收达到质量要求， 结算经有资质审计机构审定后，支付至工程价款结算金额的97%，发包人按工程价款结算总额的3%预留工程质量保修金，缺陷责任期过后再退还缴纳的质量保证金（无息）。每次支付款项前，承包人需提供相应金额的增值税发票，否则，发包人有权相应顺延当期的付款时间。</w:t>
      </w:r>
    </w:p>
    <w:p w14:paraId="52A568CF">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p>
    <w:p w14:paraId="2EB2AD2F">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17AAB1B4">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项目地址：浦北县；</w:t>
      </w:r>
    </w:p>
    <w:p w14:paraId="0A7000C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3、本项目所属行业：建筑业</w:t>
      </w:r>
    </w:p>
    <w:p w14:paraId="05D9FF6D">
      <w:pPr>
        <w:pStyle w:val="15"/>
        <w:spacing w:line="360" w:lineRule="auto"/>
        <w:outlineLvl w:val="0"/>
        <w:rPr>
          <w:rFonts w:hint="eastAsia" w:ascii="黑体" w:hAnsi="宋体" w:eastAsia="黑体" w:cs="Times New Roman"/>
          <w:b/>
          <w:bCs/>
          <w:color w:val="auto"/>
          <w:kern w:val="0"/>
          <w:sz w:val="36"/>
          <w:szCs w:val="36"/>
          <w:highlight w:val="none"/>
        </w:rPr>
      </w:pPr>
    </w:p>
    <w:p w14:paraId="1728B01F">
      <w:pPr>
        <w:pStyle w:val="15"/>
        <w:spacing w:line="360" w:lineRule="auto"/>
        <w:jc w:val="center"/>
        <w:outlineLvl w:val="0"/>
        <w:rPr>
          <w:rFonts w:hint="eastAsia" w:ascii="黑体" w:hAnsi="宋体" w:eastAsia="黑体" w:cs="Times New Roman"/>
          <w:b/>
          <w:bCs/>
          <w:color w:val="auto"/>
          <w:kern w:val="0"/>
          <w:sz w:val="36"/>
          <w:szCs w:val="36"/>
          <w:highlight w:val="none"/>
        </w:rPr>
      </w:pPr>
    </w:p>
    <w:p w14:paraId="0EF95F98">
      <w:pPr>
        <w:pStyle w:val="15"/>
        <w:spacing w:line="360" w:lineRule="auto"/>
        <w:jc w:val="center"/>
        <w:outlineLvl w:val="0"/>
        <w:rPr>
          <w:rFonts w:hint="eastAsia" w:ascii="黑体" w:hAnsi="宋体" w:eastAsia="黑体" w:cs="Times New Roman"/>
          <w:b/>
          <w:bCs/>
          <w:color w:val="auto"/>
          <w:kern w:val="0"/>
          <w:sz w:val="36"/>
          <w:szCs w:val="36"/>
          <w:highlight w:val="none"/>
        </w:rPr>
      </w:pPr>
    </w:p>
    <w:p w14:paraId="0FD504E4">
      <w:pPr>
        <w:pStyle w:val="15"/>
        <w:spacing w:line="360" w:lineRule="auto"/>
        <w:jc w:val="center"/>
        <w:outlineLvl w:val="0"/>
        <w:rPr>
          <w:rFonts w:hint="eastAsia" w:ascii="黑体" w:hAnsi="宋体" w:eastAsia="黑体" w:cs="Times New Roman"/>
          <w:b/>
          <w:bCs/>
          <w:color w:val="auto"/>
          <w:kern w:val="0"/>
          <w:sz w:val="36"/>
          <w:szCs w:val="36"/>
          <w:highlight w:val="none"/>
        </w:rPr>
      </w:pPr>
    </w:p>
    <w:p w14:paraId="7A295AEB">
      <w:pPr>
        <w:pStyle w:val="15"/>
        <w:spacing w:line="360" w:lineRule="auto"/>
        <w:jc w:val="center"/>
        <w:outlineLvl w:val="0"/>
        <w:rPr>
          <w:rFonts w:hint="eastAsia" w:ascii="黑体" w:hAnsi="宋体" w:eastAsia="黑体" w:cs="Times New Roman"/>
          <w:b/>
          <w:bCs/>
          <w:color w:val="auto"/>
          <w:kern w:val="0"/>
          <w:sz w:val="36"/>
          <w:szCs w:val="36"/>
          <w:highlight w:val="none"/>
        </w:rPr>
      </w:pPr>
    </w:p>
    <w:p w14:paraId="1F91DD23">
      <w:pPr>
        <w:pStyle w:val="15"/>
        <w:spacing w:line="360" w:lineRule="auto"/>
        <w:jc w:val="center"/>
        <w:outlineLvl w:val="0"/>
        <w:rPr>
          <w:rFonts w:hint="eastAsia" w:ascii="黑体" w:hAnsi="宋体" w:eastAsia="黑体" w:cs="Times New Roman"/>
          <w:b/>
          <w:bCs/>
          <w:color w:val="auto"/>
          <w:kern w:val="0"/>
          <w:sz w:val="36"/>
          <w:szCs w:val="36"/>
          <w:highlight w:val="none"/>
        </w:rPr>
      </w:pPr>
    </w:p>
    <w:p w14:paraId="2BEE1D2B">
      <w:pPr>
        <w:pStyle w:val="15"/>
        <w:spacing w:line="360" w:lineRule="auto"/>
        <w:jc w:val="center"/>
        <w:outlineLvl w:val="0"/>
        <w:rPr>
          <w:rFonts w:hint="eastAsia" w:ascii="黑体" w:hAnsi="宋体" w:eastAsia="黑体" w:cs="Times New Roman"/>
          <w:b/>
          <w:bCs/>
          <w:color w:val="auto"/>
          <w:kern w:val="0"/>
          <w:sz w:val="36"/>
          <w:szCs w:val="36"/>
          <w:highlight w:val="none"/>
        </w:rPr>
      </w:pPr>
    </w:p>
    <w:p w14:paraId="39DD539E">
      <w:pPr>
        <w:pStyle w:val="15"/>
        <w:spacing w:line="360" w:lineRule="auto"/>
        <w:jc w:val="center"/>
        <w:outlineLvl w:val="0"/>
        <w:rPr>
          <w:rFonts w:hint="eastAsia" w:ascii="黑体" w:hAnsi="宋体" w:eastAsia="黑体" w:cs="Times New Roman"/>
          <w:b/>
          <w:bCs/>
          <w:color w:val="auto"/>
          <w:kern w:val="0"/>
          <w:sz w:val="36"/>
          <w:szCs w:val="36"/>
          <w:highlight w:val="none"/>
        </w:rPr>
      </w:pPr>
    </w:p>
    <w:p w14:paraId="7ADDAE4F">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25750BB4">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164ECDB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81F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8377AD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33715AC2">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1EB3A297">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6C7133B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4DDA3B3D">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5A74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7A20D999">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5948BB71">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564BB770">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31C93847">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0F80C78C">
            <w:pPr>
              <w:spacing w:line="360" w:lineRule="auto"/>
              <w:contextualSpacing/>
              <w:rPr>
                <w:rFonts w:hint="eastAsia" w:ascii="宋体" w:hAnsi="宋体" w:cs="仿宋_GB2312"/>
                <w:color w:val="auto"/>
                <w:sz w:val="24"/>
                <w:highlight w:val="none"/>
              </w:rPr>
            </w:pPr>
          </w:p>
        </w:tc>
      </w:tr>
      <w:tr w14:paraId="04F1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1DD1FA0">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0B1311A6">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7598BC95">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7F879191">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0EE8682E">
            <w:pPr>
              <w:spacing w:line="360" w:lineRule="auto"/>
              <w:contextualSpacing/>
              <w:rPr>
                <w:rFonts w:hint="eastAsia" w:ascii="宋体" w:hAnsi="宋体" w:cs="仿宋_GB2312"/>
                <w:color w:val="auto"/>
                <w:sz w:val="24"/>
                <w:highlight w:val="none"/>
              </w:rPr>
            </w:pPr>
          </w:p>
        </w:tc>
      </w:tr>
      <w:tr w14:paraId="57C9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3DFAC0F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704C5211">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3AF53F4D">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D8A40D1">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6BE57594">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5CDC9F15">
      <w:pPr>
        <w:spacing w:line="360" w:lineRule="auto"/>
        <w:ind w:right="-817" w:rightChars="-389"/>
        <w:contextualSpacing/>
        <w:rPr>
          <w:rFonts w:hint="eastAsia" w:ascii="宋体" w:hAnsi="宋体" w:cs="仿宋_GB2312"/>
          <w:color w:val="auto"/>
          <w:sz w:val="24"/>
          <w:highlight w:val="none"/>
        </w:rPr>
      </w:pPr>
    </w:p>
    <w:p w14:paraId="16CFCD43">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D0234A5">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8AA655A">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BFEE524">
      <w:pPr>
        <w:pStyle w:val="15"/>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5CA97FCD">
      <w:pPr>
        <w:pStyle w:val="15"/>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6"/>
    </w:p>
    <w:p w14:paraId="6D98C0A0">
      <w:pPr>
        <w:pStyle w:val="6"/>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18229C35">
      <w:pPr>
        <w:spacing w:line="360" w:lineRule="auto"/>
        <w:ind w:firstLine="422" w:firstLineChars="200"/>
        <w:rPr>
          <w:b/>
          <w:bCs/>
          <w:color w:val="auto"/>
          <w:highlight w:val="none"/>
        </w:rPr>
      </w:pPr>
      <w:r>
        <w:rPr>
          <w:rFonts w:hint="eastAsia"/>
          <w:b/>
          <w:bCs/>
          <w:color w:val="auto"/>
          <w:highlight w:val="none"/>
        </w:rPr>
        <w:t>1.资格审查</w:t>
      </w:r>
    </w:p>
    <w:p w14:paraId="02CF6E41">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6AC574A6">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3418F79F">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p>
    <w:p w14:paraId="3CE06E25">
      <w:pPr>
        <w:spacing w:line="360" w:lineRule="auto"/>
        <w:ind w:firstLine="420" w:firstLineChars="200"/>
        <w:rPr>
          <w:color w:val="auto"/>
          <w:highlight w:val="none"/>
        </w:rPr>
      </w:pPr>
      <w:r>
        <w:rPr>
          <w:rFonts w:hint="eastAsia"/>
          <w:color w:val="auto"/>
          <w:highlight w:val="none"/>
        </w:rPr>
        <w:t>（2）信用查询截止时点：资格审查结束前。</w:t>
      </w:r>
    </w:p>
    <w:p w14:paraId="08EE640D">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3C80FBB3">
      <w:pPr>
        <w:spacing w:line="360" w:lineRule="auto"/>
        <w:ind w:firstLine="420" w:firstLineChars="200"/>
        <w:rPr>
          <w:color w:val="auto"/>
          <w:highlight w:val="none"/>
        </w:rPr>
      </w:pPr>
      <w:r>
        <w:rPr>
          <w:rFonts w:hint="eastAsia"/>
          <w:color w:val="auto"/>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p w14:paraId="3B44C59D">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585DEBBB">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26293AA7">
      <w:pPr>
        <w:spacing w:line="360" w:lineRule="auto"/>
        <w:ind w:firstLine="420" w:firstLineChars="200"/>
        <w:rPr>
          <w:color w:val="auto"/>
          <w:highlight w:val="none"/>
        </w:rPr>
      </w:pPr>
      <w:r>
        <w:rPr>
          <w:rFonts w:hint="eastAsia"/>
          <w:color w:val="auto"/>
          <w:highlight w:val="none"/>
        </w:rPr>
        <w:t>（1）不具备磋商文件中规定的资格要求的；</w:t>
      </w:r>
    </w:p>
    <w:p w14:paraId="16BBEAB8">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42284459">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1DD2EA51">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3F73F30D">
      <w:pPr>
        <w:spacing w:line="360" w:lineRule="auto"/>
        <w:ind w:firstLine="420" w:firstLineChars="200"/>
        <w:rPr>
          <w:color w:val="auto"/>
          <w:highlight w:val="none"/>
        </w:rPr>
      </w:pPr>
      <w:r>
        <w:rPr>
          <w:rFonts w:hint="eastAsia"/>
          <w:color w:val="auto"/>
          <w:highlight w:val="none"/>
        </w:rPr>
        <w:t>2.符合性审查</w:t>
      </w:r>
    </w:p>
    <w:p w14:paraId="5E401A74">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5C43C116">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E5346E1">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4BD2F011">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76509D34">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0DABDCB7">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153EFFAC">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2CE31CE3">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1FD7FB2C">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3BCB7E22">
      <w:pPr>
        <w:spacing w:line="360" w:lineRule="auto"/>
        <w:ind w:firstLine="420" w:firstLineChars="200"/>
        <w:rPr>
          <w:color w:val="auto"/>
          <w:highlight w:val="none"/>
        </w:rPr>
      </w:pPr>
      <w:r>
        <w:rPr>
          <w:rFonts w:hint="eastAsia"/>
          <w:color w:val="auto"/>
          <w:highlight w:val="none"/>
        </w:rPr>
        <w:t>2.5商务技术报价评审</w:t>
      </w:r>
    </w:p>
    <w:p w14:paraId="08B2AC35">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4985162A">
      <w:pPr>
        <w:spacing w:line="360" w:lineRule="auto"/>
        <w:ind w:firstLine="420" w:firstLineChars="200"/>
        <w:rPr>
          <w:color w:val="auto"/>
          <w:highlight w:val="none"/>
        </w:rPr>
      </w:pPr>
      <w:r>
        <w:rPr>
          <w:rFonts w:hint="eastAsia"/>
          <w:color w:val="auto"/>
          <w:highlight w:val="none"/>
        </w:rPr>
        <w:t>（1）商务技术评审</w:t>
      </w:r>
    </w:p>
    <w:p w14:paraId="11B029D8">
      <w:pPr>
        <w:spacing w:line="360" w:lineRule="auto"/>
        <w:ind w:firstLine="420" w:firstLineChars="200"/>
        <w:rPr>
          <w:color w:val="auto"/>
          <w:highlight w:val="none"/>
        </w:rPr>
      </w:pPr>
      <w:r>
        <w:rPr>
          <w:rFonts w:hint="eastAsia"/>
          <w:color w:val="auto"/>
          <w:highlight w:val="none"/>
        </w:rPr>
        <w:t>1）响应文件未按磋商文件要求签署、盖章；</w:t>
      </w:r>
    </w:p>
    <w:p w14:paraId="2E41FC1E">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3471CAAA">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0C78A557">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0B6BBC52">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3F2454BB">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6FD35396">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193A908A">
      <w:pPr>
        <w:spacing w:line="360" w:lineRule="auto"/>
        <w:ind w:firstLine="420" w:firstLineChars="200"/>
        <w:rPr>
          <w:color w:val="auto"/>
          <w:highlight w:val="none"/>
        </w:rPr>
      </w:pPr>
      <w:r>
        <w:rPr>
          <w:rFonts w:hint="eastAsia"/>
          <w:color w:val="auto"/>
          <w:highlight w:val="none"/>
        </w:rPr>
        <w:t>8）响应文件含有采购人不能接受的附加条件；</w:t>
      </w:r>
    </w:p>
    <w:p w14:paraId="76C7B919">
      <w:pPr>
        <w:spacing w:line="360" w:lineRule="auto"/>
        <w:ind w:firstLine="420" w:firstLineChars="200"/>
        <w:rPr>
          <w:color w:val="auto"/>
          <w:highlight w:val="none"/>
        </w:rPr>
      </w:pPr>
      <w:r>
        <w:rPr>
          <w:rFonts w:hint="eastAsia"/>
          <w:color w:val="auto"/>
          <w:highlight w:val="none"/>
        </w:rPr>
        <w:t>9）属于“供应商须知正文”第7.7条情形；</w:t>
      </w:r>
    </w:p>
    <w:p w14:paraId="6714F269">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29A48993">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283EA7AB">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06B307BE">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1D3CB57B">
      <w:pPr>
        <w:spacing w:line="360" w:lineRule="auto"/>
        <w:ind w:firstLine="420" w:firstLineChars="200"/>
        <w:rPr>
          <w:color w:val="auto"/>
          <w:highlight w:val="none"/>
        </w:rPr>
      </w:pPr>
      <w:r>
        <w:rPr>
          <w:rFonts w:hint="eastAsia"/>
          <w:color w:val="auto"/>
          <w:highlight w:val="none"/>
        </w:rPr>
        <w:t>14）未响应磋商文件实质性要求；</w:t>
      </w:r>
    </w:p>
    <w:p w14:paraId="3D0ADEAA">
      <w:pPr>
        <w:spacing w:line="360" w:lineRule="auto"/>
        <w:ind w:firstLine="420" w:firstLineChars="200"/>
        <w:rPr>
          <w:color w:val="auto"/>
          <w:highlight w:val="none"/>
        </w:rPr>
      </w:pPr>
      <w:r>
        <w:rPr>
          <w:rFonts w:hint="eastAsia"/>
          <w:color w:val="auto"/>
          <w:highlight w:val="none"/>
        </w:rPr>
        <w:t>15）法律、法规和磋商文件规定的其他无效情形。</w:t>
      </w:r>
    </w:p>
    <w:p w14:paraId="650CF553">
      <w:pPr>
        <w:spacing w:line="360" w:lineRule="auto"/>
        <w:ind w:firstLine="420" w:firstLineChars="200"/>
        <w:rPr>
          <w:color w:val="auto"/>
          <w:highlight w:val="none"/>
        </w:rPr>
      </w:pPr>
      <w:r>
        <w:rPr>
          <w:rFonts w:hint="eastAsia"/>
          <w:color w:val="auto"/>
          <w:highlight w:val="none"/>
        </w:rPr>
        <w:t>（2）报价评审</w:t>
      </w:r>
    </w:p>
    <w:p w14:paraId="3D2C5BA0">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69C3E73C">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1B8AC809">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3628AF93">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51E47DFB">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45C1EF62">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3C095D57">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E4EAB2C">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3B098549">
      <w:pPr>
        <w:spacing w:line="360" w:lineRule="auto"/>
        <w:ind w:firstLine="420" w:firstLineChars="200"/>
        <w:rPr>
          <w:color w:val="auto"/>
          <w:highlight w:val="none"/>
        </w:rPr>
      </w:pPr>
      <w:r>
        <w:rPr>
          <w:rFonts w:hint="eastAsia"/>
          <w:color w:val="auto"/>
          <w:highlight w:val="none"/>
        </w:rPr>
        <w:t>3.磋商程序</w:t>
      </w:r>
    </w:p>
    <w:p w14:paraId="774B143D">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16545662">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C82A892">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7B89C100">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6EBE26A4">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0FDD5558">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391FDCDF">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166930EE">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5C86CCBD">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3A6943EE">
      <w:pPr>
        <w:spacing w:line="360" w:lineRule="auto"/>
        <w:ind w:firstLine="420" w:firstLineChars="200"/>
        <w:rPr>
          <w:color w:val="auto"/>
          <w:highlight w:val="none"/>
        </w:rPr>
      </w:pPr>
      <w:r>
        <w:rPr>
          <w:rFonts w:hint="eastAsia"/>
          <w:color w:val="auto"/>
          <w:highlight w:val="none"/>
        </w:rPr>
        <w:t>4.最后报价</w:t>
      </w:r>
    </w:p>
    <w:p w14:paraId="735FD00F">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3DBDBE0B">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333089BC">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6820ADB0">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48B42236">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41915353">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7F366B98">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65CA9B41">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28B30254">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766D11B3">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514D0147">
      <w:pPr>
        <w:spacing w:line="360" w:lineRule="auto"/>
        <w:ind w:firstLine="420" w:firstLineChars="200"/>
        <w:rPr>
          <w:color w:val="auto"/>
          <w:highlight w:val="none"/>
        </w:rPr>
      </w:pPr>
      <w:r>
        <w:rPr>
          <w:rFonts w:hint="eastAsia"/>
          <w:color w:val="auto"/>
          <w:highlight w:val="none"/>
        </w:rPr>
        <w:t>（1）供应商不确认的；</w:t>
      </w:r>
    </w:p>
    <w:p w14:paraId="1236E75F">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5F56F489">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25F0217C">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0841533D">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4D22FFAF">
      <w:pPr>
        <w:spacing w:line="360" w:lineRule="auto"/>
        <w:ind w:firstLine="420" w:firstLineChars="200"/>
        <w:rPr>
          <w:color w:val="auto"/>
          <w:highlight w:val="none"/>
        </w:rPr>
      </w:pPr>
      <w:r>
        <w:rPr>
          <w:rFonts w:hint="eastAsia"/>
          <w:color w:val="auto"/>
          <w:highlight w:val="none"/>
        </w:rPr>
        <w:t>5.比较与评价</w:t>
      </w:r>
    </w:p>
    <w:p w14:paraId="52B7C313">
      <w:pPr>
        <w:spacing w:line="360" w:lineRule="auto"/>
        <w:ind w:firstLine="420" w:firstLineChars="200"/>
        <w:rPr>
          <w:color w:val="auto"/>
          <w:highlight w:val="none"/>
        </w:rPr>
      </w:pPr>
      <w:r>
        <w:rPr>
          <w:rFonts w:hint="eastAsia"/>
          <w:color w:val="auto"/>
          <w:highlight w:val="none"/>
        </w:rPr>
        <w:t>5.1评审方法：综合评分法。</w:t>
      </w:r>
    </w:p>
    <w:p w14:paraId="6EC39C52">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55A8A0A8">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461D9757">
      <w:pPr>
        <w:spacing w:line="360" w:lineRule="auto"/>
        <w:ind w:firstLine="420" w:firstLineChars="200"/>
        <w:rPr>
          <w:rFonts w:hint="eastAsia"/>
          <w:color w:val="auto"/>
          <w:highlight w:val="none"/>
        </w:rPr>
      </w:pPr>
      <w:r>
        <w:rPr>
          <w:rFonts w:hint="eastAsia"/>
          <w:color w:val="auto"/>
          <w:highlight w:val="none"/>
          <w:lang w:eastAsia="zh-CN"/>
        </w:rPr>
        <w:t>（</w:t>
      </w:r>
      <w:r>
        <w:rPr>
          <w:rFonts w:hint="eastAsia"/>
          <w:color w:val="auto"/>
          <w:highlight w:val="none"/>
        </w:rPr>
        <w:t>1）政府采购评审中出现下列情形之一的，</w:t>
      </w:r>
      <w:r>
        <w:rPr>
          <w:rFonts w:hint="eastAsia"/>
          <w:color w:val="auto"/>
          <w:highlight w:val="none"/>
          <w:lang w:val="en-US" w:eastAsia="zh-CN"/>
        </w:rPr>
        <w:t>磋商小组</w:t>
      </w:r>
      <w:r>
        <w:rPr>
          <w:rFonts w:hint="eastAsia"/>
          <w:color w:val="auto"/>
          <w:highlight w:val="none"/>
        </w:rPr>
        <w:t>应当启动异常低价</w:t>
      </w:r>
      <w:r>
        <w:rPr>
          <w:rFonts w:hint="eastAsia"/>
          <w:color w:val="auto"/>
          <w:highlight w:val="none"/>
          <w:lang w:eastAsia="zh-CN"/>
        </w:rPr>
        <w:t>响应</w:t>
      </w:r>
      <w:r>
        <w:rPr>
          <w:rFonts w:hint="eastAsia"/>
          <w:color w:val="auto"/>
          <w:highlight w:val="none"/>
        </w:rPr>
        <w:t>审查程序：</w:t>
      </w:r>
    </w:p>
    <w:p w14:paraId="07A95290">
      <w:pPr>
        <w:spacing w:line="360" w:lineRule="auto"/>
        <w:ind w:firstLine="420" w:firstLineChars="200"/>
        <w:rPr>
          <w:rFonts w:hint="eastAsia"/>
          <w:color w:val="auto"/>
          <w:highlight w:val="none"/>
        </w:rPr>
      </w:pPr>
      <w:r>
        <w:rPr>
          <w:rFonts w:hint="eastAsia"/>
          <w:color w:val="auto"/>
          <w:highlight w:val="none"/>
        </w:rPr>
        <w:t>①投标（响应）报价低于全部通过符合性审查供应商投标（响应）报价平均值50%的，即投标（响应）报价&lt;全部通过符合性审查供应商投标（响应）报价平均值×50%；</w:t>
      </w:r>
    </w:p>
    <w:p w14:paraId="42812383">
      <w:pPr>
        <w:spacing w:line="360" w:lineRule="auto"/>
        <w:ind w:firstLine="420" w:firstLineChars="200"/>
        <w:rPr>
          <w:rFonts w:hint="eastAsia"/>
          <w:color w:val="auto"/>
          <w:highlight w:val="none"/>
        </w:rPr>
      </w:pPr>
      <w:r>
        <w:rPr>
          <w:rFonts w:hint="eastAsia"/>
          <w:color w:val="auto"/>
          <w:highlight w:val="none"/>
        </w:rPr>
        <w:t>②投标（响应）报价低于通过符合性审查的次低报价供应商投标（响应）报价50%的，即投标（响应）报价&lt;通过符合性审查的次低报价供应商投标（响应）报价×50%；</w:t>
      </w:r>
    </w:p>
    <w:p w14:paraId="10EF6327">
      <w:pPr>
        <w:spacing w:line="360" w:lineRule="auto"/>
        <w:ind w:firstLine="420" w:firstLineChars="200"/>
        <w:rPr>
          <w:rFonts w:hint="eastAsia"/>
          <w:color w:val="auto"/>
          <w:highlight w:val="none"/>
        </w:rPr>
      </w:pPr>
      <w:r>
        <w:rPr>
          <w:rFonts w:hint="eastAsia"/>
          <w:color w:val="auto"/>
          <w:highlight w:val="none"/>
        </w:rPr>
        <w:t>③投标（响应）报价低于采购项目最高限价45%的，即投标（响应）报价&lt;采购项目最高限价×45%；</w:t>
      </w:r>
    </w:p>
    <w:p w14:paraId="2EF1AB86">
      <w:pPr>
        <w:spacing w:line="360" w:lineRule="auto"/>
        <w:ind w:firstLine="420" w:firstLineChars="200"/>
        <w:rPr>
          <w:rFonts w:hint="eastAsia"/>
          <w:color w:val="auto"/>
          <w:highlight w:val="none"/>
        </w:rPr>
      </w:pPr>
      <w:r>
        <w:rPr>
          <w:rFonts w:hint="eastAsia"/>
          <w:color w:val="auto"/>
          <w:highlight w:val="none"/>
        </w:rPr>
        <w:t>④</w:t>
      </w:r>
      <w:r>
        <w:rPr>
          <w:rFonts w:hint="eastAsia"/>
          <w:color w:val="auto"/>
          <w:highlight w:val="none"/>
          <w:lang w:eastAsia="zh-CN"/>
        </w:rPr>
        <w:t>磋商小组</w:t>
      </w:r>
      <w:r>
        <w:rPr>
          <w:rFonts w:hint="eastAsia"/>
          <w:color w:val="auto"/>
          <w:highlight w:val="none"/>
        </w:rPr>
        <w:t>基于专业判断，认为供应商报价过低，有可能影响产品质量或者不能诚信履约的其他情形。</w:t>
      </w:r>
    </w:p>
    <w:p w14:paraId="740B82BE">
      <w:pPr>
        <w:spacing w:line="360" w:lineRule="auto"/>
        <w:ind w:firstLine="420" w:firstLineChars="200"/>
        <w:rPr>
          <w:rFonts w:hint="eastAsia"/>
          <w:color w:val="auto"/>
          <w:highlight w:val="none"/>
        </w:rPr>
      </w:pPr>
      <w:r>
        <w:rPr>
          <w:rFonts w:hint="eastAsia"/>
          <w:color w:val="auto"/>
          <w:highlight w:val="none"/>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7C0EC01">
      <w:pPr>
        <w:spacing w:line="360" w:lineRule="auto"/>
        <w:ind w:firstLine="420" w:firstLineChars="200"/>
        <w:rPr>
          <w:rFonts w:hint="eastAsia"/>
          <w:color w:val="auto"/>
          <w:highlight w:val="none"/>
        </w:rPr>
      </w:pPr>
      <w:r>
        <w:rPr>
          <w:rFonts w:hint="eastAsia"/>
          <w:color w:val="auto"/>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55D4B651">
      <w:pPr>
        <w:spacing w:line="360" w:lineRule="auto"/>
        <w:ind w:firstLine="420" w:firstLineChars="200"/>
        <w:rPr>
          <w:rFonts w:hint="eastAsia"/>
          <w:color w:val="auto"/>
          <w:highlight w:val="none"/>
          <w:lang w:eastAsia="zh-CN"/>
        </w:rPr>
      </w:pPr>
      <w:r>
        <w:rPr>
          <w:rFonts w:hint="eastAsia"/>
          <w:color w:val="auto"/>
          <w:highlight w:val="none"/>
          <w:lang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8277287">
      <w:pPr>
        <w:spacing w:line="360" w:lineRule="auto"/>
        <w:ind w:firstLine="420" w:firstLineChars="200"/>
        <w:rPr>
          <w:rFonts w:hint="eastAsia"/>
          <w:color w:val="auto"/>
          <w:highlight w:val="none"/>
          <w:lang w:eastAsia="zh-CN"/>
        </w:rPr>
      </w:pPr>
      <w:r>
        <w:rPr>
          <w:rFonts w:hint="eastAsia"/>
          <w:color w:val="auto"/>
          <w:highlight w:val="none"/>
          <w:lang w:eastAsia="zh-CN"/>
        </w:rPr>
        <w:t>异常低价投标（响应）审查的启动原因、审查意见和审查结果应当在评审报告中记录，并随供应商提供的相关书面说明及证明材料，以及磋商小组有关互联网浏览、查询历史一并归档。</w:t>
      </w:r>
    </w:p>
    <w:p w14:paraId="46231D30">
      <w:pPr>
        <w:spacing w:line="360" w:lineRule="auto"/>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）磋商小组按照磋商文件中规定的评审标准计算各供应商的报价得分。项目评审过程中，不得去掉最后报价中的最高报价和最低报价。</w:t>
      </w:r>
    </w:p>
    <w:p w14:paraId="6528CE56">
      <w:pPr>
        <w:spacing w:line="360" w:lineRule="auto"/>
        <w:ind w:firstLine="420" w:firstLineChars="20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）各供应商的得分为磋商小组所有成员的有效评分的算术平均数。</w:t>
      </w:r>
    </w:p>
    <w:p w14:paraId="6980AC41">
      <w:pPr>
        <w:spacing w:line="360" w:lineRule="auto"/>
        <w:ind w:firstLine="420" w:firstLineChars="200"/>
        <w:rPr>
          <w:color w:val="auto"/>
          <w:highlight w:val="none"/>
        </w:rPr>
      </w:pPr>
      <w:r>
        <w:rPr>
          <w:rFonts w:hint="eastAsia"/>
          <w:color w:val="auto"/>
          <w:highlight w:val="none"/>
        </w:rPr>
        <w:t>5.4评审价为供应商的最后报价进行政策性扣除后的价格，评审价只是作为评审时使用。最终成交供应商的成交金额等于最后报价（如有修正，以确认修正后的最后报价为准）。</w:t>
      </w:r>
    </w:p>
    <w:p w14:paraId="085D32DA">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74849F">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310C723">
      <w:pPr>
        <w:spacing w:line="360" w:lineRule="auto"/>
        <w:rPr>
          <w:b/>
          <w:bCs/>
          <w:color w:val="auto"/>
          <w:highlight w:val="none"/>
        </w:rPr>
      </w:pPr>
      <w:r>
        <w:rPr>
          <w:rFonts w:hint="eastAsia"/>
          <w:b/>
          <w:bCs/>
          <w:color w:val="auto"/>
          <w:highlight w:val="none"/>
        </w:rPr>
        <w:t>二、评定标准（综合评分法）</w:t>
      </w:r>
    </w:p>
    <w:p w14:paraId="15B481D4">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0"/>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685D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48E55C03">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2207A932">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1AF2AF4B">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6B3B98B3">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646A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78D95FA9">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4637CEBB">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6602AAF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5935" w:type="dxa"/>
            <w:vAlign w:val="center"/>
          </w:tcPr>
          <w:p w14:paraId="0F66513A">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6346E314">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31825B4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70F43A3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3E3D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51F9927D">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6E75AB76">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333FB6D8">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74分</w:t>
            </w:r>
          </w:p>
        </w:tc>
        <w:tc>
          <w:tcPr>
            <w:tcW w:w="807" w:type="dxa"/>
            <w:vAlign w:val="center"/>
          </w:tcPr>
          <w:p w14:paraId="2E564261">
            <w:pPr>
              <w:spacing w:line="360" w:lineRule="auto"/>
              <w:jc w:val="center"/>
              <w:rPr>
                <w:rFonts w:hint="eastAsia" w:ascii="宋体" w:hAnsi="宋体" w:cs="宋体"/>
                <w:b/>
                <w:bCs/>
                <w:color w:val="auto"/>
                <w:szCs w:val="21"/>
                <w:highlight w:val="none"/>
              </w:rPr>
            </w:pPr>
          </w:p>
        </w:tc>
      </w:tr>
      <w:tr w14:paraId="33AD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501D9CF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1B1C4D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27CAC60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（1）施工机械设备情况（满分10分）</w:t>
            </w:r>
          </w:p>
        </w:tc>
        <w:tc>
          <w:tcPr>
            <w:tcW w:w="5935" w:type="dxa"/>
            <w:vAlign w:val="center"/>
          </w:tcPr>
          <w:p w14:paraId="291C5B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由磋商小组在打分前根据供应商提供的拟投入施工机械设备情况，在相应档次内独立打分。</w:t>
            </w:r>
          </w:p>
          <w:p w14:paraId="3FDCFC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一档（0分）：投入的施工机械、设备、机具组织计划差，投入计划与进度计划不呼应，不能满足施工需要。</w:t>
            </w:r>
          </w:p>
          <w:p w14:paraId="1BDDF55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二档（3分）：投入的施工机械、设备、机具有组织计划，设备数量、选型配置、进场投入计划与进度计划呼应，基本满足施工需要。</w:t>
            </w:r>
          </w:p>
          <w:p w14:paraId="2D19ED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三档（6分）：投入的施工机械、设备、机具有详细的组织计划，设备数量、选型配置、进场投入计划与进度计划呼应，满足施工需要。</w:t>
            </w:r>
          </w:p>
          <w:p w14:paraId="56C7EAC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四档（10分）：投入的施工机械、设备、机具有详细的组织计划且计划周密，设备数量、选型配置、进场时间安排合理，满足施工需要。</w:t>
            </w:r>
          </w:p>
        </w:tc>
        <w:tc>
          <w:tcPr>
            <w:tcW w:w="807" w:type="dxa"/>
            <w:vAlign w:val="center"/>
          </w:tcPr>
          <w:p w14:paraId="4E87329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F2A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17CBAE44">
            <w:pPr>
              <w:spacing w:line="360" w:lineRule="auto"/>
              <w:jc w:val="center"/>
              <w:rPr>
                <w:rFonts w:hint="eastAsia" w:ascii="宋体" w:hAnsi="宋体" w:cs="宋体"/>
                <w:color w:val="auto"/>
                <w:szCs w:val="21"/>
                <w:highlight w:val="none"/>
              </w:rPr>
            </w:pPr>
          </w:p>
        </w:tc>
        <w:tc>
          <w:tcPr>
            <w:tcW w:w="958" w:type="dxa"/>
            <w:vMerge w:val="continue"/>
            <w:vAlign w:val="center"/>
          </w:tcPr>
          <w:p w14:paraId="7BE918C0">
            <w:pPr>
              <w:spacing w:line="360" w:lineRule="auto"/>
              <w:jc w:val="center"/>
              <w:rPr>
                <w:rFonts w:hint="eastAsia" w:ascii="宋体" w:hAnsi="宋体" w:cs="宋体"/>
                <w:color w:val="auto"/>
                <w:szCs w:val="21"/>
                <w:highlight w:val="none"/>
              </w:rPr>
            </w:pPr>
          </w:p>
        </w:tc>
        <w:tc>
          <w:tcPr>
            <w:tcW w:w="1115" w:type="dxa"/>
            <w:vAlign w:val="center"/>
          </w:tcPr>
          <w:p w14:paraId="38678AD7">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7746352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5B719A8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一档（0分）：各主要施工工序劳动力安排计划不全，无各工种劳动力安排计划或计划不全，劳动力投入不合理，不能满足施工需要。</w:t>
            </w:r>
          </w:p>
          <w:p w14:paraId="30419E4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二档（3分）：各主要施工工序应有劳动力安排计划，有各工种劳动力安排计划，劳动力投入基本合理，基本满足施工需要。</w:t>
            </w:r>
          </w:p>
          <w:p w14:paraId="6062125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三档（6分）：各主要施工工序有详细的劳动力安排计划，有各工种劳动力安排计划，劳动力投入合理，满足施工需要。</w:t>
            </w:r>
          </w:p>
          <w:p w14:paraId="2D655EF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分）：各主要施工工序有详细周密的劳动力安排计划，各工种劳动力安排计划齐全，劳动力投入与进度计划呼应合理，满足施工需要。</w:t>
            </w:r>
          </w:p>
        </w:tc>
        <w:tc>
          <w:tcPr>
            <w:tcW w:w="807" w:type="dxa"/>
            <w:vAlign w:val="center"/>
          </w:tcPr>
          <w:p w14:paraId="24F892F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809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498172D7">
            <w:pPr>
              <w:spacing w:line="360" w:lineRule="auto"/>
              <w:jc w:val="center"/>
              <w:rPr>
                <w:rFonts w:hint="eastAsia" w:ascii="宋体" w:hAnsi="宋体" w:cs="宋体"/>
                <w:color w:val="auto"/>
                <w:szCs w:val="21"/>
                <w:highlight w:val="none"/>
              </w:rPr>
            </w:pPr>
          </w:p>
        </w:tc>
        <w:tc>
          <w:tcPr>
            <w:tcW w:w="958" w:type="dxa"/>
            <w:vMerge w:val="continue"/>
            <w:vAlign w:val="center"/>
          </w:tcPr>
          <w:p w14:paraId="061F7CD9">
            <w:pPr>
              <w:spacing w:line="360" w:lineRule="auto"/>
              <w:jc w:val="center"/>
              <w:rPr>
                <w:rFonts w:hint="eastAsia" w:ascii="宋体" w:hAnsi="宋体" w:cs="宋体"/>
                <w:color w:val="auto"/>
                <w:szCs w:val="21"/>
                <w:highlight w:val="none"/>
              </w:rPr>
            </w:pPr>
          </w:p>
        </w:tc>
        <w:tc>
          <w:tcPr>
            <w:tcW w:w="1115" w:type="dxa"/>
            <w:vAlign w:val="center"/>
          </w:tcPr>
          <w:p w14:paraId="0105430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（3）确保工程质量的技术组织措施（满分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5935" w:type="dxa"/>
          </w:tcPr>
          <w:p w14:paraId="41E97E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磋商小组在打分前根据供应商提供的工程质量技术组织措施，在相应档次内独立打分。</w:t>
            </w:r>
          </w:p>
          <w:p w14:paraId="35A979C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一档（0分）：质量技术管理班子人员配备不合理，制度不健全。质量技术保证措施和手段不可行，没有质量违约责任承诺。</w:t>
            </w:r>
          </w:p>
          <w:p w14:paraId="41B101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二档（3分）：质量技术管理班子人员配备基本合理，制度基本健全。主要工序有质量技术保证措施和手段，能有效保证技术质量，满足磋商文件的质量要求。</w:t>
            </w:r>
          </w:p>
          <w:p w14:paraId="3E865B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三档（6分）：有专门的质量技术管理班子和制度，且人员配备合理，制度健全。主要工序有质量技术保证措施和手段，自控体系完整，能有效保证技术质量，达到承诺的质量标准。</w:t>
            </w:r>
          </w:p>
          <w:p w14:paraId="43630E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分）：有专门的质量技术管理班子和制度，且人员配备合理，制度健全。主要工序有质量技术保证措施和手段，且先进、可行、具体，高于磋商文件的质量要求及施工验收规范要求，达到承诺的质量标准。</w:t>
            </w:r>
          </w:p>
        </w:tc>
        <w:tc>
          <w:tcPr>
            <w:tcW w:w="807" w:type="dxa"/>
            <w:vAlign w:val="center"/>
          </w:tcPr>
          <w:p w14:paraId="4A1D105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DFD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7B671C3A">
            <w:pPr>
              <w:spacing w:line="360" w:lineRule="auto"/>
              <w:jc w:val="center"/>
              <w:rPr>
                <w:rFonts w:hint="eastAsia" w:ascii="宋体" w:hAnsi="宋体" w:cs="宋体"/>
                <w:color w:val="auto"/>
                <w:szCs w:val="21"/>
                <w:highlight w:val="none"/>
              </w:rPr>
            </w:pPr>
          </w:p>
        </w:tc>
        <w:tc>
          <w:tcPr>
            <w:tcW w:w="958" w:type="dxa"/>
            <w:vMerge w:val="continue"/>
            <w:vAlign w:val="center"/>
          </w:tcPr>
          <w:p w14:paraId="3DB2DACD">
            <w:pPr>
              <w:spacing w:line="360" w:lineRule="auto"/>
              <w:jc w:val="center"/>
              <w:rPr>
                <w:rFonts w:hint="eastAsia" w:ascii="宋体" w:hAnsi="宋体" w:cs="宋体"/>
                <w:color w:val="auto"/>
                <w:szCs w:val="21"/>
                <w:highlight w:val="none"/>
              </w:rPr>
            </w:pPr>
          </w:p>
        </w:tc>
        <w:tc>
          <w:tcPr>
            <w:tcW w:w="1115" w:type="dxa"/>
            <w:vAlign w:val="center"/>
          </w:tcPr>
          <w:p w14:paraId="1180BC86">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（4）确保安全生产的技术组织措施（满分10分）</w:t>
            </w:r>
          </w:p>
        </w:tc>
        <w:tc>
          <w:tcPr>
            <w:tcW w:w="5935" w:type="dxa"/>
          </w:tcPr>
          <w:p w14:paraId="12CD103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磋商小组在打分前根据供应商提供的安全生产技术组织措施，在相应档次内独立打分。</w:t>
            </w:r>
          </w:p>
          <w:p w14:paraId="5FF2BB0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配备满足项目要求的专职安全员，人员配备不合理，安全管理制度不健全，各道工序安全技术措施基本符合实际，不能满足有关安全技术标准要求。现场防火、应急救援、社会治安安全措施不合理。</w:t>
            </w:r>
          </w:p>
          <w:p w14:paraId="7DFEFC1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配备满足项目要求的专职安全员，人员配备基本合理，安全管理制度基本健全，各道工序安全技术措施基本符合实际，基本满足有关安全技术标准要求。现场防火、应急救援、社会治安安全措施基本合理。</w:t>
            </w:r>
          </w:p>
          <w:p w14:paraId="3A1945A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三档（6分）：有配备满足项目要求的专职安全员，人员配备合理，有健全的安全管理制度，各道工序安全技术措施符合实际且满足有关安全技术标准要求。现场防火、应急救援、社会治安安全措施合理。</w:t>
            </w:r>
          </w:p>
          <w:p w14:paraId="769144D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配备满足项目要求的专职安全员，人员配备合理。有健全的安全管理制度，各道工序安全技术措施针对性强，符合实际且高于国家有关安全技术标准要求。现场防火、应急救援、社会治安安全措施得力。</w:t>
            </w:r>
          </w:p>
        </w:tc>
        <w:tc>
          <w:tcPr>
            <w:tcW w:w="807" w:type="dxa"/>
            <w:vAlign w:val="center"/>
          </w:tcPr>
          <w:p w14:paraId="3E0C03D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4738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230E6FB5">
            <w:pPr>
              <w:spacing w:line="360" w:lineRule="auto"/>
              <w:jc w:val="center"/>
              <w:rPr>
                <w:rFonts w:hint="eastAsia" w:ascii="宋体" w:hAnsi="宋体" w:cs="宋体"/>
                <w:color w:val="auto"/>
                <w:szCs w:val="21"/>
                <w:highlight w:val="none"/>
              </w:rPr>
            </w:pPr>
          </w:p>
        </w:tc>
        <w:tc>
          <w:tcPr>
            <w:tcW w:w="958" w:type="dxa"/>
            <w:vMerge w:val="continue"/>
            <w:vAlign w:val="center"/>
          </w:tcPr>
          <w:p w14:paraId="7BE04998">
            <w:pPr>
              <w:spacing w:line="360" w:lineRule="auto"/>
              <w:jc w:val="center"/>
              <w:rPr>
                <w:rFonts w:hint="eastAsia" w:ascii="宋体" w:hAnsi="宋体" w:cs="宋体"/>
                <w:color w:val="auto"/>
                <w:szCs w:val="21"/>
                <w:highlight w:val="none"/>
              </w:rPr>
            </w:pPr>
          </w:p>
        </w:tc>
        <w:tc>
          <w:tcPr>
            <w:tcW w:w="1115" w:type="dxa"/>
            <w:vAlign w:val="center"/>
          </w:tcPr>
          <w:p w14:paraId="66743A10">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（5）确保工期的技术组织措施（满分10分）</w:t>
            </w:r>
          </w:p>
        </w:tc>
        <w:tc>
          <w:tcPr>
            <w:tcW w:w="5935" w:type="dxa"/>
          </w:tcPr>
          <w:p w14:paraId="13E45C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磋商小组在打分前根据供应商提供的工期技术组织措施，在相应档次内独立打分。</w:t>
            </w:r>
          </w:p>
          <w:p w14:paraId="3AC6B23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一档（0分）：有保证工期的具体措施。各项计划图表编制不完善，安排不合理，不能满足本项目施工实际要求。</w:t>
            </w:r>
          </w:p>
          <w:p w14:paraId="73AF2BC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二档（3分）：有保证工期的具体措施，措施基本得当。各项计划图表编制基本齐全，安排基本合理，基本符合本项目施工实际要求。</w:t>
            </w:r>
          </w:p>
          <w:p w14:paraId="2230A9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三档（6分）：有保证工期的具体措施且措施得当。各项计划图表编制完善，安排较合理，符合本项目施工实际要求。</w:t>
            </w:r>
          </w:p>
          <w:p w14:paraId="3FF1ABA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四档（10分）：有保证工期的具体措施且措施得力。各项计划图表编制详尽周密，安排科学合理，符合本项目施工实际要求。</w:t>
            </w:r>
          </w:p>
        </w:tc>
        <w:tc>
          <w:tcPr>
            <w:tcW w:w="807" w:type="dxa"/>
            <w:vAlign w:val="center"/>
          </w:tcPr>
          <w:p w14:paraId="3552DEC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1BA6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686D61B9">
            <w:pPr>
              <w:spacing w:line="360" w:lineRule="auto"/>
              <w:jc w:val="center"/>
              <w:rPr>
                <w:rFonts w:hint="eastAsia" w:ascii="宋体" w:hAnsi="宋体" w:cs="宋体"/>
                <w:color w:val="auto"/>
                <w:szCs w:val="21"/>
                <w:highlight w:val="none"/>
              </w:rPr>
            </w:pPr>
          </w:p>
        </w:tc>
        <w:tc>
          <w:tcPr>
            <w:tcW w:w="958" w:type="dxa"/>
            <w:vMerge w:val="continue"/>
            <w:vAlign w:val="center"/>
          </w:tcPr>
          <w:p w14:paraId="474AE088">
            <w:pPr>
              <w:spacing w:line="360" w:lineRule="auto"/>
              <w:jc w:val="center"/>
              <w:rPr>
                <w:rFonts w:hint="eastAsia" w:ascii="宋体" w:hAnsi="宋体" w:cs="宋体"/>
                <w:color w:val="auto"/>
                <w:szCs w:val="21"/>
                <w:highlight w:val="none"/>
              </w:rPr>
            </w:pPr>
          </w:p>
        </w:tc>
        <w:tc>
          <w:tcPr>
            <w:tcW w:w="1115" w:type="dxa"/>
            <w:vAlign w:val="center"/>
          </w:tcPr>
          <w:p w14:paraId="1E94919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（6）确保文明施工的技术组织措施（满分10分）</w:t>
            </w:r>
          </w:p>
        </w:tc>
        <w:tc>
          <w:tcPr>
            <w:tcW w:w="5935" w:type="dxa"/>
          </w:tcPr>
          <w:p w14:paraId="44A1C23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0CA598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一档（0分）：现场文明施工、环境保护措施和内容与相关施工安全生产标准或文明施工要求的的要求偏差大，</w:t>
            </w:r>
            <w:r>
              <w:rPr>
                <w:rFonts w:hint="eastAsia" w:ascii="宋体" w:hAnsi="宋体" w:cs="宋体"/>
                <w:color w:val="auto"/>
                <w:szCs w:val="21"/>
                <w:highlight w:val="none"/>
                <w:lang w:eastAsia="zh-CN"/>
              </w:rPr>
              <w:t>无</w:t>
            </w:r>
            <w:r>
              <w:rPr>
                <w:rFonts w:hint="eastAsia" w:ascii="宋体" w:hAnsi="宋体" w:cs="宋体"/>
                <w:color w:val="auto"/>
                <w:szCs w:val="21"/>
                <w:highlight w:val="none"/>
              </w:rPr>
              <w:t>现场文明施工目标的承诺。</w:t>
            </w:r>
          </w:p>
          <w:p w14:paraId="47D611A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二档（3分）：现场文明施工、环境保护措施和内容基本达到相关施工安全生产标准或文明施工要求的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有具体现场文明施工目标的承诺。</w:t>
            </w:r>
          </w:p>
          <w:p w14:paraId="7A70DF8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三档（6分）：现场文明施工、环境保护措施和内容达到相关施工安全生产标准或文明施工要求的；承诺创建市级文明工地和标准化工地，而且各项措施周全、具体、有效的。</w:t>
            </w:r>
          </w:p>
          <w:p w14:paraId="573C3B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四档（10分）：现场文明施工、环境保护措施和内容达到相关施工安全生产标准或文明施工要求的；承诺创建自治区级及以上文明工地和标准化工地，而且各项措施周全、具体、有效的。</w:t>
            </w:r>
          </w:p>
        </w:tc>
        <w:tc>
          <w:tcPr>
            <w:tcW w:w="807" w:type="dxa"/>
            <w:vAlign w:val="center"/>
          </w:tcPr>
          <w:p w14:paraId="3CBF8D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CA9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4DDB2D04">
            <w:pPr>
              <w:spacing w:line="360" w:lineRule="auto"/>
              <w:jc w:val="center"/>
              <w:rPr>
                <w:rFonts w:hint="eastAsia" w:ascii="宋体" w:hAnsi="宋体" w:cs="宋体"/>
                <w:color w:val="auto"/>
                <w:szCs w:val="21"/>
                <w:highlight w:val="none"/>
              </w:rPr>
            </w:pPr>
          </w:p>
        </w:tc>
        <w:tc>
          <w:tcPr>
            <w:tcW w:w="958" w:type="dxa"/>
            <w:vMerge w:val="continue"/>
            <w:vAlign w:val="center"/>
          </w:tcPr>
          <w:p w14:paraId="6C5AD14F">
            <w:pPr>
              <w:spacing w:line="360" w:lineRule="auto"/>
              <w:jc w:val="center"/>
              <w:rPr>
                <w:rFonts w:hint="eastAsia" w:ascii="宋体" w:hAnsi="宋体" w:cs="宋体"/>
                <w:color w:val="auto"/>
                <w:szCs w:val="21"/>
                <w:highlight w:val="none"/>
              </w:rPr>
            </w:pPr>
          </w:p>
        </w:tc>
        <w:tc>
          <w:tcPr>
            <w:tcW w:w="1115" w:type="dxa"/>
            <w:vAlign w:val="center"/>
          </w:tcPr>
          <w:p w14:paraId="731CC240">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（7）工程施工的重点和难点及保证措施（满分10分）</w:t>
            </w:r>
          </w:p>
        </w:tc>
        <w:tc>
          <w:tcPr>
            <w:tcW w:w="5935" w:type="dxa"/>
          </w:tcPr>
          <w:p w14:paraId="3155098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265AAE9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7FE8EC6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25C2674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2E005D9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四档（10分）：针对该项目的难点、重点详细分析，重点考虑各部分施工如何相互交叉和衔接，以保证施工质量效果和设计效果的完美统一。</w:t>
            </w:r>
          </w:p>
        </w:tc>
        <w:tc>
          <w:tcPr>
            <w:tcW w:w="807" w:type="dxa"/>
            <w:vAlign w:val="center"/>
          </w:tcPr>
          <w:p w14:paraId="5F12508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06F4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19" w:type="dxa"/>
            <w:vMerge w:val="continue"/>
            <w:vAlign w:val="center"/>
          </w:tcPr>
          <w:p w14:paraId="5E30DE6E">
            <w:pPr>
              <w:spacing w:line="360" w:lineRule="auto"/>
              <w:jc w:val="center"/>
              <w:rPr>
                <w:rFonts w:hint="eastAsia" w:ascii="宋体" w:hAnsi="宋体" w:cs="宋体"/>
                <w:color w:val="auto"/>
                <w:szCs w:val="21"/>
                <w:highlight w:val="none"/>
              </w:rPr>
            </w:pPr>
          </w:p>
        </w:tc>
        <w:tc>
          <w:tcPr>
            <w:tcW w:w="958" w:type="dxa"/>
            <w:vMerge w:val="continue"/>
            <w:vAlign w:val="center"/>
          </w:tcPr>
          <w:p w14:paraId="13D1FC1A">
            <w:pPr>
              <w:spacing w:line="360" w:lineRule="auto"/>
              <w:jc w:val="center"/>
              <w:rPr>
                <w:rFonts w:hint="eastAsia" w:ascii="宋体" w:hAnsi="宋体" w:cs="宋体"/>
                <w:color w:val="auto"/>
                <w:szCs w:val="21"/>
                <w:highlight w:val="none"/>
              </w:rPr>
            </w:pPr>
          </w:p>
        </w:tc>
        <w:tc>
          <w:tcPr>
            <w:tcW w:w="1115" w:type="dxa"/>
            <w:vAlign w:val="center"/>
          </w:tcPr>
          <w:p w14:paraId="79C138A0">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（8）施工总平面布置图（满分5分）</w:t>
            </w:r>
          </w:p>
        </w:tc>
        <w:tc>
          <w:tcPr>
            <w:tcW w:w="5935" w:type="dxa"/>
          </w:tcPr>
          <w:p w14:paraId="04A6416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磋商小组在打分前根据供应商提供的本工程施工总平面布置图，在相应档次内独立打分。</w:t>
            </w:r>
          </w:p>
          <w:p w14:paraId="79278F7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一档（0分）：总体布置不合理，不符合安全、文明生产要求。</w:t>
            </w:r>
          </w:p>
          <w:p w14:paraId="7DB8996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二档（1分）：总体布置基本合理，基本满足施工需要。</w:t>
            </w:r>
          </w:p>
          <w:p w14:paraId="2DE2134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三档（3分）：总体布置合理，能满足施工需要，基本符合安全、文明生产要求。</w:t>
            </w:r>
          </w:p>
          <w:p w14:paraId="550B802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四档（5分）：总体布置有针对性、合理，较好满足施工需要，符合安全、文明生产要求。</w:t>
            </w:r>
          </w:p>
        </w:tc>
        <w:tc>
          <w:tcPr>
            <w:tcW w:w="807" w:type="dxa"/>
            <w:vAlign w:val="center"/>
          </w:tcPr>
          <w:p w14:paraId="3540832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65F3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719" w:type="dxa"/>
            <w:vAlign w:val="center"/>
          </w:tcPr>
          <w:p w14:paraId="6787420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Align w:val="center"/>
          </w:tcPr>
          <w:p w14:paraId="4AFD113C">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商务</w:t>
            </w:r>
            <w:r>
              <w:rPr>
                <w:rFonts w:hint="eastAsia" w:ascii="宋体" w:hAnsi="宋体" w:cs="宋体"/>
                <w:color w:val="auto"/>
                <w:szCs w:val="21"/>
                <w:highlight w:val="none"/>
                <w:lang w:eastAsia="zh-CN"/>
              </w:rPr>
              <w:t>分（满分</w:t>
            </w:r>
            <w:r>
              <w:rPr>
                <w:rFonts w:hint="eastAsia" w:ascii="宋体" w:hAnsi="宋体" w:cs="宋体"/>
                <w:color w:val="auto"/>
                <w:szCs w:val="21"/>
                <w:highlight w:val="none"/>
                <w:lang w:val="en-US" w:eastAsia="zh-CN"/>
              </w:rPr>
              <w:t>6分</w:t>
            </w:r>
            <w:r>
              <w:rPr>
                <w:rFonts w:hint="eastAsia" w:ascii="宋体" w:hAnsi="宋体" w:cs="宋体"/>
                <w:color w:val="auto"/>
                <w:szCs w:val="21"/>
                <w:highlight w:val="none"/>
                <w:lang w:eastAsia="zh-CN"/>
              </w:rPr>
              <w:t>）</w:t>
            </w:r>
          </w:p>
        </w:tc>
        <w:tc>
          <w:tcPr>
            <w:tcW w:w="1115" w:type="dxa"/>
            <w:vAlign w:val="center"/>
          </w:tcPr>
          <w:p w14:paraId="15D2A09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565F113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年以来完成过类似项目业绩的，每个业绩得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01A4D57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6111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474E0EB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897F68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18D93D50">
            <w:pPr>
              <w:spacing w:line="360" w:lineRule="auto"/>
              <w:jc w:val="left"/>
              <w:rPr>
                <w:rFonts w:hint="eastAsia" w:ascii="宋体" w:hAnsi="宋体" w:cs="宋体"/>
                <w:color w:val="auto"/>
                <w:szCs w:val="21"/>
                <w:highlight w:val="none"/>
              </w:rPr>
            </w:pPr>
          </w:p>
        </w:tc>
      </w:tr>
    </w:tbl>
    <w:p w14:paraId="0454DA80">
      <w:pPr>
        <w:spacing w:line="360" w:lineRule="auto"/>
        <w:rPr>
          <w:b/>
          <w:bCs/>
          <w:color w:val="auto"/>
          <w:highlight w:val="none"/>
        </w:rPr>
      </w:pPr>
      <w:r>
        <w:rPr>
          <w:rFonts w:hint="eastAsia"/>
          <w:b/>
          <w:bCs/>
          <w:color w:val="auto"/>
          <w:highlight w:val="none"/>
        </w:rPr>
        <w:t>三、成交候选供应商推荐原则</w:t>
      </w:r>
    </w:p>
    <w:p w14:paraId="464F0909">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611A825F">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51086A20">
      <w:pPr>
        <w:pStyle w:val="46"/>
        <w:rPr>
          <w:rFonts w:hint="eastAsia" w:ascii="黑体" w:hAnsi="宋体" w:eastAsia="黑体" w:cs="Times New Roman"/>
          <w:b/>
          <w:bCs/>
          <w:color w:val="auto"/>
          <w:sz w:val="36"/>
          <w:szCs w:val="36"/>
          <w:highlight w:val="none"/>
        </w:rPr>
      </w:pPr>
    </w:p>
    <w:p w14:paraId="4ADC31E1">
      <w:pPr>
        <w:pStyle w:val="46"/>
        <w:rPr>
          <w:rFonts w:hint="eastAsia" w:ascii="黑体" w:hAnsi="宋体" w:eastAsia="黑体" w:cs="Times New Roman"/>
          <w:b/>
          <w:bCs/>
          <w:color w:val="auto"/>
          <w:sz w:val="36"/>
          <w:szCs w:val="36"/>
          <w:highlight w:val="none"/>
        </w:rPr>
      </w:pPr>
    </w:p>
    <w:p w14:paraId="7C725FEC">
      <w:pPr>
        <w:pStyle w:val="46"/>
        <w:rPr>
          <w:rFonts w:hint="eastAsia" w:ascii="黑体" w:hAnsi="宋体" w:eastAsia="黑体" w:cs="Times New Roman"/>
          <w:b/>
          <w:bCs/>
          <w:color w:val="auto"/>
          <w:sz w:val="36"/>
          <w:szCs w:val="36"/>
          <w:highlight w:val="none"/>
        </w:rPr>
      </w:pPr>
    </w:p>
    <w:p w14:paraId="4AD6E31C">
      <w:pPr>
        <w:rPr>
          <w:rFonts w:hint="eastAsia" w:ascii="黑体" w:hAnsi="宋体" w:eastAsia="黑体"/>
          <w:b/>
          <w:bCs/>
          <w:color w:val="auto"/>
          <w:kern w:val="0"/>
          <w:sz w:val="36"/>
          <w:szCs w:val="36"/>
          <w:highlight w:val="none"/>
        </w:rPr>
      </w:pPr>
      <w:bookmarkStart w:id="67" w:name="_Toc15543"/>
      <w:r>
        <w:rPr>
          <w:rFonts w:hint="eastAsia" w:ascii="黑体" w:hAnsi="宋体" w:eastAsia="黑体"/>
          <w:b/>
          <w:bCs/>
          <w:color w:val="auto"/>
          <w:kern w:val="0"/>
          <w:sz w:val="36"/>
          <w:szCs w:val="36"/>
          <w:highlight w:val="none"/>
        </w:rPr>
        <w:br w:type="page"/>
      </w:r>
    </w:p>
    <w:p w14:paraId="30D3851C">
      <w:pPr>
        <w:pStyle w:val="15"/>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7"/>
    </w:p>
    <w:p w14:paraId="3DA65824">
      <w:pPr>
        <w:autoSpaceDE w:val="0"/>
        <w:autoSpaceDN w:val="0"/>
        <w:adjustRightInd w:val="0"/>
        <w:spacing w:line="360" w:lineRule="auto"/>
        <w:rPr>
          <w:rFonts w:ascii="宋体" w:cs="宋体"/>
          <w:color w:val="auto"/>
          <w:szCs w:val="21"/>
          <w:highlight w:val="none"/>
          <w:lang w:val="zh-CN"/>
        </w:rPr>
      </w:pPr>
    </w:p>
    <w:p w14:paraId="3190362B">
      <w:pPr>
        <w:rPr>
          <w:b/>
          <w:color w:val="auto"/>
          <w:sz w:val="32"/>
          <w:szCs w:val="32"/>
          <w:highlight w:val="none"/>
        </w:rPr>
      </w:pPr>
      <w:bookmarkStart w:id="68" w:name="_Toc31728084"/>
      <w:bookmarkStart w:id="69" w:name="_Toc44229899"/>
      <w:bookmarkStart w:id="70" w:name="_Toc31723070"/>
      <w:bookmarkStart w:id="71" w:name="_Toc35611438"/>
      <w:bookmarkStart w:id="72" w:name="_Toc71366186"/>
      <w:bookmarkStart w:id="73" w:name="_Toc35611516"/>
      <w:r>
        <w:rPr>
          <w:rFonts w:hint="eastAsia"/>
          <w:b/>
          <w:color w:val="auto"/>
          <w:sz w:val="32"/>
          <w:szCs w:val="32"/>
          <w:highlight w:val="none"/>
        </w:rPr>
        <w:t>一、资格证明文件格式</w:t>
      </w:r>
      <w:bookmarkEnd w:id="68"/>
      <w:bookmarkEnd w:id="69"/>
      <w:bookmarkEnd w:id="70"/>
      <w:bookmarkEnd w:id="71"/>
      <w:bookmarkEnd w:id="72"/>
      <w:bookmarkEnd w:id="73"/>
    </w:p>
    <w:p w14:paraId="047AE857">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7A30077A">
      <w:pPr>
        <w:snapToGrid w:val="0"/>
        <w:spacing w:before="156" w:beforeLines="50" w:after="50"/>
        <w:jc w:val="center"/>
        <w:rPr>
          <w:rFonts w:hint="eastAsia" w:ascii="宋体" w:hAnsi="宋体"/>
          <w:color w:val="auto"/>
          <w:sz w:val="44"/>
          <w:szCs w:val="44"/>
          <w:highlight w:val="none"/>
        </w:rPr>
      </w:pPr>
    </w:p>
    <w:p w14:paraId="1F9BC42A">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35C14804">
      <w:pPr>
        <w:snapToGrid w:val="0"/>
        <w:spacing w:before="156" w:beforeLines="50" w:after="50"/>
        <w:rPr>
          <w:rFonts w:hint="eastAsia" w:ascii="宋体" w:hAnsi="宋体"/>
          <w:color w:val="auto"/>
          <w:sz w:val="24"/>
          <w:szCs w:val="20"/>
          <w:highlight w:val="none"/>
        </w:rPr>
      </w:pPr>
    </w:p>
    <w:p w14:paraId="52F4833D">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95BA76F">
      <w:pPr>
        <w:snapToGrid w:val="0"/>
        <w:spacing w:before="156" w:beforeLines="50" w:after="50"/>
        <w:rPr>
          <w:rFonts w:hint="eastAsia" w:ascii="宋体" w:hAnsi="宋体"/>
          <w:bCs/>
          <w:color w:val="auto"/>
          <w:sz w:val="24"/>
          <w:szCs w:val="20"/>
          <w:highlight w:val="none"/>
        </w:rPr>
      </w:pPr>
    </w:p>
    <w:p w14:paraId="1C3312DC">
      <w:pPr>
        <w:snapToGrid w:val="0"/>
        <w:spacing w:before="156" w:beforeLines="50" w:after="50"/>
        <w:rPr>
          <w:rFonts w:hint="eastAsia" w:ascii="宋体" w:hAnsi="宋体"/>
          <w:bCs/>
          <w:color w:val="auto"/>
          <w:sz w:val="24"/>
          <w:szCs w:val="20"/>
          <w:highlight w:val="none"/>
        </w:rPr>
      </w:pPr>
    </w:p>
    <w:p w14:paraId="6E674AF9">
      <w:pPr>
        <w:snapToGrid w:val="0"/>
        <w:spacing w:before="156" w:beforeLines="50" w:after="50"/>
        <w:rPr>
          <w:rFonts w:hint="eastAsia" w:ascii="宋体" w:hAnsi="宋体"/>
          <w:bCs/>
          <w:color w:val="auto"/>
          <w:sz w:val="24"/>
          <w:szCs w:val="20"/>
          <w:highlight w:val="none"/>
        </w:rPr>
      </w:pPr>
    </w:p>
    <w:p w14:paraId="0BB4367C">
      <w:pPr>
        <w:snapToGrid w:val="0"/>
        <w:spacing w:before="156" w:beforeLines="50" w:after="50"/>
        <w:rPr>
          <w:rFonts w:hint="eastAsia" w:ascii="宋体" w:hAnsi="宋体"/>
          <w:bCs/>
          <w:color w:val="auto"/>
          <w:sz w:val="24"/>
          <w:szCs w:val="20"/>
          <w:highlight w:val="none"/>
        </w:rPr>
      </w:pPr>
    </w:p>
    <w:p w14:paraId="1B9AE8A0">
      <w:pPr>
        <w:snapToGrid w:val="0"/>
        <w:spacing w:before="156" w:beforeLines="50" w:after="50"/>
        <w:rPr>
          <w:rFonts w:hint="eastAsia" w:ascii="宋体" w:hAnsi="宋体"/>
          <w:bCs/>
          <w:color w:val="auto"/>
          <w:sz w:val="24"/>
          <w:szCs w:val="20"/>
          <w:highlight w:val="none"/>
        </w:rPr>
      </w:pPr>
    </w:p>
    <w:p w14:paraId="20DAF0B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A520F07">
      <w:pPr>
        <w:snapToGrid w:val="0"/>
        <w:spacing w:before="156" w:beforeLines="50" w:after="50"/>
        <w:ind w:firstLine="720" w:firstLineChars="225"/>
        <w:rPr>
          <w:rFonts w:hint="eastAsia" w:ascii="宋体" w:hAnsi="宋体" w:cs="仿宋_GB2312"/>
          <w:bCs/>
          <w:color w:val="auto"/>
          <w:sz w:val="32"/>
          <w:szCs w:val="32"/>
          <w:highlight w:val="none"/>
        </w:rPr>
      </w:pPr>
    </w:p>
    <w:p w14:paraId="091731E6">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9E1FA6D">
      <w:pPr>
        <w:snapToGrid w:val="0"/>
        <w:spacing w:before="156" w:beforeLines="50" w:after="50"/>
        <w:ind w:firstLine="720" w:firstLineChars="225"/>
        <w:rPr>
          <w:rFonts w:hint="eastAsia" w:ascii="宋体" w:hAnsi="宋体" w:cs="仿宋_GB2312"/>
          <w:bCs/>
          <w:color w:val="auto"/>
          <w:sz w:val="32"/>
          <w:szCs w:val="32"/>
          <w:highlight w:val="none"/>
        </w:rPr>
      </w:pPr>
    </w:p>
    <w:p w14:paraId="4D511870">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B236FA8">
      <w:pPr>
        <w:pStyle w:val="9"/>
        <w:snapToGrid w:val="0"/>
        <w:spacing w:before="50" w:after="50"/>
        <w:ind w:firstLine="640"/>
        <w:rPr>
          <w:rFonts w:hint="eastAsia" w:ascii="宋体" w:hAnsi="宋体" w:cs="仿宋_GB2312"/>
          <w:bCs/>
          <w:color w:val="auto"/>
          <w:sz w:val="32"/>
          <w:szCs w:val="32"/>
          <w:highlight w:val="none"/>
        </w:rPr>
      </w:pPr>
    </w:p>
    <w:p w14:paraId="597F5A3E">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05B5F10A">
      <w:pPr>
        <w:snapToGrid w:val="0"/>
        <w:spacing w:before="156" w:beforeLines="50" w:after="50"/>
        <w:ind w:firstLine="640" w:firstLineChars="200"/>
        <w:rPr>
          <w:rFonts w:hint="eastAsia" w:ascii="宋体" w:hAnsi="宋体" w:cs="仿宋_GB2312"/>
          <w:bCs/>
          <w:color w:val="auto"/>
          <w:sz w:val="32"/>
          <w:szCs w:val="32"/>
          <w:highlight w:val="none"/>
        </w:rPr>
      </w:pPr>
    </w:p>
    <w:p w14:paraId="2FECD16B">
      <w:pPr>
        <w:pStyle w:val="9"/>
        <w:snapToGrid w:val="0"/>
        <w:spacing w:before="50" w:after="50"/>
        <w:ind w:firstLine="720" w:firstLineChars="225"/>
        <w:rPr>
          <w:rFonts w:hint="eastAsia" w:ascii="宋体" w:hAnsi="宋体" w:cs="仿宋_GB2312"/>
          <w:bCs/>
          <w:color w:val="auto"/>
          <w:sz w:val="32"/>
          <w:szCs w:val="32"/>
          <w:highlight w:val="none"/>
        </w:rPr>
      </w:pPr>
    </w:p>
    <w:p w14:paraId="2B2AC5F9">
      <w:pPr>
        <w:pStyle w:val="9"/>
        <w:snapToGrid w:val="0"/>
        <w:spacing w:before="50" w:after="50"/>
        <w:ind w:firstLine="1280" w:firstLineChars="400"/>
        <w:rPr>
          <w:rFonts w:hint="eastAsia" w:ascii="宋体" w:hAnsi="宋体" w:cs="仿宋_GB2312"/>
          <w:bCs/>
          <w:color w:val="auto"/>
          <w:sz w:val="32"/>
          <w:szCs w:val="32"/>
          <w:highlight w:val="none"/>
        </w:rPr>
      </w:pPr>
    </w:p>
    <w:p w14:paraId="22F99B9A">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CD33AFC">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2E8ABFCC">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BECBE51">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644DEEA8">
      <w:pPr>
        <w:spacing w:line="300" w:lineRule="auto"/>
        <w:rPr>
          <w:rFonts w:hint="eastAsia" w:ascii="宋体" w:hAnsi="宋体"/>
          <w:color w:val="auto"/>
          <w:szCs w:val="21"/>
          <w:highlight w:val="none"/>
        </w:rPr>
      </w:pPr>
    </w:p>
    <w:p w14:paraId="1CC99CF1">
      <w:pPr>
        <w:spacing w:line="300" w:lineRule="auto"/>
        <w:rPr>
          <w:rFonts w:hint="eastAsia" w:ascii="宋体" w:hAnsi="宋体"/>
          <w:color w:val="auto"/>
          <w:szCs w:val="21"/>
          <w:highlight w:val="none"/>
        </w:rPr>
      </w:pPr>
    </w:p>
    <w:p w14:paraId="7D969154">
      <w:pPr>
        <w:spacing w:line="300" w:lineRule="auto"/>
        <w:rPr>
          <w:rFonts w:hint="eastAsia" w:ascii="宋体" w:hAnsi="宋体"/>
          <w:color w:val="auto"/>
          <w:szCs w:val="21"/>
          <w:highlight w:val="none"/>
        </w:rPr>
      </w:pPr>
    </w:p>
    <w:p w14:paraId="1452442C">
      <w:pPr>
        <w:spacing w:line="300" w:lineRule="auto"/>
        <w:rPr>
          <w:rFonts w:hint="eastAsia" w:ascii="宋体" w:hAnsi="宋体"/>
          <w:color w:val="auto"/>
          <w:szCs w:val="21"/>
          <w:highlight w:val="none"/>
        </w:rPr>
      </w:pPr>
    </w:p>
    <w:p w14:paraId="330DFAD1">
      <w:pPr>
        <w:spacing w:line="300" w:lineRule="auto"/>
        <w:rPr>
          <w:rFonts w:hint="eastAsia" w:ascii="宋体" w:hAnsi="宋体"/>
          <w:color w:val="auto"/>
          <w:szCs w:val="21"/>
          <w:highlight w:val="none"/>
        </w:rPr>
      </w:pPr>
    </w:p>
    <w:p w14:paraId="3A5BEB8F">
      <w:pPr>
        <w:spacing w:line="300" w:lineRule="auto"/>
        <w:rPr>
          <w:rFonts w:hint="eastAsia" w:ascii="宋体" w:hAnsi="宋体"/>
          <w:color w:val="auto"/>
          <w:szCs w:val="21"/>
          <w:highlight w:val="none"/>
        </w:rPr>
      </w:pPr>
    </w:p>
    <w:p w14:paraId="7368994C">
      <w:pPr>
        <w:spacing w:line="300" w:lineRule="auto"/>
        <w:rPr>
          <w:rFonts w:hint="eastAsia" w:ascii="宋体" w:hAnsi="宋体"/>
          <w:color w:val="auto"/>
          <w:szCs w:val="21"/>
          <w:highlight w:val="none"/>
        </w:rPr>
      </w:pPr>
    </w:p>
    <w:p w14:paraId="0ECDFC56">
      <w:pPr>
        <w:spacing w:line="300" w:lineRule="auto"/>
        <w:rPr>
          <w:rFonts w:hint="eastAsia" w:ascii="宋体" w:hAnsi="宋体"/>
          <w:color w:val="auto"/>
          <w:szCs w:val="21"/>
          <w:highlight w:val="none"/>
        </w:rPr>
      </w:pPr>
    </w:p>
    <w:p w14:paraId="0F562F4F">
      <w:pPr>
        <w:spacing w:line="300" w:lineRule="auto"/>
        <w:rPr>
          <w:rFonts w:hint="eastAsia" w:ascii="宋体" w:hAnsi="宋体"/>
          <w:color w:val="auto"/>
          <w:szCs w:val="21"/>
          <w:highlight w:val="none"/>
        </w:rPr>
      </w:pPr>
    </w:p>
    <w:p w14:paraId="7861A8C9">
      <w:pPr>
        <w:spacing w:line="300" w:lineRule="auto"/>
        <w:rPr>
          <w:rFonts w:hint="eastAsia" w:ascii="宋体" w:hAnsi="宋体"/>
          <w:color w:val="auto"/>
          <w:szCs w:val="21"/>
          <w:highlight w:val="none"/>
        </w:rPr>
      </w:pPr>
    </w:p>
    <w:p w14:paraId="559524F9">
      <w:pPr>
        <w:spacing w:line="300" w:lineRule="auto"/>
        <w:rPr>
          <w:rFonts w:hint="eastAsia" w:ascii="宋体" w:hAnsi="宋体"/>
          <w:color w:val="auto"/>
          <w:szCs w:val="21"/>
          <w:highlight w:val="none"/>
        </w:rPr>
      </w:pPr>
    </w:p>
    <w:p w14:paraId="55B84B55">
      <w:pPr>
        <w:spacing w:line="300" w:lineRule="auto"/>
        <w:rPr>
          <w:rFonts w:hint="eastAsia" w:ascii="宋体" w:hAnsi="宋体"/>
          <w:color w:val="auto"/>
          <w:szCs w:val="21"/>
          <w:highlight w:val="none"/>
        </w:rPr>
      </w:pPr>
    </w:p>
    <w:p w14:paraId="1A2EE4C8">
      <w:pPr>
        <w:spacing w:line="300" w:lineRule="auto"/>
        <w:rPr>
          <w:rFonts w:hint="eastAsia" w:ascii="宋体" w:hAnsi="宋体"/>
          <w:color w:val="auto"/>
          <w:szCs w:val="21"/>
          <w:highlight w:val="none"/>
        </w:rPr>
      </w:pPr>
    </w:p>
    <w:p w14:paraId="140B8B86">
      <w:pPr>
        <w:spacing w:line="300" w:lineRule="auto"/>
        <w:rPr>
          <w:rFonts w:hint="eastAsia" w:ascii="宋体" w:hAnsi="宋体"/>
          <w:color w:val="auto"/>
          <w:szCs w:val="21"/>
          <w:highlight w:val="none"/>
        </w:rPr>
      </w:pPr>
    </w:p>
    <w:p w14:paraId="19F4565E">
      <w:pPr>
        <w:spacing w:line="300" w:lineRule="auto"/>
        <w:rPr>
          <w:rFonts w:hint="eastAsia" w:ascii="宋体" w:hAnsi="宋体"/>
          <w:color w:val="auto"/>
          <w:szCs w:val="21"/>
          <w:highlight w:val="none"/>
        </w:rPr>
      </w:pPr>
    </w:p>
    <w:p w14:paraId="4DA220F3">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5FD6EB15">
      <w:pPr>
        <w:spacing w:line="320" w:lineRule="exact"/>
        <w:jc w:val="center"/>
        <w:rPr>
          <w:rFonts w:hint="eastAsia" w:ascii="宋体" w:hAnsi="宋体"/>
          <w:color w:val="auto"/>
          <w:sz w:val="24"/>
          <w:szCs w:val="20"/>
          <w:highlight w:val="none"/>
        </w:rPr>
      </w:pPr>
    </w:p>
    <w:p w14:paraId="5305788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13EE464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0A430B">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1FBADA8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5E5D7B1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43477D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8A7F7B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4ED7067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2A20CF8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47C6AAB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B8FF03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BFE6D1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AAC6E7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441693E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313532F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0F178C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AB39A4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4733494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58FD3D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9BE697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28E016C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7D78EE4">
      <w:pPr>
        <w:pStyle w:val="1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63918131">
      <w:pPr>
        <w:pStyle w:val="1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0160FC3">
      <w:pPr>
        <w:pStyle w:val="14"/>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4967994F">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6715400">
      <w:pPr>
        <w:pStyle w:val="14"/>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64B057D8">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5C26DD1F">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59FDDE6E">
      <w:pPr>
        <w:spacing w:line="360" w:lineRule="auto"/>
        <w:contextualSpacing/>
        <w:jc w:val="left"/>
        <w:rPr>
          <w:rFonts w:hint="eastAsia" w:ascii="宋体" w:hAnsi="宋体" w:cs="宋体"/>
          <w:color w:val="auto"/>
          <w:szCs w:val="21"/>
          <w:highlight w:val="none"/>
        </w:rPr>
      </w:pPr>
    </w:p>
    <w:p w14:paraId="7B4AF893">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062F1EB6">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58B9D09B">
      <w:pPr>
        <w:pStyle w:val="14"/>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6B84B5C1">
      <w:pPr>
        <w:spacing w:line="320" w:lineRule="exact"/>
        <w:jc w:val="left"/>
        <w:rPr>
          <w:rFonts w:hint="eastAsia" w:ascii="宋体" w:hAnsi="宋体"/>
          <w:color w:val="auto"/>
          <w:szCs w:val="21"/>
          <w:highlight w:val="none"/>
        </w:rPr>
      </w:pPr>
    </w:p>
    <w:p w14:paraId="5D3D9915">
      <w:pPr>
        <w:spacing w:line="320" w:lineRule="exact"/>
        <w:jc w:val="center"/>
        <w:rPr>
          <w:rFonts w:hint="eastAsia" w:ascii="宋体" w:hAnsi="宋体"/>
          <w:b/>
          <w:color w:val="auto"/>
          <w:sz w:val="32"/>
          <w:szCs w:val="32"/>
          <w:highlight w:val="none"/>
        </w:rPr>
      </w:pPr>
    </w:p>
    <w:p w14:paraId="1F26B118">
      <w:pPr>
        <w:spacing w:line="320" w:lineRule="exact"/>
        <w:jc w:val="center"/>
        <w:rPr>
          <w:rFonts w:hint="eastAsia" w:ascii="宋体" w:hAnsi="宋体"/>
          <w:b/>
          <w:color w:val="auto"/>
          <w:sz w:val="32"/>
          <w:szCs w:val="32"/>
          <w:highlight w:val="none"/>
        </w:rPr>
      </w:pPr>
    </w:p>
    <w:p w14:paraId="2A649FDD">
      <w:pPr>
        <w:spacing w:line="320" w:lineRule="exact"/>
        <w:jc w:val="center"/>
        <w:rPr>
          <w:rFonts w:hint="eastAsia" w:ascii="宋体" w:hAnsi="宋体"/>
          <w:b/>
          <w:color w:val="auto"/>
          <w:sz w:val="32"/>
          <w:szCs w:val="32"/>
          <w:highlight w:val="none"/>
        </w:rPr>
      </w:pPr>
    </w:p>
    <w:p w14:paraId="7155B953">
      <w:pPr>
        <w:spacing w:line="320" w:lineRule="exact"/>
        <w:jc w:val="center"/>
        <w:rPr>
          <w:rFonts w:hint="eastAsia" w:ascii="宋体" w:hAnsi="宋体"/>
          <w:b/>
          <w:color w:val="auto"/>
          <w:sz w:val="32"/>
          <w:szCs w:val="32"/>
          <w:highlight w:val="none"/>
        </w:rPr>
      </w:pPr>
    </w:p>
    <w:p w14:paraId="00B38F68">
      <w:pPr>
        <w:spacing w:line="320" w:lineRule="exact"/>
        <w:jc w:val="center"/>
        <w:rPr>
          <w:rFonts w:hint="eastAsia" w:ascii="宋体" w:hAnsi="宋体"/>
          <w:b/>
          <w:color w:val="auto"/>
          <w:sz w:val="32"/>
          <w:szCs w:val="32"/>
          <w:highlight w:val="none"/>
        </w:rPr>
      </w:pPr>
    </w:p>
    <w:p w14:paraId="03912BC7">
      <w:pPr>
        <w:spacing w:line="320" w:lineRule="exact"/>
        <w:jc w:val="center"/>
        <w:rPr>
          <w:rFonts w:hint="eastAsia" w:ascii="宋体" w:hAnsi="宋体"/>
          <w:b/>
          <w:color w:val="auto"/>
          <w:sz w:val="32"/>
          <w:szCs w:val="32"/>
          <w:highlight w:val="none"/>
        </w:rPr>
      </w:pPr>
    </w:p>
    <w:p w14:paraId="73491E19">
      <w:pPr>
        <w:spacing w:line="320" w:lineRule="exact"/>
        <w:jc w:val="center"/>
        <w:rPr>
          <w:rFonts w:hint="eastAsia" w:ascii="宋体" w:hAnsi="宋体"/>
          <w:b/>
          <w:color w:val="auto"/>
          <w:sz w:val="32"/>
          <w:szCs w:val="32"/>
          <w:highlight w:val="none"/>
        </w:rPr>
      </w:pPr>
    </w:p>
    <w:p w14:paraId="5714A23E">
      <w:pPr>
        <w:spacing w:line="320" w:lineRule="exact"/>
        <w:jc w:val="center"/>
        <w:rPr>
          <w:rFonts w:hint="eastAsia" w:ascii="宋体" w:hAnsi="宋体"/>
          <w:b/>
          <w:color w:val="auto"/>
          <w:sz w:val="32"/>
          <w:szCs w:val="32"/>
          <w:highlight w:val="none"/>
        </w:rPr>
      </w:pPr>
    </w:p>
    <w:p w14:paraId="4DA11A89">
      <w:pPr>
        <w:spacing w:line="320" w:lineRule="exact"/>
        <w:jc w:val="center"/>
        <w:rPr>
          <w:rFonts w:hint="eastAsia" w:ascii="宋体" w:hAnsi="宋体"/>
          <w:b/>
          <w:color w:val="auto"/>
          <w:sz w:val="32"/>
          <w:szCs w:val="32"/>
          <w:highlight w:val="none"/>
        </w:rPr>
      </w:pPr>
    </w:p>
    <w:p w14:paraId="3883D6D5">
      <w:pPr>
        <w:spacing w:line="320" w:lineRule="exact"/>
        <w:jc w:val="center"/>
        <w:rPr>
          <w:rFonts w:hint="eastAsia" w:ascii="宋体" w:hAnsi="宋体"/>
          <w:b/>
          <w:color w:val="auto"/>
          <w:sz w:val="32"/>
          <w:szCs w:val="32"/>
          <w:highlight w:val="none"/>
        </w:rPr>
      </w:pPr>
    </w:p>
    <w:p w14:paraId="34D573C9">
      <w:pPr>
        <w:spacing w:line="320" w:lineRule="exact"/>
        <w:jc w:val="center"/>
        <w:rPr>
          <w:rFonts w:hint="eastAsia" w:ascii="宋体" w:hAnsi="宋体"/>
          <w:b/>
          <w:color w:val="auto"/>
          <w:sz w:val="32"/>
          <w:szCs w:val="32"/>
          <w:highlight w:val="none"/>
        </w:rPr>
      </w:pPr>
    </w:p>
    <w:p w14:paraId="7BC7A7A7">
      <w:pPr>
        <w:spacing w:line="320" w:lineRule="exact"/>
        <w:jc w:val="center"/>
        <w:rPr>
          <w:rFonts w:hint="eastAsia" w:ascii="宋体" w:hAnsi="宋体"/>
          <w:b/>
          <w:color w:val="auto"/>
          <w:sz w:val="32"/>
          <w:szCs w:val="32"/>
          <w:highlight w:val="none"/>
        </w:rPr>
      </w:pPr>
    </w:p>
    <w:p w14:paraId="3577B65E">
      <w:pPr>
        <w:spacing w:line="320" w:lineRule="exact"/>
        <w:jc w:val="center"/>
        <w:rPr>
          <w:rFonts w:hint="eastAsia" w:ascii="宋体" w:hAnsi="宋体"/>
          <w:b/>
          <w:color w:val="auto"/>
          <w:sz w:val="32"/>
          <w:szCs w:val="32"/>
          <w:highlight w:val="none"/>
        </w:rPr>
      </w:pPr>
    </w:p>
    <w:p w14:paraId="4C9C0200">
      <w:pPr>
        <w:spacing w:line="320" w:lineRule="exact"/>
        <w:jc w:val="center"/>
        <w:rPr>
          <w:rFonts w:hint="eastAsia" w:ascii="宋体" w:hAnsi="宋体"/>
          <w:b/>
          <w:color w:val="auto"/>
          <w:sz w:val="32"/>
          <w:szCs w:val="32"/>
          <w:highlight w:val="none"/>
        </w:rPr>
      </w:pPr>
    </w:p>
    <w:p w14:paraId="18058947">
      <w:pPr>
        <w:spacing w:line="320" w:lineRule="exact"/>
        <w:jc w:val="center"/>
        <w:rPr>
          <w:rFonts w:hint="eastAsia" w:ascii="宋体" w:hAnsi="宋体"/>
          <w:b/>
          <w:color w:val="auto"/>
          <w:sz w:val="32"/>
          <w:szCs w:val="32"/>
          <w:highlight w:val="none"/>
        </w:rPr>
      </w:pPr>
    </w:p>
    <w:p w14:paraId="27702304">
      <w:pPr>
        <w:spacing w:line="320" w:lineRule="exact"/>
        <w:jc w:val="center"/>
        <w:rPr>
          <w:rFonts w:hint="eastAsia" w:ascii="宋体" w:hAnsi="宋体"/>
          <w:b/>
          <w:color w:val="auto"/>
          <w:sz w:val="32"/>
          <w:szCs w:val="32"/>
          <w:highlight w:val="none"/>
        </w:rPr>
      </w:pPr>
    </w:p>
    <w:p w14:paraId="13FC091A">
      <w:pPr>
        <w:spacing w:line="320" w:lineRule="exact"/>
        <w:jc w:val="center"/>
        <w:rPr>
          <w:rFonts w:hint="eastAsia" w:ascii="宋体" w:hAnsi="宋体"/>
          <w:b/>
          <w:color w:val="auto"/>
          <w:sz w:val="32"/>
          <w:szCs w:val="32"/>
          <w:highlight w:val="none"/>
        </w:rPr>
      </w:pPr>
    </w:p>
    <w:p w14:paraId="46F5EA36">
      <w:pPr>
        <w:spacing w:line="320" w:lineRule="exact"/>
        <w:jc w:val="center"/>
        <w:rPr>
          <w:rFonts w:hint="eastAsia" w:ascii="宋体" w:hAnsi="宋体"/>
          <w:b/>
          <w:color w:val="auto"/>
          <w:sz w:val="32"/>
          <w:szCs w:val="32"/>
          <w:highlight w:val="none"/>
        </w:rPr>
      </w:pPr>
    </w:p>
    <w:p w14:paraId="6326E332">
      <w:pPr>
        <w:spacing w:line="320" w:lineRule="exact"/>
        <w:jc w:val="center"/>
        <w:rPr>
          <w:rFonts w:hint="eastAsia" w:ascii="宋体" w:hAnsi="宋体"/>
          <w:b/>
          <w:color w:val="auto"/>
          <w:sz w:val="32"/>
          <w:szCs w:val="32"/>
          <w:highlight w:val="none"/>
        </w:rPr>
      </w:pPr>
    </w:p>
    <w:p w14:paraId="65E6DD3D">
      <w:pPr>
        <w:spacing w:line="320" w:lineRule="exact"/>
        <w:jc w:val="center"/>
        <w:rPr>
          <w:rFonts w:hint="eastAsia" w:ascii="宋体" w:hAnsi="宋体"/>
          <w:b/>
          <w:color w:val="auto"/>
          <w:sz w:val="32"/>
          <w:szCs w:val="32"/>
          <w:highlight w:val="none"/>
        </w:rPr>
      </w:pPr>
    </w:p>
    <w:p w14:paraId="64C25276">
      <w:pPr>
        <w:spacing w:line="320" w:lineRule="exact"/>
        <w:jc w:val="center"/>
        <w:rPr>
          <w:rFonts w:hint="eastAsia" w:ascii="宋体" w:hAnsi="宋体"/>
          <w:b/>
          <w:color w:val="auto"/>
          <w:sz w:val="32"/>
          <w:szCs w:val="32"/>
          <w:highlight w:val="none"/>
        </w:rPr>
      </w:pPr>
    </w:p>
    <w:p w14:paraId="0DE268E3">
      <w:pPr>
        <w:spacing w:line="320" w:lineRule="exact"/>
        <w:jc w:val="center"/>
        <w:rPr>
          <w:rFonts w:hint="eastAsia" w:ascii="宋体" w:hAnsi="宋体"/>
          <w:b/>
          <w:color w:val="auto"/>
          <w:sz w:val="32"/>
          <w:szCs w:val="32"/>
          <w:highlight w:val="none"/>
        </w:rPr>
      </w:pPr>
    </w:p>
    <w:p w14:paraId="41DE9525">
      <w:pPr>
        <w:spacing w:line="320" w:lineRule="exact"/>
        <w:jc w:val="center"/>
        <w:rPr>
          <w:rFonts w:hint="eastAsia" w:ascii="宋体" w:hAnsi="宋体"/>
          <w:b/>
          <w:color w:val="auto"/>
          <w:sz w:val="32"/>
          <w:szCs w:val="32"/>
          <w:highlight w:val="none"/>
        </w:rPr>
      </w:pPr>
    </w:p>
    <w:p w14:paraId="130C8DA0">
      <w:pPr>
        <w:spacing w:line="320" w:lineRule="exact"/>
        <w:jc w:val="center"/>
        <w:rPr>
          <w:rFonts w:hint="eastAsia" w:ascii="宋体" w:hAnsi="宋体"/>
          <w:b/>
          <w:color w:val="auto"/>
          <w:sz w:val="32"/>
          <w:szCs w:val="32"/>
          <w:highlight w:val="none"/>
        </w:rPr>
      </w:pPr>
    </w:p>
    <w:p w14:paraId="63A1FD27">
      <w:pPr>
        <w:spacing w:line="320" w:lineRule="exact"/>
        <w:jc w:val="center"/>
        <w:rPr>
          <w:rFonts w:hint="eastAsia" w:ascii="宋体" w:hAnsi="宋体"/>
          <w:b/>
          <w:color w:val="auto"/>
          <w:sz w:val="32"/>
          <w:szCs w:val="32"/>
          <w:highlight w:val="none"/>
        </w:rPr>
      </w:pPr>
    </w:p>
    <w:p w14:paraId="5879ACB0">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4EE2CEE0">
      <w:pPr>
        <w:spacing w:line="360" w:lineRule="auto"/>
        <w:contextualSpacing/>
        <w:jc w:val="center"/>
        <w:rPr>
          <w:rFonts w:hint="eastAsia" w:ascii="宋体" w:hAnsi="宋体"/>
          <w:b/>
          <w:color w:val="auto"/>
          <w:sz w:val="32"/>
          <w:szCs w:val="32"/>
          <w:highlight w:val="none"/>
        </w:rPr>
      </w:pPr>
    </w:p>
    <w:p w14:paraId="6E2759A3">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76A6C27D">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AABDC6D">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80346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679BD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D2CFD7">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7C363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37831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99C1ADA">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33EC6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003A94">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D404A1">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C24531">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E54530">
            <w:pPr>
              <w:widowControl/>
              <w:spacing w:line="360" w:lineRule="auto"/>
              <w:contextualSpacing/>
              <w:jc w:val="center"/>
              <w:rPr>
                <w:rFonts w:hint="eastAsia" w:ascii="宋体" w:hAnsi="宋体" w:cs="宋体"/>
                <w:color w:val="auto"/>
                <w:kern w:val="0"/>
                <w:sz w:val="24"/>
                <w:highlight w:val="none"/>
              </w:rPr>
            </w:pPr>
          </w:p>
        </w:tc>
      </w:tr>
      <w:tr w14:paraId="0F515FE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BF03EB">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F064FC5">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2F2D15">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E14369">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E4099B">
            <w:pPr>
              <w:widowControl/>
              <w:spacing w:line="360" w:lineRule="auto"/>
              <w:contextualSpacing/>
              <w:jc w:val="center"/>
              <w:rPr>
                <w:rFonts w:hint="eastAsia" w:ascii="宋体" w:hAnsi="宋体" w:cs="宋体"/>
                <w:color w:val="auto"/>
                <w:kern w:val="0"/>
                <w:sz w:val="24"/>
                <w:highlight w:val="none"/>
              </w:rPr>
            </w:pPr>
          </w:p>
        </w:tc>
      </w:tr>
      <w:tr w14:paraId="7DC9FEC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FD88CD6">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9FD3DE">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8FDB98">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8E81814">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F0AA81">
            <w:pPr>
              <w:widowControl/>
              <w:spacing w:line="360" w:lineRule="auto"/>
              <w:contextualSpacing/>
              <w:jc w:val="center"/>
              <w:rPr>
                <w:rFonts w:hint="eastAsia" w:ascii="宋体" w:hAnsi="宋体" w:cs="宋体"/>
                <w:color w:val="auto"/>
                <w:kern w:val="0"/>
                <w:sz w:val="24"/>
                <w:highlight w:val="none"/>
              </w:rPr>
            </w:pPr>
          </w:p>
        </w:tc>
      </w:tr>
      <w:tr w14:paraId="37E6012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94062D3">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1C1198">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DBBEFF">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3B211E">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17245A1">
            <w:pPr>
              <w:widowControl/>
              <w:spacing w:line="360" w:lineRule="auto"/>
              <w:contextualSpacing/>
              <w:jc w:val="center"/>
              <w:rPr>
                <w:rFonts w:hint="eastAsia" w:ascii="宋体" w:hAnsi="宋体" w:cs="宋体"/>
                <w:color w:val="auto"/>
                <w:kern w:val="0"/>
                <w:sz w:val="24"/>
                <w:highlight w:val="none"/>
              </w:rPr>
            </w:pPr>
          </w:p>
        </w:tc>
      </w:tr>
    </w:tbl>
    <w:p w14:paraId="0DC678C7">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121434B3">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C3678AB">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40BFF018">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1E6A967F">
      <w:pPr>
        <w:spacing w:line="360" w:lineRule="auto"/>
        <w:ind w:firstLine="420" w:firstLineChars="200"/>
        <w:contextualSpacing/>
        <w:jc w:val="left"/>
        <w:rPr>
          <w:rFonts w:hint="eastAsia" w:ascii="宋体" w:hAnsi="宋体" w:cs="宋体"/>
          <w:color w:val="auto"/>
          <w:szCs w:val="21"/>
          <w:highlight w:val="none"/>
        </w:rPr>
      </w:pPr>
    </w:p>
    <w:p w14:paraId="7A1C4E70">
      <w:pPr>
        <w:spacing w:line="360" w:lineRule="auto"/>
        <w:ind w:firstLine="560" w:firstLineChars="200"/>
        <w:contextualSpacing/>
        <w:jc w:val="left"/>
        <w:rPr>
          <w:rFonts w:hint="eastAsia" w:ascii="宋体" w:hAnsi="宋体" w:cs="宋体"/>
          <w:color w:val="auto"/>
          <w:sz w:val="28"/>
          <w:szCs w:val="28"/>
          <w:highlight w:val="none"/>
        </w:rPr>
      </w:pPr>
    </w:p>
    <w:p w14:paraId="2AFA29C2">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A20AFBF">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33031C09">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19576375">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488F3F58">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3A7DE384">
      <w:pPr>
        <w:snapToGrid w:val="0"/>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001CC3D">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8E22E9">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DE03F6">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4ABA81">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E19AF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7C671C2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054550">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40B8FF">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05EB8D">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2A3CB0">
            <w:pPr>
              <w:widowControl/>
              <w:spacing w:line="360" w:lineRule="auto"/>
              <w:contextualSpacing/>
              <w:jc w:val="center"/>
              <w:rPr>
                <w:rFonts w:hint="eastAsia" w:ascii="宋体" w:hAnsi="宋体" w:cs="宋体"/>
                <w:color w:val="auto"/>
                <w:kern w:val="0"/>
                <w:sz w:val="24"/>
                <w:highlight w:val="none"/>
              </w:rPr>
            </w:pPr>
          </w:p>
        </w:tc>
      </w:tr>
      <w:tr w14:paraId="453A963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B0EE73">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B86E3F">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6A30C5">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DDACCB">
            <w:pPr>
              <w:widowControl/>
              <w:spacing w:line="360" w:lineRule="auto"/>
              <w:contextualSpacing/>
              <w:jc w:val="center"/>
              <w:rPr>
                <w:rFonts w:hint="eastAsia" w:ascii="宋体" w:hAnsi="宋体" w:cs="宋体"/>
                <w:color w:val="auto"/>
                <w:kern w:val="0"/>
                <w:sz w:val="24"/>
                <w:highlight w:val="none"/>
              </w:rPr>
            </w:pPr>
          </w:p>
        </w:tc>
      </w:tr>
      <w:tr w14:paraId="6222D5D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A1140A">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8ACAF5">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98CE47">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2E5940">
            <w:pPr>
              <w:widowControl/>
              <w:spacing w:line="360" w:lineRule="auto"/>
              <w:contextualSpacing/>
              <w:jc w:val="center"/>
              <w:rPr>
                <w:rFonts w:hint="eastAsia" w:ascii="宋体" w:hAnsi="宋体" w:cs="宋体"/>
                <w:color w:val="auto"/>
                <w:kern w:val="0"/>
                <w:sz w:val="24"/>
                <w:highlight w:val="none"/>
              </w:rPr>
            </w:pPr>
          </w:p>
        </w:tc>
      </w:tr>
      <w:tr w14:paraId="0DD188B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71D6DE">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4CECF9">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2BDCB4">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BED3D6">
            <w:pPr>
              <w:widowControl/>
              <w:spacing w:line="360" w:lineRule="auto"/>
              <w:contextualSpacing/>
              <w:jc w:val="center"/>
              <w:rPr>
                <w:rFonts w:hint="eastAsia" w:ascii="宋体" w:hAnsi="宋体" w:cs="宋体"/>
                <w:color w:val="auto"/>
                <w:kern w:val="0"/>
                <w:sz w:val="24"/>
                <w:highlight w:val="none"/>
              </w:rPr>
            </w:pPr>
          </w:p>
        </w:tc>
      </w:tr>
    </w:tbl>
    <w:p w14:paraId="3A75C0DF">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52750B4B">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F3F25BE">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6497E0A2">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3191955F">
      <w:pPr>
        <w:spacing w:line="360" w:lineRule="auto"/>
        <w:contextualSpacing/>
        <w:jc w:val="left"/>
        <w:rPr>
          <w:rFonts w:hint="eastAsia" w:ascii="宋体" w:hAnsi="宋体"/>
          <w:color w:val="auto"/>
          <w:sz w:val="28"/>
          <w:szCs w:val="28"/>
          <w:highlight w:val="none"/>
        </w:rPr>
      </w:pPr>
    </w:p>
    <w:p w14:paraId="391C3448">
      <w:pPr>
        <w:spacing w:line="360" w:lineRule="auto"/>
        <w:contextualSpacing/>
        <w:jc w:val="left"/>
        <w:rPr>
          <w:rFonts w:hint="eastAsia" w:ascii="宋体" w:hAnsi="宋体"/>
          <w:color w:val="auto"/>
          <w:sz w:val="28"/>
          <w:szCs w:val="28"/>
          <w:highlight w:val="none"/>
        </w:rPr>
      </w:pPr>
    </w:p>
    <w:p w14:paraId="0A0E6EAC">
      <w:pPr>
        <w:spacing w:line="360" w:lineRule="auto"/>
        <w:contextualSpacing/>
        <w:jc w:val="left"/>
        <w:rPr>
          <w:color w:val="auto"/>
          <w:sz w:val="28"/>
          <w:szCs w:val="28"/>
          <w:highlight w:val="none"/>
        </w:rPr>
      </w:pPr>
    </w:p>
    <w:p w14:paraId="66B87F05">
      <w:pPr>
        <w:spacing w:line="360" w:lineRule="auto"/>
        <w:contextualSpacing/>
        <w:jc w:val="left"/>
        <w:rPr>
          <w:rFonts w:hint="eastAsia" w:ascii="宋体" w:hAnsi="宋体"/>
          <w:color w:val="auto"/>
          <w:sz w:val="28"/>
          <w:szCs w:val="28"/>
          <w:highlight w:val="none"/>
        </w:rPr>
      </w:pPr>
    </w:p>
    <w:p w14:paraId="4EEDC80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320370C">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55EC9429">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6FFCC9B3">
      <w:pPr>
        <w:pStyle w:val="14"/>
        <w:tabs>
          <w:tab w:val="left" w:pos="939"/>
        </w:tabs>
        <w:spacing w:line="360" w:lineRule="auto"/>
        <w:ind w:left="0" w:leftChars="0" w:firstLine="560" w:firstLineChars="200"/>
        <w:rPr>
          <w:rFonts w:hint="eastAsia" w:ascii="宋体" w:hAnsi="宋体"/>
          <w:color w:val="auto"/>
          <w:sz w:val="28"/>
          <w:szCs w:val="28"/>
          <w:highlight w:val="none"/>
        </w:rPr>
      </w:pPr>
    </w:p>
    <w:p w14:paraId="4FD2CBF1">
      <w:pPr>
        <w:pStyle w:val="14"/>
        <w:tabs>
          <w:tab w:val="left" w:pos="939"/>
        </w:tabs>
        <w:spacing w:line="360" w:lineRule="auto"/>
        <w:ind w:left="980" w:hanging="560"/>
        <w:rPr>
          <w:rFonts w:hint="eastAsia" w:ascii="宋体" w:hAnsi="宋体"/>
          <w:color w:val="auto"/>
          <w:sz w:val="28"/>
          <w:szCs w:val="28"/>
          <w:highlight w:val="none"/>
        </w:rPr>
      </w:pPr>
    </w:p>
    <w:p w14:paraId="64E6B663">
      <w:pPr>
        <w:pStyle w:val="14"/>
        <w:tabs>
          <w:tab w:val="left" w:pos="939"/>
        </w:tabs>
        <w:spacing w:line="360" w:lineRule="auto"/>
        <w:ind w:left="980" w:hanging="560"/>
        <w:rPr>
          <w:rFonts w:hint="eastAsia" w:ascii="宋体" w:hAnsi="宋体"/>
          <w:color w:val="auto"/>
          <w:sz w:val="28"/>
          <w:szCs w:val="28"/>
          <w:highlight w:val="none"/>
        </w:rPr>
      </w:pPr>
    </w:p>
    <w:p w14:paraId="01EFEC01">
      <w:pPr>
        <w:pStyle w:val="14"/>
        <w:tabs>
          <w:tab w:val="left" w:pos="939"/>
        </w:tabs>
        <w:spacing w:line="360" w:lineRule="auto"/>
        <w:ind w:left="980" w:hanging="560"/>
        <w:rPr>
          <w:rFonts w:hint="eastAsia" w:ascii="宋体" w:hAnsi="宋体"/>
          <w:color w:val="auto"/>
          <w:sz w:val="28"/>
          <w:szCs w:val="28"/>
          <w:highlight w:val="none"/>
        </w:rPr>
      </w:pPr>
    </w:p>
    <w:p w14:paraId="6C3D9563">
      <w:pPr>
        <w:pStyle w:val="14"/>
        <w:tabs>
          <w:tab w:val="left" w:pos="939"/>
        </w:tabs>
        <w:spacing w:line="360" w:lineRule="auto"/>
        <w:ind w:left="980" w:hanging="560"/>
        <w:rPr>
          <w:rFonts w:hint="eastAsia" w:ascii="宋体" w:hAnsi="宋体"/>
          <w:color w:val="auto"/>
          <w:sz w:val="28"/>
          <w:szCs w:val="28"/>
          <w:highlight w:val="none"/>
        </w:rPr>
      </w:pPr>
    </w:p>
    <w:p w14:paraId="1198EB8F">
      <w:pPr>
        <w:pStyle w:val="14"/>
        <w:tabs>
          <w:tab w:val="left" w:pos="939"/>
        </w:tabs>
        <w:spacing w:line="360" w:lineRule="auto"/>
        <w:ind w:left="980" w:hanging="560"/>
        <w:rPr>
          <w:rFonts w:hint="eastAsia" w:ascii="宋体" w:hAnsi="宋体"/>
          <w:color w:val="auto"/>
          <w:sz w:val="28"/>
          <w:szCs w:val="28"/>
          <w:highlight w:val="none"/>
        </w:rPr>
      </w:pPr>
    </w:p>
    <w:p w14:paraId="3291896B">
      <w:pPr>
        <w:spacing w:line="500" w:lineRule="exact"/>
        <w:jc w:val="center"/>
        <w:rPr>
          <w:rFonts w:hint="eastAsia" w:ascii="宋体" w:hAnsi="宋体"/>
          <w:b/>
          <w:color w:val="auto"/>
          <w:sz w:val="32"/>
          <w:szCs w:val="32"/>
          <w:highlight w:val="none"/>
        </w:rPr>
      </w:pPr>
      <w:bookmarkStart w:id="74" w:name="_Toc71365926"/>
      <w:r>
        <w:rPr>
          <w:rFonts w:hint="eastAsia" w:ascii="宋体" w:hAnsi="宋体"/>
          <w:b/>
          <w:color w:val="auto"/>
          <w:sz w:val="32"/>
          <w:szCs w:val="32"/>
          <w:highlight w:val="none"/>
        </w:rPr>
        <w:t>中小企业声明函（工程）</w:t>
      </w:r>
      <w:bookmarkEnd w:id="74"/>
    </w:p>
    <w:p w14:paraId="145197C1">
      <w:pPr>
        <w:pStyle w:val="11"/>
        <w:spacing w:line="500" w:lineRule="exact"/>
        <w:ind w:right="142" w:firstLine="705" w:firstLineChars="294"/>
        <w:rPr>
          <w:rFonts w:hint="eastAsia" w:hAnsi="宋体"/>
          <w:color w:val="auto"/>
          <w:sz w:val="24"/>
          <w:highlight w:val="none"/>
        </w:rPr>
      </w:pPr>
    </w:p>
    <w:p w14:paraId="19377E57">
      <w:pPr>
        <w:pStyle w:val="11"/>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00F67E11">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B4EF6F8">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6F6542B0">
      <w:pPr>
        <w:pStyle w:val="11"/>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1ABC40EE">
      <w:pPr>
        <w:pStyle w:val="11"/>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4313A461">
      <w:pPr>
        <w:pStyle w:val="11"/>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639606BC">
      <w:pPr>
        <w:pStyle w:val="11"/>
        <w:spacing w:before="56" w:line="500" w:lineRule="exact"/>
        <w:ind w:right="1808" w:firstLine="705" w:firstLineChars="294"/>
        <w:rPr>
          <w:rFonts w:hint="eastAsia" w:hAnsi="宋体"/>
          <w:color w:val="auto"/>
          <w:sz w:val="24"/>
          <w:highlight w:val="none"/>
        </w:rPr>
      </w:pPr>
    </w:p>
    <w:p w14:paraId="0D8D50E9">
      <w:pPr>
        <w:pStyle w:val="11"/>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0165C2BB">
      <w:pPr>
        <w:pStyle w:val="11"/>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37EC295F">
      <w:pPr>
        <w:pStyle w:val="11"/>
        <w:spacing w:before="56" w:line="500" w:lineRule="exact"/>
        <w:ind w:right="1808" w:firstLine="5625" w:firstLineChars="2344"/>
        <w:rPr>
          <w:rFonts w:hint="eastAsia" w:hAnsi="宋体"/>
          <w:color w:val="auto"/>
          <w:sz w:val="24"/>
          <w:highlight w:val="none"/>
        </w:rPr>
      </w:pPr>
    </w:p>
    <w:p w14:paraId="79FBE625">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FB90D6E">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094515B2">
      <w:pPr>
        <w:spacing w:line="360" w:lineRule="auto"/>
        <w:contextualSpacing/>
        <w:rPr>
          <w:rFonts w:hint="eastAsia" w:ascii="仿宋_GB2312" w:hAnsi="仿宋_GB2312" w:eastAsia="仿宋_GB2312" w:cs="仿宋_GB2312"/>
          <w:color w:val="auto"/>
          <w:sz w:val="32"/>
          <w:szCs w:val="32"/>
          <w:highlight w:val="none"/>
        </w:rPr>
      </w:pPr>
    </w:p>
    <w:p w14:paraId="3A5E143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463B92C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767A8041">
      <w:pPr>
        <w:spacing w:line="360" w:lineRule="auto"/>
        <w:contextualSpacing/>
        <w:rPr>
          <w:rFonts w:hint="eastAsia" w:ascii="宋体" w:hAnsi="宋体" w:cs="仿宋_GB2312"/>
          <w:color w:val="auto"/>
          <w:sz w:val="24"/>
          <w:highlight w:val="none"/>
        </w:rPr>
      </w:pPr>
    </w:p>
    <w:p w14:paraId="54974502">
      <w:pPr>
        <w:spacing w:line="360" w:lineRule="auto"/>
        <w:contextualSpacing/>
        <w:rPr>
          <w:rFonts w:hint="eastAsia" w:ascii="宋体" w:hAnsi="宋体" w:cs="仿宋_GB2312"/>
          <w:color w:val="auto"/>
          <w:sz w:val="24"/>
          <w:highlight w:val="none"/>
        </w:rPr>
      </w:pPr>
    </w:p>
    <w:p w14:paraId="4A3F4042">
      <w:pPr>
        <w:spacing w:line="360" w:lineRule="auto"/>
        <w:contextualSpacing/>
        <w:rPr>
          <w:rFonts w:hint="eastAsia" w:ascii="宋体" w:hAnsi="宋体" w:cs="仿宋_GB2312"/>
          <w:color w:val="auto"/>
          <w:sz w:val="24"/>
          <w:highlight w:val="none"/>
        </w:rPr>
      </w:pPr>
    </w:p>
    <w:p w14:paraId="7790F858">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0F94360B">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3E9F107">
      <w:pPr>
        <w:spacing w:line="360" w:lineRule="auto"/>
        <w:contextualSpacing/>
        <w:rPr>
          <w:rFonts w:hint="eastAsia" w:ascii="宋体" w:hAnsi="宋体" w:cs="仿宋_GB2312"/>
          <w:color w:val="auto"/>
          <w:sz w:val="24"/>
          <w:highlight w:val="none"/>
        </w:rPr>
      </w:pPr>
    </w:p>
    <w:p w14:paraId="00D079C1">
      <w:pPr>
        <w:spacing w:line="360" w:lineRule="auto"/>
        <w:contextualSpacing/>
        <w:rPr>
          <w:rFonts w:hint="eastAsia" w:ascii="宋体" w:hAnsi="宋体" w:cs="仿宋_GB2312"/>
          <w:color w:val="auto"/>
          <w:sz w:val="24"/>
          <w:highlight w:val="none"/>
        </w:rPr>
      </w:pPr>
    </w:p>
    <w:p w14:paraId="58DB9D48">
      <w:pPr>
        <w:spacing w:line="360" w:lineRule="auto"/>
        <w:contextualSpacing/>
        <w:rPr>
          <w:rFonts w:hint="eastAsia" w:ascii="宋体" w:hAnsi="宋体" w:cs="仿宋_GB2312"/>
          <w:color w:val="auto"/>
          <w:sz w:val="24"/>
          <w:highlight w:val="none"/>
        </w:rPr>
      </w:pPr>
    </w:p>
    <w:p w14:paraId="7C2DA786">
      <w:pPr>
        <w:pStyle w:val="14"/>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7E80B936">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2B4E3E6F">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73BDFEDD">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5AE75C9E">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8D90ECF">
      <w:pPr>
        <w:snapToGrid w:val="0"/>
        <w:spacing w:before="156" w:beforeLines="50" w:after="50"/>
        <w:rPr>
          <w:rFonts w:hint="eastAsia" w:ascii="宋体" w:hAnsi="宋体"/>
          <w:color w:val="auto"/>
          <w:sz w:val="24"/>
          <w:szCs w:val="20"/>
          <w:highlight w:val="none"/>
        </w:rPr>
      </w:pPr>
    </w:p>
    <w:p w14:paraId="3A1A0D3E">
      <w:pPr>
        <w:snapToGrid w:val="0"/>
        <w:spacing w:before="156" w:beforeLines="50" w:after="50"/>
        <w:rPr>
          <w:rFonts w:hint="eastAsia" w:ascii="宋体" w:hAnsi="宋体"/>
          <w:color w:val="auto"/>
          <w:sz w:val="24"/>
          <w:szCs w:val="20"/>
          <w:highlight w:val="none"/>
        </w:rPr>
      </w:pPr>
    </w:p>
    <w:p w14:paraId="147AC8AF">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4571AE27">
      <w:pPr>
        <w:snapToGrid w:val="0"/>
        <w:spacing w:before="156" w:beforeLines="50" w:after="50"/>
        <w:rPr>
          <w:rFonts w:hint="eastAsia" w:ascii="宋体" w:hAnsi="宋体"/>
          <w:bCs/>
          <w:color w:val="auto"/>
          <w:sz w:val="24"/>
          <w:szCs w:val="20"/>
          <w:highlight w:val="none"/>
        </w:rPr>
      </w:pPr>
    </w:p>
    <w:p w14:paraId="3532DA12">
      <w:pPr>
        <w:snapToGrid w:val="0"/>
        <w:spacing w:before="156" w:beforeLines="50" w:after="50"/>
        <w:rPr>
          <w:rFonts w:hint="eastAsia" w:ascii="宋体" w:hAnsi="宋体"/>
          <w:bCs/>
          <w:color w:val="auto"/>
          <w:sz w:val="24"/>
          <w:szCs w:val="20"/>
          <w:highlight w:val="none"/>
        </w:rPr>
      </w:pPr>
    </w:p>
    <w:p w14:paraId="7AE4BE73">
      <w:pPr>
        <w:snapToGrid w:val="0"/>
        <w:spacing w:before="156" w:beforeLines="50" w:after="50"/>
        <w:rPr>
          <w:rFonts w:hint="eastAsia" w:ascii="宋体" w:hAnsi="宋体"/>
          <w:bCs/>
          <w:color w:val="auto"/>
          <w:sz w:val="24"/>
          <w:szCs w:val="20"/>
          <w:highlight w:val="none"/>
        </w:rPr>
      </w:pPr>
    </w:p>
    <w:p w14:paraId="346B40C8">
      <w:pPr>
        <w:snapToGrid w:val="0"/>
        <w:spacing w:before="156" w:beforeLines="50" w:after="50"/>
        <w:rPr>
          <w:rFonts w:hint="eastAsia" w:ascii="宋体" w:hAnsi="宋体"/>
          <w:bCs/>
          <w:color w:val="auto"/>
          <w:sz w:val="24"/>
          <w:szCs w:val="20"/>
          <w:highlight w:val="none"/>
        </w:rPr>
      </w:pPr>
    </w:p>
    <w:p w14:paraId="11A10E01">
      <w:pPr>
        <w:snapToGrid w:val="0"/>
        <w:spacing w:before="156" w:beforeLines="50" w:after="50"/>
        <w:rPr>
          <w:rFonts w:hint="eastAsia" w:ascii="宋体" w:hAnsi="宋体"/>
          <w:bCs/>
          <w:color w:val="auto"/>
          <w:sz w:val="24"/>
          <w:szCs w:val="20"/>
          <w:highlight w:val="none"/>
        </w:rPr>
      </w:pPr>
    </w:p>
    <w:p w14:paraId="6AA2EB91">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7340427">
      <w:pPr>
        <w:snapToGrid w:val="0"/>
        <w:spacing w:before="156" w:beforeLines="50" w:after="50"/>
        <w:ind w:firstLine="720" w:firstLineChars="225"/>
        <w:rPr>
          <w:rFonts w:hint="eastAsia" w:ascii="宋体" w:hAnsi="宋体" w:cs="仿宋_GB2312"/>
          <w:bCs/>
          <w:color w:val="auto"/>
          <w:sz w:val="32"/>
          <w:szCs w:val="32"/>
          <w:highlight w:val="none"/>
        </w:rPr>
      </w:pPr>
    </w:p>
    <w:p w14:paraId="719003E9">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CF3073E">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269AA44">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AB5DD40">
      <w:pPr>
        <w:pStyle w:val="9"/>
        <w:snapToGrid w:val="0"/>
        <w:spacing w:before="50" w:after="50"/>
        <w:ind w:firstLine="640"/>
        <w:rPr>
          <w:rFonts w:hint="eastAsia" w:ascii="宋体" w:hAnsi="宋体" w:cs="仿宋_GB2312"/>
          <w:bCs/>
          <w:color w:val="auto"/>
          <w:sz w:val="32"/>
          <w:szCs w:val="32"/>
          <w:highlight w:val="none"/>
        </w:rPr>
      </w:pPr>
    </w:p>
    <w:p w14:paraId="6DF5C553">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08A002A2">
      <w:pPr>
        <w:pStyle w:val="9"/>
        <w:snapToGrid w:val="0"/>
        <w:spacing w:before="50" w:after="50"/>
        <w:ind w:firstLine="640"/>
        <w:rPr>
          <w:rFonts w:hint="eastAsia" w:ascii="宋体" w:hAnsi="宋体" w:cs="仿宋_GB2312"/>
          <w:bCs/>
          <w:color w:val="auto"/>
          <w:sz w:val="32"/>
          <w:szCs w:val="32"/>
          <w:highlight w:val="none"/>
        </w:rPr>
      </w:pPr>
    </w:p>
    <w:p w14:paraId="7D91AF87">
      <w:pPr>
        <w:pStyle w:val="9"/>
        <w:snapToGrid w:val="0"/>
        <w:spacing w:before="50" w:after="50"/>
        <w:ind w:firstLine="720" w:firstLineChars="225"/>
        <w:rPr>
          <w:rFonts w:hint="eastAsia" w:ascii="宋体" w:hAnsi="宋体" w:cs="仿宋_GB2312"/>
          <w:bCs/>
          <w:color w:val="auto"/>
          <w:sz w:val="32"/>
          <w:szCs w:val="32"/>
          <w:highlight w:val="none"/>
        </w:rPr>
      </w:pPr>
    </w:p>
    <w:p w14:paraId="5907D477">
      <w:pPr>
        <w:pStyle w:val="9"/>
        <w:snapToGrid w:val="0"/>
        <w:spacing w:before="50" w:after="50"/>
        <w:ind w:firstLine="640"/>
        <w:rPr>
          <w:rFonts w:hint="eastAsia" w:ascii="宋体" w:hAnsi="宋体" w:cs="仿宋_GB2312"/>
          <w:bCs/>
          <w:color w:val="auto"/>
          <w:sz w:val="32"/>
          <w:szCs w:val="32"/>
          <w:highlight w:val="none"/>
        </w:rPr>
      </w:pPr>
    </w:p>
    <w:p w14:paraId="1C6EADFA">
      <w:pPr>
        <w:pStyle w:val="9"/>
        <w:snapToGrid w:val="0"/>
        <w:spacing w:before="50" w:after="50"/>
        <w:ind w:firstLine="1280" w:firstLineChars="400"/>
        <w:rPr>
          <w:rFonts w:hint="eastAsia" w:ascii="宋体" w:hAnsi="宋体" w:cs="仿宋_GB2312"/>
          <w:bCs/>
          <w:color w:val="auto"/>
          <w:sz w:val="32"/>
          <w:szCs w:val="32"/>
          <w:highlight w:val="none"/>
        </w:rPr>
      </w:pPr>
    </w:p>
    <w:p w14:paraId="5D151401">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CAD4F72">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6FCD7D29">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3947894D">
      <w:pPr>
        <w:pStyle w:val="46"/>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086B2F1C">
      <w:pPr>
        <w:pStyle w:val="46"/>
        <w:jc w:val="both"/>
        <w:rPr>
          <w:rFonts w:hint="eastAsia" w:asciiTheme="majorEastAsia" w:hAnsiTheme="majorEastAsia" w:eastAsiaTheme="majorEastAsia" w:cstheme="majorEastAsia"/>
          <w:color w:val="auto"/>
          <w:highlight w:val="none"/>
        </w:rPr>
      </w:pPr>
    </w:p>
    <w:p w14:paraId="12FAFA60">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4163E701">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标准</w:t>
      </w:r>
      <w:r>
        <w:rPr>
          <w:rFonts w:hint="eastAsia" w:asciiTheme="majorEastAsia" w:hAnsiTheme="majorEastAsia" w:eastAsiaTheme="majorEastAsia" w:cstheme="majorEastAsia"/>
          <w:color w:val="auto"/>
          <w:highlight w:val="none"/>
        </w:rPr>
        <w:t>。</w:t>
      </w:r>
    </w:p>
    <w:p w14:paraId="30A1D8B2">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4C02FB81">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297771B6">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66521188">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75777402">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02AA5642">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5BBBDA3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50B08C8A">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200C58F6">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14BD8C25">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46B61273">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51EEA9A8">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4BEF70B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3BC4F34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p>
    <w:p w14:paraId="0DB5C4D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114DEC23">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7568C7B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4FC3935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1CF98B24">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2C5B9F93">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5205866B">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3902A3AB">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354DA712">
      <w:pPr>
        <w:pStyle w:val="46"/>
        <w:spacing w:line="400" w:lineRule="exact"/>
        <w:ind w:firstLine="420" w:firstLineChars="200"/>
        <w:jc w:val="both"/>
        <w:rPr>
          <w:rFonts w:hint="eastAsia" w:asciiTheme="majorEastAsia" w:hAnsiTheme="majorEastAsia" w:eastAsiaTheme="majorEastAsia" w:cstheme="majorEastAsia"/>
          <w:color w:val="auto"/>
          <w:highlight w:val="none"/>
        </w:rPr>
      </w:pPr>
    </w:p>
    <w:p w14:paraId="7F0F301B">
      <w:pPr>
        <w:pStyle w:val="46"/>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04B58275">
      <w:pPr>
        <w:pStyle w:val="46"/>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66774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tcPr>
          <w:p w14:paraId="425A85B7">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25C894B3">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1AFD5AFD">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04986C16">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25B37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093C64BB">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6CF11E31">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792029D8">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61F240F9">
            <w:pPr>
              <w:rPr>
                <w:rFonts w:hint="eastAsia" w:ascii="宋体" w:hAnsi="宋体" w:cs="宋体"/>
                <w:color w:val="auto"/>
                <w:szCs w:val="21"/>
                <w:highlight w:val="none"/>
              </w:rPr>
            </w:pPr>
          </w:p>
        </w:tc>
      </w:tr>
      <w:tr w14:paraId="33950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7071A6BA">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316108D">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1085C91E">
            <w:pPr>
              <w:rPr>
                <w:rFonts w:hint="eastAsia" w:ascii="宋体" w:hAnsi="宋体" w:cs="宋体"/>
                <w:color w:val="auto"/>
                <w:szCs w:val="21"/>
                <w:highlight w:val="none"/>
              </w:rPr>
            </w:pPr>
          </w:p>
        </w:tc>
        <w:tc>
          <w:tcPr>
            <w:tcW w:w="1696" w:type="dxa"/>
          </w:tcPr>
          <w:p w14:paraId="778139D8">
            <w:pPr>
              <w:rPr>
                <w:rFonts w:hint="eastAsia" w:ascii="宋体" w:hAnsi="宋体" w:cs="宋体"/>
                <w:color w:val="auto"/>
                <w:szCs w:val="21"/>
                <w:highlight w:val="none"/>
              </w:rPr>
            </w:pPr>
          </w:p>
        </w:tc>
      </w:tr>
      <w:tr w14:paraId="5A29E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77DE8DB6">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2FEF870A">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131C514B">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406768BD">
            <w:pPr>
              <w:rPr>
                <w:rFonts w:hint="eastAsia" w:ascii="宋体" w:hAnsi="宋体" w:cs="宋体"/>
                <w:color w:val="auto"/>
                <w:szCs w:val="21"/>
                <w:highlight w:val="none"/>
              </w:rPr>
            </w:pPr>
          </w:p>
        </w:tc>
      </w:tr>
      <w:tr w14:paraId="3860F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96" w:type="dxa"/>
          </w:tcPr>
          <w:p w14:paraId="1FD74048">
            <w:pPr>
              <w:spacing w:before="215" w:line="189" w:lineRule="auto"/>
              <w:ind w:left="456"/>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3424" w:type="dxa"/>
          </w:tcPr>
          <w:p w14:paraId="1FC9C20E">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1A2659E5">
            <w:pPr>
              <w:rPr>
                <w:rFonts w:hint="eastAsia" w:ascii="宋体" w:hAnsi="宋体" w:cs="宋体"/>
                <w:color w:val="auto"/>
                <w:szCs w:val="21"/>
                <w:highlight w:val="none"/>
              </w:rPr>
            </w:pPr>
          </w:p>
        </w:tc>
        <w:tc>
          <w:tcPr>
            <w:tcW w:w="1696" w:type="dxa"/>
          </w:tcPr>
          <w:p w14:paraId="4C53729E">
            <w:pPr>
              <w:rPr>
                <w:rFonts w:hint="eastAsia" w:ascii="宋体" w:hAnsi="宋体" w:cs="宋体"/>
                <w:color w:val="auto"/>
                <w:szCs w:val="21"/>
                <w:highlight w:val="none"/>
              </w:rPr>
            </w:pPr>
          </w:p>
        </w:tc>
      </w:tr>
      <w:tr w14:paraId="3AED1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7BA5F0B9">
            <w:pPr>
              <w:spacing w:before="215" w:line="189" w:lineRule="auto"/>
              <w:ind w:left="456"/>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3424" w:type="dxa"/>
          </w:tcPr>
          <w:p w14:paraId="2810E777">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2B8C7641">
            <w:pPr>
              <w:rPr>
                <w:rFonts w:hint="eastAsia" w:ascii="宋体" w:hAnsi="宋体" w:cs="宋体"/>
                <w:color w:val="auto"/>
                <w:szCs w:val="21"/>
                <w:highlight w:val="none"/>
              </w:rPr>
            </w:pPr>
          </w:p>
        </w:tc>
        <w:tc>
          <w:tcPr>
            <w:tcW w:w="1696" w:type="dxa"/>
          </w:tcPr>
          <w:p w14:paraId="46A17407">
            <w:pPr>
              <w:rPr>
                <w:rFonts w:hint="eastAsia" w:ascii="宋体" w:hAnsi="宋体" w:cs="宋体"/>
                <w:color w:val="auto"/>
                <w:szCs w:val="21"/>
                <w:highlight w:val="none"/>
              </w:rPr>
            </w:pPr>
          </w:p>
        </w:tc>
      </w:tr>
      <w:tr w14:paraId="13BF7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34A28D08">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5B093303">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0AF6E265">
            <w:pPr>
              <w:rPr>
                <w:rFonts w:hint="eastAsia" w:ascii="宋体" w:hAnsi="宋体" w:cs="宋体"/>
                <w:color w:val="auto"/>
                <w:szCs w:val="21"/>
                <w:highlight w:val="none"/>
              </w:rPr>
            </w:pPr>
          </w:p>
        </w:tc>
        <w:tc>
          <w:tcPr>
            <w:tcW w:w="1696" w:type="dxa"/>
          </w:tcPr>
          <w:p w14:paraId="3C57EA2C">
            <w:pPr>
              <w:rPr>
                <w:rFonts w:hint="eastAsia" w:ascii="宋体" w:hAnsi="宋体" w:cs="宋体"/>
                <w:color w:val="auto"/>
                <w:szCs w:val="21"/>
                <w:highlight w:val="none"/>
              </w:rPr>
            </w:pPr>
          </w:p>
        </w:tc>
      </w:tr>
      <w:tr w14:paraId="271E7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3443C662">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565D6148">
      <w:pPr>
        <w:pStyle w:val="46"/>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769F84C">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17676017">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3DE1C15">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2AE847A5">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2C113BB7">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2C2CACDB">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48F00B13">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3BE5B69D">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769B6F49">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440943F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6F9803FC">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328081A4">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06FA4B8B">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4B30DA9A">
      <w:pPr>
        <w:pStyle w:val="46"/>
        <w:spacing w:line="360" w:lineRule="auto"/>
        <w:jc w:val="both"/>
        <w:rPr>
          <w:rFonts w:hint="eastAsia" w:ascii="宋体" w:hAnsi="宋体" w:eastAsia="宋体" w:cs="方正小标宋简体"/>
          <w:b/>
          <w:bCs/>
          <w:color w:val="auto"/>
          <w:kern w:val="2"/>
          <w:sz w:val="32"/>
          <w:szCs w:val="32"/>
          <w:highlight w:val="none"/>
        </w:rPr>
      </w:pPr>
    </w:p>
    <w:p w14:paraId="2C3F2E3F">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0EDDFABC">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74E8BB9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4D1A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1F7159A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5A897F1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67DD4EE6">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3028BA94">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258A7E4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EDC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0A4E9C7C">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04D5F99F">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1FD6018F">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700698A6">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81B0001">
            <w:pPr>
              <w:spacing w:line="360" w:lineRule="auto"/>
              <w:contextualSpacing/>
              <w:rPr>
                <w:rFonts w:hint="eastAsia" w:ascii="宋体" w:hAnsi="宋体" w:cs="仿宋_GB2312"/>
                <w:color w:val="auto"/>
                <w:sz w:val="24"/>
                <w:highlight w:val="none"/>
              </w:rPr>
            </w:pPr>
          </w:p>
        </w:tc>
      </w:tr>
      <w:tr w14:paraId="4449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6B3F82B2">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7E85D3D5">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6F1C853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343086E6">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4B3E445">
            <w:pPr>
              <w:spacing w:line="360" w:lineRule="auto"/>
              <w:contextualSpacing/>
              <w:rPr>
                <w:rFonts w:hint="eastAsia" w:ascii="宋体" w:hAnsi="宋体" w:cs="仿宋_GB2312"/>
                <w:color w:val="auto"/>
                <w:sz w:val="24"/>
                <w:highlight w:val="none"/>
              </w:rPr>
            </w:pPr>
          </w:p>
        </w:tc>
      </w:tr>
      <w:tr w14:paraId="5F8D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407EE7C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5AB8E794">
      <w:pPr>
        <w:spacing w:line="360" w:lineRule="auto"/>
        <w:contextualSpacing/>
        <w:jc w:val="left"/>
        <w:rPr>
          <w:rFonts w:hint="eastAsia" w:ascii="宋体" w:hAnsi="宋体" w:cs="仿宋_GB2312"/>
          <w:color w:val="auto"/>
          <w:sz w:val="24"/>
          <w:highlight w:val="none"/>
        </w:rPr>
      </w:pPr>
    </w:p>
    <w:p w14:paraId="0298F562">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410A5132">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3D9C58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147BBF23">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6A605530">
      <w:pPr>
        <w:spacing w:line="360" w:lineRule="auto"/>
        <w:ind w:right="-817" w:rightChars="-389"/>
        <w:contextualSpacing/>
        <w:rPr>
          <w:rFonts w:hint="eastAsia" w:ascii="宋体" w:hAnsi="宋体" w:cs="仿宋_GB2312"/>
          <w:color w:val="auto"/>
          <w:sz w:val="24"/>
          <w:highlight w:val="none"/>
        </w:rPr>
      </w:pPr>
    </w:p>
    <w:p w14:paraId="0CB10A7A">
      <w:pPr>
        <w:spacing w:line="360" w:lineRule="auto"/>
        <w:ind w:right="-817" w:rightChars="-389"/>
        <w:contextualSpacing/>
        <w:rPr>
          <w:rFonts w:hint="eastAsia" w:ascii="宋体" w:hAnsi="宋体" w:cs="仿宋_GB2312"/>
          <w:color w:val="auto"/>
          <w:sz w:val="24"/>
          <w:highlight w:val="none"/>
        </w:rPr>
      </w:pPr>
    </w:p>
    <w:p w14:paraId="7EEB9D58">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0002D8F">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1E092B4">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F68CF5E">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22E82A08">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3FA14980">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298D901D">
      <w:pPr>
        <w:pStyle w:val="46"/>
        <w:spacing w:line="360" w:lineRule="auto"/>
        <w:jc w:val="center"/>
        <w:rPr>
          <w:rFonts w:hint="eastAsia" w:ascii="宋体" w:hAnsi="宋体" w:eastAsia="宋体" w:cs="宋体"/>
          <w:b/>
          <w:bCs/>
          <w:color w:val="auto"/>
          <w:sz w:val="32"/>
          <w:szCs w:val="40"/>
          <w:highlight w:val="none"/>
        </w:rPr>
      </w:pPr>
    </w:p>
    <w:p w14:paraId="36DE6F7E">
      <w:pPr>
        <w:pStyle w:val="46"/>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0E680F24">
      <w:pPr>
        <w:pStyle w:val="46"/>
        <w:spacing w:line="360" w:lineRule="auto"/>
        <w:ind w:firstLine="420" w:firstLineChars="200"/>
        <w:jc w:val="both"/>
        <w:rPr>
          <w:rFonts w:hint="eastAsia" w:ascii="宋体" w:hAnsi="宋体" w:eastAsia="宋体" w:cs="宋体"/>
          <w:color w:val="auto"/>
          <w:highlight w:val="none"/>
        </w:rPr>
      </w:pPr>
    </w:p>
    <w:p w14:paraId="49198DCD">
      <w:pPr>
        <w:pStyle w:val="4"/>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7461D460">
      <w:pPr>
        <w:pStyle w:val="46"/>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681D5E15">
      <w:pPr>
        <w:autoSpaceDE w:val="0"/>
        <w:autoSpaceDN w:val="0"/>
        <w:adjustRightInd w:val="0"/>
        <w:spacing w:line="360" w:lineRule="auto"/>
        <w:rPr>
          <w:rFonts w:hint="eastAsia" w:ascii="宋体" w:hAnsi="宋体"/>
          <w:b/>
          <w:bCs/>
          <w:color w:val="auto"/>
          <w:sz w:val="32"/>
          <w:szCs w:val="32"/>
          <w:highlight w:val="none"/>
          <w:lang w:val="zh-CN"/>
        </w:rPr>
      </w:pPr>
    </w:p>
    <w:p w14:paraId="49AF4B88">
      <w:pPr>
        <w:autoSpaceDE w:val="0"/>
        <w:autoSpaceDN w:val="0"/>
        <w:adjustRightInd w:val="0"/>
        <w:spacing w:line="360" w:lineRule="auto"/>
        <w:rPr>
          <w:rFonts w:hint="eastAsia" w:ascii="宋体" w:hAnsi="宋体"/>
          <w:b/>
          <w:bCs/>
          <w:color w:val="auto"/>
          <w:sz w:val="32"/>
          <w:szCs w:val="32"/>
          <w:highlight w:val="none"/>
          <w:lang w:val="zh-CN"/>
        </w:rPr>
      </w:pPr>
    </w:p>
    <w:p w14:paraId="64F17C91">
      <w:pPr>
        <w:autoSpaceDE w:val="0"/>
        <w:autoSpaceDN w:val="0"/>
        <w:adjustRightInd w:val="0"/>
        <w:spacing w:line="360" w:lineRule="auto"/>
        <w:rPr>
          <w:rFonts w:hint="eastAsia" w:ascii="宋体" w:hAnsi="宋体"/>
          <w:b/>
          <w:bCs/>
          <w:color w:val="auto"/>
          <w:sz w:val="32"/>
          <w:szCs w:val="32"/>
          <w:highlight w:val="none"/>
          <w:lang w:val="zh-CN"/>
        </w:rPr>
      </w:pPr>
    </w:p>
    <w:p w14:paraId="1F44B08D">
      <w:pPr>
        <w:autoSpaceDE w:val="0"/>
        <w:autoSpaceDN w:val="0"/>
        <w:adjustRightInd w:val="0"/>
        <w:spacing w:line="360" w:lineRule="auto"/>
        <w:rPr>
          <w:rFonts w:hint="eastAsia" w:ascii="宋体" w:hAnsi="宋体"/>
          <w:b/>
          <w:bCs/>
          <w:color w:val="auto"/>
          <w:sz w:val="32"/>
          <w:szCs w:val="32"/>
          <w:highlight w:val="none"/>
          <w:lang w:val="zh-CN"/>
        </w:rPr>
      </w:pPr>
    </w:p>
    <w:p w14:paraId="2935DDF3">
      <w:pPr>
        <w:autoSpaceDE w:val="0"/>
        <w:autoSpaceDN w:val="0"/>
        <w:adjustRightInd w:val="0"/>
        <w:spacing w:line="360" w:lineRule="auto"/>
        <w:rPr>
          <w:rFonts w:hint="eastAsia" w:ascii="宋体" w:hAnsi="宋体"/>
          <w:b/>
          <w:bCs/>
          <w:color w:val="auto"/>
          <w:sz w:val="32"/>
          <w:szCs w:val="32"/>
          <w:highlight w:val="none"/>
          <w:lang w:val="zh-CN"/>
        </w:rPr>
      </w:pPr>
    </w:p>
    <w:p w14:paraId="12908D1F">
      <w:pPr>
        <w:autoSpaceDE w:val="0"/>
        <w:autoSpaceDN w:val="0"/>
        <w:adjustRightInd w:val="0"/>
        <w:spacing w:line="360" w:lineRule="auto"/>
        <w:rPr>
          <w:rFonts w:hint="eastAsia" w:ascii="宋体" w:hAnsi="宋体"/>
          <w:b/>
          <w:bCs/>
          <w:color w:val="auto"/>
          <w:sz w:val="32"/>
          <w:szCs w:val="32"/>
          <w:highlight w:val="none"/>
          <w:lang w:val="zh-CN"/>
        </w:rPr>
      </w:pPr>
    </w:p>
    <w:p w14:paraId="4E828992">
      <w:pPr>
        <w:autoSpaceDE w:val="0"/>
        <w:autoSpaceDN w:val="0"/>
        <w:adjustRightInd w:val="0"/>
        <w:spacing w:line="360" w:lineRule="auto"/>
        <w:rPr>
          <w:rFonts w:hint="eastAsia" w:ascii="宋体" w:hAnsi="宋体"/>
          <w:b/>
          <w:bCs/>
          <w:color w:val="auto"/>
          <w:sz w:val="32"/>
          <w:szCs w:val="32"/>
          <w:highlight w:val="none"/>
          <w:lang w:val="zh-CN"/>
        </w:rPr>
      </w:pPr>
    </w:p>
    <w:p w14:paraId="00E47F6F">
      <w:pPr>
        <w:autoSpaceDE w:val="0"/>
        <w:autoSpaceDN w:val="0"/>
        <w:adjustRightInd w:val="0"/>
        <w:spacing w:line="360" w:lineRule="auto"/>
        <w:rPr>
          <w:rFonts w:hint="eastAsia" w:ascii="宋体" w:hAnsi="宋体"/>
          <w:b/>
          <w:bCs/>
          <w:color w:val="auto"/>
          <w:sz w:val="32"/>
          <w:szCs w:val="32"/>
          <w:highlight w:val="none"/>
          <w:lang w:val="zh-CN"/>
        </w:rPr>
      </w:pPr>
    </w:p>
    <w:p w14:paraId="58F96D2F">
      <w:pPr>
        <w:autoSpaceDE w:val="0"/>
        <w:autoSpaceDN w:val="0"/>
        <w:adjustRightInd w:val="0"/>
        <w:spacing w:line="360" w:lineRule="auto"/>
        <w:rPr>
          <w:rFonts w:hint="eastAsia" w:ascii="宋体" w:hAnsi="宋体"/>
          <w:b/>
          <w:bCs/>
          <w:color w:val="auto"/>
          <w:sz w:val="32"/>
          <w:szCs w:val="32"/>
          <w:highlight w:val="none"/>
          <w:lang w:val="zh-CN"/>
        </w:rPr>
      </w:pPr>
    </w:p>
    <w:p w14:paraId="73DE9630">
      <w:pPr>
        <w:autoSpaceDE w:val="0"/>
        <w:autoSpaceDN w:val="0"/>
        <w:adjustRightInd w:val="0"/>
        <w:spacing w:line="360" w:lineRule="auto"/>
        <w:rPr>
          <w:rFonts w:hint="eastAsia" w:ascii="宋体" w:hAnsi="宋体"/>
          <w:b/>
          <w:bCs/>
          <w:color w:val="auto"/>
          <w:sz w:val="32"/>
          <w:szCs w:val="32"/>
          <w:highlight w:val="none"/>
          <w:lang w:val="zh-CN"/>
        </w:rPr>
      </w:pPr>
    </w:p>
    <w:p w14:paraId="3D34AD3E">
      <w:pPr>
        <w:autoSpaceDE w:val="0"/>
        <w:autoSpaceDN w:val="0"/>
        <w:adjustRightInd w:val="0"/>
        <w:spacing w:line="360" w:lineRule="auto"/>
        <w:rPr>
          <w:rFonts w:hint="eastAsia" w:ascii="宋体" w:hAnsi="宋体"/>
          <w:b/>
          <w:bCs/>
          <w:color w:val="auto"/>
          <w:sz w:val="32"/>
          <w:szCs w:val="32"/>
          <w:highlight w:val="none"/>
          <w:lang w:val="zh-CN"/>
        </w:rPr>
      </w:pPr>
    </w:p>
    <w:p w14:paraId="28E6FC77">
      <w:pPr>
        <w:autoSpaceDE w:val="0"/>
        <w:autoSpaceDN w:val="0"/>
        <w:adjustRightInd w:val="0"/>
        <w:spacing w:line="360" w:lineRule="auto"/>
        <w:rPr>
          <w:rFonts w:hint="eastAsia" w:ascii="宋体" w:hAnsi="宋体"/>
          <w:b/>
          <w:bCs/>
          <w:color w:val="auto"/>
          <w:sz w:val="32"/>
          <w:szCs w:val="32"/>
          <w:highlight w:val="none"/>
          <w:lang w:val="zh-CN"/>
        </w:rPr>
      </w:pPr>
    </w:p>
    <w:p w14:paraId="40702C02">
      <w:pPr>
        <w:autoSpaceDE w:val="0"/>
        <w:autoSpaceDN w:val="0"/>
        <w:adjustRightInd w:val="0"/>
        <w:spacing w:line="360" w:lineRule="auto"/>
        <w:rPr>
          <w:rFonts w:hint="eastAsia" w:ascii="宋体" w:hAnsi="宋体"/>
          <w:b/>
          <w:bCs/>
          <w:color w:val="auto"/>
          <w:sz w:val="32"/>
          <w:szCs w:val="32"/>
          <w:highlight w:val="none"/>
          <w:lang w:val="zh-CN"/>
        </w:rPr>
      </w:pPr>
    </w:p>
    <w:p w14:paraId="2A552D35">
      <w:pPr>
        <w:autoSpaceDE w:val="0"/>
        <w:autoSpaceDN w:val="0"/>
        <w:adjustRightInd w:val="0"/>
        <w:spacing w:line="360" w:lineRule="auto"/>
        <w:rPr>
          <w:rFonts w:hint="eastAsia" w:ascii="宋体" w:hAnsi="宋体"/>
          <w:b/>
          <w:bCs/>
          <w:color w:val="auto"/>
          <w:sz w:val="32"/>
          <w:szCs w:val="32"/>
          <w:highlight w:val="none"/>
          <w:lang w:val="zh-CN"/>
        </w:rPr>
      </w:pPr>
    </w:p>
    <w:p w14:paraId="20B413FC">
      <w:pPr>
        <w:autoSpaceDE w:val="0"/>
        <w:autoSpaceDN w:val="0"/>
        <w:adjustRightInd w:val="0"/>
        <w:spacing w:line="360" w:lineRule="auto"/>
        <w:rPr>
          <w:rFonts w:hint="eastAsia" w:ascii="宋体" w:hAnsi="宋体"/>
          <w:b/>
          <w:bCs/>
          <w:color w:val="auto"/>
          <w:sz w:val="32"/>
          <w:szCs w:val="32"/>
          <w:highlight w:val="none"/>
          <w:lang w:val="zh-CN"/>
        </w:rPr>
      </w:pPr>
    </w:p>
    <w:p w14:paraId="376F7A32">
      <w:pPr>
        <w:autoSpaceDE w:val="0"/>
        <w:autoSpaceDN w:val="0"/>
        <w:adjustRightInd w:val="0"/>
        <w:spacing w:line="360" w:lineRule="auto"/>
        <w:rPr>
          <w:rFonts w:hint="eastAsia" w:ascii="宋体" w:hAnsi="宋体"/>
          <w:b/>
          <w:bCs/>
          <w:color w:val="auto"/>
          <w:sz w:val="32"/>
          <w:szCs w:val="32"/>
          <w:highlight w:val="none"/>
          <w:lang w:val="zh-CN"/>
        </w:rPr>
      </w:pPr>
    </w:p>
    <w:p w14:paraId="4AAFAD3A">
      <w:pPr>
        <w:autoSpaceDE w:val="0"/>
        <w:autoSpaceDN w:val="0"/>
        <w:adjustRightInd w:val="0"/>
        <w:spacing w:line="360" w:lineRule="auto"/>
        <w:rPr>
          <w:rFonts w:hint="eastAsia" w:ascii="宋体" w:hAnsi="宋体"/>
          <w:b/>
          <w:bCs/>
          <w:color w:val="auto"/>
          <w:sz w:val="32"/>
          <w:szCs w:val="32"/>
          <w:highlight w:val="none"/>
          <w:lang w:val="zh-CN"/>
        </w:rPr>
      </w:pPr>
    </w:p>
    <w:p w14:paraId="50955479">
      <w:pPr>
        <w:autoSpaceDE w:val="0"/>
        <w:autoSpaceDN w:val="0"/>
        <w:adjustRightInd w:val="0"/>
        <w:spacing w:line="360" w:lineRule="auto"/>
        <w:rPr>
          <w:rFonts w:hint="eastAsia" w:ascii="宋体" w:hAnsi="宋体"/>
          <w:b/>
          <w:bCs/>
          <w:color w:val="auto"/>
          <w:sz w:val="32"/>
          <w:szCs w:val="32"/>
          <w:highlight w:val="none"/>
          <w:lang w:val="zh-CN"/>
        </w:rPr>
      </w:pPr>
    </w:p>
    <w:p w14:paraId="0BD68DF6">
      <w:pPr>
        <w:autoSpaceDE w:val="0"/>
        <w:autoSpaceDN w:val="0"/>
        <w:adjustRightInd w:val="0"/>
        <w:spacing w:line="360" w:lineRule="auto"/>
        <w:rPr>
          <w:rFonts w:hint="eastAsia" w:ascii="宋体" w:hAnsi="宋体"/>
          <w:b/>
          <w:bCs/>
          <w:color w:val="auto"/>
          <w:sz w:val="32"/>
          <w:szCs w:val="32"/>
          <w:highlight w:val="none"/>
          <w:lang w:val="zh-CN"/>
        </w:rPr>
      </w:pPr>
    </w:p>
    <w:p w14:paraId="4110CE57">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3CC8AD62">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79B050E7">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7C1CB8FB">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4F17A2E">
      <w:pPr>
        <w:snapToGrid w:val="0"/>
        <w:spacing w:before="156" w:beforeLines="50" w:after="50"/>
        <w:rPr>
          <w:rFonts w:hint="eastAsia" w:ascii="宋体" w:hAnsi="宋体"/>
          <w:color w:val="auto"/>
          <w:sz w:val="24"/>
          <w:szCs w:val="20"/>
          <w:highlight w:val="none"/>
        </w:rPr>
      </w:pPr>
    </w:p>
    <w:p w14:paraId="6EE9206F">
      <w:pPr>
        <w:snapToGrid w:val="0"/>
        <w:spacing w:before="156" w:beforeLines="50" w:after="50"/>
        <w:rPr>
          <w:rFonts w:hint="eastAsia" w:ascii="宋体" w:hAnsi="宋体"/>
          <w:color w:val="auto"/>
          <w:sz w:val="24"/>
          <w:szCs w:val="20"/>
          <w:highlight w:val="none"/>
        </w:rPr>
      </w:pPr>
    </w:p>
    <w:p w14:paraId="008E278E">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68903558">
      <w:pPr>
        <w:snapToGrid w:val="0"/>
        <w:spacing w:before="156" w:beforeLines="50" w:after="50"/>
        <w:rPr>
          <w:rFonts w:hint="eastAsia" w:ascii="宋体" w:hAnsi="宋体"/>
          <w:bCs/>
          <w:color w:val="auto"/>
          <w:sz w:val="24"/>
          <w:szCs w:val="20"/>
          <w:highlight w:val="none"/>
        </w:rPr>
      </w:pPr>
    </w:p>
    <w:p w14:paraId="7F5B6B19">
      <w:pPr>
        <w:snapToGrid w:val="0"/>
        <w:spacing w:before="156" w:beforeLines="50" w:after="50"/>
        <w:rPr>
          <w:rFonts w:hint="eastAsia" w:ascii="宋体" w:hAnsi="宋体"/>
          <w:bCs/>
          <w:color w:val="auto"/>
          <w:sz w:val="24"/>
          <w:szCs w:val="20"/>
          <w:highlight w:val="none"/>
        </w:rPr>
      </w:pPr>
    </w:p>
    <w:p w14:paraId="7128AC98">
      <w:pPr>
        <w:snapToGrid w:val="0"/>
        <w:spacing w:before="156" w:beforeLines="50" w:after="50"/>
        <w:rPr>
          <w:rFonts w:hint="eastAsia" w:ascii="宋体" w:hAnsi="宋体"/>
          <w:bCs/>
          <w:color w:val="auto"/>
          <w:sz w:val="24"/>
          <w:szCs w:val="20"/>
          <w:highlight w:val="none"/>
        </w:rPr>
      </w:pPr>
    </w:p>
    <w:p w14:paraId="40722FA4">
      <w:pPr>
        <w:snapToGrid w:val="0"/>
        <w:spacing w:before="156" w:beforeLines="50" w:after="50"/>
        <w:rPr>
          <w:rFonts w:hint="eastAsia" w:ascii="宋体" w:hAnsi="宋体"/>
          <w:bCs/>
          <w:color w:val="auto"/>
          <w:sz w:val="24"/>
          <w:szCs w:val="20"/>
          <w:highlight w:val="none"/>
        </w:rPr>
      </w:pPr>
    </w:p>
    <w:p w14:paraId="779A7A1F">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C4BE567">
      <w:pPr>
        <w:snapToGrid w:val="0"/>
        <w:spacing w:before="156" w:beforeLines="50" w:after="50"/>
        <w:ind w:firstLine="720" w:firstLineChars="225"/>
        <w:rPr>
          <w:rFonts w:hint="eastAsia" w:ascii="宋体" w:hAnsi="宋体" w:cs="仿宋_GB2312"/>
          <w:bCs/>
          <w:color w:val="auto"/>
          <w:sz w:val="32"/>
          <w:szCs w:val="32"/>
          <w:highlight w:val="none"/>
        </w:rPr>
      </w:pPr>
    </w:p>
    <w:p w14:paraId="06ACA139">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7B1C47A">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9CB3BB5">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4BE8238">
      <w:pPr>
        <w:pStyle w:val="9"/>
        <w:snapToGrid w:val="0"/>
        <w:spacing w:before="50" w:after="50"/>
        <w:ind w:firstLine="640"/>
        <w:rPr>
          <w:rFonts w:hint="eastAsia" w:ascii="宋体" w:hAnsi="宋体" w:cs="仿宋_GB2312"/>
          <w:bCs/>
          <w:color w:val="auto"/>
          <w:sz w:val="32"/>
          <w:szCs w:val="32"/>
          <w:highlight w:val="none"/>
        </w:rPr>
      </w:pPr>
    </w:p>
    <w:p w14:paraId="0B9674AA">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26065AD4">
      <w:pPr>
        <w:pStyle w:val="9"/>
        <w:snapToGrid w:val="0"/>
        <w:spacing w:before="50" w:after="50"/>
        <w:ind w:firstLine="640"/>
        <w:rPr>
          <w:rFonts w:hint="eastAsia" w:ascii="宋体" w:hAnsi="宋体" w:cs="仿宋_GB2312"/>
          <w:bCs/>
          <w:color w:val="auto"/>
          <w:sz w:val="32"/>
          <w:szCs w:val="32"/>
          <w:highlight w:val="none"/>
        </w:rPr>
      </w:pPr>
    </w:p>
    <w:p w14:paraId="5CD72BEA">
      <w:pPr>
        <w:pStyle w:val="9"/>
        <w:snapToGrid w:val="0"/>
        <w:spacing w:before="50" w:after="50"/>
        <w:ind w:firstLine="720" w:firstLineChars="225"/>
        <w:rPr>
          <w:rFonts w:hint="eastAsia" w:ascii="宋体" w:hAnsi="宋体" w:cs="仿宋_GB2312"/>
          <w:bCs/>
          <w:color w:val="auto"/>
          <w:sz w:val="32"/>
          <w:szCs w:val="32"/>
          <w:highlight w:val="none"/>
        </w:rPr>
      </w:pPr>
    </w:p>
    <w:p w14:paraId="45BC92FD">
      <w:pPr>
        <w:pStyle w:val="9"/>
        <w:snapToGrid w:val="0"/>
        <w:spacing w:before="50" w:after="50"/>
        <w:ind w:firstLine="1280" w:firstLineChars="400"/>
        <w:rPr>
          <w:rFonts w:hint="eastAsia" w:ascii="宋体" w:hAnsi="宋体" w:cs="仿宋_GB2312"/>
          <w:bCs/>
          <w:color w:val="auto"/>
          <w:sz w:val="32"/>
          <w:szCs w:val="32"/>
          <w:highlight w:val="none"/>
        </w:rPr>
      </w:pPr>
    </w:p>
    <w:p w14:paraId="6E5FCBB9">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6C1773E9">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AC6ADA6">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300AAD3">
      <w:pPr>
        <w:spacing w:line="400" w:lineRule="exact"/>
        <w:rPr>
          <w:rFonts w:hint="eastAsia" w:ascii="仿宋_GB2312" w:hAnsi="仿宋_GB2312" w:eastAsia="仿宋_GB2312" w:cs="仿宋_GB2312"/>
          <w:color w:val="auto"/>
          <w:sz w:val="32"/>
          <w:szCs w:val="32"/>
          <w:highlight w:val="none"/>
        </w:rPr>
      </w:pPr>
    </w:p>
    <w:p w14:paraId="1BA61B40">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4E701B60">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3DD70366">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7CAA2B8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2753F0B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5A45A7D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3D43DDE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6FA4029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02042C6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52750B0">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004F6CC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20CA3A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39EEE83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1D4FE7E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D7F6F1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3CD5A2B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6AD02CC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4F51E5FE">
      <w:pPr>
        <w:spacing w:line="360" w:lineRule="auto"/>
        <w:ind w:firstLine="480" w:firstLineChars="200"/>
        <w:contextualSpacing/>
        <w:rPr>
          <w:rFonts w:hint="eastAsia" w:ascii="宋体" w:hAnsi="宋体" w:cs="仿宋_GB2312"/>
          <w:color w:val="auto"/>
          <w:sz w:val="24"/>
          <w:highlight w:val="none"/>
        </w:rPr>
      </w:pPr>
    </w:p>
    <w:p w14:paraId="13F1211C">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248FEEDD">
      <w:pPr>
        <w:spacing w:line="360" w:lineRule="auto"/>
        <w:contextualSpacing/>
        <w:rPr>
          <w:rFonts w:hint="eastAsia" w:ascii="宋体" w:hAnsi="宋体" w:cs="仿宋_GB2312"/>
          <w:color w:val="auto"/>
          <w:sz w:val="24"/>
          <w:highlight w:val="none"/>
        </w:rPr>
      </w:pPr>
    </w:p>
    <w:p w14:paraId="40CB56E6">
      <w:pPr>
        <w:spacing w:line="360" w:lineRule="auto"/>
        <w:contextualSpacing/>
        <w:rPr>
          <w:rFonts w:hint="eastAsia" w:ascii="宋体" w:hAnsi="宋体" w:cs="仿宋_GB2312"/>
          <w:color w:val="auto"/>
          <w:sz w:val="24"/>
          <w:highlight w:val="none"/>
        </w:rPr>
      </w:pPr>
    </w:p>
    <w:p w14:paraId="53D17B63">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267769E5">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4E26435E">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2CF34A70">
      <w:pPr>
        <w:spacing w:line="360" w:lineRule="auto"/>
        <w:ind w:left="540"/>
        <w:contextualSpacing/>
        <w:rPr>
          <w:rFonts w:hint="eastAsia" w:ascii="仿宋_GB2312" w:hAnsi="仿宋_GB2312" w:eastAsia="仿宋_GB2312" w:cs="仿宋_GB2312"/>
          <w:color w:val="auto"/>
          <w:sz w:val="32"/>
          <w:szCs w:val="32"/>
          <w:highlight w:val="none"/>
        </w:rPr>
      </w:pPr>
    </w:p>
    <w:p w14:paraId="0C7B63A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74AA197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3CA0AFDF">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7B87C15E">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22123EA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30FAE1F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23BC85C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1264AEC3">
      <w:pPr>
        <w:spacing w:line="360" w:lineRule="auto"/>
        <w:ind w:left="540"/>
        <w:contextualSpacing/>
        <w:rPr>
          <w:rFonts w:hint="eastAsia" w:ascii="宋体" w:hAnsi="宋体" w:cs="仿宋_GB2312"/>
          <w:color w:val="auto"/>
          <w:sz w:val="24"/>
          <w:highlight w:val="none"/>
        </w:rPr>
      </w:pPr>
    </w:p>
    <w:p w14:paraId="3B911A4D">
      <w:pPr>
        <w:spacing w:line="360" w:lineRule="auto"/>
        <w:ind w:left="540"/>
        <w:contextualSpacing/>
        <w:rPr>
          <w:rFonts w:hint="eastAsia" w:ascii="宋体" w:hAnsi="宋体" w:cs="仿宋_GB2312"/>
          <w:color w:val="auto"/>
          <w:sz w:val="24"/>
          <w:highlight w:val="none"/>
        </w:rPr>
      </w:pPr>
    </w:p>
    <w:p w14:paraId="48AABCEF">
      <w:pPr>
        <w:spacing w:line="360" w:lineRule="auto"/>
        <w:ind w:left="540"/>
        <w:contextualSpacing/>
        <w:rPr>
          <w:rFonts w:hint="eastAsia" w:ascii="宋体" w:hAnsi="宋体" w:cs="仿宋_GB2312"/>
          <w:color w:val="auto"/>
          <w:sz w:val="24"/>
          <w:highlight w:val="none"/>
        </w:rPr>
      </w:pPr>
    </w:p>
    <w:p w14:paraId="591F092B">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16AFA97D">
      <w:pPr>
        <w:spacing w:line="360" w:lineRule="auto"/>
        <w:ind w:left="540"/>
        <w:contextualSpacing/>
        <w:rPr>
          <w:rFonts w:hint="eastAsia" w:ascii="宋体" w:hAnsi="宋体" w:cs="仿宋_GB2312"/>
          <w:color w:val="auto"/>
          <w:sz w:val="24"/>
          <w:highlight w:val="none"/>
        </w:rPr>
      </w:pPr>
    </w:p>
    <w:p w14:paraId="6C05E558">
      <w:pPr>
        <w:spacing w:line="360" w:lineRule="auto"/>
        <w:ind w:left="540"/>
        <w:contextualSpacing/>
        <w:rPr>
          <w:rFonts w:hint="eastAsia" w:ascii="宋体" w:hAnsi="宋体" w:cs="仿宋_GB2312"/>
          <w:color w:val="auto"/>
          <w:sz w:val="24"/>
          <w:highlight w:val="none"/>
        </w:rPr>
      </w:pPr>
    </w:p>
    <w:p w14:paraId="393C3F01">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5749E1B4">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8649626">
      <w:pPr>
        <w:spacing w:line="360" w:lineRule="auto"/>
        <w:contextualSpacing/>
        <w:jc w:val="center"/>
        <w:rPr>
          <w:rFonts w:hint="eastAsia" w:ascii="宋体" w:hAnsi="宋体" w:cs="仿宋_GB2312"/>
          <w:b/>
          <w:color w:val="auto"/>
          <w:sz w:val="24"/>
          <w:highlight w:val="none"/>
        </w:rPr>
      </w:pPr>
    </w:p>
    <w:p w14:paraId="55E10EE3">
      <w:pPr>
        <w:adjustRightInd w:val="0"/>
        <w:snapToGrid w:val="0"/>
        <w:spacing w:line="300" w:lineRule="auto"/>
        <w:jc w:val="left"/>
        <w:rPr>
          <w:rFonts w:hint="eastAsia" w:ascii="宋体" w:hAnsi="宋体"/>
          <w:b/>
          <w:color w:val="auto"/>
          <w:szCs w:val="21"/>
          <w:highlight w:val="none"/>
        </w:rPr>
      </w:pPr>
    </w:p>
    <w:p w14:paraId="36050790">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5" w:name="_Hlk65853643"/>
      <w:r>
        <w:rPr>
          <w:rFonts w:hint="eastAsia" w:ascii="方正小标宋简体" w:hAnsi="方正小标宋简体" w:eastAsia="方正小标宋简体" w:cs="方正小标宋简体"/>
          <w:color w:val="auto"/>
          <w:sz w:val="44"/>
          <w:szCs w:val="44"/>
          <w:highlight w:val="none"/>
        </w:rPr>
        <w:t>授权委托书</w:t>
      </w:r>
    </w:p>
    <w:p w14:paraId="79FFE4C5">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68F84204">
      <w:pPr>
        <w:spacing w:line="520" w:lineRule="exact"/>
        <w:rPr>
          <w:rFonts w:hint="eastAsia" w:ascii="仿宋_GB2312" w:hAnsi="仿宋_GB2312" w:eastAsia="仿宋_GB2312" w:cs="仿宋_GB2312"/>
          <w:color w:val="auto"/>
          <w:sz w:val="32"/>
          <w:szCs w:val="32"/>
          <w:highlight w:val="none"/>
        </w:rPr>
      </w:pPr>
    </w:p>
    <w:p w14:paraId="17097563">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60E919F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99567F3">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3C1CBF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CBA91C7">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C77715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0D43B541">
      <w:pPr>
        <w:spacing w:line="360" w:lineRule="auto"/>
        <w:rPr>
          <w:rFonts w:hint="eastAsia" w:ascii="宋体" w:hAnsi="宋体" w:cs="仿宋_GB2312"/>
          <w:color w:val="auto"/>
          <w:sz w:val="24"/>
          <w:highlight w:val="none"/>
        </w:rPr>
      </w:pPr>
    </w:p>
    <w:p w14:paraId="798D3D5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3A769AA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7316E78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50BD2C7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045FA5FA">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646F2C01">
      <w:pPr>
        <w:spacing w:line="360" w:lineRule="auto"/>
        <w:rPr>
          <w:rFonts w:hint="eastAsia" w:ascii="宋体" w:hAnsi="宋体" w:cs="仿宋_GB2312"/>
          <w:color w:val="auto"/>
          <w:sz w:val="24"/>
          <w:highlight w:val="none"/>
        </w:rPr>
      </w:pPr>
    </w:p>
    <w:p w14:paraId="17F80772">
      <w:pPr>
        <w:spacing w:line="360" w:lineRule="auto"/>
        <w:rPr>
          <w:rFonts w:hint="eastAsia" w:ascii="宋体" w:hAnsi="宋体" w:cs="仿宋_GB2312"/>
          <w:color w:val="auto"/>
          <w:sz w:val="24"/>
          <w:highlight w:val="none"/>
        </w:rPr>
      </w:pPr>
    </w:p>
    <w:p w14:paraId="2142552A">
      <w:pPr>
        <w:spacing w:line="360" w:lineRule="auto"/>
        <w:rPr>
          <w:rFonts w:hint="eastAsia" w:ascii="宋体" w:hAnsi="宋体" w:cs="仿宋_GB2312"/>
          <w:color w:val="auto"/>
          <w:sz w:val="24"/>
          <w:highlight w:val="none"/>
        </w:rPr>
      </w:pPr>
    </w:p>
    <w:p w14:paraId="08CA014E">
      <w:pPr>
        <w:spacing w:line="360" w:lineRule="auto"/>
        <w:rPr>
          <w:rFonts w:hint="eastAsia" w:ascii="宋体" w:hAnsi="宋体" w:cs="仿宋_GB2312"/>
          <w:color w:val="auto"/>
          <w:sz w:val="24"/>
          <w:highlight w:val="none"/>
        </w:rPr>
      </w:pPr>
    </w:p>
    <w:p w14:paraId="48A0C708">
      <w:pPr>
        <w:spacing w:line="360" w:lineRule="auto"/>
        <w:rPr>
          <w:rFonts w:hint="eastAsia" w:ascii="宋体" w:hAnsi="宋体" w:cs="仿宋_GB2312"/>
          <w:color w:val="auto"/>
          <w:sz w:val="24"/>
          <w:highlight w:val="none"/>
        </w:rPr>
      </w:pPr>
    </w:p>
    <w:p w14:paraId="5B005280">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3669D51D">
      <w:pPr>
        <w:spacing w:line="360" w:lineRule="auto"/>
        <w:ind w:firstLine="420" w:firstLineChars="200"/>
        <w:jc w:val="left"/>
        <w:rPr>
          <w:rFonts w:hint="eastAsia" w:ascii="仿宋_GB2312" w:hAnsi="仿宋_GB2312" w:eastAsia="仿宋_GB2312" w:cs="仿宋_GB2312"/>
          <w:color w:val="auto"/>
          <w:szCs w:val="21"/>
          <w:highlight w:val="none"/>
        </w:rPr>
      </w:pPr>
    </w:p>
    <w:p w14:paraId="1521807F">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5"/>
      <w:r>
        <w:rPr>
          <w:rFonts w:hint="eastAsia" w:ascii="方正小标宋简体" w:hAnsi="方正小标宋简体" w:eastAsia="方正小标宋简体" w:cs="方正小标宋简体"/>
          <w:bCs/>
          <w:color w:val="auto"/>
          <w:sz w:val="44"/>
          <w:szCs w:val="44"/>
          <w:highlight w:val="none"/>
        </w:rPr>
        <w:t>施工组织设计</w:t>
      </w:r>
    </w:p>
    <w:p w14:paraId="414B3C23">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7E4EE6CC">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33F92961">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5A8F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78B53F15">
            <w:pPr>
              <w:ind w:left="223" w:hanging="222" w:hangingChars="106"/>
              <w:jc w:val="center"/>
              <w:rPr>
                <w:color w:val="auto"/>
                <w:highlight w:val="none"/>
              </w:rPr>
            </w:pPr>
            <w:r>
              <w:rPr>
                <w:color w:val="auto"/>
                <w:highlight w:val="none"/>
              </w:rPr>
              <w:t>岗位</w:t>
            </w:r>
          </w:p>
        </w:tc>
        <w:tc>
          <w:tcPr>
            <w:tcW w:w="670" w:type="dxa"/>
            <w:vMerge w:val="restart"/>
            <w:vAlign w:val="center"/>
          </w:tcPr>
          <w:p w14:paraId="5C420875">
            <w:pPr>
              <w:ind w:left="223" w:hanging="222" w:hangingChars="106"/>
              <w:jc w:val="center"/>
              <w:rPr>
                <w:color w:val="auto"/>
                <w:highlight w:val="none"/>
              </w:rPr>
            </w:pPr>
            <w:r>
              <w:rPr>
                <w:color w:val="auto"/>
                <w:highlight w:val="none"/>
              </w:rPr>
              <w:t>姓名</w:t>
            </w:r>
          </w:p>
        </w:tc>
        <w:tc>
          <w:tcPr>
            <w:tcW w:w="829" w:type="dxa"/>
            <w:vMerge w:val="restart"/>
            <w:vAlign w:val="center"/>
          </w:tcPr>
          <w:p w14:paraId="6C4B45D8">
            <w:pPr>
              <w:jc w:val="center"/>
              <w:rPr>
                <w:color w:val="auto"/>
                <w:highlight w:val="none"/>
              </w:rPr>
            </w:pPr>
            <w:r>
              <w:rPr>
                <w:color w:val="auto"/>
                <w:highlight w:val="none"/>
              </w:rPr>
              <w:t>身份证号</w:t>
            </w:r>
          </w:p>
        </w:tc>
        <w:tc>
          <w:tcPr>
            <w:tcW w:w="816" w:type="dxa"/>
            <w:vMerge w:val="restart"/>
            <w:vAlign w:val="center"/>
          </w:tcPr>
          <w:p w14:paraId="1EC36B67">
            <w:pPr>
              <w:ind w:left="223" w:hanging="222" w:hangingChars="106"/>
              <w:jc w:val="center"/>
              <w:rPr>
                <w:color w:val="auto"/>
                <w:highlight w:val="none"/>
              </w:rPr>
            </w:pPr>
            <w:r>
              <w:rPr>
                <w:color w:val="auto"/>
                <w:highlight w:val="none"/>
              </w:rPr>
              <w:t>职称</w:t>
            </w:r>
          </w:p>
        </w:tc>
        <w:tc>
          <w:tcPr>
            <w:tcW w:w="4188" w:type="dxa"/>
            <w:gridSpan w:val="4"/>
            <w:vAlign w:val="center"/>
          </w:tcPr>
          <w:p w14:paraId="49FC12AD">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666562E4">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234C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58195A7E">
            <w:pPr>
              <w:ind w:left="223" w:hanging="222" w:hangingChars="106"/>
              <w:jc w:val="center"/>
              <w:rPr>
                <w:color w:val="auto"/>
                <w:highlight w:val="none"/>
              </w:rPr>
            </w:pPr>
          </w:p>
        </w:tc>
        <w:tc>
          <w:tcPr>
            <w:tcW w:w="670" w:type="dxa"/>
            <w:vMerge w:val="continue"/>
            <w:vAlign w:val="center"/>
          </w:tcPr>
          <w:p w14:paraId="5FB1704F">
            <w:pPr>
              <w:ind w:left="223" w:hanging="222" w:hangingChars="106"/>
              <w:jc w:val="center"/>
              <w:rPr>
                <w:color w:val="auto"/>
                <w:highlight w:val="none"/>
              </w:rPr>
            </w:pPr>
          </w:p>
        </w:tc>
        <w:tc>
          <w:tcPr>
            <w:tcW w:w="829" w:type="dxa"/>
            <w:vMerge w:val="continue"/>
            <w:vAlign w:val="center"/>
          </w:tcPr>
          <w:p w14:paraId="352E6D0D">
            <w:pPr>
              <w:ind w:left="223" w:hanging="222" w:hangingChars="106"/>
              <w:jc w:val="center"/>
              <w:rPr>
                <w:color w:val="auto"/>
                <w:highlight w:val="none"/>
              </w:rPr>
            </w:pPr>
          </w:p>
        </w:tc>
        <w:tc>
          <w:tcPr>
            <w:tcW w:w="816" w:type="dxa"/>
            <w:vMerge w:val="continue"/>
            <w:vAlign w:val="center"/>
          </w:tcPr>
          <w:p w14:paraId="511A6A35">
            <w:pPr>
              <w:ind w:left="223" w:hanging="222" w:hangingChars="106"/>
              <w:jc w:val="center"/>
              <w:rPr>
                <w:color w:val="auto"/>
                <w:highlight w:val="none"/>
              </w:rPr>
            </w:pPr>
          </w:p>
        </w:tc>
        <w:tc>
          <w:tcPr>
            <w:tcW w:w="1148" w:type="dxa"/>
            <w:vAlign w:val="center"/>
          </w:tcPr>
          <w:p w14:paraId="7D694EF6">
            <w:pPr>
              <w:ind w:left="223" w:hanging="222" w:hangingChars="106"/>
              <w:jc w:val="center"/>
              <w:rPr>
                <w:color w:val="auto"/>
                <w:highlight w:val="none"/>
              </w:rPr>
            </w:pPr>
            <w:r>
              <w:rPr>
                <w:color w:val="auto"/>
                <w:highlight w:val="none"/>
              </w:rPr>
              <w:t>证书名称</w:t>
            </w:r>
          </w:p>
        </w:tc>
        <w:tc>
          <w:tcPr>
            <w:tcW w:w="1148" w:type="dxa"/>
            <w:vAlign w:val="center"/>
          </w:tcPr>
          <w:p w14:paraId="4C074028">
            <w:pPr>
              <w:ind w:left="223" w:hanging="222" w:hangingChars="106"/>
              <w:jc w:val="center"/>
              <w:rPr>
                <w:color w:val="auto"/>
                <w:highlight w:val="none"/>
              </w:rPr>
            </w:pPr>
            <w:r>
              <w:rPr>
                <w:color w:val="auto"/>
                <w:highlight w:val="none"/>
              </w:rPr>
              <w:t>级别</w:t>
            </w:r>
          </w:p>
        </w:tc>
        <w:tc>
          <w:tcPr>
            <w:tcW w:w="1148" w:type="dxa"/>
            <w:vAlign w:val="center"/>
          </w:tcPr>
          <w:p w14:paraId="4D35240F">
            <w:pPr>
              <w:ind w:left="223" w:hanging="222" w:hangingChars="106"/>
              <w:jc w:val="center"/>
              <w:rPr>
                <w:color w:val="auto"/>
                <w:highlight w:val="none"/>
              </w:rPr>
            </w:pPr>
            <w:r>
              <w:rPr>
                <w:color w:val="auto"/>
                <w:highlight w:val="none"/>
              </w:rPr>
              <w:t>证号</w:t>
            </w:r>
          </w:p>
        </w:tc>
        <w:tc>
          <w:tcPr>
            <w:tcW w:w="744" w:type="dxa"/>
            <w:vAlign w:val="center"/>
          </w:tcPr>
          <w:p w14:paraId="0AB53203">
            <w:pPr>
              <w:ind w:left="223" w:hanging="222" w:hangingChars="106"/>
              <w:jc w:val="center"/>
              <w:rPr>
                <w:color w:val="auto"/>
                <w:highlight w:val="none"/>
              </w:rPr>
            </w:pPr>
            <w:r>
              <w:rPr>
                <w:color w:val="auto"/>
                <w:highlight w:val="none"/>
              </w:rPr>
              <w:t>专业</w:t>
            </w:r>
          </w:p>
        </w:tc>
        <w:tc>
          <w:tcPr>
            <w:tcW w:w="1167" w:type="dxa"/>
            <w:vAlign w:val="center"/>
          </w:tcPr>
          <w:p w14:paraId="644C5968">
            <w:pPr>
              <w:jc w:val="center"/>
              <w:rPr>
                <w:color w:val="auto"/>
                <w:highlight w:val="none"/>
              </w:rPr>
            </w:pPr>
            <w:r>
              <w:rPr>
                <w:rFonts w:hint="eastAsia"/>
                <w:color w:val="auto"/>
                <w:highlight w:val="none"/>
              </w:rPr>
              <w:t>完工/在建</w:t>
            </w:r>
          </w:p>
        </w:tc>
        <w:tc>
          <w:tcPr>
            <w:tcW w:w="1276" w:type="dxa"/>
            <w:vAlign w:val="center"/>
          </w:tcPr>
          <w:p w14:paraId="600ECD16">
            <w:pPr>
              <w:jc w:val="center"/>
              <w:rPr>
                <w:color w:val="auto"/>
                <w:highlight w:val="none"/>
              </w:rPr>
            </w:pPr>
            <w:r>
              <w:rPr>
                <w:color w:val="auto"/>
                <w:highlight w:val="none"/>
              </w:rPr>
              <w:t>主要项目</w:t>
            </w:r>
          </w:p>
          <w:p w14:paraId="32DEAAD2">
            <w:pPr>
              <w:jc w:val="center"/>
              <w:rPr>
                <w:color w:val="auto"/>
                <w:highlight w:val="none"/>
              </w:rPr>
            </w:pPr>
            <w:r>
              <w:rPr>
                <w:color w:val="auto"/>
                <w:highlight w:val="none"/>
              </w:rPr>
              <w:t>名称</w:t>
            </w:r>
          </w:p>
        </w:tc>
      </w:tr>
      <w:tr w14:paraId="1093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7CFB19E">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35DDDE34">
            <w:pPr>
              <w:ind w:left="223" w:hanging="222" w:hangingChars="106"/>
              <w:jc w:val="center"/>
              <w:rPr>
                <w:color w:val="auto"/>
                <w:szCs w:val="21"/>
                <w:highlight w:val="none"/>
              </w:rPr>
            </w:pPr>
          </w:p>
        </w:tc>
        <w:tc>
          <w:tcPr>
            <w:tcW w:w="829" w:type="dxa"/>
            <w:vAlign w:val="center"/>
          </w:tcPr>
          <w:p w14:paraId="1BA248A2">
            <w:pPr>
              <w:ind w:left="223" w:hanging="222" w:hangingChars="106"/>
              <w:jc w:val="center"/>
              <w:rPr>
                <w:color w:val="auto"/>
                <w:szCs w:val="21"/>
                <w:highlight w:val="none"/>
              </w:rPr>
            </w:pPr>
          </w:p>
        </w:tc>
        <w:tc>
          <w:tcPr>
            <w:tcW w:w="816" w:type="dxa"/>
            <w:vAlign w:val="center"/>
          </w:tcPr>
          <w:p w14:paraId="3BC93D3A">
            <w:pPr>
              <w:ind w:left="223" w:hanging="222" w:hangingChars="106"/>
              <w:jc w:val="center"/>
              <w:rPr>
                <w:color w:val="auto"/>
                <w:szCs w:val="21"/>
                <w:highlight w:val="none"/>
              </w:rPr>
            </w:pPr>
          </w:p>
        </w:tc>
        <w:tc>
          <w:tcPr>
            <w:tcW w:w="1148" w:type="dxa"/>
            <w:vAlign w:val="center"/>
          </w:tcPr>
          <w:p w14:paraId="323EB3C3">
            <w:pPr>
              <w:ind w:left="223" w:hanging="222" w:hangingChars="106"/>
              <w:jc w:val="center"/>
              <w:rPr>
                <w:color w:val="auto"/>
                <w:szCs w:val="21"/>
                <w:highlight w:val="none"/>
              </w:rPr>
            </w:pPr>
          </w:p>
        </w:tc>
        <w:tc>
          <w:tcPr>
            <w:tcW w:w="1148" w:type="dxa"/>
            <w:vAlign w:val="center"/>
          </w:tcPr>
          <w:p w14:paraId="2A830394">
            <w:pPr>
              <w:ind w:left="223" w:hanging="222" w:hangingChars="106"/>
              <w:jc w:val="center"/>
              <w:rPr>
                <w:color w:val="auto"/>
                <w:szCs w:val="21"/>
                <w:highlight w:val="none"/>
              </w:rPr>
            </w:pPr>
          </w:p>
        </w:tc>
        <w:tc>
          <w:tcPr>
            <w:tcW w:w="1148" w:type="dxa"/>
            <w:vAlign w:val="center"/>
          </w:tcPr>
          <w:p w14:paraId="7F2D0008">
            <w:pPr>
              <w:ind w:left="223" w:hanging="222" w:hangingChars="106"/>
              <w:jc w:val="center"/>
              <w:rPr>
                <w:color w:val="auto"/>
                <w:szCs w:val="21"/>
                <w:highlight w:val="none"/>
              </w:rPr>
            </w:pPr>
          </w:p>
        </w:tc>
        <w:tc>
          <w:tcPr>
            <w:tcW w:w="744" w:type="dxa"/>
            <w:vAlign w:val="center"/>
          </w:tcPr>
          <w:p w14:paraId="7C6726BE">
            <w:pPr>
              <w:ind w:left="223" w:hanging="222" w:hangingChars="106"/>
              <w:jc w:val="center"/>
              <w:rPr>
                <w:color w:val="auto"/>
                <w:szCs w:val="21"/>
                <w:highlight w:val="none"/>
              </w:rPr>
            </w:pPr>
          </w:p>
        </w:tc>
        <w:tc>
          <w:tcPr>
            <w:tcW w:w="1167" w:type="dxa"/>
            <w:vAlign w:val="center"/>
          </w:tcPr>
          <w:p w14:paraId="1C464056">
            <w:pPr>
              <w:ind w:left="223" w:hanging="222" w:hangingChars="106"/>
              <w:jc w:val="center"/>
              <w:rPr>
                <w:color w:val="auto"/>
                <w:szCs w:val="21"/>
                <w:highlight w:val="none"/>
              </w:rPr>
            </w:pPr>
          </w:p>
        </w:tc>
        <w:tc>
          <w:tcPr>
            <w:tcW w:w="1276" w:type="dxa"/>
            <w:vAlign w:val="center"/>
          </w:tcPr>
          <w:p w14:paraId="4E1ED9B7">
            <w:pPr>
              <w:ind w:left="223" w:hanging="222" w:hangingChars="106"/>
              <w:jc w:val="center"/>
              <w:rPr>
                <w:color w:val="auto"/>
                <w:szCs w:val="21"/>
                <w:highlight w:val="none"/>
              </w:rPr>
            </w:pPr>
          </w:p>
        </w:tc>
      </w:tr>
      <w:tr w14:paraId="1474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76D986F7">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121BB54F">
            <w:pPr>
              <w:ind w:left="223" w:hanging="222" w:hangingChars="106"/>
              <w:jc w:val="center"/>
              <w:rPr>
                <w:color w:val="auto"/>
                <w:szCs w:val="21"/>
                <w:highlight w:val="none"/>
              </w:rPr>
            </w:pPr>
          </w:p>
        </w:tc>
        <w:tc>
          <w:tcPr>
            <w:tcW w:w="829" w:type="dxa"/>
            <w:vAlign w:val="center"/>
          </w:tcPr>
          <w:p w14:paraId="4C0749AD">
            <w:pPr>
              <w:ind w:left="223" w:hanging="222" w:hangingChars="106"/>
              <w:jc w:val="center"/>
              <w:rPr>
                <w:color w:val="auto"/>
                <w:szCs w:val="21"/>
                <w:highlight w:val="none"/>
              </w:rPr>
            </w:pPr>
          </w:p>
        </w:tc>
        <w:tc>
          <w:tcPr>
            <w:tcW w:w="816" w:type="dxa"/>
            <w:vAlign w:val="center"/>
          </w:tcPr>
          <w:p w14:paraId="4EA2519B">
            <w:pPr>
              <w:ind w:left="223" w:hanging="222" w:hangingChars="106"/>
              <w:jc w:val="center"/>
              <w:rPr>
                <w:color w:val="auto"/>
                <w:szCs w:val="21"/>
                <w:highlight w:val="none"/>
              </w:rPr>
            </w:pPr>
          </w:p>
        </w:tc>
        <w:tc>
          <w:tcPr>
            <w:tcW w:w="1148" w:type="dxa"/>
            <w:vAlign w:val="center"/>
          </w:tcPr>
          <w:p w14:paraId="44218665">
            <w:pPr>
              <w:ind w:left="223" w:hanging="222" w:hangingChars="106"/>
              <w:jc w:val="center"/>
              <w:rPr>
                <w:color w:val="auto"/>
                <w:szCs w:val="21"/>
                <w:highlight w:val="none"/>
              </w:rPr>
            </w:pPr>
          </w:p>
        </w:tc>
        <w:tc>
          <w:tcPr>
            <w:tcW w:w="1148" w:type="dxa"/>
            <w:vAlign w:val="center"/>
          </w:tcPr>
          <w:p w14:paraId="552D976C">
            <w:pPr>
              <w:ind w:left="223" w:hanging="222" w:hangingChars="106"/>
              <w:jc w:val="center"/>
              <w:rPr>
                <w:color w:val="auto"/>
                <w:szCs w:val="21"/>
                <w:highlight w:val="none"/>
              </w:rPr>
            </w:pPr>
          </w:p>
        </w:tc>
        <w:tc>
          <w:tcPr>
            <w:tcW w:w="1148" w:type="dxa"/>
            <w:vAlign w:val="center"/>
          </w:tcPr>
          <w:p w14:paraId="5116F60E">
            <w:pPr>
              <w:ind w:left="223" w:hanging="222" w:hangingChars="106"/>
              <w:jc w:val="center"/>
              <w:rPr>
                <w:color w:val="auto"/>
                <w:szCs w:val="21"/>
                <w:highlight w:val="none"/>
              </w:rPr>
            </w:pPr>
          </w:p>
        </w:tc>
        <w:tc>
          <w:tcPr>
            <w:tcW w:w="744" w:type="dxa"/>
            <w:vAlign w:val="center"/>
          </w:tcPr>
          <w:p w14:paraId="78EA5F88">
            <w:pPr>
              <w:ind w:left="223" w:hanging="222" w:hangingChars="106"/>
              <w:jc w:val="center"/>
              <w:rPr>
                <w:color w:val="auto"/>
                <w:szCs w:val="21"/>
                <w:highlight w:val="none"/>
              </w:rPr>
            </w:pPr>
          </w:p>
        </w:tc>
        <w:tc>
          <w:tcPr>
            <w:tcW w:w="1167" w:type="dxa"/>
            <w:vAlign w:val="center"/>
          </w:tcPr>
          <w:p w14:paraId="525FEC8D">
            <w:pPr>
              <w:ind w:left="223" w:hanging="222" w:hangingChars="106"/>
              <w:jc w:val="center"/>
              <w:rPr>
                <w:color w:val="auto"/>
                <w:szCs w:val="21"/>
                <w:highlight w:val="none"/>
              </w:rPr>
            </w:pPr>
          </w:p>
        </w:tc>
        <w:tc>
          <w:tcPr>
            <w:tcW w:w="1276" w:type="dxa"/>
            <w:vAlign w:val="center"/>
          </w:tcPr>
          <w:p w14:paraId="4502B8B6">
            <w:pPr>
              <w:ind w:left="223" w:hanging="222" w:hangingChars="106"/>
              <w:jc w:val="center"/>
              <w:rPr>
                <w:color w:val="auto"/>
                <w:szCs w:val="21"/>
                <w:highlight w:val="none"/>
              </w:rPr>
            </w:pPr>
          </w:p>
        </w:tc>
      </w:tr>
      <w:tr w14:paraId="5DF8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51A3207">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38FE3360">
            <w:pPr>
              <w:ind w:left="223" w:hanging="222" w:hangingChars="106"/>
              <w:jc w:val="center"/>
              <w:rPr>
                <w:color w:val="auto"/>
                <w:szCs w:val="21"/>
                <w:highlight w:val="none"/>
              </w:rPr>
            </w:pPr>
          </w:p>
        </w:tc>
        <w:tc>
          <w:tcPr>
            <w:tcW w:w="829" w:type="dxa"/>
            <w:vAlign w:val="center"/>
          </w:tcPr>
          <w:p w14:paraId="0B05B4E2">
            <w:pPr>
              <w:ind w:left="223" w:hanging="222" w:hangingChars="106"/>
              <w:jc w:val="center"/>
              <w:rPr>
                <w:color w:val="auto"/>
                <w:szCs w:val="21"/>
                <w:highlight w:val="none"/>
              </w:rPr>
            </w:pPr>
          </w:p>
        </w:tc>
        <w:tc>
          <w:tcPr>
            <w:tcW w:w="816" w:type="dxa"/>
            <w:vAlign w:val="center"/>
          </w:tcPr>
          <w:p w14:paraId="74F8EEC2">
            <w:pPr>
              <w:ind w:left="223" w:hanging="222" w:hangingChars="106"/>
              <w:jc w:val="center"/>
              <w:rPr>
                <w:color w:val="auto"/>
                <w:szCs w:val="21"/>
                <w:highlight w:val="none"/>
              </w:rPr>
            </w:pPr>
          </w:p>
        </w:tc>
        <w:tc>
          <w:tcPr>
            <w:tcW w:w="1148" w:type="dxa"/>
            <w:vAlign w:val="center"/>
          </w:tcPr>
          <w:p w14:paraId="0CEC6C36">
            <w:pPr>
              <w:ind w:left="223" w:hanging="222" w:hangingChars="106"/>
              <w:jc w:val="center"/>
              <w:rPr>
                <w:color w:val="auto"/>
                <w:szCs w:val="21"/>
                <w:highlight w:val="none"/>
              </w:rPr>
            </w:pPr>
          </w:p>
        </w:tc>
        <w:tc>
          <w:tcPr>
            <w:tcW w:w="1148" w:type="dxa"/>
            <w:vAlign w:val="center"/>
          </w:tcPr>
          <w:p w14:paraId="64FFFE19">
            <w:pPr>
              <w:ind w:left="223" w:hanging="222" w:hangingChars="106"/>
              <w:jc w:val="center"/>
              <w:rPr>
                <w:color w:val="auto"/>
                <w:szCs w:val="21"/>
                <w:highlight w:val="none"/>
              </w:rPr>
            </w:pPr>
          </w:p>
        </w:tc>
        <w:tc>
          <w:tcPr>
            <w:tcW w:w="1148" w:type="dxa"/>
            <w:vAlign w:val="center"/>
          </w:tcPr>
          <w:p w14:paraId="4BC404E9">
            <w:pPr>
              <w:ind w:left="223" w:hanging="222" w:hangingChars="106"/>
              <w:jc w:val="center"/>
              <w:rPr>
                <w:color w:val="auto"/>
                <w:szCs w:val="21"/>
                <w:highlight w:val="none"/>
              </w:rPr>
            </w:pPr>
          </w:p>
        </w:tc>
        <w:tc>
          <w:tcPr>
            <w:tcW w:w="744" w:type="dxa"/>
            <w:vAlign w:val="center"/>
          </w:tcPr>
          <w:p w14:paraId="39FD33D7">
            <w:pPr>
              <w:ind w:left="223" w:hanging="222" w:hangingChars="106"/>
              <w:jc w:val="center"/>
              <w:rPr>
                <w:color w:val="auto"/>
                <w:szCs w:val="21"/>
                <w:highlight w:val="none"/>
              </w:rPr>
            </w:pPr>
          </w:p>
        </w:tc>
        <w:tc>
          <w:tcPr>
            <w:tcW w:w="1167" w:type="dxa"/>
            <w:vAlign w:val="center"/>
          </w:tcPr>
          <w:p w14:paraId="41BA86BD">
            <w:pPr>
              <w:ind w:left="223" w:hanging="222" w:hangingChars="106"/>
              <w:jc w:val="center"/>
              <w:rPr>
                <w:color w:val="auto"/>
                <w:szCs w:val="21"/>
                <w:highlight w:val="none"/>
              </w:rPr>
            </w:pPr>
          </w:p>
        </w:tc>
        <w:tc>
          <w:tcPr>
            <w:tcW w:w="1276" w:type="dxa"/>
            <w:vAlign w:val="center"/>
          </w:tcPr>
          <w:p w14:paraId="2BCFCD03">
            <w:pPr>
              <w:ind w:left="223" w:hanging="222" w:hangingChars="106"/>
              <w:jc w:val="center"/>
              <w:rPr>
                <w:color w:val="auto"/>
                <w:szCs w:val="21"/>
                <w:highlight w:val="none"/>
              </w:rPr>
            </w:pPr>
          </w:p>
        </w:tc>
      </w:tr>
      <w:tr w14:paraId="7514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C55270E">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59C81B9A">
            <w:pPr>
              <w:ind w:left="223" w:hanging="222" w:hangingChars="106"/>
              <w:jc w:val="center"/>
              <w:rPr>
                <w:color w:val="auto"/>
                <w:szCs w:val="21"/>
                <w:highlight w:val="none"/>
              </w:rPr>
            </w:pPr>
          </w:p>
        </w:tc>
        <w:tc>
          <w:tcPr>
            <w:tcW w:w="829" w:type="dxa"/>
            <w:vAlign w:val="center"/>
          </w:tcPr>
          <w:p w14:paraId="6CD7C2C7">
            <w:pPr>
              <w:ind w:left="223" w:hanging="222" w:hangingChars="106"/>
              <w:jc w:val="center"/>
              <w:rPr>
                <w:color w:val="auto"/>
                <w:szCs w:val="21"/>
                <w:highlight w:val="none"/>
              </w:rPr>
            </w:pPr>
          </w:p>
        </w:tc>
        <w:tc>
          <w:tcPr>
            <w:tcW w:w="816" w:type="dxa"/>
            <w:vAlign w:val="center"/>
          </w:tcPr>
          <w:p w14:paraId="2C583259">
            <w:pPr>
              <w:ind w:left="223" w:hanging="222" w:hangingChars="106"/>
              <w:jc w:val="center"/>
              <w:rPr>
                <w:color w:val="auto"/>
                <w:szCs w:val="21"/>
                <w:highlight w:val="none"/>
              </w:rPr>
            </w:pPr>
          </w:p>
        </w:tc>
        <w:tc>
          <w:tcPr>
            <w:tcW w:w="1148" w:type="dxa"/>
            <w:vAlign w:val="center"/>
          </w:tcPr>
          <w:p w14:paraId="4E904318">
            <w:pPr>
              <w:ind w:left="223" w:hanging="222" w:hangingChars="106"/>
              <w:jc w:val="center"/>
              <w:rPr>
                <w:color w:val="auto"/>
                <w:szCs w:val="21"/>
                <w:highlight w:val="none"/>
              </w:rPr>
            </w:pPr>
          </w:p>
        </w:tc>
        <w:tc>
          <w:tcPr>
            <w:tcW w:w="1148" w:type="dxa"/>
            <w:vAlign w:val="center"/>
          </w:tcPr>
          <w:p w14:paraId="0F6AC37E">
            <w:pPr>
              <w:ind w:left="223" w:hanging="222" w:hangingChars="106"/>
              <w:jc w:val="center"/>
              <w:rPr>
                <w:color w:val="auto"/>
                <w:szCs w:val="21"/>
                <w:highlight w:val="none"/>
              </w:rPr>
            </w:pPr>
          </w:p>
        </w:tc>
        <w:tc>
          <w:tcPr>
            <w:tcW w:w="1148" w:type="dxa"/>
            <w:vAlign w:val="center"/>
          </w:tcPr>
          <w:p w14:paraId="0DDA6F1A">
            <w:pPr>
              <w:ind w:left="223" w:hanging="222" w:hangingChars="106"/>
              <w:jc w:val="center"/>
              <w:rPr>
                <w:color w:val="auto"/>
                <w:szCs w:val="21"/>
                <w:highlight w:val="none"/>
              </w:rPr>
            </w:pPr>
          </w:p>
        </w:tc>
        <w:tc>
          <w:tcPr>
            <w:tcW w:w="744" w:type="dxa"/>
            <w:vAlign w:val="center"/>
          </w:tcPr>
          <w:p w14:paraId="0FE4E003">
            <w:pPr>
              <w:ind w:left="223" w:hanging="222" w:hangingChars="106"/>
              <w:jc w:val="center"/>
              <w:rPr>
                <w:color w:val="auto"/>
                <w:szCs w:val="21"/>
                <w:highlight w:val="none"/>
              </w:rPr>
            </w:pPr>
          </w:p>
        </w:tc>
        <w:tc>
          <w:tcPr>
            <w:tcW w:w="1167" w:type="dxa"/>
            <w:vAlign w:val="center"/>
          </w:tcPr>
          <w:p w14:paraId="5A7282F8">
            <w:pPr>
              <w:ind w:left="223" w:hanging="222" w:hangingChars="106"/>
              <w:jc w:val="center"/>
              <w:rPr>
                <w:color w:val="auto"/>
                <w:szCs w:val="21"/>
                <w:highlight w:val="none"/>
              </w:rPr>
            </w:pPr>
          </w:p>
        </w:tc>
        <w:tc>
          <w:tcPr>
            <w:tcW w:w="1276" w:type="dxa"/>
            <w:vAlign w:val="center"/>
          </w:tcPr>
          <w:p w14:paraId="7617408D">
            <w:pPr>
              <w:ind w:left="223" w:hanging="222" w:hangingChars="106"/>
              <w:jc w:val="center"/>
              <w:rPr>
                <w:color w:val="auto"/>
                <w:szCs w:val="21"/>
                <w:highlight w:val="none"/>
              </w:rPr>
            </w:pPr>
          </w:p>
        </w:tc>
      </w:tr>
      <w:tr w14:paraId="06DD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ABF1AC7">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00730051">
            <w:pPr>
              <w:ind w:left="223" w:hanging="222" w:hangingChars="106"/>
              <w:jc w:val="center"/>
              <w:rPr>
                <w:color w:val="auto"/>
                <w:szCs w:val="21"/>
                <w:highlight w:val="none"/>
              </w:rPr>
            </w:pPr>
          </w:p>
        </w:tc>
        <w:tc>
          <w:tcPr>
            <w:tcW w:w="829" w:type="dxa"/>
            <w:vAlign w:val="center"/>
          </w:tcPr>
          <w:p w14:paraId="56DFC37E">
            <w:pPr>
              <w:ind w:left="223" w:hanging="222" w:hangingChars="106"/>
              <w:jc w:val="center"/>
              <w:rPr>
                <w:color w:val="auto"/>
                <w:szCs w:val="21"/>
                <w:highlight w:val="none"/>
              </w:rPr>
            </w:pPr>
          </w:p>
        </w:tc>
        <w:tc>
          <w:tcPr>
            <w:tcW w:w="816" w:type="dxa"/>
            <w:vAlign w:val="center"/>
          </w:tcPr>
          <w:p w14:paraId="615BAF16">
            <w:pPr>
              <w:ind w:left="223" w:hanging="222" w:hangingChars="106"/>
              <w:jc w:val="center"/>
              <w:rPr>
                <w:color w:val="auto"/>
                <w:szCs w:val="21"/>
                <w:highlight w:val="none"/>
              </w:rPr>
            </w:pPr>
          </w:p>
        </w:tc>
        <w:tc>
          <w:tcPr>
            <w:tcW w:w="1148" w:type="dxa"/>
            <w:vAlign w:val="center"/>
          </w:tcPr>
          <w:p w14:paraId="1558BD08">
            <w:pPr>
              <w:ind w:left="223" w:hanging="222" w:hangingChars="106"/>
              <w:jc w:val="center"/>
              <w:rPr>
                <w:color w:val="auto"/>
                <w:szCs w:val="21"/>
                <w:highlight w:val="none"/>
              </w:rPr>
            </w:pPr>
          </w:p>
        </w:tc>
        <w:tc>
          <w:tcPr>
            <w:tcW w:w="1148" w:type="dxa"/>
            <w:vAlign w:val="center"/>
          </w:tcPr>
          <w:p w14:paraId="08588DD0">
            <w:pPr>
              <w:ind w:left="223" w:hanging="222" w:hangingChars="106"/>
              <w:jc w:val="center"/>
              <w:rPr>
                <w:color w:val="auto"/>
                <w:szCs w:val="21"/>
                <w:highlight w:val="none"/>
              </w:rPr>
            </w:pPr>
          </w:p>
        </w:tc>
        <w:tc>
          <w:tcPr>
            <w:tcW w:w="1148" w:type="dxa"/>
            <w:vAlign w:val="center"/>
          </w:tcPr>
          <w:p w14:paraId="484516FD">
            <w:pPr>
              <w:ind w:left="223" w:hanging="222" w:hangingChars="106"/>
              <w:jc w:val="center"/>
              <w:rPr>
                <w:color w:val="auto"/>
                <w:szCs w:val="21"/>
                <w:highlight w:val="none"/>
              </w:rPr>
            </w:pPr>
          </w:p>
        </w:tc>
        <w:tc>
          <w:tcPr>
            <w:tcW w:w="744" w:type="dxa"/>
            <w:vAlign w:val="center"/>
          </w:tcPr>
          <w:p w14:paraId="1D8FCB1E">
            <w:pPr>
              <w:ind w:left="223" w:hanging="222" w:hangingChars="106"/>
              <w:jc w:val="center"/>
              <w:rPr>
                <w:color w:val="auto"/>
                <w:szCs w:val="21"/>
                <w:highlight w:val="none"/>
              </w:rPr>
            </w:pPr>
          </w:p>
        </w:tc>
        <w:tc>
          <w:tcPr>
            <w:tcW w:w="1167" w:type="dxa"/>
            <w:vAlign w:val="center"/>
          </w:tcPr>
          <w:p w14:paraId="30700442">
            <w:pPr>
              <w:ind w:left="223" w:hanging="222" w:hangingChars="106"/>
              <w:jc w:val="center"/>
              <w:rPr>
                <w:color w:val="auto"/>
                <w:szCs w:val="21"/>
                <w:highlight w:val="none"/>
              </w:rPr>
            </w:pPr>
          </w:p>
        </w:tc>
        <w:tc>
          <w:tcPr>
            <w:tcW w:w="1276" w:type="dxa"/>
            <w:vAlign w:val="center"/>
          </w:tcPr>
          <w:p w14:paraId="546020F5">
            <w:pPr>
              <w:ind w:left="223" w:hanging="222" w:hangingChars="106"/>
              <w:jc w:val="center"/>
              <w:rPr>
                <w:color w:val="auto"/>
                <w:szCs w:val="21"/>
                <w:highlight w:val="none"/>
              </w:rPr>
            </w:pPr>
          </w:p>
        </w:tc>
      </w:tr>
      <w:tr w14:paraId="7738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6E2EE592">
            <w:pPr>
              <w:jc w:val="left"/>
              <w:rPr>
                <w:color w:val="auto"/>
                <w:szCs w:val="21"/>
                <w:highlight w:val="none"/>
              </w:rPr>
            </w:pPr>
            <w:r>
              <w:rPr>
                <w:rFonts w:hint="eastAsia"/>
                <w:color w:val="auto"/>
                <w:szCs w:val="21"/>
                <w:highlight w:val="none"/>
              </w:rPr>
              <w:t>6.材料员</w:t>
            </w:r>
          </w:p>
        </w:tc>
        <w:tc>
          <w:tcPr>
            <w:tcW w:w="670" w:type="dxa"/>
            <w:vAlign w:val="center"/>
          </w:tcPr>
          <w:p w14:paraId="1829FF10">
            <w:pPr>
              <w:ind w:left="223" w:hanging="222" w:hangingChars="106"/>
              <w:jc w:val="center"/>
              <w:rPr>
                <w:color w:val="auto"/>
                <w:szCs w:val="21"/>
                <w:highlight w:val="none"/>
              </w:rPr>
            </w:pPr>
          </w:p>
        </w:tc>
        <w:tc>
          <w:tcPr>
            <w:tcW w:w="829" w:type="dxa"/>
            <w:vAlign w:val="center"/>
          </w:tcPr>
          <w:p w14:paraId="1E2AC761">
            <w:pPr>
              <w:ind w:left="223" w:hanging="222" w:hangingChars="106"/>
              <w:jc w:val="center"/>
              <w:rPr>
                <w:color w:val="auto"/>
                <w:szCs w:val="21"/>
                <w:highlight w:val="none"/>
              </w:rPr>
            </w:pPr>
          </w:p>
        </w:tc>
        <w:tc>
          <w:tcPr>
            <w:tcW w:w="816" w:type="dxa"/>
            <w:vAlign w:val="center"/>
          </w:tcPr>
          <w:p w14:paraId="6A2FA16A">
            <w:pPr>
              <w:ind w:left="223" w:hanging="222" w:hangingChars="106"/>
              <w:jc w:val="center"/>
              <w:rPr>
                <w:color w:val="auto"/>
                <w:szCs w:val="21"/>
                <w:highlight w:val="none"/>
              </w:rPr>
            </w:pPr>
          </w:p>
        </w:tc>
        <w:tc>
          <w:tcPr>
            <w:tcW w:w="1148" w:type="dxa"/>
            <w:vAlign w:val="center"/>
          </w:tcPr>
          <w:p w14:paraId="40503CCB">
            <w:pPr>
              <w:ind w:left="223" w:hanging="222" w:hangingChars="106"/>
              <w:jc w:val="center"/>
              <w:rPr>
                <w:color w:val="auto"/>
                <w:szCs w:val="21"/>
                <w:highlight w:val="none"/>
              </w:rPr>
            </w:pPr>
          </w:p>
        </w:tc>
        <w:tc>
          <w:tcPr>
            <w:tcW w:w="1148" w:type="dxa"/>
            <w:vAlign w:val="center"/>
          </w:tcPr>
          <w:p w14:paraId="6139170E">
            <w:pPr>
              <w:ind w:left="223" w:hanging="222" w:hangingChars="106"/>
              <w:jc w:val="center"/>
              <w:rPr>
                <w:color w:val="auto"/>
                <w:szCs w:val="21"/>
                <w:highlight w:val="none"/>
              </w:rPr>
            </w:pPr>
          </w:p>
        </w:tc>
        <w:tc>
          <w:tcPr>
            <w:tcW w:w="1148" w:type="dxa"/>
            <w:vAlign w:val="center"/>
          </w:tcPr>
          <w:p w14:paraId="66364FB9">
            <w:pPr>
              <w:ind w:left="223" w:hanging="222" w:hangingChars="106"/>
              <w:jc w:val="center"/>
              <w:rPr>
                <w:color w:val="auto"/>
                <w:szCs w:val="21"/>
                <w:highlight w:val="none"/>
              </w:rPr>
            </w:pPr>
          </w:p>
        </w:tc>
        <w:tc>
          <w:tcPr>
            <w:tcW w:w="744" w:type="dxa"/>
            <w:vAlign w:val="center"/>
          </w:tcPr>
          <w:p w14:paraId="4C9D4BAA">
            <w:pPr>
              <w:ind w:left="223" w:hanging="222" w:hangingChars="106"/>
              <w:jc w:val="center"/>
              <w:rPr>
                <w:color w:val="auto"/>
                <w:szCs w:val="21"/>
                <w:highlight w:val="none"/>
              </w:rPr>
            </w:pPr>
          </w:p>
        </w:tc>
        <w:tc>
          <w:tcPr>
            <w:tcW w:w="1167" w:type="dxa"/>
            <w:vAlign w:val="center"/>
          </w:tcPr>
          <w:p w14:paraId="496CA255">
            <w:pPr>
              <w:ind w:left="223" w:hanging="222" w:hangingChars="106"/>
              <w:jc w:val="center"/>
              <w:rPr>
                <w:color w:val="auto"/>
                <w:szCs w:val="21"/>
                <w:highlight w:val="none"/>
              </w:rPr>
            </w:pPr>
          </w:p>
        </w:tc>
        <w:tc>
          <w:tcPr>
            <w:tcW w:w="1276" w:type="dxa"/>
            <w:vAlign w:val="center"/>
          </w:tcPr>
          <w:p w14:paraId="679C6E18">
            <w:pPr>
              <w:ind w:left="223" w:hanging="222" w:hangingChars="106"/>
              <w:jc w:val="center"/>
              <w:rPr>
                <w:color w:val="auto"/>
                <w:szCs w:val="21"/>
                <w:highlight w:val="none"/>
              </w:rPr>
            </w:pPr>
          </w:p>
        </w:tc>
      </w:tr>
      <w:tr w14:paraId="6AE5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4C886B2B">
            <w:pPr>
              <w:ind w:left="223" w:hanging="222" w:hangingChars="106"/>
              <w:jc w:val="center"/>
              <w:rPr>
                <w:color w:val="auto"/>
                <w:szCs w:val="21"/>
                <w:highlight w:val="none"/>
              </w:rPr>
            </w:pPr>
          </w:p>
        </w:tc>
        <w:tc>
          <w:tcPr>
            <w:tcW w:w="670" w:type="dxa"/>
            <w:vAlign w:val="center"/>
          </w:tcPr>
          <w:p w14:paraId="28843840">
            <w:pPr>
              <w:ind w:left="223" w:hanging="222" w:hangingChars="106"/>
              <w:jc w:val="center"/>
              <w:rPr>
                <w:color w:val="auto"/>
                <w:szCs w:val="21"/>
                <w:highlight w:val="none"/>
              </w:rPr>
            </w:pPr>
          </w:p>
        </w:tc>
        <w:tc>
          <w:tcPr>
            <w:tcW w:w="829" w:type="dxa"/>
            <w:vAlign w:val="center"/>
          </w:tcPr>
          <w:p w14:paraId="736EAABE">
            <w:pPr>
              <w:ind w:left="223" w:hanging="222" w:hangingChars="106"/>
              <w:jc w:val="center"/>
              <w:rPr>
                <w:color w:val="auto"/>
                <w:szCs w:val="21"/>
                <w:highlight w:val="none"/>
              </w:rPr>
            </w:pPr>
          </w:p>
        </w:tc>
        <w:tc>
          <w:tcPr>
            <w:tcW w:w="816" w:type="dxa"/>
            <w:vAlign w:val="center"/>
          </w:tcPr>
          <w:p w14:paraId="77991D67">
            <w:pPr>
              <w:ind w:left="223" w:hanging="222" w:hangingChars="106"/>
              <w:jc w:val="center"/>
              <w:rPr>
                <w:color w:val="auto"/>
                <w:szCs w:val="21"/>
                <w:highlight w:val="none"/>
              </w:rPr>
            </w:pPr>
          </w:p>
        </w:tc>
        <w:tc>
          <w:tcPr>
            <w:tcW w:w="1148" w:type="dxa"/>
            <w:vAlign w:val="center"/>
          </w:tcPr>
          <w:p w14:paraId="4809E54A">
            <w:pPr>
              <w:ind w:left="223" w:hanging="222" w:hangingChars="106"/>
              <w:jc w:val="center"/>
              <w:rPr>
                <w:color w:val="auto"/>
                <w:szCs w:val="21"/>
                <w:highlight w:val="none"/>
              </w:rPr>
            </w:pPr>
          </w:p>
        </w:tc>
        <w:tc>
          <w:tcPr>
            <w:tcW w:w="1148" w:type="dxa"/>
            <w:vAlign w:val="center"/>
          </w:tcPr>
          <w:p w14:paraId="3EAE1EE0">
            <w:pPr>
              <w:ind w:left="223" w:hanging="222" w:hangingChars="106"/>
              <w:jc w:val="center"/>
              <w:rPr>
                <w:color w:val="auto"/>
                <w:szCs w:val="21"/>
                <w:highlight w:val="none"/>
              </w:rPr>
            </w:pPr>
          </w:p>
        </w:tc>
        <w:tc>
          <w:tcPr>
            <w:tcW w:w="1148" w:type="dxa"/>
            <w:vAlign w:val="center"/>
          </w:tcPr>
          <w:p w14:paraId="38E34CCB">
            <w:pPr>
              <w:ind w:left="223" w:hanging="222" w:hangingChars="106"/>
              <w:jc w:val="center"/>
              <w:rPr>
                <w:color w:val="auto"/>
                <w:szCs w:val="21"/>
                <w:highlight w:val="none"/>
              </w:rPr>
            </w:pPr>
          </w:p>
        </w:tc>
        <w:tc>
          <w:tcPr>
            <w:tcW w:w="744" w:type="dxa"/>
            <w:vAlign w:val="center"/>
          </w:tcPr>
          <w:p w14:paraId="0305E449">
            <w:pPr>
              <w:ind w:left="223" w:hanging="222" w:hangingChars="106"/>
              <w:jc w:val="center"/>
              <w:rPr>
                <w:color w:val="auto"/>
                <w:szCs w:val="21"/>
                <w:highlight w:val="none"/>
              </w:rPr>
            </w:pPr>
          </w:p>
        </w:tc>
        <w:tc>
          <w:tcPr>
            <w:tcW w:w="1167" w:type="dxa"/>
            <w:vAlign w:val="center"/>
          </w:tcPr>
          <w:p w14:paraId="14138483">
            <w:pPr>
              <w:ind w:left="223" w:hanging="222" w:hangingChars="106"/>
              <w:jc w:val="center"/>
              <w:rPr>
                <w:color w:val="auto"/>
                <w:szCs w:val="21"/>
                <w:highlight w:val="none"/>
              </w:rPr>
            </w:pPr>
          </w:p>
        </w:tc>
        <w:tc>
          <w:tcPr>
            <w:tcW w:w="1276" w:type="dxa"/>
            <w:vAlign w:val="center"/>
          </w:tcPr>
          <w:p w14:paraId="4BCF4DB7">
            <w:pPr>
              <w:ind w:left="223" w:hanging="222" w:hangingChars="106"/>
              <w:jc w:val="center"/>
              <w:rPr>
                <w:color w:val="auto"/>
                <w:szCs w:val="21"/>
                <w:highlight w:val="none"/>
              </w:rPr>
            </w:pPr>
          </w:p>
        </w:tc>
      </w:tr>
      <w:tr w14:paraId="523E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75B595BD">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3D12E385">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18AF43E1">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16CBCB0F">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2339BA65">
      <w:pPr>
        <w:spacing w:line="360" w:lineRule="auto"/>
        <w:ind w:firstLine="480" w:firstLineChars="200"/>
        <w:contextualSpacing/>
        <w:jc w:val="left"/>
        <w:rPr>
          <w:rFonts w:hint="eastAsia" w:ascii="宋体" w:hAnsi="宋体"/>
          <w:color w:val="auto"/>
          <w:sz w:val="24"/>
          <w:szCs w:val="20"/>
          <w:highlight w:val="none"/>
        </w:rPr>
      </w:pPr>
    </w:p>
    <w:p w14:paraId="78B07427">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464F69A">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5055444A">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7229BC9F">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463615A0">
      <w:pPr>
        <w:pStyle w:val="46"/>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23E86A54">
      <w:pPr>
        <w:pStyle w:val="46"/>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35444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2643CBC5">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11ED0156">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4C58FFA2">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0D53B6F5">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5F9E84F5">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5F5F8E6F">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6FE81396">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476A2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1703ADDA">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03313A26">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2906EE4">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9FAE551">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393C1FA8">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52973198">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0D566B97">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521E9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4F0F6342">
            <w:pPr>
              <w:spacing w:line="200" w:lineRule="exact"/>
              <w:rPr>
                <w:rFonts w:ascii="Arial"/>
                <w:color w:val="auto"/>
                <w:highlight w:val="none"/>
              </w:rPr>
            </w:pPr>
          </w:p>
          <w:p w14:paraId="1C5FC334">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20D06EC5">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7363CFA">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6CE329C">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5F788B2C">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2E80049B">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03D7E30">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37E784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7B6D7D40">
            <w:pPr>
              <w:spacing w:line="200" w:lineRule="exact"/>
              <w:rPr>
                <w:rFonts w:ascii="Arial"/>
                <w:color w:val="auto"/>
                <w:highlight w:val="none"/>
              </w:rPr>
            </w:pPr>
          </w:p>
        </w:tc>
        <w:tc>
          <w:tcPr>
            <w:tcW w:w="1187" w:type="dxa"/>
          </w:tcPr>
          <w:p w14:paraId="326AF7C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CAFC2E4">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DD47082">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29ECF03D">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01C912CE">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19E3169F">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2252F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47D57F00">
            <w:pPr>
              <w:spacing w:line="200" w:lineRule="exact"/>
              <w:rPr>
                <w:rFonts w:ascii="Arial"/>
                <w:color w:val="auto"/>
                <w:highlight w:val="none"/>
              </w:rPr>
            </w:pPr>
          </w:p>
          <w:p w14:paraId="6475F20C">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1BD3A867">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1F03C6E">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84B069B">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11491618">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3BE14985">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4CCE5300">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36FAE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6511ECC0">
            <w:pPr>
              <w:spacing w:line="200" w:lineRule="exact"/>
              <w:rPr>
                <w:rFonts w:ascii="Arial"/>
                <w:color w:val="auto"/>
                <w:highlight w:val="none"/>
              </w:rPr>
            </w:pPr>
          </w:p>
        </w:tc>
        <w:tc>
          <w:tcPr>
            <w:tcW w:w="1187" w:type="dxa"/>
          </w:tcPr>
          <w:p w14:paraId="7BB46D32">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53CE0323">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15B25D1">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0C67D12">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19B8F395">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67655F03">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70C88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524949A1">
            <w:pPr>
              <w:spacing w:line="200" w:lineRule="exact"/>
              <w:rPr>
                <w:rFonts w:ascii="Arial"/>
                <w:color w:val="auto"/>
                <w:highlight w:val="none"/>
              </w:rPr>
            </w:pPr>
          </w:p>
          <w:p w14:paraId="609A7908">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2122160E">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3B4CB03">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9DD0736">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6F6A6347">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5F6F91A1">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5632AAA0">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552FF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58E92504">
            <w:pPr>
              <w:spacing w:line="200" w:lineRule="exact"/>
              <w:rPr>
                <w:rFonts w:ascii="Arial"/>
                <w:color w:val="auto"/>
                <w:highlight w:val="none"/>
              </w:rPr>
            </w:pPr>
          </w:p>
        </w:tc>
        <w:tc>
          <w:tcPr>
            <w:tcW w:w="1187" w:type="dxa"/>
          </w:tcPr>
          <w:p w14:paraId="033DE93E">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9299A61">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C14778C">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483B0D73">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1C7FDB95">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70179EB2">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2DB089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2CE3E7EA">
            <w:pPr>
              <w:spacing w:line="200" w:lineRule="exact"/>
              <w:rPr>
                <w:rFonts w:ascii="Arial"/>
                <w:color w:val="auto"/>
                <w:highlight w:val="none"/>
              </w:rPr>
            </w:pPr>
          </w:p>
          <w:p w14:paraId="3E44DA45">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72764FDF">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FE310CD">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5086CCE">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F42D6A1">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3230B661">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11D1838E">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4427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689E4FF7">
            <w:pPr>
              <w:spacing w:line="200" w:lineRule="exact"/>
              <w:rPr>
                <w:rFonts w:ascii="Arial"/>
                <w:color w:val="auto"/>
                <w:highlight w:val="none"/>
              </w:rPr>
            </w:pPr>
          </w:p>
        </w:tc>
        <w:tc>
          <w:tcPr>
            <w:tcW w:w="1187" w:type="dxa"/>
          </w:tcPr>
          <w:p w14:paraId="1C6EB7AF">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E897F34">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BE1C46E">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7F39A84B">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61FA3A82">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57A37168">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53091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74DC1B21">
            <w:pPr>
              <w:spacing w:line="200" w:lineRule="exact"/>
              <w:rPr>
                <w:rFonts w:ascii="Arial"/>
                <w:color w:val="auto"/>
                <w:highlight w:val="none"/>
              </w:rPr>
            </w:pPr>
          </w:p>
          <w:p w14:paraId="3B09C2EA">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008763A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506AC92">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4C175201">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35B1C40F">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7FBB492A">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4EF2C8AB">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04645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1FD332C4">
            <w:pPr>
              <w:spacing w:line="200" w:lineRule="exact"/>
              <w:rPr>
                <w:rFonts w:ascii="Arial"/>
                <w:color w:val="auto"/>
                <w:highlight w:val="none"/>
              </w:rPr>
            </w:pPr>
          </w:p>
        </w:tc>
        <w:tc>
          <w:tcPr>
            <w:tcW w:w="1187" w:type="dxa"/>
          </w:tcPr>
          <w:p w14:paraId="044F52B6">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224CADC">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887435A">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482F76B0">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5FE9111B">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0B422A7A">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692F5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7CB4872">
            <w:pPr>
              <w:spacing w:line="200" w:lineRule="exact"/>
              <w:rPr>
                <w:rFonts w:ascii="Arial"/>
                <w:color w:val="auto"/>
                <w:highlight w:val="none"/>
              </w:rPr>
            </w:pPr>
          </w:p>
          <w:p w14:paraId="6CA6E952">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5A51D990">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1143D03">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754B72">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3EDC2676">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1EBC52BD">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39BED648">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6D4DA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57FABA63">
            <w:pPr>
              <w:spacing w:line="200" w:lineRule="exact"/>
              <w:rPr>
                <w:rFonts w:ascii="Arial"/>
                <w:color w:val="auto"/>
                <w:highlight w:val="none"/>
              </w:rPr>
            </w:pPr>
          </w:p>
        </w:tc>
        <w:tc>
          <w:tcPr>
            <w:tcW w:w="1187" w:type="dxa"/>
          </w:tcPr>
          <w:p w14:paraId="48CD54E9">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083F4C89">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F67C7BB">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4B665854">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3057710C">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2598ADBB">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68079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56FEB4E6">
            <w:pPr>
              <w:spacing w:line="200" w:lineRule="exact"/>
              <w:rPr>
                <w:rFonts w:ascii="Arial"/>
                <w:color w:val="auto"/>
                <w:highlight w:val="none"/>
              </w:rPr>
            </w:pPr>
          </w:p>
          <w:p w14:paraId="046EB4CC">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261AB666">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9D43B0C">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DEA2CF4">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6BCB4E33">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7183F841">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6ED7CE05">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5E0A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057D964B">
            <w:pPr>
              <w:spacing w:line="200" w:lineRule="exact"/>
              <w:rPr>
                <w:rFonts w:ascii="Arial"/>
                <w:color w:val="auto"/>
                <w:highlight w:val="none"/>
              </w:rPr>
            </w:pPr>
          </w:p>
        </w:tc>
        <w:tc>
          <w:tcPr>
            <w:tcW w:w="1187" w:type="dxa"/>
          </w:tcPr>
          <w:p w14:paraId="3DFB655B">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06C310B">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A25CCD">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4CCEC3DE">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333CF99C">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4540B26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E5F2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45A93377">
            <w:pPr>
              <w:spacing w:line="200" w:lineRule="exact"/>
              <w:rPr>
                <w:rFonts w:ascii="Arial"/>
                <w:color w:val="auto"/>
                <w:highlight w:val="none"/>
              </w:rPr>
            </w:pPr>
          </w:p>
          <w:p w14:paraId="07283912">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2D221D0A">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0C0D6A3">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0F6E210">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A4B5828">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2781AFEE">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3546F62F">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184F23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24B9DDA9">
            <w:pPr>
              <w:spacing w:line="200" w:lineRule="exact"/>
              <w:rPr>
                <w:rFonts w:ascii="Arial"/>
                <w:color w:val="auto"/>
                <w:highlight w:val="none"/>
              </w:rPr>
            </w:pPr>
          </w:p>
        </w:tc>
        <w:tc>
          <w:tcPr>
            <w:tcW w:w="1187" w:type="dxa"/>
          </w:tcPr>
          <w:p w14:paraId="09795E8F">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02D5657">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655F889">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B2C6AB3">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12062115">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102FE41F">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78914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2F09F0A1">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2B61180C">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46E449B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EEDDF81">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6A43DC4">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25E2633E">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79060F98">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5ED63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7807C122">
            <w:pPr>
              <w:spacing w:line="200" w:lineRule="exact"/>
              <w:rPr>
                <w:rFonts w:ascii="Arial"/>
                <w:color w:val="auto"/>
                <w:highlight w:val="none"/>
              </w:rPr>
            </w:pPr>
          </w:p>
        </w:tc>
        <w:tc>
          <w:tcPr>
            <w:tcW w:w="1187" w:type="dxa"/>
          </w:tcPr>
          <w:p w14:paraId="5C891C87">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3184588">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53027C2">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4371FD8A">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07187C97">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51705E15">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7D4DF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5A5987E4">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37BF1F2E">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A1BEA06">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BEDB880">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49CBFBEA">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318C0BB0">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64A923F2">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2922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4C9F0E84">
            <w:pPr>
              <w:spacing w:line="200" w:lineRule="exact"/>
              <w:rPr>
                <w:rFonts w:ascii="Arial"/>
                <w:color w:val="auto"/>
                <w:highlight w:val="none"/>
              </w:rPr>
            </w:pPr>
          </w:p>
        </w:tc>
        <w:tc>
          <w:tcPr>
            <w:tcW w:w="1187" w:type="dxa"/>
          </w:tcPr>
          <w:p w14:paraId="0CFCB71F">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609D995">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2ED013E">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95598BD">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13D1761C">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65ACD5C7">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6EAE8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C55D1C0">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735C8EE9">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0E36A85">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6F7A3D1E">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3F8788B5">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4D94554E">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4E996B19">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047D9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39B68251">
            <w:pPr>
              <w:spacing w:line="200" w:lineRule="exact"/>
              <w:rPr>
                <w:rFonts w:ascii="Arial"/>
                <w:color w:val="auto"/>
                <w:highlight w:val="none"/>
              </w:rPr>
            </w:pPr>
          </w:p>
        </w:tc>
        <w:tc>
          <w:tcPr>
            <w:tcW w:w="1187" w:type="dxa"/>
          </w:tcPr>
          <w:p w14:paraId="29B22B47">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333121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4948F6C2">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0F2F4F7D">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25092E2D">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6C3D3DED">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4495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60D09E5C">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3E582669">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56C64EB4">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0C630F3">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E50A0CA">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163515F0">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D9766A4">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5B172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0D565FFE">
            <w:pPr>
              <w:spacing w:line="200" w:lineRule="exact"/>
              <w:rPr>
                <w:rFonts w:ascii="Arial"/>
                <w:color w:val="auto"/>
                <w:highlight w:val="none"/>
              </w:rPr>
            </w:pPr>
          </w:p>
        </w:tc>
        <w:tc>
          <w:tcPr>
            <w:tcW w:w="1187" w:type="dxa"/>
          </w:tcPr>
          <w:p w14:paraId="45AD4EEB">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4B95754">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557EFB4">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4993C374">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44BE04BE">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48C8D16D">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17D59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22F52BFB">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32A4F282">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CF83326">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8CF3569">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2040D9AF">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2EBCE8F">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5B6048CC">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2CC8DB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77E45F95">
            <w:pPr>
              <w:spacing w:line="200" w:lineRule="exact"/>
              <w:rPr>
                <w:rFonts w:ascii="Arial"/>
                <w:color w:val="auto"/>
                <w:highlight w:val="none"/>
              </w:rPr>
            </w:pPr>
          </w:p>
        </w:tc>
        <w:tc>
          <w:tcPr>
            <w:tcW w:w="1187" w:type="dxa"/>
          </w:tcPr>
          <w:p w14:paraId="0F33DED4">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53F81CB1">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0719C8C">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518F966D">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0C8ABF46">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41D89494">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3AEC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30A4AF0C">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38DC30F5">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24EF96C">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5AC39CF1">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D68BB5F">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55E8DB9D">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613E0766">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040C256C">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61044AA4">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7CB06E6F">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7899801">
      <w:pPr>
        <w:pStyle w:val="46"/>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49925A0">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524514A2">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3F357CD1">
      <w:pPr>
        <w:pStyle w:val="24"/>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02024255">
      <w:pPr>
        <w:pStyle w:val="24"/>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2BB779A4">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38C25C5A">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135DB606">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0D1CC90B">
      <w:pPr>
        <w:pStyle w:val="24"/>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24595BB4">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131FBE6B">
      <w:pPr>
        <w:pStyle w:val="24"/>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43D8C0EC">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6D6E0475">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30ADFDD5">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1DEF9BA3">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0C328C18">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0A3519F6">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3231B069">
      <w:pPr>
        <w:pStyle w:val="24"/>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37496EE8">
      <w:pPr>
        <w:pStyle w:val="24"/>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17308E0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3CC66569">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222D3B12">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3C3FF7C8">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7D11901D">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25D2AE49">
      <w:pPr>
        <w:pStyle w:val="24"/>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1E74E2D7">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052F0E0D">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793AC82F">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5F1EAD81">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36F32693">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291BA0C8">
      <w:pPr>
        <w:pStyle w:val="24"/>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23F3E828">
      <w:pPr>
        <w:pStyle w:val="24"/>
        <w:widowControl w:val="0"/>
        <w:snapToGrid w:val="0"/>
        <w:spacing w:before="0" w:beforeAutospacing="0" w:after="0" w:afterAutospacing="0" w:line="360" w:lineRule="auto"/>
        <w:jc w:val="both"/>
        <w:rPr>
          <w:rFonts w:hint="eastAsia"/>
          <w:b/>
          <w:color w:val="auto"/>
          <w:highlight w:val="none"/>
          <w:lang w:bidi="ar"/>
        </w:rPr>
      </w:pPr>
    </w:p>
    <w:p w14:paraId="5F1E15A7">
      <w:pPr>
        <w:pStyle w:val="24"/>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2031A0AE">
      <w:pPr>
        <w:pStyle w:val="24"/>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2AEDF41A">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5BA4877">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567AA77D">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3A785155">
      <w:pPr>
        <w:pStyle w:val="24"/>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34D50B70">
      <w:pPr>
        <w:pStyle w:val="3"/>
        <w:spacing w:line="600" w:lineRule="auto"/>
        <w:ind w:firstLine="843" w:firstLineChars="300"/>
        <w:rPr>
          <w:rFonts w:hint="eastAsia" w:ascii="宋体" w:hAnsi="宋体" w:cs="宋体"/>
          <w:color w:val="auto"/>
          <w:highlight w:val="none"/>
        </w:rPr>
      </w:pPr>
    </w:p>
    <w:p w14:paraId="6C248E31">
      <w:pPr>
        <w:rPr>
          <w:rFonts w:hint="eastAsia" w:ascii="宋体" w:hAnsi="宋体" w:cs="宋体"/>
          <w:color w:val="auto"/>
          <w:highlight w:val="none"/>
        </w:rPr>
      </w:pPr>
    </w:p>
    <w:p w14:paraId="516FEB15">
      <w:pPr>
        <w:pStyle w:val="11"/>
        <w:rPr>
          <w:rFonts w:hint="eastAsia" w:hAnsi="宋体" w:cs="宋体"/>
          <w:color w:val="auto"/>
          <w:highlight w:val="none"/>
        </w:rPr>
      </w:pPr>
    </w:p>
    <w:p w14:paraId="4D9A5314">
      <w:pPr>
        <w:pStyle w:val="11"/>
        <w:rPr>
          <w:rFonts w:hint="eastAsia" w:hAnsi="宋体" w:cs="宋体"/>
          <w:color w:val="auto"/>
          <w:highlight w:val="none"/>
        </w:rPr>
      </w:pPr>
    </w:p>
    <w:p w14:paraId="347206ED">
      <w:pPr>
        <w:pStyle w:val="11"/>
        <w:rPr>
          <w:rFonts w:hint="eastAsia" w:hAnsi="宋体" w:cs="宋体"/>
          <w:color w:val="auto"/>
          <w:highlight w:val="none"/>
        </w:rPr>
      </w:pPr>
    </w:p>
    <w:p w14:paraId="158071B7">
      <w:pPr>
        <w:pStyle w:val="11"/>
        <w:rPr>
          <w:rFonts w:hint="eastAsia" w:hAnsi="宋体" w:cs="宋体"/>
          <w:color w:val="auto"/>
          <w:highlight w:val="none"/>
        </w:rPr>
      </w:pPr>
    </w:p>
    <w:p w14:paraId="7B97351F">
      <w:pPr>
        <w:pStyle w:val="11"/>
        <w:rPr>
          <w:rFonts w:hint="eastAsia" w:hAnsi="宋体" w:cs="宋体"/>
          <w:color w:val="auto"/>
          <w:highlight w:val="none"/>
        </w:rPr>
      </w:pPr>
    </w:p>
    <w:p w14:paraId="72DDD694">
      <w:pPr>
        <w:pStyle w:val="11"/>
        <w:rPr>
          <w:rFonts w:hint="eastAsia" w:hAnsi="宋体" w:cs="宋体"/>
          <w:color w:val="auto"/>
          <w:highlight w:val="none"/>
        </w:rPr>
      </w:pPr>
    </w:p>
    <w:p w14:paraId="437DD065">
      <w:pPr>
        <w:pStyle w:val="11"/>
        <w:rPr>
          <w:rFonts w:hint="eastAsia" w:hAnsi="宋体" w:cs="宋体"/>
          <w:color w:val="auto"/>
          <w:highlight w:val="none"/>
        </w:rPr>
      </w:pPr>
    </w:p>
    <w:p w14:paraId="4CB08A6F">
      <w:pPr>
        <w:pStyle w:val="11"/>
        <w:rPr>
          <w:rFonts w:hint="eastAsia" w:hAnsi="宋体" w:cs="宋体"/>
          <w:color w:val="auto"/>
          <w:highlight w:val="none"/>
        </w:rPr>
      </w:pPr>
    </w:p>
    <w:p w14:paraId="2BBB92B3">
      <w:pPr>
        <w:pStyle w:val="11"/>
        <w:rPr>
          <w:rFonts w:hint="eastAsia" w:hAnsi="宋体" w:cs="宋体"/>
          <w:color w:val="auto"/>
          <w:highlight w:val="none"/>
        </w:rPr>
      </w:pPr>
    </w:p>
    <w:p w14:paraId="55F7B6B7">
      <w:pPr>
        <w:pStyle w:val="11"/>
        <w:rPr>
          <w:rFonts w:hint="eastAsia" w:hAnsi="宋体" w:cs="宋体"/>
          <w:color w:val="auto"/>
          <w:highlight w:val="none"/>
        </w:rPr>
      </w:pPr>
    </w:p>
    <w:p w14:paraId="1B297495">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206A3366">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25429D88">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07A23D3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7612C2B6">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48C4C39E">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3F9155D9">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45972A51">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533F4003">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C87A41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3AAE902C">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55DDB9F4">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633BAE8">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79961405">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0D8AF76F">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27431B4B">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547AC80A">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0558FF87">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424F93FE">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01ED48B9">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070BA5B2">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64E051E4">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0CB27974">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35EA1555">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70412E93">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0FA4AF4C">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3BE5ADAF">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7544D974">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6D5730E6">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4FBC7D6">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0A2E4652">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2C4C68A5">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0A5745E8">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51217F17">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D157CD6">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0C62CB4D">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51E0D3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2CEE7C7B">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542A51AD">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768C2F43">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7AFE203C">
      <w:pPr>
        <w:spacing w:line="360" w:lineRule="auto"/>
        <w:ind w:left="25" w:leftChars="12" w:firstLine="352" w:firstLineChars="147"/>
        <w:rPr>
          <w:rFonts w:hint="eastAsia" w:ascii="宋体" w:hAnsi="宋体" w:cs="宋体"/>
          <w:color w:val="auto"/>
          <w:kern w:val="0"/>
          <w:sz w:val="24"/>
          <w:highlight w:val="none"/>
        </w:rPr>
      </w:pPr>
    </w:p>
    <w:p w14:paraId="0227AA97">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46C82205">
      <w:pPr>
        <w:spacing w:line="360" w:lineRule="auto"/>
        <w:rPr>
          <w:rFonts w:hint="eastAsia" w:ascii="宋体" w:hAnsi="宋体" w:cs="宋体"/>
          <w:color w:val="auto"/>
          <w:kern w:val="0"/>
          <w:sz w:val="24"/>
          <w:highlight w:val="none"/>
        </w:rPr>
      </w:pPr>
    </w:p>
    <w:p w14:paraId="06CDF862">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26BE748F">
      <w:pPr>
        <w:snapToGrid w:val="0"/>
        <w:spacing w:line="360" w:lineRule="auto"/>
        <w:rPr>
          <w:rFonts w:hint="eastAsia" w:ascii="宋体" w:hAnsi="宋体" w:cs="宋体"/>
          <w:b/>
          <w:color w:val="auto"/>
          <w:kern w:val="0"/>
          <w:sz w:val="24"/>
          <w:highlight w:val="none"/>
        </w:rPr>
      </w:pPr>
    </w:p>
    <w:p w14:paraId="738A6B30">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203EF717">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2A9A0180">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13864A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1B7AAD72">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4C5CA03E">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187C3C5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7123E34B">
      <w:pPr>
        <w:pStyle w:val="46"/>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08D3A099">
      <w:pPr>
        <w:pStyle w:val="46"/>
        <w:spacing w:line="360" w:lineRule="auto"/>
        <w:jc w:val="both"/>
        <w:rPr>
          <w:rFonts w:hint="eastAsia" w:ascii="宋体" w:hAnsi="宋体" w:eastAsia="宋体" w:cs="宋体"/>
          <w:b/>
          <w:bCs/>
          <w:color w:val="auto"/>
          <w:highlight w:val="none"/>
        </w:rPr>
      </w:pPr>
    </w:p>
    <w:p w14:paraId="39C4B3DF">
      <w:pPr>
        <w:pStyle w:val="3"/>
        <w:numPr>
          <w:ilvl w:val="0"/>
          <w:numId w:val="3"/>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6" w:name="_Toc3612"/>
      <w:r>
        <w:rPr>
          <w:rFonts w:hint="eastAsia" w:ascii="宋体" w:hAnsi="宋体" w:cs="宋体"/>
          <w:color w:val="auto"/>
          <w:kern w:val="0"/>
          <w:sz w:val="36"/>
          <w:szCs w:val="36"/>
          <w:highlight w:val="none"/>
        </w:rPr>
        <w:t>合同主要条款（参考格式</w:t>
      </w:r>
      <w:bookmarkEnd w:id="76"/>
      <w:r>
        <w:rPr>
          <w:rFonts w:hint="eastAsia" w:ascii="宋体" w:hAnsi="宋体" w:cs="宋体"/>
          <w:color w:val="auto"/>
          <w:kern w:val="0"/>
          <w:sz w:val="36"/>
          <w:szCs w:val="36"/>
          <w:highlight w:val="none"/>
        </w:rPr>
        <w:t>）</w:t>
      </w:r>
    </w:p>
    <w:p w14:paraId="4A3544E2">
      <w:pPr>
        <w:pStyle w:val="3"/>
        <w:spacing w:line="560" w:lineRule="exact"/>
        <w:jc w:val="center"/>
        <w:rPr>
          <w:rFonts w:hint="eastAsia" w:ascii="宋体" w:hAnsi="宋体" w:cs="宋体"/>
          <w:color w:val="auto"/>
          <w:kern w:val="0"/>
          <w:sz w:val="32"/>
          <w:szCs w:val="32"/>
          <w:highlight w:val="none"/>
        </w:rPr>
      </w:pPr>
      <w:bookmarkStart w:id="77" w:name="_Toc31567"/>
      <w:r>
        <w:rPr>
          <w:rFonts w:hint="eastAsia" w:ascii="宋体" w:hAnsi="宋体" w:cs="宋体"/>
          <w:color w:val="auto"/>
          <w:kern w:val="0"/>
          <w:sz w:val="32"/>
          <w:szCs w:val="32"/>
          <w:highlight w:val="none"/>
        </w:rPr>
        <w:t>（仅供参考，由双方按实际情况调整</w:t>
      </w:r>
      <w:bookmarkEnd w:id="77"/>
      <w:r>
        <w:rPr>
          <w:rFonts w:hint="eastAsia" w:ascii="宋体" w:hAnsi="宋体" w:cs="宋体"/>
          <w:color w:val="auto"/>
          <w:kern w:val="0"/>
          <w:sz w:val="32"/>
          <w:szCs w:val="32"/>
          <w:highlight w:val="none"/>
        </w:rPr>
        <w:t>）</w:t>
      </w:r>
    </w:p>
    <w:p w14:paraId="78A067E4">
      <w:pPr>
        <w:jc w:val="center"/>
        <w:rPr>
          <w:rFonts w:hint="eastAsia" w:ascii="宋体" w:hAnsi="宋体" w:cs="宋体"/>
          <w:b/>
          <w:bCs/>
          <w:color w:val="auto"/>
          <w:sz w:val="72"/>
          <w:szCs w:val="144"/>
          <w:highlight w:val="none"/>
        </w:rPr>
      </w:pPr>
    </w:p>
    <w:p w14:paraId="3CBE9535">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副本</w:t>
      </w:r>
    </w:p>
    <w:p w14:paraId="766EE3FF">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172DB45C">
      <w:pPr>
        <w:rPr>
          <w:rFonts w:hint="eastAsia" w:ascii="宋体" w:hAnsi="宋体" w:cs="宋体"/>
          <w:b/>
          <w:bCs/>
          <w:color w:val="auto"/>
          <w:spacing w:val="20"/>
          <w:sz w:val="48"/>
          <w:szCs w:val="56"/>
          <w:highlight w:val="none"/>
        </w:rPr>
      </w:pPr>
    </w:p>
    <w:p w14:paraId="4F6CF7AD">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226681EA">
      <w:pPr>
        <w:jc w:val="center"/>
        <w:rPr>
          <w:rFonts w:hint="eastAsia" w:ascii="宋体" w:hAnsi="宋体" w:cs="宋体"/>
          <w:color w:val="auto"/>
          <w:spacing w:val="20"/>
          <w:sz w:val="32"/>
          <w:szCs w:val="40"/>
          <w:highlight w:val="none"/>
        </w:rPr>
      </w:pPr>
    </w:p>
    <w:p w14:paraId="5192AE38">
      <w:pPr>
        <w:jc w:val="center"/>
        <w:rPr>
          <w:rFonts w:hint="eastAsia" w:ascii="宋体" w:hAnsi="宋体" w:cs="宋体"/>
          <w:color w:val="auto"/>
          <w:spacing w:val="20"/>
          <w:sz w:val="32"/>
          <w:szCs w:val="40"/>
          <w:highlight w:val="none"/>
        </w:rPr>
      </w:pPr>
    </w:p>
    <w:p w14:paraId="03328DBD">
      <w:pPr>
        <w:jc w:val="center"/>
        <w:rPr>
          <w:rFonts w:hint="eastAsia" w:ascii="宋体" w:hAnsi="宋体" w:cs="宋体"/>
          <w:color w:val="auto"/>
          <w:spacing w:val="20"/>
          <w:sz w:val="32"/>
          <w:szCs w:val="40"/>
          <w:highlight w:val="none"/>
        </w:rPr>
      </w:pPr>
    </w:p>
    <w:p w14:paraId="457434A5">
      <w:pPr>
        <w:jc w:val="center"/>
        <w:rPr>
          <w:rFonts w:hint="eastAsia" w:ascii="宋体" w:hAnsi="宋体" w:cs="宋体"/>
          <w:color w:val="auto"/>
          <w:spacing w:val="20"/>
          <w:sz w:val="32"/>
          <w:szCs w:val="40"/>
          <w:highlight w:val="none"/>
        </w:rPr>
      </w:pPr>
    </w:p>
    <w:p w14:paraId="1614857F">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2C5224AA">
      <w:pPr>
        <w:rPr>
          <w:rFonts w:hint="eastAsia" w:ascii="宋体" w:hAnsi="宋体" w:cs="宋体"/>
          <w:color w:val="auto"/>
          <w:spacing w:val="20"/>
          <w:sz w:val="28"/>
          <w:szCs w:val="36"/>
          <w:highlight w:val="none"/>
        </w:rPr>
      </w:pPr>
    </w:p>
    <w:p w14:paraId="66556B31">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浦北县农业农村局</w:t>
      </w:r>
      <w:r>
        <w:rPr>
          <w:rFonts w:hint="eastAsia" w:ascii="宋体" w:hAnsi="宋体" w:cs="宋体"/>
          <w:color w:val="auto"/>
          <w:spacing w:val="20"/>
          <w:sz w:val="28"/>
          <w:szCs w:val="36"/>
          <w:highlight w:val="none"/>
          <w:u w:val="single"/>
        </w:rPr>
        <w:t xml:space="preserve"> </w:t>
      </w:r>
    </w:p>
    <w:p w14:paraId="75FE240B">
      <w:pPr>
        <w:rPr>
          <w:rFonts w:hint="eastAsia" w:ascii="宋体" w:hAnsi="宋体" w:cs="宋体"/>
          <w:color w:val="auto"/>
          <w:spacing w:val="20"/>
          <w:sz w:val="28"/>
          <w:szCs w:val="36"/>
          <w:highlight w:val="none"/>
        </w:rPr>
      </w:pPr>
    </w:p>
    <w:p w14:paraId="31B9B3C1">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3C31D366">
      <w:pPr>
        <w:rPr>
          <w:rFonts w:hint="eastAsia" w:ascii="宋体" w:hAnsi="宋体" w:cs="宋体"/>
          <w:color w:val="auto"/>
          <w:spacing w:val="20"/>
          <w:sz w:val="28"/>
          <w:szCs w:val="36"/>
          <w:highlight w:val="none"/>
        </w:rPr>
      </w:pPr>
    </w:p>
    <w:p w14:paraId="5E87B330">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16F22F0D">
      <w:pPr>
        <w:pStyle w:val="3"/>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8" w:name="_Toc26265"/>
      <w:bookmarkStart w:id="79" w:name="_Toc373227552"/>
      <w:bookmarkStart w:id="80" w:name="_Toc389065255"/>
      <w:bookmarkStart w:id="81" w:name="_Toc296890982"/>
      <w:bookmarkStart w:id="82" w:name="_Toc351203480"/>
      <w:bookmarkStart w:id="83" w:name="_Toc296503025"/>
      <w:bookmarkStart w:id="84" w:name="_Toc12680"/>
      <w:bookmarkStart w:id="85" w:name="_Toc373478199"/>
    </w:p>
    <w:p w14:paraId="6403CDCD">
      <w:pPr>
        <w:pStyle w:val="3"/>
        <w:numPr>
          <w:ilvl w:val="0"/>
          <w:numId w:val="4"/>
        </w:numPr>
        <w:jc w:val="center"/>
        <w:rPr>
          <w:color w:val="auto"/>
          <w:highlight w:val="none"/>
        </w:rPr>
      </w:pPr>
      <w:r>
        <w:rPr>
          <w:rFonts w:hint="eastAsia" w:ascii="宋体" w:hAnsi="宋体" w:cs="宋体"/>
          <w:color w:val="auto"/>
          <w:spacing w:val="20"/>
          <w:sz w:val="36"/>
          <w:szCs w:val="48"/>
          <w:highlight w:val="none"/>
        </w:rPr>
        <w:t>合同协议书</w:t>
      </w:r>
      <w:bookmarkEnd w:id="78"/>
      <w:bookmarkEnd w:id="79"/>
      <w:bookmarkEnd w:id="80"/>
      <w:bookmarkEnd w:id="81"/>
      <w:bookmarkEnd w:id="82"/>
      <w:bookmarkEnd w:id="83"/>
      <w:bookmarkEnd w:id="84"/>
      <w:bookmarkEnd w:id="85"/>
    </w:p>
    <w:p w14:paraId="00FB27A4">
      <w:pPr>
        <w:rPr>
          <w:color w:val="auto"/>
          <w:highlight w:val="none"/>
        </w:rPr>
      </w:pPr>
    </w:p>
    <w:p w14:paraId="3E2C5CD9">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浦北县农业农村局</w:t>
      </w:r>
      <w:r>
        <w:rPr>
          <w:rFonts w:hint="eastAsia" w:ascii="宋体" w:hAnsi="宋体" w:cs="宋体"/>
          <w:color w:val="auto"/>
          <w:spacing w:val="20"/>
          <w:sz w:val="24"/>
          <w:highlight w:val="none"/>
          <w:u w:val="single"/>
        </w:rPr>
        <w:t xml:space="preserve">   </w:t>
      </w:r>
    </w:p>
    <w:p w14:paraId="46F2D95C">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p>
    <w:p w14:paraId="6D896C45">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lang w:eastAsia="zh-CN"/>
        </w:rPr>
        <w:t>浦北县农业农村局</w:t>
      </w:r>
      <w:r>
        <w:rPr>
          <w:rFonts w:hint="eastAsia" w:ascii="宋体" w:hAnsi="宋体" w:cs="宋体"/>
          <w:color w:val="auto"/>
          <w:spacing w:val="20"/>
          <w:sz w:val="24"/>
          <w:highlight w:val="none"/>
        </w:rPr>
        <w:t>（以下称发包人）为实施</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，根据《中华人民共和国合同法》、《中华人民共和国建筑法》及有关法律规定，遵循平等、自愿、公平和诚实信用的原则，双方就</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工程施工及有关事项协商一致，共同达成如下协议：</w:t>
      </w:r>
      <w:bookmarkStart w:id="86" w:name="_Toc351203481"/>
    </w:p>
    <w:p w14:paraId="4C0B88B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一、工程概况</w:t>
      </w:r>
      <w:bookmarkEnd w:id="86"/>
    </w:p>
    <w:p w14:paraId="7188421F">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1. 工程名称</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w:t>
      </w:r>
    </w:p>
    <w:p w14:paraId="135D8C36">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工程地点：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06D8AB4B">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工程立项批准文号：</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41300E26">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4. 资金来源：</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6B9BA098">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5. 工程内容：</w:t>
      </w:r>
      <w:r>
        <w:rPr>
          <w:rFonts w:hint="eastAsia" w:ascii="宋体" w:hAnsi="宋体" w:cs="宋体"/>
          <w:bCs/>
          <w:color w:val="auto"/>
          <w:spacing w:val="20"/>
          <w:sz w:val="24"/>
          <w:highlight w:val="none"/>
          <w:u w:val="single"/>
        </w:rPr>
        <w:t xml:space="preserve">                                      </w:t>
      </w:r>
      <w:r>
        <w:rPr>
          <w:rFonts w:hint="eastAsia" w:ascii="宋体" w:hAnsi="宋体" w:cs="宋体"/>
          <w:color w:val="auto"/>
          <w:spacing w:val="20"/>
          <w:sz w:val="24"/>
          <w:highlight w:val="none"/>
          <w:u w:val="single"/>
          <w:lang w:val="zh-CN"/>
        </w:rPr>
        <w:t>等</w:t>
      </w:r>
      <w:r>
        <w:rPr>
          <w:rFonts w:hint="eastAsia" w:ascii="宋体" w:hAnsi="宋体" w:cs="宋体"/>
          <w:color w:val="auto"/>
          <w:spacing w:val="20"/>
          <w:sz w:val="24"/>
          <w:highlight w:val="none"/>
          <w:u w:val="single"/>
        </w:rPr>
        <w:t>。</w:t>
      </w:r>
    </w:p>
    <w:p w14:paraId="4C6CCA6C">
      <w:pPr>
        <w:adjustRightInd w:val="0"/>
        <w:snapToGrid w:val="0"/>
        <w:spacing w:line="360" w:lineRule="auto"/>
        <w:ind w:firstLine="548" w:firstLineChars="196"/>
        <w:outlineLvl w:val="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6. 工程承包范围：</w:t>
      </w:r>
      <w:r>
        <w:rPr>
          <w:rFonts w:hint="eastAsia" w:ascii="宋体" w:hAnsi="宋体" w:cs="宋体"/>
          <w:color w:val="auto"/>
          <w:spacing w:val="20"/>
          <w:sz w:val="24"/>
          <w:highlight w:val="none"/>
          <w:u w:val="single"/>
        </w:rPr>
        <w:t xml:space="preserve"> 详见工程量清单所包含内容 </w:t>
      </w:r>
      <w:r>
        <w:rPr>
          <w:rFonts w:hint="eastAsia" w:ascii="宋体" w:hAnsi="宋体" w:cs="宋体"/>
          <w:color w:val="auto"/>
          <w:spacing w:val="20"/>
          <w:sz w:val="24"/>
          <w:highlight w:val="none"/>
        </w:rPr>
        <w:t>。</w:t>
      </w:r>
    </w:p>
    <w:p w14:paraId="049E7DF6">
      <w:pPr>
        <w:adjustRightInd w:val="0"/>
        <w:snapToGrid w:val="0"/>
        <w:spacing w:line="360" w:lineRule="auto"/>
        <w:ind w:firstLine="542" w:firstLineChars="193"/>
        <w:outlineLvl w:val="0"/>
        <w:rPr>
          <w:rFonts w:hint="eastAsia" w:ascii="宋体" w:hAnsi="宋体" w:cs="宋体"/>
          <w:b/>
          <w:bCs/>
          <w:color w:val="auto"/>
          <w:spacing w:val="20"/>
          <w:sz w:val="24"/>
          <w:highlight w:val="none"/>
        </w:rPr>
      </w:pPr>
      <w:bookmarkStart w:id="87" w:name="_Toc351203482"/>
      <w:r>
        <w:rPr>
          <w:rFonts w:hint="eastAsia" w:ascii="宋体" w:hAnsi="宋体" w:cs="宋体"/>
          <w:b/>
          <w:bCs/>
          <w:color w:val="auto"/>
          <w:spacing w:val="20"/>
          <w:sz w:val="24"/>
          <w:highlight w:val="none"/>
        </w:rPr>
        <w:t>二、合同工期</w:t>
      </w:r>
      <w:bookmarkEnd w:id="87"/>
    </w:p>
    <w:p w14:paraId="4F52E8FC">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计划开工日期：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日。（具体以开工令为准）</w:t>
      </w:r>
    </w:p>
    <w:p w14:paraId="3AC0E23D">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计划竣工日期：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w:t>
      </w:r>
    </w:p>
    <w:p w14:paraId="14B41E12">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工期总日历天数：</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天。工期总日历天数与根据前述计划开竣工日期计算的工期天数不一致的，以工期总日历天数为准。</w:t>
      </w:r>
    </w:p>
    <w:p w14:paraId="5CF25F32">
      <w:pPr>
        <w:adjustRightInd w:val="0"/>
        <w:snapToGrid w:val="0"/>
        <w:spacing w:line="360" w:lineRule="auto"/>
        <w:ind w:firstLine="459"/>
        <w:outlineLvl w:val="0"/>
        <w:rPr>
          <w:rFonts w:hint="eastAsia" w:ascii="宋体" w:hAnsi="宋体" w:cs="宋体"/>
          <w:b/>
          <w:bCs/>
          <w:color w:val="auto"/>
          <w:spacing w:val="20"/>
          <w:sz w:val="24"/>
          <w:highlight w:val="none"/>
        </w:rPr>
      </w:pPr>
      <w:bookmarkStart w:id="88" w:name="_Toc351203483"/>
      <w:r>
        <w:rPr>
          <w:rFonts w:hint="eastAsia" w:ascii="宋体" w:hAnsi="宋体" w:cs="宋体"/>
          <w:b/>
          <w:bCs/>
          <w:color w:val="auto"/>
          <w:spacing w:val="20"/>
          <w:sz w:val="24"/>
          <w:highlight w:val="none"/>
        </w:rPr>
        <w:t>三、质量标准</w:t>
      </w:r>
      <w:bookmarkEnd w:id="88"/>
    </w:p>
    <w:p w14:paraId="593AE604">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工程质量符合</w:t>
      </w:r>
      <w:r>
        <w:rPr>
          <w:rFonts w:hint="eastAsia" w:ascii="宋体" w:hAnsi="宋体" w:cs="宋体"/>
          <w:color w:val="auto"/>
          <w:spacing w:val="20"/>
          <w:sz w:val="24"/>
          <w:highlight w:val="none"/>
          <w:u w:val="single"/>
        </w:rPr>
        <w:t>《工程施工质量验收规范》合格</w:t>
      </w:r>
      <w:r>
        <w:rPr>
          <w:rFonts w:hint="eastAsia" w:ascii="宋体" w:hAnsi="宋体" w:cs="宋体"/>
          <w:color w:val="auto"/>
          <w:spacing w:val="20"/>
          <w:sz w:val="24"/>
          <w:highlight w:val="none"/>
        </w:rPr>
        <w:t>标准。</w:t>
      </w:r>
    </w:p>
    <w:p w14:paraId="43971406">
      <w:pPr>
        <w:adjustRightInd w:val="0"/>
        <w:snapToGrid w:val="0"/>
        <w:spacing w:line="360" w:lineRule="auto"/>
        <w:ind w:firstLine="459"/>
        <w:outlineLvl w:val="0"/>
        <w:rPr>
          <w:rFonts w:hint="eastAsia" w:ascii="宋体" w:hAnsi="宋体" w:cs="宋体"/>
          <w:b/>
          <w:bCs/>
          <w:color w:val="auto"/>
          <w:spacing w:val="20"/>
          <w:sz w:val="24"/>
          <w:highlight w:val="none"/>
        </w:rPr>
      </w:pPr>
      <w:bookmarkStart w:id="89" w:name="_Toc351203484"/>
      <w:r>
        <w:rPr>
          <w:rFonts w:hint="eastAsia" w:ascii="宋体" w:hAnsi="宋体" w:cs="宋体"/>
          <w:b/>
          <w:bCs/>
          <w:color w:val="auto"/>
          <w:spacing w:val="20"/>
          <w:sz w:val="24"/>
          <w:highlight w:val="none"/>
        </w:rPr>
        <w:t>四、签约合同价与合同价格形式</w:t>
      </w:r>
      <w:bookmarkEnd w:id="89"/>
    </w:p>
    <w:p w14:paraId="15E80B97">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1. 签约合同价为：</w:t>
      </w:r>
    </w:p>
    <w:p w14:paraId="0211586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人民币（大写：</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6E7A2CC1">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最终执行：如果结算审计价高于合同的按合同价执行，如果低于合同价的按审计价执行。</w:t>
      </w:r>
    </w:p>
    <w:p w14:paraId="6013DC2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 合同价格形式：</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74F2A90C">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0" w:name="_Toc351203485"/>
      <w:r>
        <w:rPr>
          <w:rFonts w:hint="eastAsia" w:ascii="宋体" w:hAnsi="宋体" w:cs="宋体"/>
          <w:b/>
          <w:bCs/>
          <w:color w:val="auto"/>
          <w:spacing w:val="20"/>
          <w:sz w:val="24"/>
          <w:highlight w:val="none"/>
        </w:rPr>
        <w:t>五、</w:t>
      </w:r>
      <w:bookmarkEnd w:id="90"/>
      <w:r>
        <w:rPr>
          <w:rFonts w:hint="eastAsia" w:ascii="宋体" w:hAnsi="宋体" w:cs="宋体"/>
          <w:b/>
          <w:bCs/>
          <w:color w:val="auto"/>
          <w:spacing w:val="20"/>
          <w:sz w:val="24"/>
          <w:highlight w:val="none"/>
        </w:rPr>
        <w:t>项目经理</w:t>
      </w:r>
    </w:p>
    <w:p w14:paraId="1C4C377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承包人项目经理：</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32F948EB">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1" w:name="_Toc351203486"/>
      <w:r>
        <w:rPr>
          <w:rFonts w:hint="eastAsia" w:ascii="宋体" w:hAnsi="宋体" w:cs="宋体"/>
          <w:b/>
          <w:bCs/>
          <w:color w:val="auto"/>
          <w:spacing w:val="20"/>
          <w:sz w:val="24"/>
          <w:highlight w:val="none"/>
        </w:rPr>
        <w:t>六、合同文件构成</w:t>
      </w:r>
      <w:bookmarkEnd w:id="91"/>
    </w:p>
    <w:p w14:paraId="206F340B">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1.本协议书与下列文件一起构成合同文件：</w:t>
      </w:r>
    </w:p>
    <w:p w14:paraId="652C4736">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（1）中标通知书（如有）；</w:t>
      </w:r>
    </w:p>
    <w:p w14:paraId="6EB4CBD0">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（2）投标函及其附录（如有）； </w:t>
      </w:r>
    </w:p>
    <w:p w14:paraId="28FBEBAA">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（3）专用合同条款及其附件；</w:t>
      </w:r>
    </w:p>
    <w:p w14:paraId="638CB16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（4）通用合同条款；</w:t>
      </w:r>
    </w:p>
    <w:p w14:paraId="277E6B53">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（5）技术标准和要求；</w:t>
      </w:r>
    </w:p>
    <w:p w14:paraId="37E81DC1">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（6）已标价工程量清单或预算书； </w:t>
      </w:r>
    </w:p>
    <w:p w14:paraId="5ECA3D5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（7）图纸；</w:t>
      </w:r>
    </w:p>
    <w:p w14:paraId="0FA036B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（8）其他合同文件。</w:t>
      </w:r>
    </w:p>
    <w:p w14:paraId="105F7A26">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2.双方有关工程的洽商、变更等书面协议或文件视为本合同的组成部分。</w:t>
      </w:r>
    </w:p>
    <w:p w14:paraId="39DDC6B7">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上述各项合同文件包括合同当事人就该项合同文件所作出的补充和修改，属于同一类内容的文件，应以最新签署的为准。专用合同条款及其附件须经合同当事人签字或盖章。</w:t>
      </w:r>
    </w:p>
    <w:p w14:paraId="0C1D3C31">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highlight w:val="none"/>
        </w:rPr>
      </w:pPr>
      <w:bookmarkStart w:id="92" w:name="_Toc351203487"/>
      <w:r>
        <w:rPr>
          <w:rFonts w:hint="eastAsia" w:ascii="宋体" w:hAnsi="宋体" w:cs="宋体"/>
          <w:b/>
          <w:bCs/>
          <w:color w:val="auto"/>
          <w:spacing w:val="20"/>
          <w:sz w:val="24"/>
          <w:highlight w:val="none"/>
        </w:rPr>
        <w:t>七、承诺</w:t>
      </w:r>
      <w:bookmarkEnd w:id="92"/>
    </w:p>
    <w:p w14:paraId="589AD1E1">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 发包人承诺按照法律规定履行项目审批手续、筹集工程建设资金并按照合同约定的期限和方式支付合同价款。</w:t>
      </w:r>
    </w:p>
    <w:p w14:paraId="467299C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承包人承诺按照法律规定及合同约定组织完成工程施工，确保工程质量和安全，不进行转包及违法分包，并在缺陷责任期及保修期内承担相应的工程维修责任。</w:t>
      </w:r>
    </w:p>
    <w:p w14:paraId="3582367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发包人和承包人签订的合同，双方理解并承诺不再就同一工程另行签订与合同实质性内容相背离的协议。</w:t>
      </w:r>
      <w:bookmarkStart w:id="93" w:name="_Toc351203488"/>
      <w:r>
        <w:rPr>
          <w:rFonts w:hint="eastAsia" w:ascii="宋体" w:hAnsi="宋体" w:cs="宋体"/>
          <w:bCs/>
          <w:color w:val="auto"/>
          <w:spacing w:val="20"/>
          <w:sz w:val="24"/>
          <w:highlight w:val="none"/>
        </w:rPr>
        <w:t xml:space="preserve">其他未说明的有关管理办法严格按浦政规〔2020〕1号及相关规范执行。比如 </w:t>
      </w:r>
    </w:p>
    <w:p w14:paraId="5F71596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1A7F0E19">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174C9479">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（3）监理单位弄虚作假、超越权限，导致虚增工程量、多计价款的，不支付监理费，并由县行业行政监管部门给予处罚；给项目业主造成损失的，依法承担经济和法律责任。</w:t>
      </w:r>
    </w:p>
    <w:p w14:paraId="6FE8B30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监理单位一次弄虚作假、超越权限的，由县行业行政监管部门通报全县各镇（街道）、县直单位五年内不得参加本县政府投资项目的监理；造成经济损失的，依法承担赔偿责任；涉嫌犯罪的，依法追究刑事责任。</w:t>
      </w:r>
    </w:p>
    <w:p w14:paraId="4D2A1CC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八、词语含义</w:t>
      </w:r>
      <w:bookmarkEnd w:id="93"/>
    </w:p>
    <w:p w14:paraId="639E6EA2">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本协议书中词语含义与第二部分通用合同条款中赋予的含义相同。</w:t>
      </w:r>
    </w:p>
    <w:p w14:paraId="5007181D">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4" w:name="_Toc351203489"/>
      <w:r>
        <w:rPr>
          <w:rFonts w:hint="eastAsia" w:ascii="宋体" w:hAnsi="宋体" w:cs="宋体"/>
          <w:b/>
          <w:bCs/>
          <w:color w:val="auto"/>
          <w:spacing w:val="20"/>
          <w:sz w:val="24"/>
          <w:highlight w:val="none"/>
        </w:rPr>
        <w:t>九、签订时间</w:t>
      </w:r>
      <w:bookmarkEnd w:id="94"/>
    </w:p>
    <w:p w14:paraId="3B34F38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本合同于</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年</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月</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日签订。</w:t>
      </w:r>
    </w:p>
    <w:p w14:paraId="796EE6C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5" w:name="_Toc351203490"/>
      <w:r>
        <w:rPr>
          <w:rFonts w:hint="eastAsia" w:ascii="宋体" w:hAnsi="宋体" w:cs="宋体"/>
          <w:b/>
          <w:bCs/>
          <w:color w:val="auto"/>
          <w:spacing w:val="20"/>
          <w:sz w:val="24"/>
          <w:highlight w:val="none"/>
        </w:rPr>
        <w:t>十、签订地点</w:t>
      </w:r>
      <w:bookmarkEnd w:id="95"/>
    </w:p>
    <w:p w14:paraId="2E97E8E9">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本合同在</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签订。</w:t>
      </w:r>
    </w:p>
    <w:p w14:paraId="14CF084A">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6" w:name="_Toc351203491"/>
      <w:r>
        <w:rPr>
          <w:rFonts w:hint="eastAsia" w:ascii="宋体" w:hAnsi="宋体" w:cs="宋体"/>
          <w:b/>
          <w:bCs/>
          <w:color w:val="auto"/>
          <w:spacing w:val="20"/>
          <w:sz w:val="24"/>
          <w:highlight w:val="none"/>
        </w:rPr>
        <w:t>十一、补充协议</w:t>
      </w:r>
      <w:bookmarkEnd w:id="96"/>
    </w:p>
    <w:p w14:paraId="657DC9F6">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合同未尽事宜，合同当事人另行签订补充协议，补充协议是合同的组成部分。</w:t>
      </w:r>
    </w:p>
    <w:p w14:paraId="25B9BC5C">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7" w:name="_Toc351203492"/>
      <w:r>
        <w:rPr>
          <w:rFonts w:hint="eastAsia" w:ascii="宋体" w:hAnsi="宋体" w:cs="宋体"/>
          <w:b/>
          <w:bCs/>
          <w:color w:val="auto"/>
          <w:spacing w:val="20"/>
          <w:sz w:val="24"/>
          <w:highlight w:val="none"/>
        </w:rPr>
        <w:t>十二、合同生效</w:t>
      </w:r>
      <w:bookmarkEnd w:id="97"/>
    </w:p>
    <w:p w14:paraId="617BCEA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本合同自</w:t>
      </w:r>
      <w:r>
        <w:rPr>
          <w:rFonts w:hint="eastAsia" w:ascii="宋体" w:hAnsi="宋体" w:cs="宋体"/>
          <w:bCs/>
          <w:color w:val="auto"/>
          <w:spacing w:val="20"/>
          <w:sz w:val="24"/>
          <w:highlight w:val="none"/>
          <w:u w:val="single"/>
        </w:rPr>
        <w:t xml:space="preserve"> 双方法定代表人或其授权代理人签字并加盖单位公章之日起 </w:t>
      </w:r>
      <w:r>
        <w:rPr>
          <w:rFonts w:hint="eastAsia" w:ascii="宋体" w:hAnsi="宋体" w:cs="宋体"/>
          <w:bCs/>
          <w:color w:val="auto"/>
          <w:spacing w:val="20"/>
          <w:sz w:val="24"/>
          <w:highlight w:val="none"/>
        </w:rPr>
        <w:t>生效。</w:t>
      </w:r>
    </w:p>
    <w:p w14:paraId="65B4474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8" w:name="_Toc351203493"/>
      <w:r>
        <w:rPr>
          <w:rFonts w:hint="eastAsia" w:ascii="宋体" w:hAnsi="宋体" w:cs="宋体"/>
          <w:b/>
          <w:bCs/>
          <w:color w:val="auto"/>
          <w:spacing w:val="20"/>
          <w:sz w:val="24"/>
          <w:highlight w:val="none"/>
        </w:rPr>
        <w:t>十三、合同份数</w:t>
      </w:r>
      <w:bookmarkEnd w:id="98"/>
    </w:p>
    <w:p w14:paraId="501EF10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本合同一式</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陆</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份，均具有同等法律效力，发包人执</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叁</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份，承包人执</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叁</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w:t>
      </w:r>
    </w:p>
    <w:p w14:paraId="4E11F7B4">
      <w:pPr>
        <w:adjustRightInd w:val="0"/>
        <w:snapToGrid w:val="0"/>
        <w:spacing w:line="360" w:lineRule="auto"/>
        <w:rPr>
          <w:rFonts w:hint="eastAsia" w:ascii="宋体" w:hAnsi="宋体" w:cs="宋体"/>
          <w:bCs/>
          <w:color w:val="auto"/>
          <w:spacing w:val="20"/>
          <w:sz w:val="24"/>
          <w:highlight w:val="none"/>
        </w:rPr>
      </w:pPr>
    </w:p>
    <w:p w14:paraId="2258A3E3">
      <w:pPr>
        <w:adjustRightInd w:val="0"/>
        <w:snapToGrid w:val="0"/>
        <w:spacing w:line="420" w:lineRule="exact"/>
        <w:rPr>
          <w:rFonts w:hint="eastAsia" w:ascii="宋体" w:hAnsi="宋体" w:cs="宋体"/>
          <w:color w:val="auto"/>
          <w:spacing w:val="20"/>
          <w:sz w:val="24"/>
          <w:highlight w:val="none"/>
        </w:rPr>
      </w:pPr>
      <w:bookmarkStart w:id="99" w:name="_Toc461982824"/>
      <w:bookmarkStart w:id="100" w:name="_Toc16007"/>
      <w:bookmarkStart w:id="101" w:name="_Toc439779029"/>
      <w:bookmarkStart w:id="102" w:name="_Toc425437329"/>
      <w:bookmarkStart w:id="103" w:name="_Toc389065256"/>
      <w:bookmarkStart w:id="104" w:name="_Toc21285"/>
      <w:bookmarkStart w:id="105" w:name="_Toc373478338"/>
      <w:bookmarkStart w:id="106" w:name="_Toc351203632"/>
      <w:bookmarkStart w:id="107" w:name="_Toc373227691"/>
      <w:r>
        <w:rPr>
          <w:rFonts w:hint="eastAsia" w:ascii="宋体" w:hAnsi="宋体" w:cs="宋体"/>
          <w:color w:val="auto"/>
          <w:spacing w:val="20"/>
          <w:sz w:val="24"/>
          <w:highlight w:val="none"/>
        </w:rPr>
        <w:t>发包人：  （公章）              承包人：  （公章）</w:t>
      </w:r>
    </w:p>
    <w:p w14:paraId="3D93F9BB">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lang w:eastAsia="zh-CN"/>
        </w:rPr>
        <w:t>浦北县农业农村局</w:t>
      </w:r>
      <w:r>
        <w:rPr>
          <w:rFonts w:hint="eastAsia" w:ascii="宋体" w:hAnsi="宋体" w:cs="宋体"/>
          <w:color w:val="auto"/>
          <w:spacing w:val="20"/>
          <w:sz w:val="24"/>
          <w:highlight w:val="none"/>
        </w:rPr>
        <w:t xml:space="preserve">                                                                                                </w:t>
      </w:r>
    </w:p>
    <w:p w14:paraId="70E05299">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法定代表人：                   法定代表人：</w:t>
      </w:r>
    </w:p>
    <w:p w14:paraId="68CDA55A">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或其委托代理人：               或其委托代理人：</w:t>
      </w:r>
    </w:p>
    <w:p w14:paraId="344D4B95">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地址：</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地址：</w:t>
      </w:r>
      <w:r>
        <w:rPr>
          <w:rFonts w:hint="eastAsia" w:asciiTheme="minorEastAsia" w:hAnsiTheme="minorEastAsia"/>
          <w:color w:val="auto"/>
          <w:sz w:val="24"/>
          <w:highlight w:val="none"/>
          <w:u w:val="single"/>
        </w:rPr>
        <w:t xml:space="preserve">                       </w:t>
      </w:r>
    </w:p>
    <w:p w14:paraId="14595D76">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邮政编码：</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邮政编码：</w:t>
      </w:r>
      <w:r>
        <w:rPr>
          <w:rFonts w:hint="eastAsia" w:ascii="宋体" w:hAnsi="宋体" w:cs="宋体"/>
          <w:color w:val="auto"/>
          <w:spacing w:val="20"/>
          <w:sz w:val="24"/>
          <w:highlight w:val="none"/>
          <w:u w:val="single"/>
        </w:rPr>
        <w:t xml:space="preserve">               </w:t>
      </w:r>
    </w:p>
    <w:p w14:paraId="43633289">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电话（传真）：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电话（传真）：</w:t>
      </w:r>
      <w:r>
        <w:rPr>
          <w:rFonts w:hint="eastAsia" w:ascii="宋体" w:hAnsi="宋体" w:cs="宋体"/>
          <w:color w:val="auto"/>
          <w:spacing w:val="20"/>
          <w:sz w:val="24"/>
          <w:highlight w:val="none"/>
          <w:u w:val="single"/>
        </w:rPr>
        <w:t xml:space="preserve">             </w:t>
      </w:r>
    </w:p>
    <w:p w14:paraId="4F96943A">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开户银行：</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开户银行：</w:t>
      </w:r>
      <w:r>
        <w:rPr>
          <w:rFonts w:hint="eastAsia" w:asciiTheme="minorEastAsia" w:hAnsiTheme="minorEastAsia"/>
          <w:color w:val="auto"/>
          <w:sz w:val="24"/>
          <w:highlight w:val="none"/>
          <w:u w:val="single"/>
        </w:rPr>
        <w:t xml:space="preserve">                      </w:t>
      </w:r>
    </w:p>
    <w:p w14:paraId="5EC14278">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账 号：</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账 号：</w:t>
      </w:r>
      <w:r>
        <w:rPr>
          <w:rFonts w:hint="eastAsia" w:asciiTheme="minorEastAsia" w:hAnsiTheme="minorEastAsia"/>
          <w:color w:val="auto"/>
          <w:sz w:val="24"/>
          <w:highlight w:val="none"/>
          <w:u w:val="single"/>
        </w:rPr>
        <w:t xml:space="preserve">                     </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371FE7C9">
      <w:pPr>
        <w:pStyle w:val="3"/>
        <w:keepNext w:val="0"/>
        <w:keepLines w:val="0"/>
        <w:spacing w:line="312" w:lineRule="auto"/>
        <w:jc w:val="center"/>
        <w:rPr>
          <w:rFonts w:hint="eastAsia" w:ascii="宋体" w:hAnsi="宋体" w:cs="宋体"/>
          <w:color w:val="auto"/>
          <w:spacing w:val="20"/>
          <w:szCs w:val="32"/>
          <w:highlight w:val="none"/>
        </w:rPr>
      </w:pPr>
    </w:p>
    <w:p w14:paraId="5E0BDCF7">
      <w:pPr>
        <w:rPr>
          <w:rFonts w:hint="eastAsia" w:ascii="宋体" w:hAnsi="宋体" w:cs="宋体"/>
          <w:color w:val="auto"/>
          <w:spacing w:val="20"/>
          <w:szCs w:val="32"/>
          <w:highlight w:val="none"/>
        </w:rPr>
      </w:pPr>
    </w:p>
    <w:p w14:paraId="0828CC7F">
      <w:pPr>
        <w:rPr>
          <w:rFonts w:hint="eastAsia" w:ascii="宋体" w:hAnsi="宋体" w:cs="宋体"/>
          <w:color w:val="auto"/>
          <w:spacing w:val="20"/>
          <w:szCs w:val="32"/>
          <w:highlight w:val="none"/>
        </w:rPr>
      </w:pPr>
    </w:p>
    <w:p w14:paraId="2039D2AB">
      <w:pPr>
        <w:rPr>
          <w:rFonts w:hint="eastAsia" w:ascii="宋体" w:hAnsi="宋体" w:cs="宋体"/>
          <w:color w:val="auto"/>
          <w:spacing w:val="20"/>
          <w:szCs w:val="32"/>
          <w:highlight w:val="none"/>
        </w:rPr>
      </w:pPr>
    </w:p>
    <w:p w14:paraId="6553BC3E">
      <w:pPr>
        <w:rPr>
          <w:rFonts w:hint="eastAsia" w:ascii="宋体" w:hAnsi="宋体" w:cs="宋体"/>
          <w:color w:val="auto"/>
          <w:spacing w:val="20"/>
          <w:szCs w:val="32"/>
          <w:highlight w:val="none"/>
        </w:rPr>
      </w:pPr>
    </w:p>
    <w:p w14:paraId="5869735C">
      <w:pPr>
        <w:rPr>
          <w:rFonts w:hint="eastAsia" w:ascii="宋体" w:hAnsi="宋体" w:cs="宋体"/>
          <w:color w:val="auto"/>
          <w:spacing w:val="20"/>
          <w:szCs w:val="32"/>
          <w:highlight w:val="none"/>
        </w:rPr>
      </w:pPr>
    </w:p>
    <w:p w14:paraId="607B6C48">
      <w:pPr>
        <w:pStyle w:val="3"/>
        <w:keepNext w:val="0"/>
        <w:keepLines w:val="0"/>
        <w:spacing w:line="312" w:lineRule="auto"/>
        <w:jc w:val="center"/>
        <w:rPr>
          <w:rFonts w:hint="eastAsia" w:ascii="宋体" w:hAnsi="宋体" w:cs="宋体"/>
          <w:color w:val="auto"/>
          <w:spacing w:val="20"/>
          <w:szCs w:val="32"/>
          <w:highlight w:val="none"/>
        </w:rPr>
        <w:sectPr>
          <w:headerReference r:id="rId5" w:type="default"/>
          <w:footerReference r:id="rId6" w:type="default"/>
          <w:pgSz w:w="11906" w:h="16838"/>
          <w:pgMar w:top="1440" w:right="1080" w:bottom="1440" w:left="1080" w:header="567" w:footer="567" w:gutter="567"/>
          <w:cols w:space="0" w:num="1"/>
          <w:docGrid w:type="lines" w:linePitch="312" w:charSpace="0"/>
        </w:sectPr>
      </w:pPr>
    </w:p>
    <w:p w14:paraId="79F5FA84">
      <w:pPr>
        <w:pStyle w:val="3"/>
        <w:keepNext w:val="0"/>
        <w:keepLines w:val="0"/>
        <w:spacing w:line="312" w:lineRule="auto"/>
        <w:jc w:val="center"/>
        <w:rPr>
          <w:rFonts w:hint="eastAsia" w:ascii="宋体" w:hAnsi="宋体" w:cs="宋体"/>
          <w:color w:val="auto"/>
          <w:spacing w:val="20"/>
          <w:szCs w:val="32"/>
          <w:highlight w:val="none"/>
        </w:rPr>
      </w:pPr>
      <w:r>
        <w:rPr>
          <w:rFonts w:hint="eastAsia" w:ascii="宋体" w:hAnsi="宋体" w:cs="宋体"/>
          <w:color w:val="auto"/>
          <w:spacing w:val="20"/>
          <w:szCs w:val="32"/>
          <w:highlight w:val="none"/>
        </w:rPr>
        <w:t>第二部分 通用合同条款</w:t>
      </w:r>
      <w:bookmarkEnd w:id="99"/>
      <w:bookmarkEnd w:id="100"/>
      <w:bookmarkEnd w:id="101"/>
      <w:bookmarkEnd w:id="102"/>
      <w:bookmarkEnd w:id="103"/>
      <w:bookmarkEnd w:id="104"/>
    </w:p>
    <w:p w14:paraId="0754D835">
      <w:pPr>
        <w:autoSpaceDE w:val="0"/>
        <w:autoSpaceDN w:val="0"/>
        <w:adjustRightInd w:val="0"/>
        <w:spacing w:line="288" w:lineRule="auto"/>
        <w:ind w:firstLine="480" w:firstLineChars="200"/>
        <w:jc w:val="left"/>
        <w:rPr>
          <w:color w:val="auto"/>
          <w:highlight w:val="none"/>
        </w:rPr>
      </w:pPr>
      <w:bookmarkStart w:id="108" w:name="_Toc425437330"/>
      <w:bookmarkStart w:id="109" w:name="_Toc389065257"/>
      <w:bookmarkStart w:id="110" w:name="_Toc25546"/>
      <w:bookmarkStart w:id="111" w:name="_Toc1320"/>
      <w:bookmarkStart w:id="112" w:name="_Toc439779030"/>
      <w:bookmarkStart w:id="113" w:name="_Toc461982825"/>
      <w:r>
        <w:rPr>
          <w:rFonts w:hint="eastAsia" w:ascii="宋体" w:hAnsi="宋体" w:cs="宋体"/>
          <w:color w:val="auto"/>
          <w:kern w:val="0"/>
          <w:sz w:val="24"/>
          <w:highlight w:val="none"/>
        </w:rPr>
        <w:t xml:space="preserve"> “通用合同条款”采用《标准施工招标文件》的“通用合同条款”。</w:t>
      </w:r>
    </w:p>
    <w:p w14:paraId="5CF71D67">
      <w:pP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br w:type="page"/>
      </w:r>
    </w:p>
    <w:p w14:paraId="0F2FE272">
      <w:pPr>
        <w:pStyle w:val="3"/>
        <w:keepNext w:val="0"/>
        <w:keepLines w:val="0"/>
        <w:spacing w:line="312" w:lineRule="auto"/>
        <w:jc w:val="cente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t>第三部分 专用合同条款</w:t>
      </w:r>
    </w:p>
    <w:p w14:paraId="4542B514">
      <w:pPr>
        <w:pStyle w:val="4"/>
        <w:adjustRightInd w:val="0"/>
        <w:snapToGrid w:val="0"/>
        <w:spacing w:line="356" w:lineRule="auto"/>
        <w:ind w:firstLine="562" w:firstLineChars="200"/>
        <w:rPr>
          <w:rFonts w:hint="eastAsia" w:ascii="宋体" w:hAnsi="宋体" w:eastAsia="宋体" w:cs="宋体"/>
          <w:color w:val="auto"/>
          <w:sz w:val="28"/>
          <w:szCs w:val="44"/>
          <w:highlight w:val="none"/>
        </w:rPr>
      </w:pPr>
      <w:bookmarkStart w:id="114" w:name="_Toc14791"/>
      <w:bookmarkStart w:id="115" w:name="_Toc14784"/>
      <w:bookmarkStart w:id="116" w:name="_Toc351203633"/>
      <w:bookmarkStart w:id="117" w:name="_Toc373478339"/>
      <w:bookmarkStart w:id="118" w:name="_Toc389065258"/>
      <w:bookmarkStart w:id="119" w:name="_Toc461982826"/>
      <w:bookmarkStart w:id="120" w:name="_Toc373227692"/>
      <w:bookmarkStart w:id="121" w:name="_Toc439779031"/>
      <w:bookmarkStart w:id="122" w:name="_Toc296891196"/>
      <w:bookmarkStart w:id="123" w:name="_Toc292559361"/>
      <w:bookmarkStart w:id="124" w:name="_Toc296503156"/>
      <w:bookmarkStart w:id="125" w:name="_Toc296347155"/>
      <w:bookmarkStart w:id="126" w:name="_Toc296890984"/>
      <w:bookmarkStart w:id="127" w:name="_Toc292559866"/>
      <w:bookmarkStart w:id="128" w:name="_Toc296346657"/>
      <w:bookmarkStart w:id="129" w:name="_Toc296944495"/>
      <w:bookmarkStart w:id="130" w:name="_Toc297120456"/>
      <w:bookmarkStart w:id="131" w:name="_Toc297048342"/>
      <w:r>
        <w:rPr>
          <w:rFonts w:hint="eastAsia" w:ascii="宋体" w:hAnsi="宋体" w:eastAsia="宋体" w:cs="宋体"/>
          <w:color w:val="auto"/>
          <w:sz w:val="28"/>
          <w:szCs w:val="44"/>
          <w:highlight w:val="none"/>
        </w:rPr>
        <w:t>一、一般约定</w:t>
      </w:r>
      <w:bookmarkEnd w:id="114"/>
      <w:bookmarkEnd w:id="115"/>
      <w:bookmarkEnd w:id="116"/>
      <w:bookmarkEnd w:id="117"/>
      <w:bookmarkEnd w:id="118"/>
      <w:bookmarkEnd w:id="119"/>
      <w:bookmarkEnd w:id="120"/>
      <w:bookmarkEnd w:id="121"/>
    </w:p>
    <w:bookmarkEnd w:id="122"/>
    <w:bookmarkEnd w:id="123"/>
    <w:bookmarkEnd w:id="124"/>
    <w:bookmarkEnd w:id="125"/>
    <w:bookmarkEnd w:id="126"/>
    <w:bookmarkEnd w:id="127"/>
    <w:bookmarkEnd w:id="128"/>
    <w:bookmarkEnd w:id="129"/>
    <w:bookmarkEnd w:id="130"/>
    <w:bookmarkEnd w:id="131"/>
    <w:p w14:paraId="2B2992B0">
      <w:pPr>
        <w:pStyle w:val="5"/>
        <w:adjustRightInd w:val="0"/>
        <w:snapToGrid w:val="0"/>
        <w:spacing w:before="0" w:after="0" w:line="356" w:lineRule="auto"/>
        <w:ind w:firstLine="482" w:firstLineChars="200"/>
        <w:rPr>
          <w:rFonts w:hint="eastAsia" w:cs="宋体"/>
          <w:color w:val="auto"/>
          <w:szCs w:val="40"/>
          <w:highlight w:val="none"/>
        </w:rPr>
      </w:pPr>
      <w:bookmarkStart w:id="132" w:name="_Toc439779032"/>
      <w:bookmarkStart w:id="133" w:name="_Toc373227693"/>
      <w:bookmarkStart w:id="134" w:name="_Toc461982827"/>
      <w:bookmarkStart w:id="135" w:name="_Toc373478340"/>
      <w:bookmarkStart w:id="136" w:name="_Toc20097"/>
      <w:bookmarkStart w:id="137" w:name="_Toc16308"/>
      <w:bookmarkStart w:id="138" w:name="_Toc389065259"/>
      <w:r>
        <w:rPr>
          <w:rFonts w:hint="eastAsia" w:cs="宋体"/>
          <w:color w:val="auto"/>
          <w:szCs w:val="40"/>
          <w:highlight w:val="none"/>
        </w:rPr>
        <w:t>1.1 词语定义</w:t>
      </w:r>
      <w:bookmarkEnd w:id="132"/>
      <w:bookmarkEnd w:id="133"/>
      <w:bookmarkEnd w:id="134"/>
      <w:bookmarkEnd w:id="135"/>
      <w:bookmarkEnd w:id="136"/>
      <w:bookmarkEnd w:id="137"/>
      <w:bookmarkEnd w:id="138"/>
    </w:p>
    <w:p w14:paraId="74ED3C48">
      <w:pPr>
        <w:adjustRightInd w:val="0"/>
        <w:snapToGrid w:val="0"/>
        <w:spacing w:line="356"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1.1.1 合同</w:t>
      </w:r>
    </w:p>
    <w:p w14:paraId="4C2E87E6">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1.1.1.10 其他合同文件包括：</w:t>
      </w:r>
      <w:r>
        <w:rPr>
          <w:rFonts w:hint="eastAsia" w:ascii="宋体" w:hAnsi="宋体" w:cs="宋体"/>
          <w:color w:val="auto"/>
          <w:sz w:val="24"/>
          <w:highlight w:val="none"/>
          <w:u w:val="single"/>
        </w:rPr>
        <w:t xml:space="preserve">投标（响应）文件及其附件，招标（磋商）文件（含补充通知和答疑），履约保证金缴纳证明，履约过程中双方法定代表人（或双方工地代表人）书面确认的对合同内容有实质性影响的会议纪要、签证、设计变更等资料 </w:t>
      </w:r>
      <w:r>
        <w:rPr>
          <w:rFonts w:hint="eastAsia" w:ascii="宋体" w:hAnsi="宋体" w:cs="宋体"/>
          <w:color w:val="auto"/>
          <w:sz w:val="24"/>
          <w:highlight w:val="none"/>
        </w:rPr>
        <w:t>。</w:t>
      </w:r>
    </w:p>
    <w:p w14:paraId="30205234">
      <w:pPr>
        <w:adjustRightInd w:val="0"/>
        <w:snapToGrid w:val="0"/>
        <w:spacing w:line="356" w:lineRule="auto"/>
        <w:ind w:firstLine="480" w:firstLineChars="200"/>
        <w:rPr>
          <w:rFonts w:hint="eastAsia" w:ascii="宋体" w:hAnsi="宋体" w:cs="宋体"/>
          <w:color w:val="auto"/>
          <w:sz w:val="24"/>
          <w:szCs w:val="32"/>
          <w:highlight w:val="none"/>
        </w:rPr>
      </w:pPr>
      <w:bookmarkStart w:id="139" w:name="_Toc373478343"/>
      <w:bookmarkStart w:id="140" w:name="_Toc439779035"/>
      <w:bookmarkStart w:id="141" w:name="_Toc461982830"/>
      <w:bookmarkStart w:id="142" w:name="_Toc373227696"/>
      <w:bookmarkStart w:id="143" w:name="_Toc389065262"/>
      <w:bookmarkStart w:id="144" w:name="_Toc26377"/>
      <w:bookmarkStart w:id="145" w:name="_Toc25240"/>
      <w:r>
        <w:rPr>
          <w:rFonts w:hint="eastAsia" w:ascii="宋体" w:hAnsi="宋体" w:cs="宋体"/>
          <w:color w:val="auto"/>
          <w:sz w:val="24"/>
          <w:szCs w:val="32"/>
          <w:highlight w:val="none"/>
        </w:rPr>
        <w:t>1.2本合同除使用汉语外，还使用</w:t>
      </w:r>
      <w:r>
        <w:rPr>
          <w:rFonts w:hint="eastAsia" w:ascii="宋体" w:hAnsi="宋体" w:cs="宋体"/>
          <w:color w:val="auto"/>
          <w:sz w:val="24"/>
          <w:szCs w:val="32"/>
          <w:highlight w:val="none"/>
          <w:u w:val="single"/>
        </w:rPr>
        <w:t xml:space="preserve"> 无其他 </w:t>
      </w:r>
      <w:r>
        <w:rPr>
          <w:rFonts w:hint="eastAsia" w:ascii="宋体" w:hAnsi="宋体" w:cs="宋体"/>
          <w:color w:val="auto"/>
          <w:sz w:val="24"/>
          <w:szCs w:val="32"/>
          <w:highlight w:val="none"/>
        </w:rPr>
        <w:t>语言文字</w:t>
      </w:r>
    </w:p>
    <w:p w14:paraId="62FE71F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1.3法律和法规</w:t>
      </w:r>
    </w:p>
    <w:p w14:paraId="5666680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需要明示的法律、行政法规：</w:t>
      </w:r>
      <w:r>
        <w:rPr>
          <w:rFonts w:hint="eastAsia" w:ascii="宋体" w:hAnsi="宋体" w:cs="宋体"/>
          <w:color w:val="auto"/>
          <w:sz w:val="24"/>
          <w:szCs w:val="32"/>
          <w:highlight w:val="none"/>
          <w:u w:val="single"/>
        </w:rPr>
        <w:t xml:space="preserve"> 按合同签订时国家现行法律、行政法规及工程所在地政府的有关法规和规章。</w:t>
      </w:r>
    </w:p>
    <w:p w14:paraId="31B255F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1.4发包人提供标准、规范时间：</w:t>
      </w:r>
      <w:r>
        <w:rPr>
          <w:rFonts w:hint="eastAsia" w:ascii="宋体" w:hAnsi="宋体" w:cs="宋体"/>
          <w:color w:val="auto"/>
          <w:sz w:val="24"/>
          <w:szCs w:val="32"/>
          <w:highlight w:val="none"/>
          <w:u w:val="single"/>
        </w:rPr>
        <w:t xml:space="preserve"> 无 。</w:t>
      </w:r>
    </w:p>
    <w:p w14:paraId="2199F5F9">
      <w:pPr>
        <w:pStyle w:val="5"/>
        <w:adjustRightInd w:val="0"/>
        <w:snapToGrid w:val="0"/>
        <w:spacing w:before="0" w:after="0" w:line="356" w:lineRule="auto"/>
        <w:ind w:firstLine="480" w:firstLineChars="200"/>
        <w:rPr>
          <w:rFonts w:hint="eastAsia" w:cs="宋体"/>
          <w:b w:val="0"/>
          <w:bCs w:val="0"/>
          <w:color w:val="auto"/>
          <w:szCs w:val="40"/>
          <w:highlight w:val="none"/>
        </w:rPr>
      </w:pPr>
      <w:r>
        <w:rPr>
          <w:rFonts w:hint="eastAsia" w:cs="宋体"/>
          <w:b w:val="0"/>
          <w:bCs w:val="0"/>
          <w:color w:val="auto"/>
          <w:highlight w:val="none"/>
        </w:rPr>
        <w:t>国内没有相应的标准、规范时的约定：</w:t>
      </w:r>
      <w:r>
        <w:rPr>
          <w:rFonts w:hint="eastAsia" w:cs="宋体"/>
          <w:b w:val="0"/>
          <w:bCs w:val="0"/>
          <w:color w:val="auto"/>
          <w:highlight w:val="none"/>
          <w:u w:val="single"/>
        </w:rPr>
        <w:t xml:space="preserve"> 无。</w:t>
      </w:r>
    </w:p>
    <w:p w14:paraId="2A7E1F3C">
      <w:pPr>
        <w:pStyle w:val="5"/>
        <w:adjustRightInd w:val="0"/>
        <w:snapToGrid w:val="0"/>
        <w:spacing w:before="0" w:after="0" w:line="356" w:lineRule="auto"/>
        <w:ind w:firstLine="482" w:firstLineChars="200"/>
        <w:rPr>
          <w:rFonts w:hint="eastAsia" w:cs="宋体"/>
          <w:color w:val="auto"/>
          <w:szCs w:val="40"/>
          <w:highlight w:val="none"/>
        </w:rPr>
      </w:pPr>
      <w:r>
        <w:rPr>
          <w:rFonts w:hint="eastAsia" w:cs="宋体"/>
          <w:color w:val="auto"/>
          <w:szCs w:val="40"/>
          <w:highlight w:val="none"/>
        </w:rPr>
        <w:t>1.5合同文件的优先顺序</w:t>
      </w:r>
      <w:bookmarkEnd w:id="139"/>
      <w:bookmarkEnd w:id="140"/>
      <w:bookmarkEnd w:id="141"/>
      <w:bookmarkEnd w:id="142"/>
      <w:bookmarkEnd w:id="143"/>
      <w:bookmarkEnd w:id="144"/>
      <w:bookmarkEnd w:id="145"/>
    </w:p>
    <w:p w14:paraId="4381091A">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合同文件组成及优先顺序为：</w:t>
      </w:r>
    </w:p>
    <w:p w14:paraId="48470F26">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（1）中标（成交）通知书；</w:t>
      </w:r>
    </w:p>
    <w:p w14:paraId="691D0370">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（2）投标（磋商）函及其附录；</w:t>
      </w:r>
    </w:p>
    <w:p w14:paraId="1919C957">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（3）专用合同条款及其附件；</w:t>
      </w:r>
    </w:p>
    <w:p w14:paraId="0D4DC66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（4）通用合同条款；</w:t>
      </w:r>
    </w:p>
    <w:p w14:paraId="7BC229CC">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w:t>
      </w:r>
      <w:r>
        <w:rPr>
          <w:rFonts w:hint="eastAsia" w:ascii="宋体" w:hAnsi="宋体" w:cs="宋体"/>
          <w:color w:val="auto"/>
          <w:kern w:val="0"/>
          <w:sz w:val="24"/>
          <w:highlight w:val="none"/>
          <w:u w:val="single"/>
        </w:rPr>
        <w:t xml:space="preserve"> 技术标准和要求</w:t>
      </w:r>
      <w:r>
        <w:rPr>
          <w:rFonts w:hint="eastAsia" w:ascii="宋体" w:hAnsi="宋体" w:cs="宋体"/>
          <w:color w:val="auto"/>
          <w:kern w:val="0"/>
          <w:sz w:val="24"/>
          <w:highlight w:val="none"/>
        </w:rPr>
        <w:t>；</w:t>
      </w:r>
    </w:p>
    <w:p w14:paraId="62CA6E05">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w:t>
      </w:r>
      <w:r>
        <w:rPr>
          <w:rFonts w:hint="eastAsia" w:ascii="宋体" w:hAnsi="宋体" w:cs="宋体"/>
          <w:color w:val="auto"/>
          <w:kern w:val="0"/>
          <w:sz w:val="24"/>
          <w:highlight w:val="none"/>
          <w:u w:val="single"/>
        </w:rPr>
        <w:t xml:space="preserve"> 施工图纸</w:t>
      </w:r>
      <w:r>
        <w:rPr>
          <w:rFonts w:hint="eastAsia" w:ascii="宋体" w:hAnsi="宋体" w:cs="宋体"/>
          <w:color w:val="auto"/>
          <w:kern w:val="0"/>
          <w:sz w:val="24"/>
          <w:highlight w:val="none"/>
        </w:rPr>
        <w:t>；</w:t>
      </w:r>
    </w:p>
    <w:p w14:paraId="0AEB99D9">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w:t>
      </w:r>
      <w:r>
        <w:rPr>
          <w:rFonts w:hint="eastAsia" w:ascii="宋体" w:hAnsi="宋体" w:cs="宋体"/>
          <w:color w:val="auto"/>
          <w:kern w:val="0"/>
          <w:sz w:val="24"/>
          <w:highlight w:val="none"/>
          <w:u w:val="single"/>
        </w:rPr>
        <w:t xml:space="preserve"> 已标价的工程量清单[投标（响应）文件]</w:t>
      </w:r>
      <w:r>
        <w:rPr>
          <w:rFonts w:hint="eastAsia" w:ascii="宋体" w:hAnsi="宋体" w:cs="宋体"/>
          <w:color w:val="auto"/>
          <w:kern w:val="0"/>
          <w:sz w:val="24"/>
          <w:highlight w:val="none"/>
        </w:rPr>
        <w:t>；</w:t>
      </w:r>
    </w:p>
    <w:p w14:paraId="0B79E01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w:t>
      </w:r>
      <w:r>
        <w:rPr>
          <w:rFonts w:hint="eastAsia" w:ascii="宋体" w:hAnsi="宋体" w:cs="宋体"/>
          <w:color w:val="auto"/>
          <w:kern w:val="0"/>
          <w:sz w:val="24"/>
          <w:highlight w:val="none"/>
          <w:u w:val="single"/>
        </w:rPr>
        <w:t xml:space="preserve"> 其他合同文件、设计变更等文件  </w:t>
      </w:r>
      <w:r>
        <w:rPr>
          <w:rFonts w:hint="eastAsia" w:ascii="宋体" w:hAnsi="宋体" w:cs="宋体"/>
          <w:color w:val="auto"/>
          <w:kern w:val="0"/>
          <w:sz w:val="24"/>
          <w:highlight w:val="none"/>
        </w:rPr>
        <w:t>。</w:t>
      </w:r>
    </w:p>
    <w:p w14:paraId="5D97A0E9">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（9）《建设工程工程量清单计价规范（GB5050-2013）》及其广西实施细则、《建设工程工程量清单计算规范（GB5854~50862-2013）》及其广西实施细则。</w:t>
      </w:r>
    </w:p>
    <w:p w14:paraId="1D04E576">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说明：（6）、（7）、（8）填空内容分别限于技术标准和要求、图纸、已标价工程量清单或预算书、其他合同文件四者之一，其优先顺序可根据采取的不同合同方式由双方约定。</w:t>
      </w:r>
    </w:p>
    <w:p w14:paraId="5FE3990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1.6图纸</w:t>
      </w:r>
    </w:p>
    <w:p w14:paraId="3972DED0">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1.6.1发包人向承包人提供图纸日期和套数：</w:t>
      </w:r>
      <w:r>
        <w:rPr>
          <w:rFonts w:hint="eastAsia" w:ascii="宋体" w:hAnsi="宋体" w:cs="宋体"/>
          <w:color w:val="auto"/>
          <w:sz w:val="24"/>
          <w:szCs w:val="32"/>
          <w:highlight w:val="none"/>
          <w:u w:val="single"/>
        </w:rPr>
        <w:t xml:space="preserve"> 签订合同起5个工作日内提供一式肆份设计图纸。</w:t>
      </w:r>
    </w:p>
    <w:p w14:paraId="06DAA4A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1.12发包人对图纸的保密要求：</w:t>
      </w:r>
      <w:r>
        <w:rPr>
          <w:rFonts w:hint="eastAsia" w:ascii="宋体" w:hAnsi="宋体" w:cs="宋体"/>
          <w:color w:val="auto"/>
          <w:sz w:val="24"/>
          <w:szCs w:val="32"/>
          <w:highlight w:val="none"/>
          <w:u w:val="single"/>
        </w:rPr>
        <w:t>未经发包人同意，承包人不得将图纸转借给第三人。</w:t>
      </w:r>
    </w:p>
    <w:p w14:paraId="0CEBABBC">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二、双方一般权利和义务</w:t>
      </w:r>
    </w:p>
    <w:p w14:paraId="4827F1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2、发包人派驻的工程师</w:t>
      </w:r>
    </w:p>
    <w:p w14:paraId="3F6BDA5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27A4F794">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职权：</w:t>
      </w:r>
      <w:r>
        <w:rPr>
          <w:rFonts w:hint="eastAsia" w:ascii="宋体" w:hAnsi="宋体" w:cs="宋体"/>
          <w:color w:val="auto"/>
          <w:sz w:val="24"/>
          <w:szCs w:val="32"/>
          <w:highlight w:val="none"/>
          <w:u w:val="single"/>
        </w:rPr>
        <w:t xml:space="preserve"> 负责工程施工的协调工作，负责施工工程有关验收、签证、结算、工程资料审查等工作。</w:t>
      </w:r>
    </w:p>
    <w:p w14:paraId="7EBAC1C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不实行监理的，工程师的职权：</w:t>
      </w:r>
      <w:r>
        <w:rPr>
          <w:rFonts w:hint="eastAsia" w:ascii="宋体" w:hAnsi="宋体" w:cs="宋体"/>
          <w:color w:val="auto"/>
          <w:sz w:val="24"/>
          <w:szCs w:val="32"/>
          <w:highlight w:val="none"/>
          <w:u w:val="single"/>
        </w:rPr>
        <w:t xml:space="preserve">  无 </w:t>
      </w:r>
      <w:r>
        <w:rPr>
          <w:rFonts w:hint="eastAsia" w:ascii="宋体" w:hAnsi="宋体" w:cs="宋体"/>
          <w:color w:val="auto"/>
          <w:sz w:val="24"/>
          <w:szCs w:val="32"/>
          <w:highlight w:val="none"/>
        </w:rPr>
        <w:t xml:space="preserve"> 。</w:t>
      </w:r>
    </w:p>
    <w:p w14:paraId="5DA8E76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2.4发包人工作</w:t>
      </w:r>
    </w:p>
    <w:p w14:paraId="33C23AD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发包人应按约定的时间和要求完成以下工作：</w:t>
      </w:r>
    </w:p>
    <w:p w14:paraId="3D588E45">
      <w:pPr>
        <w:numPr>
          <w:ilvl w:val="0"/>
          <w:numId w:val="5"/>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施工场地具备施工条件的要求及完成的时间：</w:t>
      </w:r>
      <w:r>
        <w:rPr>
          <w:rFonts w:hint="eastAsia" w:ascii="宋体" w:hAnsi="宋体" w:cs="宋体"/>
          <w:color w:val="auto"/>
          <w:sz w:val="24"/>
          <w:szCs w:val="32"/>
          <w:highlight w:val="none"/>
          <w:u w:val="single"/>
        </w:rPr>
        <w:t xml:space="preserve"> 开工前7日，发包人移交施工工地等工作。</w:t>
      </w:r>
    </w:p>
    <w:p w14:paraId="0956B513">
      <w:pPr>
        <w:numPr>
          <w:ilvl w:val="0"/>
          <w:numId w:val="5"/>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将施工所需的水、电、电讯线路接至施工场地的时间、地点和供应要求：</w:t>
      </w:r>
      <w:r>
        <w:rPr>
          <w:rFonts w:hint="eastAsia" w:ascii="宋体" w:hAnsi="宋体" w:cs="宋体"/>
          <w:color w:val="auto"/>
          <w:sz w:val="24"/>
          <w:szCs w:val="32"/>
          <w:highlight w:val="none"/>
          <w:u w:val="single"/>
        </w:rPr>
        <w:t>协调提供水、电接口；电讯线路由承包人自行处理。水、电、通讯费用由承包人支付。</w:t>
      </w:r>
    </w:p>
    <w:p w14:paraId="5E6D62BB">
      <w:pPr>
        <w:numPr>
          <w:ilvl w:val="0"/>
          <w:numId w:val="5"/>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施工场地与公共道路的通道开通时间和要求：</w:t>
      </w:r>
      <w:r>
        <w:rPr>
          <w:rFonts w:hint="eastAsia" w:ascii="宋体" w:hAnsi="宋体" w:cs="宋体"/>
          <w:color w:val="auto"/>
          <w:sz w:val="24"/>
          <w:szCs w:val="32"/>
          <w:highlight w:val="none"/>
          <w:u w:val="single"/>
        </w:rPr>
        <w:t xml:space="preserve"> 开工前7天做到施工现场周围道路畅通，并满足施工运输需要。</w:t>
      </w:r>
    </w:p>
    <w:p w14:paraId="25718F0E">
      <w:pPr>
        <w:numPr>
          <w:ilvl w:val="0"/>
          <w:numId w:val="5"/>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工程地质和地下管线资料的提供时间：</w:t>
      </w:r>
      <w:r>
        <w:rPr>
          <w:rFonts w:hint="eastAsia" w:ascii="宋体" w:hAnsi="宋体" w:cs="宋体"/>
          <w:color w:val="auto"/>
          <w:sz w:val="24"/>
          <w:szCs w:val="32"/>
          <w:highlight w:val="none"/>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highlight w:val="none"/>
        </w:rPr>
        <w:t>。</w:t>
      </w:r>
    </w:p>
    <w:p w14:paraId="1089CDE0">
      <w:pPr>
        <w:numPr>
          <w:ilvl w:val="0"/>
          <w:numId w:val="5"/>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由发包人办理的施工所需证件、批件的名称和完成时间：</w:t>
      </w:r>
      <w:r>
        <w:rPr>
          <w:rFonts w:hint="eastAsia" w:ascii="宋体" w:hAnsi="宋体" w:cs="宋体"/>
          <w:color w:val="auto"/>
          <w:sz w:val="24"/>
          <w:szCs w:val="32"/>
          <w:highlight w:val="none"/>
          <w:u w:val="single"/>
        </w:rPr>
        <w:t>开工7日前负责协调办理好施工许可证和临时用地证等开工所需的全部证件和批件。</w:t>
      </w:r>
    </w:p>
    <w:p w14:paraId="11ABD049">
      <w:pPr>
        <w:numPr>
          <w:ilvl w:val="0"/>
          <w:numId w:val="5"/>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水准点与坐标控制点交验要求：</w:t>
      </w:r>
      <w:r>
        <w:rPr>
          <w:rFonts w:hint="eastAsia" w:ascii="宋体" w:hAnsi="宋体" w:cs="宋体"/>
          <w:color w:val="auto"/>
          <w:sz w:val="24"/>
          <w:szCs w:val="32"/>
          <w:highlight w:val="none"/>
          <w:u w:val="single"/>
        </w:rPr>
        <w:t xml:space="preserve"> 发包人在开工前以书面形式交给承包人，并双方在现场进行交验。</w:t>
      </w:r>
    </w:p>
    <w:p w14:paraId="0762460F">
      <w:pPr>
        <w:numPr>
          <w:ilvl w:val="0"/>
          <w:numId w:val="5"/>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图纸会审和设计交底时间：</w:t>
      </w:r>
      <w:r>
        <w:rPr>
          <w:rFonts w:hint="eastAsia" w:ascii="宋体" w:hAnsi="宋体" w:cs="宋体"/>
          <w:color w:val="auto"/>
          <w:sz w:val="24"/>
          <w:szCs w:val="32"/>
          <w:highlight w:val="none"/>
          <w:u w:val="single"/>
        </w:rPr>
        <w:t>开工前7天，组织承包人、设计、地质勘探、监理等相关单位进行图纸会审和设计交底。</w:t>
      </w:r>
    </w:p>
    <w:p w14:paraId="60265024">
      <w:pPr>
        <w:numPr>
          <w:ilvl w:val="0"/>
          <w:numId w:val="5"/>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协调处理施工场地周围地下管线和邻近建筑物、构筑物（含文物保护建筑）、古树名木的保护工作：</w:t>
      </w:r>
      <w:r>
        <w:rPr>
          <w:rFonts w:hint="eastAsia" w:ascii="宋体" w:hAnsi="宋体" w:cs="宋体"/>
          <w:color w:val="auto"/>
          <w:sz w:val="24"/>
          <w:szCs w:val="32"/>
          <w:highlight w:val="none"/>
          <w:u w:val="single"/>
        </w:rPr>
        <w:t>由发包人负责协调，承包人负责保护，费用由发包人承担。</w:t>
      </w:r>
    </w:p>
    <w:p w14:paraId="38DD52BD">
      <w:pPr>
        <w:numPr>
          <w:ilvl w:val="0"/>
          <w:numId w:val="5"/>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 xml:space="preserve">双方约定发包人应做的其他工作： </w:t>
      </w:r>
      <w:r>
        <w:rPr>
          <w:rFonts w:hint="eastAsia" w:ascii="宋体" w:hAnsi="宋体" w:cs="宋体"/>
          <w:color w:val="auto"/>
          <w:sz w:val="24"/>
          <w:szCs w:val="32"/>
          <w:highlight w:val="none"/>
          <w:u w:val="single"/>
        </w:rPr>
        <w:t>无 。</w:t>
      </w:r>
    </w:p>
    <w:p w14:paraId="1DBBF87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发包人委托承包人办理的工作：</w:t>
      </w:r>
      <w:r>
        <w:rPr>
          <w:rFonts w:hint="eastAsia" w:ascii="宋体" w:hAnsi="宋体" w:cs="宋体"/>
          <w:color w:val="auto"/>
          <w:sz w:val="24"/>
          <w:szCs w:val="32"/>
          <w:highlight w:val="none"/>
          <w:u w:val="single"/>
        </w:rPr>
        <w:t xml:space="preserve"> 无 。</w:t>
      </w:r>
    </w:p>
    <w:p w14:paraId="4F371ACF">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2.5担保</w:t>
      </w:r>
    </w:p>
    <w:p w14:paraId="100C588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本工程双方约定担保内容如下：</w:t>
      </w:r>
    </w:p>
    <w:p w14:paraId="44AD315F">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（1）发包人向承包人提供支付担保，担保方式为：</w:t>
      </w:r>
      <w:r>
        <w:rPr>
          <w:rFonts w:hint="eastAsia" w:ascii="宋体" w:hAnsi="宋体" w:cs="宋体"/>
          <w:color w:val="auto"/>
          <w:sz w:val="24"/>
          <w:highlight w:val="none"/>
          <w:u w:val="single"/>
        </w:rPr>
        <w:t xml:space="preserve"> 无 。</w:t>
      </w:r>
    </w:p>
    <w:p w14:paraId="434BECCB">
      <w:pPr>
        <w:adjustRightInd w:val="0"/>
        <w:snapToGrid w:val="0"/>
        <w:spacing w:line="356" w:lineRule="auto"/>
        <w:ind w:firstLine="480" w:firstLineChars="200"/>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（2）承包人向发包人提供履约担保，担保方式为：</w:t>
      </w:r>
      <w:r>
        <w:rPr>
          <w:rFonts w:hint="eastAsia" w:ascii="宋体" w:hAnsi="宋体" w:cs="宋体"/>
          <w:color w:val="auto"/>
          <w:sz w:val="24"/>
          <w:highlight w:val="none"/>
          <w:u w:val="single"/>
        </w:rPr>
        <w:t xml:space="preserve"> 无</w:t>
      </w:r>
      <w:r>
        <w:rPr>
          <w:rFonts w:hint="eastAsia" w:ascii="宋体" w:hAnsi="宋体" w:cs="宋体"/>
          <w:color w:val="auto"/>
          <w:sz w:val="24"/>
          <w:highlight w:val="none"/>
          <w:u w:val="single"/>
          <w:lang w:val="en-US" w:eastAsia="zh-CN"/>
        </w:rPr>
        <w:t xml:space="preserve">  </w:t>
      </w:r>
    </w:p>
    <w:p w14:paraId="2143A1E6">
      <w:pPr>
        <w:adjustRightInd w:val="0"/>
        <w:snapToGrid w:val="0"/>
        <w:spacing w:line="356" w:lineRule="auto"/>
        <w:ind w:firstLine="480" w:firstLineChars="200"/>
        <w:rPr>
          <w:rFonts w:hint="eastAsia" w:ascii="宋体" w:hAnsi="宋体" w:eastAsia="宋体" w:cs="宋体"/>
          <w:color w:val="auto"/>
          <w:sz w:val="24"/>
          <w:szCs w:val="32"/>
          <w:highlight w:val="none"/>
          <w:lang w:eastAsia="zh-CN"/>
        </w:rPr>
      </w:pP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lang w:val="en-US" w:eastAsia="zh-CN"/>
        </w:rPr>
        <w:t>3</w:t>
      </w:r>
      <w:r>
        <w:rPr>
          <w:rFonts w:hint="eastAsia" w:ascii="宋体" w:hAnsi="宋体" w:cs="宋体"/>
          <w:color w:val="auto"/>
          <w:sz w:val="24"/>
          <w:szCs w:val="32"/>
          <w:highlight w:val="none"/>
          <w:lang w:eastAsia="zh-CN"/>
        </w:rPr>
        <w:t>）如投标人提供虚假材料造成流标、废标的，扣除投标保证金，提交了履约保证金的一并扣除，造成其他损失的由投标人承担。</w:t>
      </w:r>
    </w:p>
    <w:p w14:paraId="52C7F51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3、承包人</w:t>
      </w:r>
    </w:p>
    <w:p w14:paraId="5C119EC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项目经理</w:t>
      </w:r>
    </w:p>
    <w:p w14:paraId="2B0475E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 </w:t>
      </w:r>
      <w:r>
        <w:rPr>
          <w:rFonts w:hint="eastAsia" w:ascii="宋体" w:hAnsi="宋体" w:cs="宋体"/>
          <w:color w:val="auto"/>
          <w:sz w:val="24"/>
          <w:szCs w:val="32"/>
          <w:highlight w:val="none"/>
          <w:u w:val="single"/>
        </w:rPr>
        <w:t xml:space="preserve">  项目经理    </w:t>
      </w:r>
    </w:p>
    <w:p w14:paraId="652C21A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3.1承包人工作</w:t>
      </w:r>
    </w:p>
    <w:p w14:paraId="6914758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承包人应按约定时间和要求，完成以下工作：</w:t>
      </w:r>
    </w:p>
    <w:p w14:paraId="50EDEF7F">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需由设计资质等级和业务范围允许的承包人完成的设计文件提交时间：</w:t>
      </w:r>
      <w:r>
        <w:rPr>
          <w:rFonts w:hint="eastAsia" w:ascii="宋体" w:hAnsi="宋体" w:cs="宋体"/>
          <w:color w:val="auto"/>
          <w:sz w:val="24"/>
          <w:szCs w:val="32"/>
          <w:highlight w:val="none"/>
          <w:u w:val="single"/>
        </w:rPr>
        <w:t xml:space="preserve"> 无。</w:t>
      </w:r>
    </w:p>
    <w:p w14:paraId="5309B619">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应提供计划、报表的名称及完成时间：</w:t>
      </w:r>
      <w:r>
        <w:rPr>
          <w:rFonts w:hint="eastAsia" w:ascii="宋体" w:hAnsi="宋体" w:cs="宋体"/>
          <w:color w:val="auto"/>
          <w:sz w:val="24"/>
          <w:szCs w:val="32"/>
          <w:highlight w:val="none"/>
          <w:u w:val="single"/>
        </w:rPr>
        <w:t>每月25日提供当月完成工程量报表、次月计划完成工程量报表各两份。</w:t>
      </w:r>
    </w:p>
    <w:p w14:paraId="369BCA8E">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承担施工安全保卫工作及非夜间施工照明的责任和要求：</w:t>
      </w:r>
      <w:r>
        <w:rPr>
          <w:rFonts w:hint="eastAsia" w:ascii="宋体" w:hAnsi="宋体" w:cs="宋体"/>
          <w:color w:val="auto"/>
          <w:sz w:val="24"/>
          <w:szCs w:val="32"/>
          <w:highlight w:val="none"/>
          <w:u w:val="single"/>
        </w:rPr>
        <w:t>提供和维修非夜间施工使用的照明、围栏设施，并负责安全保卫。</w:t>
      </w:r>
    </w:p>
    <w:p w14:paraId="11B66B8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已完工程品保护的特殊要求及费用承担：</w:t>
      </w:r>
      <w:r>
        <w:rPr>
          <w:rFonts w:hint="eastAsia" w:ascii="宋体" w:hAnsi="宋体" w:cs="宋体"/>
          <w:color w:val="auto"/>
          <w:sz w:val="24"/>
          <w:szCs w:val="32"/>
          <w:highlight w:val="none"/>
          <w:u w:val="single"/>
        </w:rPr>
        <w:t>在竣工验收移交全部工程前，由承包人负责采取保护措施，并承担费用。</w:t>
      </w:r>
    </w:p>
    <w:p w14:paraId="1E47C78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施工场地设置地下管线和邻近建筑物、构筑物（含文物保护建筑）、古树名木的保护要求及费用承担：</w:t>
      </w:r>
      <w:r>
        <w:rPr>
          <w:rFonts w:hint="eastAsia" w:ascii="宋体" w:hAnsi="宋体" w:cs="宋体"/>
          <w:color w:val="auto"/>
          <w:sz w:val="24"/>
          <w:szCs w:val="32"/>
          <w:highlight w:val="none"/>
          <w:u w:val="single"/>
        </w:rPr>
        <w:t>由发包人负责协调，相关费用由发包人承担，承包人负责保护，施工时如因承包人原因损坏地下管线，邻近建筑物、构筑物，所发生的费用由承包人负责承担。</w:t>
      </w:r>
    </w:p>
    <w:p w14:paraId="42BE4356">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施工场地清洁卫生的要求：</w:t>
      </w:r>
      <w:r>
        <w:rPr>
          <w:rFonts w:hint="eastAsia" w:ascii="宋体" w:hAnsi="宋体" w:cs="宋体"/>
          <w:color w:val="auto"/>
          <w:sz w:val="24"/>
          <w:szCs w:val="32"/>
          <w:highlight w:val="none"/>
          <w:u w:val="single"/>
        </w:rPr>
        <w:t>承包人保证施工场地清洁符合环境卫生管理的有关规定，交工前清理现场做到工完场清，并承担因自身原因违反有关规定造成损失和罚款。</w:t>
      </w:r>
    </w:p>
    <w:p w14:paraId="182A040D">
      <w:pPr>
        <w:pStyle w:val="2"/>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双方约定承包人应做的其他工作：</w:t>
      </w:r>
      <w:r>
        <w:rPr>
          <w:rFonts w:hint="eastAsia" w:ascii="宋体" w:hAnsi="宋体" w:cs="宋体"/>
          <w:color w:val="auto"/>
          <w:sz w:val="24"/>
          <w:szCs w:val="32"/>
          <w:highlight w:val="none"/>
          <w:u w:val="single"/>
        </w:rPr>
        <w:t>无。</w:t>
      </w:r>
    </w:p>
    <w:p w14:paraId="1EEA16F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3.5工程分包</w:t>
      </w:r>
    </w:p>
    <w:p w14:paraId="15804DC3">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3.5.2本工程发包人同意承包人分包的工程：</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633FC9E">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分包施工单位为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36F1DE1">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4.1监理单位：</w:t>
      </w:r>
      <w:r>
        <w:rPr>
          <w:rFonts w:hint="eastAsia" w:ascii="宋体" w:hAnsi="宋体" w:cs="宋体"/>
          <w:color w:val="auto"/>
          <w:sz w:val="24"/>
          <w:szCs w:val="32"/>
          <w:highlight w:val="none"/>
          <w:u w:val="single"/>
        </w:rPr>
        <w:t xml:space="preserve">                 </w:t>
      </w:r>
    </w:p>
    <w:p w14:paraId="18DA0A8C">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委派的工程师姓名：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7FD34D1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发包人委托的职权：</w:t>
      </w:r>
      <w:r>
        <w:rPr>
          <w:rFonts w:hint="eastAsia" w:ascii="宋体" w:hAnsi="宋体" w:cs="宋体"/>
          <w:color w:val="auto"/>
          <w:sz w:val="24"/>
          <w:szCs w:val="32"/>
          <w:highlight w:val="none"/>
          <w:u w:val="single"/>
        </w:rPr>
        <w:t xml:space="preserve"> 按本工程委托监理合同 </w:t>
      </w:r>
    </w:p>
    <w:p w14:paraId="68422A79">
      <w:pPr>
        <w:pStyle w:val="2"/>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需要取得发包人批准才能行使的职权：</w:t>
      </w:r>
      <w:r>
        <w:rPr>
          <w:rFonts w:hint="eastAsia" w:ascii="宋体" w:hAnsi="宋体" w:cs="宋体"/>
          <w:color w:val="auto"/>
          <w:sz w:val="24"/>
          <w:szCs w:val="32"/>
          <w:highlight w:val="none"/>
          <w:u w:val="single"/>
        </w:rPr>
        <w:t xml:space="preserve">  按本合同委托监理合同 。</w:t>
      </w:r>
    </w:p>
    <w:p w14:paraId="4D64552C">
      <w:pPr>
        <w:pStyle w:val="2"/>
        <w:spacing w:after="0" w:line="356" w:lineRule="auto"/>
        <w:ind w:left="0" w:leftChars="0"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三、施工组织设计个工期</w:t>
      </w:r>
    </w:p>
    <w:p w14:paraId="1D24646F">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7、进度计划</w:t>
      </w:r>
    </w:p>
    <w:p w14:paraId="182DBBE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7.1.2承包人提供施工组织设计（施工方案）和进度计划的时间：</w:t>
      </w:r>
      <w:r>
        <w:rPr>
          <w:rFonts w:hint="eastAsia" w:ascii="宋体" w:hAnsi="宋体" w:cs="宋体"/>
          <w:color w:val="auto"/>
          <w:sz w:val="24"/>
          <w:szCs w:val="32"/>
          <w:highlight w:val="none"/>
          <w:u w:val="single"/>
        </w:rPr>
        <w:t>合同签订之日起15日内，并全面动工建设。</w:t>
      </w:r>
    </w:p>
    <w:p w14:paraId="2D8F8FD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工程师确认的时间：</w:t>
      </w:r>
      <w:r>
        <w:rPr>
          <w:rFonts w:hint="eastAsia" w:ascii="宋体" w:hAnsi="宋体" w:cs="宋体"/>
          <w:color w:val="auto"/>
          <w:sz w:val="24"/>
          <w:szCs w:val="32"/>
          <w:highlight w:val="none"/>
          <w:u w:val="single"/>
        </w:rPr>
        <w:t>于收到之日起5日内批复。</w:t>
      </w:r>
    </w:p>
    <w:p w14:paraId="778E515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群体工程中有关进度计划的要求：</w:t>
      </w:r>
      <w:r>
        <w:rPr>
          <w:rFonts w:hint="eastAsia" w:ascii="宋体" w:hAnsi="宋体" w:cs="宋体"/>
          <w:color w:val="auto"/>
          <w:sz w:val="24"/>
          <w:szCs w:val="32"/>
          <w:highlight w:val="none"/>
          <w:u w:val="single"/>
        </w:rPr>
        <w:t>按投标（响应）文件计划。</w:t>
      </w:r>
    </w:p>
    <w:p w14:paraId="29D485A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7.5工期延误</w:t>
      </w:r>
    </w:p>
    <w:p w14:paraId="5919018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7.5.1双方约定工期顺延的其他情况：</w:t>
      </w:r>
      <w:r>
        <w:rPr>
          <w:rFonts w:hint="eastAsia" w:ascii="宋体" w:hAnsi="宋体" w:cs="宋体"/>
          <w:color w:val="auto"/>
          <w:sz w:val="24"/>
          <w:szCs w:val="32"/>
          <w:highlight w:val="none"/>
          <w:u w:val="single"/>
        </w:rPr>
        <w:t>因工程行政主管部门指令性（除因施工方责任外）停工；发包人不能按时支付工程进度款给承包人；非承包人责任而造成的工期延误及发包人同意顺延工期的其他情况。</w:t>
      </w:r>
    </w:p>
    <w:p w14:paraId="2F5BB2E4">
      <w:pPr>
        <w:pStyle w:val="4"/>
        <w:adjustRightInd w:val="0"/>
        <w:snapToGrid w:val="0"/>
        <w:spacing w:line="356"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四、材料设备供应</w:t>
      </w:r>
    </w:p>
    <w:p w14:paraId="6BEAA66C">
      <w:pPr>
        <w:pStyle w:val="4"/>
        <w:adjustRightInd w:val="0"/>
        <w:snapToGrid w:val="0"/>
        <w:spacing w:line="356"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8.1发包人供应材料设备：</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 xml:space="preserve"> 无  </w:t>
      </w:r>
      <w:r>
        <w:rPr>
          <w:rFonts w:hint="eastAsia" w:ascii="宋体" w:hAnsi="宋体" w:eastAsia="宋体" w:cs="宋体"/>
          <w:b w:val="0"/>
          <w:bCs w:val="0"/>
          <w:color w:val="auto"/>
          <w:sz w:val="24"/>
          <w:szCs w:val="24"/>
          <w:highlight w:val="none"/>
        </w:rPr>
        <w:t xml:space="preserve"> 。</w:t>
      </w:r>
    </w:p>
    <w:p w14:paraId="23FF7605">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8.3.1发包人供应的材料设备与一览表不符时，双方约定发包人承担责任如下：</w:t>
      </w:r>
    </w:p>
    <w:p w14:paraId="1A5F702A">
      <w:pPr>
        <w:numPr>
          <w:ilvl w:val="0"/>
          <w:numId w:val="7"/>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材料设备单价与一览表不符：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A5EC6A2">
      <w:pPr>
        <w:numPr>
          <w:ilvl w:val="0"/>
          <w:numId w:val="7"/>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材料设备的品种、规格、型号、质量等级与一览表不符：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0F72AB8">
      <w:pPr>
        <w:numPr>
          <w:ilvl w:val="0"/>
          <w:numId w:val="7"/>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承包人可代为调剂串换的材料：</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252E7D9B">
      <w:pPr>
        <w:numPr>
          <w:ilvl w:val="0"/>
          <w:numId w:val="7"/>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到货地点与一览表不符：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39575F6">
      <w:pPr>
        <w:numPr>
          <w:ilvl w:val="0"/>
          <w:numId w:val="7"/>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供应数量与一览表不符：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7DB0465">
      <w:pPr>
        <w:numPr>
          <w:ilvl w:val="0"/>
          <w:numId w:val="7"/>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到货时间与一览表不符：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844645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发包人供应材料设备的</w:t>
      </w:r>
      <w:r>
        <w:rPr>
          <w:rFonts w:hint="eastAsia" w:ascii="宋体" w:hAnsi="宋体" w:cs="宋体"/>
          <w:bCs/>
          <w:color w:val="auto"/>
          <w:sz w:val="24"/>
          <w:highlight w:val="none"/>
        </w:rPr>
        <w:t>结算方法：</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2CAC81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8.2</w:t>
      </w: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w:t>
      </w:r>
    </w:p>
    <w:p w14:paraId="386B1863">
      <w:pPr>
        <w:adjustRightInd w:val="0"/>
        <w:snapToGrid w:val="0"/>
        <w:spacing w:line="356" w:lineRule="auto"/>
        <w:ind w:firstLine="480" w:firstLineChars="200"/>
        <w:rPr>
          <w:rFonts w:hint="eastAsia" w:ascii="宋体" w:hAnsi="宋体" w:cs="宋体"/>
          <w:color w:val="auto"/>
          <w:highlight w:val="none"/>
        </w:rPr>
      </w:pP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材料设备的约定：</w:t>
      </w:r>
      <w:r>
        <w:rPr>
          <w:rFonts w:hint="eastAsia" w:ascii="宋体" w:hAnsi="宋体" w:cs="宋体"/>
          <w:color w:val="auto"/>
          <w:sz w:val="24"/>
          <w:highlight w:val="none"/>
          <w:u w:val="single"/>
        </w:rPr>
        <w:t xml:space="preserve">本合同工程实行承包人包工包料方式，由承包人自购。所购材料必须有产品合格证，试验或检验报告，并由监理工程师和发包人工地代表验证后才能进场及投入施工。  </w:t>
      </w:r>
    </w:p>
    <w:p w14:paraId="7F93555F">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五、变更</w:t>
      </w:r>
    </w:p>
    <w:p w14:paraId="523F125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按《通用条款》10.1、10.2、10.3、10.4款执行。</w:t>
      </w:r>
    </w:p>
    <w:p w14:paraId="58AEDAE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10.4.1变更的估价原则</w:t>
      </w:r>
    </w:p>
    <w:p w14:paraId="470FFD0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因变更引起的价格调整按照本款约定处理。</w:t>
      </w:r>
    </w:p>
    <w:p w14:paraId="4B6B933F">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（1）已标价工程量清单中有使用于变更工作的子目的，采用该子目的单价。</w:t>
      </w:r>
    </w:p>
    <w:p w14:paraId="78FCA23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（2）已标价工程量清单中无适用于变更工作的子目的，但有类似子目的，可在合理范围内参照类似子目的单价。</w:t>
      </w:r>
    </w:p>
    <w:p w14:paraId="0EE7F90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（3）已标价工程量清单中无适用或类似子目的单价，</w:t>
      </w:r>
      <w:r>
        <w:rPr>
          <w:rFonts w:hint="eastAsia" w:ascii="宋体" w:hAnsi="宋体" w:cs="宋体"/>
          <w:color w:val="auto"/>
          <w:sz w:val="24"/>
          <w:szCs w:val="32"/>
          <w:highlight w:val="none"/>
          <w:u w:val="single"/>
        </w:rPr>
        <w:t>①有定额的套定额计算其综合单价（其中材料价格有信息价的按施工期间浦北县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7448CA9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11、价格调整</w:t>
      </w:r>
    </w:p>
    <w:p w14:paraId="27920A2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11.1物价波动引起价格调整：</w:t>
      </w:r>
      <w:r>
        <w:rPr>
          <w:rFonts w:hint="eastAsia" w:ascii="宋体" w:hAnsi="宋体" w:cs="宋体"/>
          <w:color w:val="auto"/>
          <w:sz w:val="24"/>
          <w:szCs w:val="32"/>
          <w:highlight w:val="none"/>
          <w:u w:val="single"/>
        </w:rPr>
        <w:t xml:space="preserve"> 无。</w:t>
      </w:r>
    </w:p>
    <w:p w14:paraId="289B823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11.1.1采用价格指数调整价格差额：</w:t>
      </w:r>
      <w:r>
        <w:rPr>
          <w:rFonts w:hint="eastAsia" w:ascii="宋体" w:hAnsi="宋体" w:cs="宋体"/>
          <w:color w:val="auto"/>
          <w:sz w:val="24"/>
          <w:szCs w:val="32"/>
          <w:highlight w:val="none"/>
          <w:u w:val="single"/>
        </w:rPr>
        <w:t>无。</w:t>
      </w:r>
    </w:p>
    <w:p w14:paraId="70DF0C82">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11.1.2采用造价信息调整价格差额：</w:t>
      </w:r>
      <w:r>
        <w:rPr>
          <w:rFonts w:hint="eastAsia" w:ascii="宋体" w:hAnsi="宋体" w:cs="宋体"/>
          <w:color w:val="auto"/>
          <w:sz w:val="24"/>
          <w:szCs w:val="32"/>
          <w:highlight w:val="none"/>
          <w:u w:val="single"/>
        </w:rPr>
        <w:t>无。</w:t>
      </w:r>
    </w:p>
    <w:p w14:paraId="37EFCE9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双方约定合同价款的其他调整因素：</w:t>
      </w:r>
      <w:r>
        <w:rPr>
          <w:rFonts w:hint="eastAsia" w:ascii="宋体" w:hAnsi="宋体" w:cs="宋体"/>
          <w:color w:val="auto"/>
          <w:sz w:val="24"/>
          <w:szCs w:val="32"/>
          <w:highlight w:val="none"/>
          <w:u w:val="single"/>
        </w:rPr>
        <w:t>无。</w:t>
      </w:r>
    </w:p>
    <w:p w14:paraId="05D537F9">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六、合同价款与支付</w:t>
      </w:r>
    </w:p>
    <w:p w14:paraId="5FD0F90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12、合同价款及调整</w:t>
      </w:r>
    </w:p>
    <w:p w14:paraId="6EEDD2B6">
      <w:pPr>
        <w:pStyle w:val="7"/>
        <w:spacing w:line="356"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12.2预付款</w:t>
      </w:r>
    </w:p>
    <w:p w14:paraId="34B97C2A">
      <w:pPr>
        <w:spacing w:line="356"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12.2.1</w:t>
      </w:r>
      <w:r>
        <w:rPr>
          <w:rFonts w:hint="eastAsia" w:ascii="宋体" w:hAnsi="宋体" w:cs="宋体"/>
          <w:color w:val="auto"/>
          <w:kern w:val="0"/>
          <w:sz w:val="24"/>
          <w:highlight w:val="none"/>
        </w:rPr>
        <w:t>预付款的支付</w:t>
      </w:r>
    </w:p>
    <w:p w14:paraId="4ADD2E66">
      <w:pPr>
        <w:spacing w:line="356" w:lineRule="auto"/>
        <w:ind w:firstLine="480" w:firstLineChars="200"/>
        <w:jc w:val="left"/>
        <w:rPr>
          <w:rFonts w:hint="eastAsia" w:ascii="宋体" w:hAnsi="宋体" w:cs="宋体"/>
          <w:color w:val="auto"/>
          <w:sz w:val="24"/>
          <w:szCs w:val="32"/>
          <w:highlight w:val="none"/>
        </w:rPr>
      </w:pPr>
      <w:r>
        <w:rPr>
          <w:rFonts w:hint="eastAsia" w:ascii="宋体" w:hAnsi="宋体" w:cs="宋体"/>
          <w:color w:val="auto"/>
          <w:kern w:val="0"/>
          <w:sz w:val="24"/>
          <w:highlight w:val="none"/>
        </w:rPr>
        <w:t>在承揽人签订了合同协议书且承揽人承诺的主要设备进场后，可以向财政部门申请不高于合同价30%项目预付款。预付款应当用于材料、工程设备、施工设备的采购及修建临时工程、组织施工队伍进场等。预付款在第一次进度付款中扣回。</w:t>
      </w:r>
    </w:p>
    <w:p w14:paraId="2249E26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12.1</w:t>
      </w:r>
      <w:r>
        <w:rPr>
          <w:rFonts w:hint="eastAsia" w:ascii="宋体" w:hAnsi="宋体" w:cs="宋体"/>
          <w:color w:val="auto"/>
          <w:sz w:val="24"/>
          <w:szCs w:val="32"/>
          <w:highlight w:val="none"/>
        </w:rPr>
        <w:t>本合同价款采用</w:t>
      </w:r>
      <w:r>
        <w:rPr>
          <w:rFonts w:hint="eastAsia" w:ascii="宋体" w:hAnsi="宋体" w:cs="宋体"/>
          <w:color w:val="auto"/>
          <w:sz w:val="24"/>
          <w:szCs w:val="32"/>
          <w:highlight w:val="none"/>
          <w:u w:val="single"/>
        </w:rPr>
        <w:t xml:space="preserve"> 固定综合单价（指工程量清单所包含的内容）</w:t>
      </w:r>
      <w:r>
        <w:rPr>
          <w:rFonts w:hint="eastAsia" w:ascii="宋体" w:hAnsi="宋体" w:cs="宋体"/>
          <w:color w:val="auto"/>
          <w:sz w:val="24"/>
          <w:szCs w:val="32"/>
          <w:highlight w:val="none"/>
        </w:rPr>
        <w:t>合同方式确定。</w:t>
      </w:r>
    </w:p>
    <w:p w14:paraId="077FAA71">
      <w:pPr>
        <w:numPr>
          <w:ilvl w:val="0"/>
          <w:numId w:val="8"/>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风险费用的计算方式：</w:t>
      </w:r>
      <w:r>
        <w:rPr>
          <w:rFonts w:hint="eastAsia" w:ascii="宋体" w:hAnsi="宋体" w:cs="宋体"/>
          <w:color w:val="auto"/>
          <w:sz w:val="24"/>
          <w:szCs w:val="32"/>
          <w:highlight w:val="none"/>
          <w:u w:val="single"/>
        </w:rPr>
        <w:t>无。</w:t>
      </w:r>
    </w:p>
    <w:p w14:paraId="47BA71CA">
      <w:pPr>
        <w:numPr>
          <w:ilvl w:val="0"/>
          <w:numId w:val="8"/>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采用可调价格合同，合同价款调整方式：</w:t>
      </w:r>
      <w:r>
        <w:rPr>
          <w:rFonts w:hint="eastAsia" w:ascii="宋体" w:hAnsi="宋体" w:cs="宋体"/>
          <w:color w:val="auto"/>
          <w:sz w:val="24"/>
          <w:szCs w:val="32"/>
          <w:highlight w:val="none"/>
          <w:u w:val="single"/>
        </w:rPr>
        <w:t>无。</w:t>
      </w:r>
    </w:p>
    <w:p w14:paraId="56AC29D3">
      <w:pPr>
        <w:numPr>
          <w:ilvl w:val="0"/>
          <w:numId w:val="8"/>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采用成本加酬金合同，有关成本和酬金的约定：</w:t>
      </w:r>
      <w:r>
        <w:rPr>
          <w:rFonts w:hint="eastAsia" w:ascii="宋体" w:hAnsi="宋体" w:cs="宋体"/>
          <w:color w:val="auto"/>
          <w:sz w:val="24"/>
          <w:szCs w:val="32"/>
          <w:highlight w:val="none"/>
          <w:u w:val="single"/>
        </w:rPr>
        <w:t>无。</w:t>
      </w:r>
    </w:p>
    <w:p w14:paraId="25CD5C85">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1.双方约定合同价款及其他调整因素：</w:t>
      </w:r>
      <w:r>
        <w:rPr>
          <w:rFonts w:hint="eastAsia" w:ascii="宋体" w:hAnsi="宋体" w:cs="宋体"/>
          <w:color w:val="auto"/>
          <w:sz w:val="24"/>
          <w:szCs w:val="32"/>
          <w:highlight w:val="none"/>
          <w:u w:val="single"/>
        </w:rPr>
        <w:t>工程量清单所包含的内容以外部分。</w:t>
      </w:r>
    </w:p>
    <w:p w14:paraId="52631E2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12.2.1</w:t>
      </w:r>
      <w:r>
        <w:rPr>
          <w:rFonts w:hint="eastAsia" w:ascii="宋体" w:hAnsi="宋体" w:cs="宋体"/>
          <w:color w:val="auto"/>
          <w:sz w:val="24"/>
          <w:szCs w:val="32"/>
          <w:highlight w:val="none"/>
        </w:rPr>
        <w:t>工程款付款</w:t>
      </w:r>
    </w:p>
    <w:p w14:paraId="3F879A3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发包人向承包人预付工程款的时间和金额或占合同价款总额的比例：</w:t>
      </w:r>
      <w:r>
        <w:rPr>
          <w:rFonts w:hint="eastAsia" w:ascii="宋体" w:hAnsi="宋体" w:cs="宋体"/>
          <w:color w:val="auto"/>
          <w:sz w:val="24"/>
          <w:szCs w:val="32"/>
          <w:highlight w:val="none"/>
          <w:u w:val="single"/>
        </w:rPr>
        <w:t>在合同协议书签订和承包人依据经监理人出具开工令工人进场开工后，承包人将合同价</w:t>
      </w:r>
      <w:r>
        <w:rPr>
          <w:rFonts w:hint="eastAsia" w:ascii="宋体" w:hAnsi="宋体" w:cs="宋体"/>
          <w:color w:val="auto"/>
          <w:sz w:val="24"/>
          <w:szCs w:val="32"/>
          <w:highlight w:val="none"/>
          <w:u w:val="single"/>
          <w:lang w:val="en-US" w:eastAsia="zh-CN"/>
        </w:rPr>
        <w:t>30%的</w:t>
      </w:r>
      <w:r>
        <w:rPr>
          <w:rFonts w:hint="eastAsia" w:ascii="宋体" w:hAnsi="宋体" w:cs="宋体"/>
          <w:color w:val="auto"/>
          <w:sz w:val="24"/>
          <w:szCs w:val="32"/>
          <w:highlight w:val="none"/>
          <w:u w:val="single"/>
        </w:rPr>
        <w:t>预付款申请材料报送发包人审核批准后予以支付</w:t>
      </w:r>
      <w:r>
        <w:rPr>
          <w:rFonts w:hint="eastAsia" w:ascii="宋体" w:hAnsi="宋体" w:cs="宋体"/>
          <w:color w:val="auto"/>
          <w:sz w:val="24"/>
          <w:szCs w:val="32"/>
          <w:highlight w:val="none"/>
          <w:u w:val="single"/>
          <w:lang w:eastAsia="zh-CN"/>
        </w:rPr>
        <w:t>。</w:t>
      </w:r>
    </w:p>
    <w:p w14:paraId="50346C6D">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扣回工程款的时间、比例：</w:t>
      </w:r>
      <w:r>
        <w:rPr>
          <w:rFonts w:hint="eastAsia" w:ascii="宋体" w:hAnsi="宋体" w:cs="宋体"/>
          <w:color w:val="auto"/>
          <w:sz w:val="24"/>
          <w:szCs w:val="32"/>
          <w:highlight w:val="none"/>
          <w:u w:val="single"/>
        </w:rPr>
        <w:t>第一次申请进度款时扣回30%预付款。</w:t>
      </w:r>
    </w:p>
    <w:p w14:paraId="063064C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12.3</w:t>
      </w:r>
      <w:r>
        <w:rPr>
          <w:rFonts w:hint="eastAsia" w:ascii="宋体" w:hAnsi="宋体" w:cs="宋体"/>
          <w:color w:val="auto"/>
          <w:sz w:val="24"/>
          <w:szCs w:val="32"/>
          <w:highlight w:val="none"/>
        </w:rPr>
        <w:t>工程量确认</w:t>
      </w:r>
    </w:p>
    <w:p w14:paraId="0996A4D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highlight w:val="none"/>
        </w:rPr>
        <w:t>12.3.3</w:t>
      </w:r>
      <w:r>
        <w:rPr>
          <w:rFonts w:hint="eastAsia" w:ascii="宋体" w:hAnsi="宋体" w:cs="宋体"/>
          <w:color w:val="auto"/>
          <w:sz w:val="24"/>
          <w:szCs w:val="32"/>
          <w:highlight w:val="none"/>
        </w:rPr>
        <w:t>承包人向工程师提交已完工程量报告的时间：</w:t>
      </w:r>
      <w:r>
        <w:rPr>
          <w:rFonts w:hint="eastAsia" w:ascii="宋体" w:hAnsi="宋体" w:cs="宋体"/>
          <w:color w:val="auto"/>
          <w:sz w:val="24"/>
          <w:szCs w:val="32"/>
          <w:highlight w:val="none"/>
          <w:u w:val="single"/>
        </w:rPr>
        <w:t>每月25日。</w:t>
      </w:r>
    </w:p>
    <w:p w14:paraId="733FC78A">
      <w:pPr>
        <w:pStyle w:val="5"/>
        <w:adjustRightInd w:val="0"/>
        <w:snapToGrid w:val="0"/>
        <w:spacing w:before="0" w:after="0" w:line="356" w:lineRule="auto"/>
        <w:ind w:firstLine="480" w:firstLineChars="200"/>
        <w:rPr>
          <w:rFonts w:hint="eastAsia" w:cs="宋体"/>
          <w:b w:val="0"/>
          <w:bCs w:val="0"/>
          <w:color w:val="auto"/>
          <w:szCs w:val="24"/>
          <w:highlight w:val="none"/>
        </w:rPr>
      </w:pPr>
      <w:r>
        <w:rPr>
          <w:rFonts w:hint="eastAsia" w:cs="宋体"/>
          <w:b w:val="0"/>
          <w:bCs w:val="0"/>
          <w:color w:val="auto"/>
          <w:kern w:val="2"/>
          <w:szCs w:val="24"/>
          <w:highlight w:val="none"/>
        </w:rPr>
        <w:t>12.4</w:t>
      </w:r>
      <w:r>
        <w:rPr>
          <w:rFonts w:hint="eastAsia" w:cs="宋体"/>
          <w:b w:val="0"/>
          <w:bCs w:val="0"/>
          <w:color w:val="auto"/>
          <w:szCs w:val="24"/>
          <w:highlight w:val="none"/>
        </w:rPr>
        <w:t>工程款（进度款）支付</w:t>
      </w:r>
    </w:p>
    <w:p w14:paraId="70D6F2BD">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双方约定的工程款（进度款）的支付方式和时间：</w:t>
      </w:r>
      <w:r>
        <w:rPr>
          <w:rFonts w:hint="eastAsia" w:ascii="宋体" w:hAnsi="宋体" w:cs="宋体"/>
          <w:color w:val="auto"/>
          <w:sz w:val="24"/>
          <w:highlight w:val="none"/>
          <w:u w:val="single"/>
        </w:rPr>
        <w:t>工程款原则上按月支付，合同内进度款支付限额为已完成工程量的90%，工程变更部分进度款支付限额为已完成工程量的60%。工程完工验收达到质量要求， 结算经有资质审计机构审定后，支付至工程价款结算金额的97%，发包人按工程价款结算总额的3%预留工程质量保修金，缺陷责任期过后再退还缴纳的质量保证金（无息）。每次支付款项前，承包人需提供相应金额的增值税发票，否则，发包人有权相应顺延当期的付款时间。</w:t>
      </w:r>
    </w:p>
    <w:p w14:paraId="012B3560">
      <w:pPr>
        <w:tabs>
          <w:tab w:val="left" w:pos="4173"/>
        </w:tabs>
        <w:adjustRightInd w:val="0"/>
        <w:snapToGrid w:val="0"/>
        <w:spacing w:line="356" w:lineRule="auto"/>
        <w:ind w:firstLine="562" w:firstLineChars="200"/>
        <w:rPr>
          <w:rFonts w:hint="eastAsia" w:ascii="宋体" w:hAnsi="宋体" w:eastAsia="宋体" w:cs="宋体"/>
          <w:b/>
          <w:bCs/>
          <w:color w:val="auto"/>
          <w:sz w:val="28"/>
          <w:szCs w:val="36"/>
          <w:highlight w:val="none"/>
          <w:lang w:eastAsia="zh-CN"/>
        </w:rPr>
      </w:pPr>
      <w:r>
        <w:rPr>
          <w:rFonts w:hint="eastAsia" w:ascii="宋体" w:hAnsi="宋体" w:cs="宋体"/>
          <w:b/>
          <w:bCs/>
          <w:color w:val="auto"/>
          <w:sz w:val="28"/>
          <w:szCs w:val="36"/>
          <w:highlight w:val="none"/>
        </w:rPr>
        <w:t>七、质量与验收</w:t>
      </w:r>
      <w:r>
        <w:rPr>
          <w:rFonts w:hint="eastAsia" w:ascii="宋体" w:hAnsi="宋体" w:cs="宋体"/>
          <w:b/>
          <w:bCs/>
          <w:color w:val="auto"/>
          <w:sz w:val="28"/>
          <w:szCs w:val="36"/>
          <w:highlight w:val="none"/>
          <w:lang w:eastAsia="zh-CN"/>
        </w:rPr>
        <w:tab/>
      </w:r>
    </w:p>
    <w:p w14:paraId="71AB48F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13.1隐蔽工程和中间验收</w:t>
      </w:r>
    </w:p>
    <w:p w14:paraId="531B023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13.1.1双方约定中间验收部位：</w:t>
      </w:r>
      <w:r>
        <w:rPr>
          <w:rFonts w:hint="eastAsia" w:ascii="宋体" w:hAnsi="宋体" w:cs="宋体"/>
          <w:color w:val="auto"/>
          <w:sz w:val="24"/>
          <w:szCs w:val="32"/>
          <w:highlight w:val="none"/>
          <w:u w:val="single"/>
        </w:rPr>
        <w:t xml:space="preserve">     /    。</w:t>
      </w:r>
    </w:p>
    <w:p w14:paraId="4E30351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13.3工程试车</w:t>
      </w:r>
    </w:p>
    <w:p w14:paraId="2A70C58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13.3.1试车费用的承担：</w:t>
      </w:r>
      <w:r>
        <w:rPr>
          <w:rFonts w:hint="eastAsia" w:ascii="宋体" w:hAnsi="宋体" w:cs="宋体"/>
          <w:color w:val="auto"/>
          <w:sz w:val="24"/>
          <w:szCs w:val="32"/>
          <w:highlight w:val="none"/>
          <w:u w:val="single"/>
        </w:rPr>
        <w:t>无。</w:t>
      </w:r>
    </w:p>
    <w:p w14:paraId="4356017D">
      <w:p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八、竣工验收与结算</w:t>
      </w:r>
    </w:p>
    <w:p w14:paraId="5583FC83">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13.2竣工验收</w:t>
      </w:r>
    </w:p>
    <w:p w14:paraId="437B2134">
      <w:pPr>
        <w:tabs>
          <w:tab w:val="left" w:pos="463"/>
        </w:tabs>
        <w:adjustRightInd w:val="0"/>
        <w:snapToGrid w:val="0"/>
        <w:spacing w:line="356"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13.2.2承包人</w:t>
      </w:r>
      <w:r>
        <w:rPr>
          <w:rFonts w:hint="eastAsia" w:ascii="宋体" w:hAnsi="宋体" w:cs="宋体"/>
          <w:bCs/>
          <w:color w:val="auto"/>
          <w:sz w:val="24"/>
          <w:highlight w:val="none"/>
        </w:rPr>
        <w:t>提供竣工图的约定：</w:t>
      </w:r>
      <w:r>
        <w:rPr>
          <w:rFonts w:hint="eastAsia" w:ascii="宋体" w:hAnsi="宋体" w:cs="宋体"/>
          <w:bCs/>
          <w:color w:val="auto"/>
          <w:sz w:val="24"/>
          <w:highlight w:val="none"/>
          <w:u w:val="single"/>
        </w:rPr>
        <w:t>项目完工后，承包人按工程竣工验收有关规定要先进行自验，并在合同期后6个月内向发包人提交完整竣工资料、自验报告和申请初验。</w:t>
      </w:r>
    </w:p>
    <w:p w14:paraId="65B5AC25">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中间交工工程的范围和竣工时间：</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599E2A2">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14、竣工结算</w:t>
      </w:r>
    </w:p>
    <w:p w14:paraId="7B98167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工程完工验收达到质量要求， 结算经有资质审计机构审定后，支付至工程价款结算金额的97%，发包人按工程价款结算总额的3%预留工程质量保修金，缺陷责任期过后再退还缴纳的质量保证金（无息）。</w:t>
      </w:r>
    </w:p>
    <w:p w14:paraId="14A40871">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15、质量保修</w:t>
      </w:r>
    </w:p>
    <w:p w14:paraId="73E485B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质量保修书的主要内容包括：</w:t>
      </w:r>
    </w:p>
    <w:p w14:paraId="20EB36FE">
      <w:pPr>
        <w:numPr>
          <w:ilvl w:val="0"/>
          <w:numId w:val="9"/>
        </w:num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质量保证金的支付方法：</w:t>
      </w:r>
    </w:p>
    <w:p w14:paraId="7AA98304">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在工程保修期在内，发包人可以根据国家有关规定和合同规定的金额，在支付承包人的工程款内预留质量保证金。质量保证金为</w:t>
      </w:r>
      <w:r>
        <w:rPr>
          <w:rFonts w:hint="eastAsia" w:ascii="宋体" w:hAnsi="宋体" w:cs="宋体"/>
          <w:color w:val="auto"/>
          <w:sz w:val="24"/>
          <w:highlight w:val="none"/>
          <w:lang w:eastAsia="zh-CN"/>
        </w:rPr>
        <w:t>结算金额</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3%</w:t>
      </w:r>
      <w:r>
        <w:rPr>
          <w:rFonts w:hint="eastAsia" w:ascii="宋体" w:hAnsi="宋体" w:cs="宋体"/>
          <w:color w:val="auto"/>
          <w:sz w:val="24"/>
          <w:highlight w:val="none"/>
        </w:rPr>
        <w:t>。发包人在工程质量保修</w:t>
      </w:r>
      <w:r>
        <w:rPr>
          <w:rFonts w:hint="eastAsia" w:ascii="宋体" w:hAnsi="宋体" w:cs="宋体"/>
          <w:color w:val="auto"/>
          <w:sz w:val="24"/>
          <w:highlight w:val="none"/>
          <w:u w:val="single"/>
        </w:rPr>
        <w:t>满壹年之日起</w:t>
      </w:r>
      <w:r>
        <w:rPr>
          <w:rFonts w:hint="eastAsia" w:ascii="宋体" w:hAnsi="宋体" w:cs="宋体"/>
          <w:color w:val="auto"/>
          <w:sz w:val="24"/>
          <w:highlight w:val="none"/>
          <w:u w:val="single"/>
          <w:lang w:eastAsia="zh-CN"/>
        </w:rPr>
        <w:t>经发包人复核合格</w:t>
      </w:r>
      <w:r>
        <w:rPr>
          <w:rFonts w:hint="eastAsia" w:ascii="宋体" w:hAnsi="宋体" w:cs="宋体"/>
          <w:color w:val="auto"/>
          <w:sz w:val="24"/>
          <w:highlight w:val="none"/>
          <w:u w:val="single"/>
        </w:rPr>
        <w:t>后可向财政部门申请全部退回质量保证金</w:t>
      </w:r>
      <w:r>
        <w:rPr>
          <w:rFonts w:hint="eastAsia" w:ascii="宋体" w:hAnsi="宋体" w:cs="宋体"/>
          <w:color w:val="auto"/>
          <w:sz w:val="24"/>
          <w:highlight w:val="none"/>
        </w:rPr>
        <w:t>给承包人（无息）。</w:t>
      </w:r>
    </w:p>
    <w:p w14:paraId="54141B00">
      <w:pPr>
        <w:keepNext w:val="0"/>
        <w:keepLines w:val="0"/>
        <w:pageBreakBefore w:val="0"/>
        <w:widowControl w:val="0"/>
        <w:numPr>
          <w:ilvl w:val="0"/>
          <w:numId w:val="10"/>
        </w:numPr>
        <w:tabs>
          <w:tab w:val="left" w:pos="463"/>
        </w:tabs>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违约和索赔</w:t>
      </w:r>
    </w:p>
    <w:p w14:paraId="225CB43B">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16、违约</w:t>
      </w:r>
    </w:p>
    <w:p w14:paraId="597AFE1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16.1.2本合同中关于发包人违约的具体责任如下：</w:t>
      </w:r>
    </w:p>
    <w:p w14:paraId="5E73B81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本合同通用条款第16.1.2条约定发包人违约应承担的违约责任：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8691E9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本合同通用条款第16.1.3款约定发包人违约应承担的违约责任：</w:t>
      </w:r>
      <w:r>
        <w:rPr>
          <w:rFonts w:hint="eastAsia" w:ascii="宋体" w:hAnsi="宋体" w:cs="宋体"/>
          <w:color w:val="auto"/>
          <w:sz w:val="24"/>
          <w:highlight w:val="none"/>
          <w:u w:val="single"/>
        </w:rPr>
        <w:t>按通用条款第16.1.3款执行。</w:t>
      </w:r>
    </w:p>
    <w:p w14:paraId="13C887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本合同通用条款第16.1.4款约定发包人违约应承担的违约责任：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EFBE1D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双方约定的发包人其他违约责任：</w:t>
      </w:r>
      <w:r>
        <w:rPr>
          <w:rFonts w:hint="eastAsia" w:ascii="宋体" w:hAnsi="宋体" w:cs="宋体"/>
          <w:color w:val="auto"/>
          <w:sz w:val="24"/>
          <w:highlight w:val="none"/>
          <w:u w:val="single"/>
        </w:rPr>
        <w:t>按通用条款执行。</w:t>
      </w:r>
    </w:p>
    <w:p w14:paraId="70134CB7">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 承包人违约</w:t>
      </w:r>
    </w:p>
    <w:p w14:paraId="2F730C5B">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16.2.1 承包人违约的情形</w:t>
      </w:r>
    </w:p>
    <w:p w14:paraId="6BADCCE8">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承包人违约的其他情形： </w:t>
      </w:r>
    </w:p>
    <w:p w14:paraId="059AD5EC">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 28 天内仍未提交。</w:t>
      </w:r>
    </w:p>
    <w:p w14:paraId="200D791B">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16.2.2承包人违约的责任</w:t>
      </w:r>
    </w:p>
    <w:p w14:paraId="3FEBC76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承包人违约责任的承担方式和计算方法： </w:t>
      </w:r>
    </w:p>
    <w:p w14:paraId="534D2536">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（1）承包人违反合同约定进行转包或违法分包的，监理人可向承包人发出整改通知，要求其在指定的期限内改正，并且承包人应按合同价款20%向发包人支付违约金；</w:t>
      </w:r>
    </w:p>
    <w:p w14:paraId="5199794F">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（2）承包人违反合同约定采购和使用不合格的材料和工程设备的，承包人应将不合格的材料和工程设备的限期清理出施工场地，并负责承担返工及造成损失的费用；</w:t>
      </w:r>
    </w:p>
    <w:p w14:paraId="07CFACBC">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（3）因承包人原因导致工程质量不符合合同要求的，承包人应负责返工或修整，并负责由此产生的费用和损失； </w:t>
      </w:r>
    </w:p>
    <w:p w14:paraId="4522646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（4）承包人违反通用合同条款第8.9款〔材料与设备专用要求〕的约定，未经批准，私自将已按照合同约定进入施工现场的材料或设备撤离施工现场的，承包人应负责承担由此产生的费用和损失；</w:t>
      </w:r>
    </w:p>
    <w:p w14:paraId="53721DBA">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（5）承包人未能按施工进度计划及时完成合同约定的工作，造成工期延误的，承包人应进行施工进度计划调整并按时完成合同约定的工作，并承担赶工所产生的费用；</w:t>
      </w:r>
    </w:p>
    <w:p w14:paraId="5BEB5AC2">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6F05BDC8">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（7）承包人明确表示或者以其行为表明不履行合同主要义务的，发包人有权解除合同，并承担发包人不能按期投入使用所造成全部的损失。</w:t>
      </w:r>
    </w:p>
    <w:p w14:paraId="4A4EA4C8">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28天内仍未提交，则发包人有权将已有资料送浦北县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461461B3">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（9）承包人的其他违约见本合同其他条款的约定。</w:t>
      </w:r>
    </w:p>
    <w:p w14:paraId="16F4F017">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16.2.2本合同中关于承包人违约的具体责任如下：</w:t>
      </w:r>
    </w:p>
    <w:p w14:paraId="4DAB509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双方约定的承包人其他违约责任：</w:t>
      </w:r>
      <w:r>
        <w:rPr>
          <w:rFonts w:hint="eastAsia" w:ascii="宋体" w:hAnsi="宋体" w:cs="宋体"/>
          <w:color w:val="auto"/>
          <w:sz w:val="24"/>
          <w:highlight w:val="none"/>
          <w:u w:val="single"/>
        </w:rPr>
        <w:t>按通用条款执行。</w:t>
      </w:r>
    </w:p>
    <w:p w14:paraId="403F671B">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5B633DC4">
      <w:pPr>
        <w:keepNext w:val="0"/>
        <w:keepLines w:val="0"/>
        <w:pageBreakBefore w:val="0"/>
        <w:widowControl w:val="0"/>
        <w:numPr>
          <w:ilvl w:val="0"/>
          <w:numId w:val="10"/>
        </w:numPr>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不可抗力、保险及争议</w:t>
      </w:r>
    </w:p>
    <w:p w14:paraId="09456292">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17、不可抗力</w:t>
      </w:r>
    </w:p>
    <w:p w14:paraId="45E330C3">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17.1双方关于不可抗力的约定：按《通用条款》第17款执行。</w:t>
      </w:r>
    </w:p>
    <w:p w14:paraId="37D28BB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18、保险</w:t>
      </w:r>
    </w:p>
    <w:p w14:paraId="2347EF3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18.1本工程双方约定投保内容如下：</w:t>
      </w:r>
    </w:p>
    <w:p w14:paraId="19B1AA44">
      <w:pPr>
        <w:keepNext w:val="0"/>
        <w:keepLines w:val="0"/>
        <w:pageBreakBefore w:val="0"/>
        <w:widowControl w:val="0"/>
        <w:numPr>
          <w:ilvl w:val="0"/>
          <w:numId w:val="11"/>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发包人投保内容：</w:t>
      </w:r>
      <w:r>
        <w:rPr>
          <w:rFonts w:hint="eastAsia" w:ascii="宋体" w:hAnsi="宋体" w:cs="宋体"/>
          <w:color w:val="auto"/>
          <w:sz w:val="24"/>
          <w:highlight w:val="none"/>
          <w:u w:val="single"/>
        </w:rPr>
        <w:t>按国家政策自行办理。</w:t>
      </w:r>
    </w:p>
    <w:p w14:paraId="4FDDA18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发包人委托承包人办理的保险事项：</w:t>
      </w:r>
      <w:r>
        <w:rPr>
          <w:rFonts w:hint="eastAsia" w:ascii="宋体" w:hAnsi="宋体" w:cs="宋体"/>
          <w:color w:val="auto"/>
          <w:sz w:val="24"/>
          <w:highlight w:val="none"/>
          <w:u w:val="single"/>
        </w:rPr>
        <w:t xml:space="preserve"> 无 。</w:t>
      </w:r>
    </w:p>
    <w:p w14:paraId="048ACC68">
      <w:pPr>
        <w:keepNext w:val="0"/>
        <w:keepLines w:val="0"/>
        <w:pageBreakBefore w:val="0"/>
        <w:widowControl w:val="0"/>
        <w:numPr>
          <w:ilvl w:val="0"/>
          <w:numId w:val="11"/>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承包人投保内容：</w:t>
      </w:r>
      <w:r>
        <w:rPr>
          <w:rFonts w:hint="eastAsia" w:ascii="宋体" w:hAnsi="宋体" w:cs="宋体"/>
          <w:color w:val="auto"/>
          <w:sz w:val="24"/>
          <w:highlight w:val="none"/>
          <w:u w:val="single"/>
        </w:rPr>
        <w:t>承包人应按有关规定自行投保施工人员的人身事故保险，该保险应不属于储蓄险等。承包人应于签订</w:t>
      </w:r>
      <w:r>
        <w:rPr>
          <w:rFonts w:hint="eastAsia" w:ascii="宋体" w:hAnsi="宋体" w:cs="宋体"/>
          <w:color w:val="auto"/>
          <w:sz w:val="24"/>
          <w:highlight w:val="none"/>
          <w:u w:val="single"/>
          <w:lang w:eastAsia="zh-CN"/>
        </w:rPr>
        <w:t>合同</w:t>
      </w:r>
      <w:r>
        <w:rPr>
          <w:rFonts w:hint="eastAsia" w:ascii="宋体" w:hAnsi="宋体" w:cs="宋体"/>
          <w:color w:val="auto"/>
          <w:sz w:val="24"/>
          <w:highlight w:val="none"/>
          <w:u w:val="single"/>
        </w:rPr>
        <w:t>之日起10日内按有关规定自行办理。</w:t>
      </w:r>
    </w:p>
    <w:p w14:paraId="5BD057C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20、争议</w:t>
      </w:r>
    </w:p>
    <w:p w14:paraId="62C3FDED">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20.4本合同在履行过程中发生的争议，由双方当事人协商解决，协商不成的按下列</w:t>
      </w:r>
      <w:r>
        <w:rPr>
          <w:rFonts w:hint="eastAsia" w:ascii="宋体" w:hAnsi="宋体" w:cs="宋体"/>
          <w:color w:val="auto"/>
          <w:sz w:val="24"/>
          <w:highlight w:val="none"/>
          <w:u w:val="single"/>
        </w:rPr>
        <w:t>第（二）</w:t>
      </w:r>
      <w:r>
        <w:rPr>
          <w:rFonts w:hint="eastAsia" w:ascii="宋体" w:hAnsi="宋体" w:cs="宋体"/>
          <w:color w:val="auto"/>
          <w:sz w:val="24"/>
          <w:highlight w:val="none"/>
        </w:rPr>
        <w:t>种方式解决：</w:t>
      </w:r>
    </w:p>
    <w:p w14:paraId="13F15361">
      <w:pPr>
        <w:keepNext w:val="0"/>
        <w:keepLines w:val="0"/>
        <w:pageBreakBefore w:val="0"/>
        <w:widowControl w:val="0"/>
        <w:numPr>
          <w:ilvl w:val="0"/>
          <w:numId w:val="12"/>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向</w:t>
      </w:r>
      <w:r>
        <w:rPr>
          <w:rFonts w:hint="eastAsia" w:ascii="宋体" w:hAnsi="宋体" w:cs="宋体"/>
          <w:color w:val="auto"/>
          <w:sz w:val="24"/>
          <w:highlight w:val="none"/>
          <w:u w:val="single"/>
        </w:rPr>
        <w:t>约定的</w:t>
      </w:r>
      <w:r>
        <w:rPr>
          <w:rFonts w:hint="eastAsia" w:ascii="宋体" w:hAnsi="宋体" w:cs="宋体"/>
          <w:color w:val="auto"/>
          <w:sz w:val="24"/>
          <w:highlight w:val="none"/>
        </w:rPr>
        <w:t>仲裁委员会申请仲裁：</w:t>
      </w:r>
    </w:p>
    <w:p w14:paraId="2C186165">
      <w:pPr>
        <w:keepNext w:val="0"/>
        <w:keepLines w:val="0"/>
        <w:pageBreakBefore w:val="0"/>
        <w:widowControl w:val="0"/>
        <w:numPr>
          <w:ilvl w:val="0"/>
          <w:numId w:val="12"/>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依法向发包人所在地人民法院起诉。</w:t>
      </w:r>
    </w:p>
    <w:p w14:paraId="3E5D1929">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十一、其他</w:t>
      </w:r>
    </w:p>
    <w:p w14:paraId="149B1FF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21、合同份数</w:t>
      </w:r>
    </w:p>
    <w:p w14:paraId="1E256FE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21.1双方约定合同份数：</w:t>
      </w:r>
      <w:r>
        <w:rPr>
          <w:rFonts w:hint="eastAsia" w:ascii="宋体" w:hAnsi="宋体" w:cs="宋体"/>
          <w:color w:val="auto"/>
          <w:sz w:val="24"/>
          <w:highlight w:val="none"/>
          <w:u w:val="single"/>
          <w:lang w:eastAsia="zh-CN"/>
        </w:rPr>
        <w:t>一式陆份，均具有同等法律效力，发包人执 叁 份，承包人执 叁 份</w:t>
      </w:r>
      <w:r>
        <w:rPr>
          <w:rFonts w:hint="eastAsia" w:ascii="宋体" w:hAnsi="宋体" w:cs="宋体"/>
          <w:color w:val="auto"/>
          <w:sz w:val="24"/>
          <w:highlight w:val="none"/>
          <w:u w:val="single"/>
        </w:rPr>
        <w:t>。</w:t>
      </w:r>
    </w:p>
    <w:p w14:paraId="122A8F53">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附件1</w:t>
      </w:r>
    </w:p>
    <w:p w14:paraId="05C93055">
      <w:pPr>
        <w:spacing w:before="156" w:beforeLines="50" w:after="156" w:afterLines="50" w:line="360" w:lineRule="auto"/>
        <w:jc w:val="center"/>
        <w:rPr>
          <w:rFonts w:hint="eastAsia" w:ascii="宋体" w:hAnsi="宋体" w:cs="宋体"/>
          <w:b/>
          <w:bCs/>
          <w:color w:val="auto"/>
          <w:spacing w:val="20"/>
          <w:sz w:val="36"/>
          <w:szCs w:val="36"/>
          <w:highlight w:val="none"/>
        </w:rPr>
      </w:pPr>
      <w:r>
        <w:rPr>
          <w:rFonts w:hint="eastAsia" w:ascii="宋体" w:hAnsi="宋体" w:cs="宋体"/>
          <w:b/>
          <w:bCs/>
          <w:color w:val="auto"/>
          <w:spacing w:val="20"/>
          <w:sz w:val="40"/>
          <w:szCs w:val="40"/>
          <w:highlight w:val="none"/>
        </w:rPr>
        <w:t>工程质量保修书</w:t>
      </w:r>
    </w:p>
    <w:p w14:paraId="124FE3CE">
      <w:pPr>
        <w:spacing w:before="156" w:beforeLines="50" w:after="156" w:afterLines="50" w:line="360" w:lineRule="auto"/>
        <w:jc w:val="center"/>
        <w:rPr>
          <w:rFonts w:hint="eastAsia" w:ascii="宋体" w:hAnsi="宋体" w:cs="宋体"/>
          <w:b/>
          <w:bCs/>
          <w:color w:val="auto"/>
          <w:spacing w:val="20"/>
          <w:sz w:val="36"/>
          <w:szCs w:val="36"/>
          <w:highlight w:val="none"/>
        </w:rPr>
      </w:pPr>
    </w:p>
    <w:p w14:paraId="1DE30EC9">
      <w:pPr>
        <w:adjustRightInd w:val="0"/>
        <w:snapToGrid w:val="0"/>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浦北县农业农村局</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ABAEA4C">
      <w:pPr>
        <w:adjustRightInd w:val="0"/>
        <w:snapToGrid w:val="0"/>
        <w:spacing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5FBB1EB4">
      <w:pPr>
        <w:adjustRightInd w:val="0"/>
        <w:snapToGrid w:val="0"/>
        <w:spacing w:line="360" w:lineRule="auto"/>
        <w:ind w:firstLine="42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发包人和承包人根据《中华人民共和国建筑法》、《建设工程质量管理条例》和《房屋建筑工程质量保修办法》，经协商一致，对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2026年福旺镇华新村委旺岭至山冲道路硬化工程</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签订工程质量保修书。</w:t>
      </w:r>
    </w:p>
    <w:p w14:paraId="2895C8F7">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1、工程质量保修范围和内容</w:t>
      </w:r>
    </w:p>
    <w:p w14:paraId="154B82F3">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承包人在质量保修期内，按照有关法律、法规、规章的管理规定和双方约定，承担工程质量保修责任。</w:t>
      </w:r>
    </w:p>
    <w:p w14:paraId="0CEB683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E0ABC55">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rPr>
        <w:t xml:space="preserve"> 质量保修范围包括  工程等承包人施工的项目  </w:t>
      </w:r>
      <w:r>
        <w:rPr>
          <w:rFonts w:hint="eastAsia" w:ascii="宋体" w:hAnsi="宋体" w:cs="宋体"/>
          <w:color w:val="auto"/>
          <w:spacing w:val="20"/>
          <w:sz w:val="24"/>
          <w:highlight w:val="none"/>
        </w:rPr>
        <w:t>。</w:t>
      </w:r>
    </w:p>
    <w:p w14:paraId="3CE7F05B">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非承包人施工的项目或非承包人购买的材料、设备，不在保修范围内；因承包人之外的原因造成该部分材料、设备返修的经济支出，不由承包人承担。 </w:t>
      </w:r>
    </w:p>
    <w:p w14:paraId="28FCA6FB">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因使用不当或者第三方造成质量缺陷的，承包人不负担责任 。 </w:t>
      </w:r>
    </w:p>
    <w:p w14:paraId="7F9EAF71">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因不可抗力造成质量缺陷的，承包人不负担责任 。 </w:t>
      </w:r>
    </w:p>
    <w:p w14:paraId="05BD6E1A">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2、质量保修期</w:t>
      </w:r>
    </w:p>
    <w:p w14:paraId="4F358C39">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根据《建设工程质量管理条例》及有关规定，约定本工程的质量保修期如下：</w:t>
      </w:r>
    </w:p>
    <w:p w14:paraId="54514A10">
      <w:pPr>
        <w:numPr>
          <w:ilvl w:val="0"/>
          <w:numId w:val="13"/>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lang w:eastAsia="zh-CN"/>
        </w:rPr>
        <w:t>主体</w:t>
      </w:r>
      <w:r>
        <w:rPr>
          <w:rFonts w:hint="eastAsia" w:ascii="宋体" w:hAnsi="宋体" w:cs="宋体"/>
          <w:color w:val="auto"/>
          <w:spacing w:val="20"/>
          <w:sz w:val="24"/>
          <w:highlight w:val="none"/>
        </w:rPr>
        <w:t>工程为设计文件规定的该工程合理使用年限。</w:t>
      </w:r>
    </w:p>
    <w:p w14:paraId="4D931C1B">
      <w:pPr>
        <w:numPr>
          <w:ilvl w:val="0"/>
          <w:numId w:val="13"/>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其他工程项目保修期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1</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p>
    <w:p w14:paraId="1FAA1EEA">
      <w:pPr>
        <w:numPr>
          <w:ilvl w:val="0"/>
          <w:numId w:val="13"/>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质量保修期自工程竣工验收合格之日起计算。</w:t>
      </w:r>
    </w:p>
    <w:p w14:paraId="5C70A816">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3、质量保修责任</w:t>
      </w:r>
    </w:p>
    <w:p w14:paraId="68ED2CDB">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1．属于保修范围、内容的项目，承包人应当在接到保修通知之日起</w:t>
      </w:r>
      <w:r>
        <w:rPr>
          <w:rFonts w:hint="eastAsia" w:ascii="宋体" w:hAnsi="宋体" w:cs="宋体"/>
          <w:color w:val="auto"/>
          <w:spacing w:val="20"/>
          <w:sz w:val="24"/>
          <w:highlight w:val="none"/>
          <w:u w:val="single"/>
        </w:rPr>
        <w:t xml:space="preserve">  7    </w:t>
      </w:r>
      <w:r>
        <w:rPr>
          <w:rFonts w:hint="eastAsia" w:ascii="宋体" w:hAnsi="宋体" w:cs="宋体"/>
          <w:color w:val="auto"/>
          <w:spacing w:val="20"/>
          <w:sz w:val="24"/>
          <w:highlight w:val="none"/>
        </w:rPr>
        <w:t>天内派人保修。承包人不在约定期限内派人保修的，发包人可以委托他人修理，发生费用由承包人承担。</w:t>
      </w:r>
    </w:p>
    <w:p w14:paraId="6DDEB7BB">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2．发生须紧急抢修事故的，承包人在接到事故通知后，应当立即到达事故现场抢修。</w:t>
      </w:r>
    </w:p>
    <w:p w14:paraId="143B6989">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464C7620">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4．质量保修完成后，由发包人组织验收。</w:t>
      </w:r>
    </w:p>
    <w:p w14:paraId="7E5C7CCB">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4、保修费用</w:t>
      </w:r>
    </w:p>
    <w:p w14:paraId="3D2C696A">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保修费用由造成质量缺陷的责任方承担。</w:t>
      </w:r>
    </w:p>
    <w:p w14:paraId="6BD4D01C">
      <w:pPr>
        <w:numPr>
          <w:ilvl w:val="0"/>
          <w:numId w:val="14"/>
        </w:num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其他</w:t>
      </w:r>
    </w:p>
    <w:p w14:paraId="5E40C2BF">
      <w:p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双方约定的其他工程质量保修事项：</w:t>
      </w:r>
      <w:r>
        <w:rPr>
          <w:rFonts w:hint="eastAsia" w:ascii="宋体" w:hAnsi="宋体" w:cs="宋体"/>
          <w:color w:val="auto"/>
          <w:spacing w:val="20"/>
          <w:sz w:val="24"/>
          <w:highlight w:val="none"/>
          <w:u w:val="single"/>
        </w:rPr>
        <w:t xml:space="preserve"> 在工程保修期内，发包人根据合同规定的金额，在支付承包人的工程款内预留质量保证金。质量保证金为：</w:t>
      </w:r>
      <w:r>
        <w:rPr>
          <w:rFonts w:hint="eastAsia" w:ascii="宋体" w:hAnsi="宋体" w:cs="宋体"/>
          <w:color w:val="auto"/>
          <w:spacing w:val="20"/>
          <w:sz w:val="24"/>
          <w:highlight w:val="none"/>
          <w:u w:val="single"/>
          <w:lang w:val="en-US" w:eastAsia="zh-CN"/>
        </w:rPr>
        <w:t>3%</w:t>
      </w:r>
      <w:r>
        <w:rPr>
          <w:rFonts w:hint="eastAsia" w:ascii="宋体" w:hAnsi="宋体" w:cs="宋体"/>
          <w:color w:val="auto"/>
          <w:spacing w:val="20"/>
          <w:sz w:val="24"/>
          <w:highlight w:val="none"/>
          <w:u w:val="single"/>
        </w:rPr>
        <w:t>，质量保证金银行利率为：0。发包人在工程质量保修期满壹年之日起可向财政部门申请返还（无息）</w:t>
      </w:r>
      <w:r>
        <w:rPr>
          <w:rFonts w:hint="eastAsia" w:ascii="宋体" w:hAnsi="宋体" w:cs="宋体"/>
          <w:color w:val="auto"/>
          <w:spacing w:val="20"/>
          <w:sz w:val="24"/>
          <w:highlight w:val="none"/>
        </w:rPr>
        <w:t>。</w:t>
      </w:r>
    </w:p>
    <w:p w14:paraId="757C0DE6">
      <w:pPr>
        <w:adjustRightInd w:val="0"/>
        <w:snapToGrid w:val="0"/>
        <w:spacing w:line="360" w:lineRule="auto"/>
        <w:ind w:firstLine="532" w:firstLineChars="190"/>
        <w:rPr>
          <w:rFonts w:hint="eastAsia" w:ascii="宋体" w:hAnsi="宋体" w:cs="宋体"/>
          <w:color w:val="auto"/>
          <w:spacing w:val="20"/>
          <w:sz w:val="24"/>
          <w:highlight w:val="none"/>
        </w:rPr>
      </w:pPr>
      <w:r>
        <w:rPr>
          <w:rFonts w:hint="eastAsia" w:ascii="宋体" w:hAnsi="宋体" w:cs="宋体"/>
          <w:color w:val="auto"/>
          <w:spacing w:val="20"/>
          <w:sz w:val="24"/>
          <w:highlight w:val="none"/>
        </w:rPr>
        <w:t>本工程质量保修书，由施工合同发包人、承包人双方在竣工验收前共同签署，作为施工合同附件，其有效期限至保修期满。</w:t>
      </w:r>
    </w:p>
    <w:p w14:paraId="332E1BB4">
      <w:pPr>
        <w:adjustRightInd w:val="0"/>
        <w:snapToGrid w:val="0"/>
        <w:spacing w:line="360" w:lineRule="auto"/>
        <w:rPr>
          <w:rFonts w:hint="eastAsia" w:ascii="宋体" w:hAnsi="宋体" w:cs="宋体"/>
          <w:color w:val="auto"/>
          <w:spacing w:val="20"/>
          <w:sz w:val="24"/>
          <w:highlight w:val="none"/>
        </w:rPr>
      </w:pPr>
    </w:p>
    <w:p w14:paraId="0AE998A4">
      <w:pPr>
        <w:adjustRightInd w:val="0"/>
        <w:snapToGrid w:val="0"/>
        <w:spacing w:line="360" w:lineRule="auto"/>
        <w:rPr>
          <w:rFonts w:hint="eastAsia" w:ascii="宋体" w:hAnsi="宋体" w:cs="宋体"/>
          <w:color w:val="auto"/>
          <w:spacing w:val="20"/>
          <w:sz w:val="24"/>
          <w:highlight w:val="none"/>
        </w:rPr>
      </w:pPr>
    </w:p>
    <w:p w14:paraId="3E9193A9">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71DA8A31">
      <w:pPr>
        <w:adjustRightInd w:val="0"/>
        <w:snapToGrid w:val="0"/>
        <w:spacing w:line="360" w:lineRule="auto"/>
        <w:rPr>
          <w:rFonts w:hint="eastAsia" w:ascii="宋体" w:hAnsi="宋体" w:cs="宋体"/>
          <w:color w:val="auto"/>
          <w:spacing w:val="20"/>
          <w:sz w:val="24"/>
          <w:highlight w:val="none"/>
          <w:u w:val="single"/>
        </w:rPr>
      </w:pPr>
    </w:p>
    <w:p w14:paraId="67F464CC">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浦北县农业农村局</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25CBCEA3">
      <w:pPr>
        <w:adjustRightInd w:val="0"/>
        <w:snapToGrid w:val="0"/>
        <w:spacing w:line="360" w:lineRule="auto"/>
        <w:rPr>
          <w:rFonts w:hint="eastAsia" w:ascii="宋体" w:hAnsi="宋体" w:cs="宋体"/>
          <w:color w:val="auto"/>
          <w:spacing w:val="20"/>
          <w:sz w:val="24"/>
          <w:highlight w:val="none"/>
          <w:u w:val="single"/>
        </w:rPr>
      </w:pPr>
    </w:p>
    <w:p w14:paraId="16C3059B">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52BABC3C">
      <w:pPr>
        <w:adjustRightInd w:val="0"/>
        <w:snapToGrid w:val="0"/>
        <w:spacing w:line="360" w:lineRule="auto"/>
        <w:rPr>
          <w:rFonts w:hint="eastAsia" w:ascii="宋体" w:hAnsi="宋体" w:cs="宋体"/>
          <w:color w:val="auto"/>
          <w:spacing w:val="20"/>
          <w:sz w:val="24"/>
          <w:highlight w:val="none"/>
          <w:u w:val="single"/>
        </w:rPr>
      </w:pPr>
    </w:p>
    <w:p w14:paraId="60D43B16">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 xml:space="preserve">        </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p>
    <w:p w14:paraId="4CF2C873">
      <w:pPr>
        <w:spacing w:before="156" w:beforeLines="50" w:after="156" w:afterLines="50" w:line="360" w:lineRule="auto"/>
        <w:rPr>
          <w:rFonts w:hint="eastAsia" w:ascii="宋体" w:hAnsi="宋体" w:cs="宋体"/>
          <w:color w:val="auto"/>
          <w:spacing w:val="20"/>
          <w:sz w:val="24"/>
          <w:highlight w:val="none"/>
        </w:rPr>
      </w:pPr>
    </w:p>
    <w:p w14:paraId="48EBAD68">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附件2</w:t>
      </w:r>
    </w:p>
    <w:p w14:paraId="146856A3">
      <w:pPr>
        <w:spacing w:line="480" w:lineRule="auto"/>
        <w:jc w:val="center"/>
        <w:outlineLvl w:val="3"/>
        <w:rPr>
          <w:rFonts w:hint="eastAsia" w:ascii="宋体" w:hAnsi="宋体" w:cs="宋体"/>
          <w:b/>
          <w:bCs/>
          <w:color w:val="auto"/>
          <w:kern w:val="1"/>
          <w:sz w:val="24"/>
          <w:highlight w:val="none"/>
        </w:rPr>
      </w:pPr>
      <w:r>
        <w:rPr>
          <w:rFonts w:hint="eastAsia" w:ascii="宋体" w:hAnsi="宋体" w:cs="宋体"/>
          <w:b/>
          <w:bCs/>
          <w:color w:val="auto"/>
          <w:sz w:val="24"/>
          <w:highlight w:val="none"/>
        </w:rPr>
        <w:t>安全生产合同</w:t>
      </w:r>
    </w:p>
    <w:p w14:paraId="01D05541">
      <w:pPr>
        <w:rPr>
          <w:rFonts w:hint="eastAsia" w:ascii="宋体" w:hAnsi="宋体" w:cs="宋体"/>
          <w:color w:val="auto"/>
          <w:kern w:val="1"/>
          <w:sz w:val="24"/>
          <w:highlight w:val="none"/>
        </w:rPr>
      </w:pPr>
    </w:p>
    <w:p w14:paraId="30634E45">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为在</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eastAsia="zh-CN"/>
        </w:rPr>
        <w:t>2026年福旺镇华新村委旺岭至山冲道路硬化工程</w:t>
      </w:r>
      <w:r>
        <w:rPr>
          <w:rFonts w:hint="eastAsia" w:ascii="宋体" w:hAnsi="宋体" w:cs="宋体"/>
          <w:b/>
          <w:color w:val="auto"/>
          <w:sz w:val="24"/>
          <w:highlight w:val="none"/>
          <w:u w:val="single"/>
        </w:rPr>
        <w:t xml:space="preserve">  </w:t>
      </w:r>
      <w:r>
        <w:rPr>
          <w:rFonts w:hint="eastAsia" w:ascii="宋体" w:hAnsi="宋体" w:cs="宋体"/>
          <w:color w:val="auto"/>
          <w:kern w:val="1"/>
          <w:sz w:val="24"/>
          <w:highlight w:val="none"/>
        </w:rPr>
        <w:t>的实施过程中创造安全、高效的施工环境，切实搞好本项目的安全管理工作，本项目业主</w:t>
      </w:r>
      <w:r>
        <w:rPr>
          <w:rFonts w:hint="eastAsia" w:ascii="宋体" w:hAnsi="宋体" w:cs="宋体"/>
          <w:color w:val="auto"/>
          <w:kern w:val="1"/>
          <w:sz w:val="24"/>
          <w:highlight w:val="none"/>
          <w:u w:val="single"/>
        </w:rPr>
        <w:t xml:space="preserve"> </w:t>
      </w:r>
      <w:r>
        <w:rPr>
          <w:rFonts w:hint="eastAsia" w:ascii="宋体" w:hAnsi="宋体" w:cs="宋体"/>
          <w:color w:val="auto"/>
          <w:spacing w:val="20"/>
          <w:sz w:val="24"/>
          <w:highlight w:val="none"/>
          <w:u w:val="single"/>
          <w:lang w:eastAsia="zh-CN"/>
        </w:rPr>
        <w:t>浦北县农业农村局</w:t>
      </w:r>
      <w:r>
        <w:rPr>
          <w:rFonts w:hint="eastAsia" w:ascii="宋体" w:hAnsi="宋体" w:cs="宋体"/>
          <w:color w:val="auto"/>
          <w:kern w:val="1"/>
          <w:sz w:val="24"/>
          <w:highlight w:val="none"/>
          <w:u w:val="single"/>
        </w:rPr>
        <w:t xml:space="preserve"> </w:t>
      </w:r>
      <w:r>
        <w:rPr>
          <w:rFonts w:hint="eastAsia" w:ascii="宋体" w:hAnsi="宋体" w:cs="宋体"/>
          <w:color w:val="auto"/>
          <w:kern w:val="1"/>
          <w:sz w:val="24"/>
          <w:highlight w:val="none"/>
        </w:rPr>
        <w:t>（以下简称“甲方”）与承包人</w:t>
      </w:r>
      <w:r>
        <w:rPr>
          <w:rFonts w:hint="eastAsia" w:ascii="宋体" w:hAnsi="宋体" w:cs="宋体"/>
          <w:b/>
          <w:bCs/>
          <w:color w:val="auto"/>
          <w:kern w:val="1"/>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1"/>
          <w:sz w:val="24"/>
          <w:highlight w:val="none"/>
        </w:rPr>
        <w:t>（以下简称“乙方”）特此签订安全生产合同：</w:t>
      </w:r>
    </w:p>
    <w:p w14:paraId="6CBE749F">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一、甲方职责</w:t>
      </w:r>
    </w:p>
    <w:p w14:paraId="618CFA83">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严格遵守国家有关安全生产的法律法规，认真执行工程承包合同中的有关安全要求。</w:t>
      </w:r>
    </w:p>
    <w:p w14:paraId="78734C1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按照“安全第一、预防为主”和坚持“管生产必须管安全”的原则进行安全生产管理，做到生产与安全工作同时计划、布置、检查、总结和评比。</w:t>
      </w:r>
    </w:p>
    <w:p w14:paraId="7A3A88F5">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重要的安全设施必须坚持与主体工程“三同时”的原则，即：同时设计、审批，同时施工，同时验收，投入使用。</w:t>
      </w:r>
    </w:p>
    <w:p w14:paraId="32A51C36">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定期召开安全生产调度会，及时传达中央及地方有关安全生产的精神。</w:t>
      </w:r>
    </w:p>
    <w:p w14:paraId="03380B2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组织对乙方施工现场安全生产检查，监督乙方及时处理发现的各种安全隐患。</w:t>
      </w:r>
    </w:p>
    <w:p w14:paraId="181182BC">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二、乙方职责</w:t>
      </w:r>
    </w:p>
    <w:p w14:paraId="72D1216A">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严格遵守国家有关安全生产的法律法规、农业农村部、水利部颁发的有关安全生产的规定，认真执行工程承包合同中的有关安全要求。</w:t>
      </w:r>
    </w:p>
    <w:p w14:paraId="5BFBDC69">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6843A08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05733D75">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乙方在任何时候都应采取各种合理的预防措施，防止其员工发生任何违法、违禁、暴力或妨碍治安的行为。</w:t>
      </w:r>
    </w:p>
    <w:p w14:paraId="31096B2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515F784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56950FF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7. 操作人员上岗，必须按规定穿戴防护用品。施工负责人和安全检查员应随时检查劳动防护用品的穿戴情况，不按规定穿戴防护用品的人员不得上岗。</w:t>
      </w:r>
    </w:p>
    <w:p w14:paraId="2F92FD21">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8. 所有施工机具设备和高空作业的设备均应定期检查，并有安全员的签字记录，保证其经常处于完好状态；不合格的机具、设备和劳动保护用品严禁使用。</w:t>
      </w:r>
    </w:p>
    <w:p w14:paraId="3505B8E0">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9. 施工中采用新技术、新工艺、新设备、新材料时，必须制定相应的安全技术措施，施工现场必须具有相关的安全标志牌。</w:t>
      </w:r>
    </w:p>
    <w:p w14:paraId="379233B4">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7ED6616B">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三、违约责任</w:t>
      </w:r>
    </w:p>
    <w:p w14:paraId="01644EB2">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如因甲方或乙方违约造成安全事故，将依法追究责任。</w:t>
      </w:r>
    </w:p>
    <w:p w14:paraId="002BA9DB">
      <w:pPr>
        <w:adjustRightInd w:val="0"/>
        <w:snapToGrid w:val="0"/>
        <w:spacing w:line="360" w:lineRule="auto"/>
        <w:ind w:firstLine="840" w:firstLineChars="300"/>
        <w:rPr>
          <w:rFonts w:hint="eastAsia" w:ascii="宋体" w:hAnsi="宋体" w:cs="宋体"/>
          <w:color w:val="auto"/>
          <w:spacing w:val="20"/>
          <w:sz w:val="24"/>
          <w:highlight w:val="none"/>
        </w:rPr>
      </w:pPr>
    </w:p>
    <w:p w14:paraId="261FE9F6">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315F5892">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浦北县农业农村局</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31D5B115">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6DF73683">
      <w:pPr>
        <w:spacing w:line="360" w:lineRule="auto"/>
        <w:rPr>
          <w:color w:val="auto"/>
          <w:szCs w:val="21"/>
          <w:highlight w:val="non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bookmarkEnd w:id="105"/>
      <w:bookmarkEnd w:id="106"/>
      <w:bookmarkEnd w:id="107"/>
      <w:bookmarkEnd w:id="108"/>
      <w:bookmarkEnd w:id="109"/>
      <w:bookmarkEnd w:id="110"/>
      <w:bookmarkEnd w:id="111"/>
      <w:bookmarkEnd w:id="112"/>
      <w:bookmarkEnd w:id="113"/>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7ADED0D-A7BC-4D62-9958-331A6FBD544F}"/>
  </w:font>
  <w:font w:name="黑体">
    <w:panose1 w:val="02010609060101010101"/>
    <w:charset w:val="86"/>
    <w:family w:val="auto"/>
    <w:pitch w:val="default"/>
    <w:sig w:usb0="800002BF" w:usb1="38CF7CFA" w:usb2="00000016" w:usb3="00000000" w:csb0="00040001" w:csb1="00000000"/>
    <w:embedRegular r:id="rId2" w:fontKey="{8AF96698-43F4-47BA-8BBF-90CD6D2C1A69}"/>
  </w:font>
  <w:font w:name="Courier New">
    <w:panose1 w:val="02070309020205020404"/>
    <w:charset w:val="01"/>
    <w:family w:val="modern"/>
    <w:pitch w:val="default"/>
    <w:sig w:usb0="E0002AFF" w:usb1="C0007843" w:usb2="00000009" w:usb3="00000000" w:csb0="400001FF" w:csb1="FFFF0000"/>
    <w:embedRegular r:id="rId3" w:fontKey="{532AB298-0985-49E1-94F1-D6793C8A487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53E9E679-440E-48E7-9579-BEF6F1F1A38C}"/>
  </w:font>
  <w:font w:name="Cambria">
    <w:panose1 w:val="02040503050406030204"/>
    <w:charset w:val="00"/>
    <w:family w:val="roman"/>
    <w:pitch w:val="default"/>
    <w:sig w:usb0="E00002FF" w:usb1="400004FF" w:usb2="00000000" w:usb3="00000000" w:csb0="2000019F" w:csb1="00000000"/>
    <w:embedRegular r:id="rId5" w:fontKey="{E86304E5-6F95-4E9F-9058-A7E429179465}"/>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宋体"/>
    <w:panose1 w:val="00000000000000000000"/>
    <w:charset w:val="86"/>
    <w:family w:val="roman"/>
    <w:pitch w:val="default"/>
    <w:sig w:usb0="00000000" w:usb1="00000000" w:usb2="00000010" w:usb3="00000000" w:csb0="00040000" w:csb1="00000000"/>
  </w:font>
  <w:font w:name="汉仪中宋简">
    <w:altName w:val="宋体"/>
    <w:panose1 w:val="02010600000101010101"/>
    <w:charset w:val="86"/>
    <w:family w:val="modern"/>
    <w:pitch w:val="default"/>
    <w:sig w:usb0="00000000" w:usb1="00000000" w:usb2="00000012" w:usb3="00000000" w:csb0="00020001" w:csb1="00000000"/>
  </w:font>
  <w:font w:name="汉仪字典宋简">
    <w:altName w:val="宋体"/>
    <w:panose1 w:val="00000000000000000000"/>
    <w:charset w:val="86"/>
    <w:family w:val="modern"/>
    <w:pitch w:val="default"/>
    <w:sig w:usb0="00000000" w:usb1="00000000" w:usb2="00000012"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25F63FC3-AA33-46C8-9C41-C8C033D05362}"/>
  </w:font>
  <w:font w:name="Helvetica">
    <w:panose1 w:val="020B0604020202020204"/>
    <w:charset w:val="00"/>
    <w:family w:val="swiss"/>
    <w:pitch w:val="default"/>
    <w:sig w:usb0="00000000" w:usb1="00000000" w:usb2="00000000" w:usb3="00000000" w:csb0="00000000" w:csb1="00000000"/>
    <w:embedRegular r:id="rId7" w:fontKey="{0B1B3BAB-96A1-4E05-A61E-C7F71F3206C3}"/>
  </w:font>
  <w:font w:name="Tahoma">
    <w:panose1 w:val="020B0604030504040204"/>
    <w:charset w:val="00"/>
    <w:family w:val="swiss"/>
    <w:pitch w:val="default"/>
    <w:sig w:usb0="E1002EFF" w:usb1="C000605B" w:usb2="00000029" w:usb3="00000000" w:csb0="200101FF" w:csb1="20280000"/>
    <w:embedRegular r:id="rId8" w:fontKey="{3E1954CE-D8F5-43D4-A2BE-0EF3CED66090}"/>
  </w:font>
  <w:font w:name="仿宋">
    <w:panose1 w:val="02010609060101010101"/>
    <w:charset w:val="86"/>
    <w:family w:val="modern"/>
    <w:pitch w:val="default"/>
    <w:sig w:usb0="800002BF" w:usb1="38CF7CFA" w:usb2="00000016" w:usb3="00000000" w:csb0="00040001" w:csb1="00000000"/>
    <w:embedRegular r:id="rId9" w:fontKey="{94A6A4D2-AE71-40A4-B47E-06BC7F809CB3}"/>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492A8">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618BF">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0A618BF">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FC3F6">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4148B">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544148B">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6F504">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2AD5DD">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82AD5DD">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0AB58">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2D09E">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F0E26">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CDE4BDCF"/>
    <w:multiLevelType w:val="singleLevel"/>
    <w:tmpl w:val="CDE4BDCF"/>
    <w:lvl w:ilvl="0" w:tentative="0">
      <w:start w:val="1"/>
      <w:numFmt w:val="decimal"/>
      <w:lvlText w:val="%1."/>
      <w:lvlJc w:val="left"/>
      <w:pPr>
        <w:tabs>
          <w:tab w:val="left" w:pos="312"/>
        </w:tabs>
      </w:pPr>
    </w:lvl>
  </w:abstractNum>
  <w:abstractNum w:abstractNumId="4">
    <w:nsid w:val="D370C4B2"/>
    <w:multiLevelType w:val="singleLevel"/>
    <w:tmpl w:val="D370C4B2"/>
    <w:lvl w:ilvl="0" w:tentative="0">
      <w:start w:val="1"/>
      <w:numFmt w:val="decimal"/>
      <w:suff w:val="nothing"/>
      <w:lvlText w:val="（%1）"/>
      <w:lvlJc w:val="left"/>
    </w:lvl>
  </w:abstractNum>
  <w:abstractNum w:abstractNumId="5">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6">
    <w:nsid w:val="F8BDD49A"/>
    <w:multiLevelType w:val="singleLevel"/>
    <w:tmpl w:val="F8BDD49A"/>
    <w:lvl w:ilvl="0" w:tentative="0">
      <w:start w:val="4"/>
      <w:numFmt w:val="decimal"/>
      <w:suff w:val="nothing"/>
      <w:lvlText w:val="（%1）"/>
      <w:lvlJc w:val="left"/>
    </w:lvl>
  </w:abstractNum>
  <w:abstractNum w:abstractNumId="7">
    <w:nsid w:val="0A8D7890"/>
    <w:multiLevelType w:val="singleLevel"/>
    <w:tmpl w:val="0A8D7890"/>
    <w:lvl w:ilvl="0" w:tentative="0">
      <w:start w:val="1"/>
      <w:numFmt w:val="decimal"/>
      <w:lvlText w:val="%1."/>
      <w:lvlJc w:val="left"/>
      <w:pPr>
        <w:tabs>
          <w:tab w:val="left" w:pos="312"/>
        </w:tabs>
      </w:pPr>
    </w:lvl>
  </w:abstractNum>
  <w:abstractNum w:abstractNumId="8">
    <w:nsid w:val="21A205B0"/>
    <w:multiLevelType w:val="singleLevel"/>
    <w:tmpl w:val="21A205B0"/>
    <w:lvl w:ilvl="0" w:tentative="0">
      <w:start w:val="2"/>
      <w:numFmt w:val="chineseCounting"/>
      <w:suff w:val="space"/>
      <w:lvlText w:val="第%1章"/>
      <w:lvlJc w:val="left"/>
      <w:rPr>
        <w:rFonts w:hint="eastAsia"/>
      </w:rPr>
    </w:lvl>
  </w:abstractNum>
  <w:abstractNum w:abstractNumId="9">
    <w:nsid w:val="27E2D8D2"/>
    <w:multiLevelType w:val="singleLevel"/>
    <w:tmpl w:val="27E2D8D2"/>
    <w:lvl w:ilvl="0" w:tentative="0">
      <w:start w:val="1"/>
      <w:numFmt w:val="decimal"/>
      <w:suff w:val="nothing"/>
      <w:lvlText w:val="（%1）"/>
      <w:lvlJc w:val="left"/>
    </w:lvl>
  </w:abstractNum>
  <w:abstractNum w:abstractNumId="10">
    <w:nsid w:val="3B3D739F"/>
    <w:multiLevelType w:val="singleLevel"/>
    <w:tmpl w:val="3B3D739F"/>
    <w:lvl w:ilvl="0" w:tentative="0">
      <w:start w:val="1"/>
      <w:numFmt w:val="decimal"/>
      <w:suff w:val="nothing"/>
      <w:lvlText w:val="（%1）"/>
      <w:lvlJc w:val="left"/>
    </w:lvl>
  </w:abstractNum>
  <w:abstractNum w:abstractNumId="11">
    <w:nsid w:val="4FC6D619"/>
    <w:multiLevelType w:val="singleLevel"/>
    <w:tmpl w:val="4FC6D619"/>
    <w:lvl w:ilvl="0" w:tentative="0">
      <w:start w:val="1"/>
      <w:numFmt w:val="chineseCounting"/>
      <w:suff w:val="nothing"/>
      <w:lvlText w:val="（%1）"/>
      <w:lvlJc w:val="left"/>
      <w:rPr>
        <w:rFonts w:hint="eastAsia"/>
      </w:rPr>
    </w:lvl>
  </w:abstractNum>
  <w:abstractNum w:abstractNumId="12">
    <w:nsid w:val="595F8F47"/>
    <w:multiLevelType w:val="singleLevel"/>
    <w:tmpl w:val="595F8F47"/>
    <w:lvl w:ilvl="0" w:tentative="0">
      <w:start w:val="9"/>
      <w:numFmt w:val="chineseCounting"/>
      <w:suff w:val="nothing"/>
      <w:lvlText w:val="%1、"/>
      <w:lvlJc w:val="left"/>
      <w:rPr>
        <w:rFonts w:hint="eastAsia"/>
      </w:rPr>
    </w:lvl>
  </w:abstractNum>
  <w:abstractNum w:abstractNumId="13">
    <w:nsid w:val="6C688773"/>
    <w:multiLevelType w:val="singleLevel"/>
    <w:tmpl w:val="6C688773"/>
    <w:lvl w:ilvl="0" w:tentative="0">
      <w:start w:val="1"/>
      <w:numFmt w:val="decimal"/>
      <w:suff w:val="nothing"/>
      <w:lvlText w:val="（%1）"/>
      <w:lvlJc w:val="left"/>
    </w:lvl>
  </w:abstractNum>
  <w:num w:numId="1">
    <w:abstractNumId w:val="8"/>
  </w:num>
  <w:num w:numId="2">
    <w:abstractNumId w:val="3"/>
  </w:num>
  <w:num w:numId="3">
    <w:abstractNumId w:val="0"/>
  </w:num>
  <w:num w:numId="4">
    <w:abstractNumId w:val="5"/>
  </w:num>
  <w:num w:numId="5">
    <w:abstractNumId w:val="1"/>
  </w:num>
  <w:num w:numId="6">
    <w:abstractNumId w:val="9"/>
  </w:num>
  <w:num w:numId="7">
    <w:abstractNumId w:val="10"/>
  </w:num>
  <w:num w:numId="8">
    <w:abstractNumId w:val="13"/>
  </w:num>
  <w:num w:numId="9">
    <w:abstractNumId w:val="6"/>
  </w:num>
  <w:num w:numId="10">
    <w:abstractNumId w:val="12"/>
  </w:num>
  <w:num w:numId="11">
    <w:abstractNumId w:val="4"/>
  </w:num>
  <w:num w:numId="12">
    <w:abstractNumId w:val="11"/>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C03D0"/>
    <w:rsid w:val="006E49D4"/>
    <w:rsid w:val="006F4DB7"/>
    <w:rsid w:val="007051D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5A95"/>
    <w:rsid w:val="009942A1"/>
    <w:rsid w:val="009A2CCA"/>
    <w:rsid w:val="009B2168"/>
    <w:rsid w:val="009D2098"/>
    <w:rsid w:val="009E6A77"/>
    <w:rsid w:val="00A02201"/>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57815"/>
    <w:rsid w:val="00B94E97"/>
    <w:rsid w:val="00BA74DD"/>
    <w:rsid w:val="00BC04D1"/>
    <w:rsid w:val="00BC2F65"/>
    <w:rsid w:val="00C720D9"/>
    <w:rsid w:val="00CD32AF"/>
    <w:rsid w:val="00CE6497"/>
    <w:rsid w:val="00D077EC"/>
    <w:rsid w:val="00D12F80"/>
    <w:rsid w:val="00D17065"/>
    <w:rsid w:val="00D676B2"/>
    <w:rsid w:val="00D7037D"/>
    <w:rsid w:val="00DA25AA"/>
    <w:rsid w:val="00DC35A4"/>
    <w:rsid w:val="00DD6B5C"/>
    <w:rsid w:val="00E828D2"/>
    <w:rsid w:val="00E85F78"/>
    <w:rsid w:val="00F447E0"/>
    <w:rsid w:val="00F5573C"/>
    <w:rsid w:val="00FA5913"/>
    <w:rsid w:val="00FF0247"/>
    <w:rsid w:val="00FF6368"/>
    <w:rsid w:val="01003FCC"/>
    <w:rsid w:val="010A3DC7"/>
    <w:rsid w:val="01104A24"/>
    <w:rsid w:val="013730A5"/>
    <w:rsid w:val="01457570"/>
    <w:rsid w:val="014C3BDB"/>
    <w:rsid w:val="016D676E"/>
    <w:rsid w:val="01813E16"/>
    <w:rsid w:val="0190392E"/>
    <w:rsid w:val="01A340D1"/>
    <w:rsid w:val="01BA6796"/>
    <w:rsid w:val="01D152A8"/>
    <w:rsid w:val="01D16F05"/>
    <w:rsid w:val="01D9471B"/>
    <w:rsid w:val="01E112F3"/>
    <w:rsid w:val="01E5765B"/>
    <w:rsid w:val="01E8610D"/>
    <w:rsid w:val="0217360F"/>
    <w:rsid w:val="02365E7D"/>
    <w:rsid w:val="02756169"/>
    <w:rsid w:val="027827AD"/>
    <w:rsid w:val="02806C74"/>
    <w:rsid w:val="02932757"/>
    <w:rsid w:val="02B62811"/>
    <w:rsid w:val="02C47A2B"/>
    <w:rsid w:val="02DC227F"/>
    <w:rsid w:val="02E77997"/>
    <w:rsid w:val="02E80E6A"/>
    <w:rsid w:val="02E93C7C"/>
    <w:rsid w:val="02F76F90"/>
    <w:rsid w:val="02F77F66"/>
    <w:rsid w:val="0316724E"/>
    <w:rsid w:val="032075CD"/>
    <w:rsid w:val="03244D3B"/>
    <w:rsid w:val="03361F3B"/>
    <w:rsid w:val="03773C2D"/>
    <w:rsid w:val="03A41F96"/>
    <w:rsid w:val="03BE5C4F"/>
    <w:rsid w:val="03C57F1D"/>
    <w:rsid w:val="03D3354B"/>
    <w:rsid w:val="043C2B7C"/>
    <w:rsid w:val="04415B0D"/>
    <w:rsid w:val="045D6149"/>
    <w:rsid w:val="04631E56"/>
    <w:rsid w:val="047553ED"/>
    <w:rsid w:val="04832496"/>
    <w:rsid w:val="048838BB"/>
    <w:rsid w:val="04903C37"/>
    <w:rsid w:val="04912ACD"/>
    <w:rsid w:val="04924FE3"/>
    <w:rsid w:val="04A24CDA"/>
    <w:rsid w:val="04AF1326"/>
    <w:rsid w:val="04FD0E31"/>
    <w:rsid w:val="050637A5"/>
    <w:rsid w:val="050B287F"/>
    <w:rsid w:val="05230D78"/>
    <w:rsid w:val="054769B3"/>
    <w:rsid w:val="05480B39"/>
    <w:rsid w:val="05571F68"/>
    <w:rsid w:val="05A0262C"/>
    <w:rsid w:val="05F46366"/>
    <w:rsid w:val="06021BFE"/>
    <w:rsid w:val="061631B2"/>
    <w:rsid w:val="06191E33"/>
    <w:rsid w:val="061C3D5B"/>
    <w:rsid w:val="06352C8D"/>
    <w:rsid w:val="06376F97"/>
    <w:rsid w:val="065A3ABE"/>
    <w:rsid w:val="066B0C3D"/>
    <w:rsid w:val="068154EF"/>
    <w:rsid w:val="06836237"/>
    <w:rsid w:val="06937776"/>
    <w:rsid w:val="06A7419D"/>
    <w:rsid w:val="06E35353"/>
    <w:rsid w:val="06EC222A"/>
    <w:rsid w:val="07245A59"/>
    <w:rsid w:val="0745028B"/>
    <w:rsid w:val="075A22F1"/>
    <w:rsid w:val="07AD2721"/>
    <w:rsid w:val="07AF6F49"/>
    <w:rsid w:val="07BB664B"/>
    <w:rsid w:val="07F82E00"/>
    <w:rsid w:val="082006F3"/>
    <w:rsid w:val="083C3003"/>
    <w:rsid w:val="08406DEA"/>
    <w:rsid w:val="086871CD"/>
    <w:rsid w:val="086E336F"/>
    <w:rsid w:val="087B43C8"/>
    <w:rsid w:val="0882554E"/>
    <w:rsid w:val="08AD7237"/>
    <w:rsid w:val="08B017D6"/>
    <w:rsid w:val="08B531C4"/>
    <w:rsid w:val="08B74801"/>
    <w:rsid w:val="08E06F07"/>
    <w:rsid w:val="08FC404A"/>
    <w:rsid w:val="0903492F"/>
    <w:rsid w:val="090A71E9"/>
    <w:rsid w:val="0916122C"/>
    <w:rsid w:val="094B34E5"/>
    <w:rsid w:val="0950282C"/>
    <w:rsid w:val="099D12AF"/>
    <w:rsid w:val="09AD5E3C"/>
    <w:rsid w:val="09B12057"/>
    <w:rsid w:val="09C735AB"/>
    <w:rsid w:val="09D41DD9"/>
    <w:rsid w:val="09FB0360"/>
    <w:rsid w:val="0A312D88"/>
    <w:rsid w:val="0A443EE4"/>
    <w:rsid w:val="0A6842D0"/>
    <w:rsid w:val="0A9C7D1B"/>
    <w:rsid w:val="0ADB0DD6"/>
    <w:rsid w:val="0AF95B2E"/>
    <w:rsid w:val="0AFA3F41"/>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142961"/>
    <w:rsid w:val="0C5636E2"/>
    <w:rsid w:val="0C770701"/>
    <w:rsid w:val="0C78199D"/>
    <w:rsid w:val="0C816B43"/>
    <w:rsid w:val="0CB060DE"/>
    <w:rsid w:val="0CB43D56"/>
    <w:rsid w:val="0CBA47E6"/>
    <w:rsid w:val="0CBF41E0"/>
    <w:rsid w:val="0CCC6BCF"/>
    <w:rsid w:val="0CEC6862"/>
    <w:rsid w:val="0D001946"/>
    <w:rsid w:val="0D006A41"/>
    <w:rsid w:val="0D1A6DAB"/>
    <w:rsid w:val="0D236286"/>
    <w:rsid w:val="0D4357F1"/>
    <w:rsid w:val="0D896A37"/>
    <w:rsid w:val="0D98311E"/>
    <w:rsid w:val="0DB22432"/>
    <w:rsid w:val="0DB92613"/>
    <w:rsid w:val="0DC3449B"/>
    <w:rsid w:val="0DF13383"/>
    <w:rsid w:val="0E1D31AF"/>
    <w:rsid w:val="0E2E5189"/>
    <w:rsid w:val="0E3B3FA0"/>
    <w:rsid w:val="0E4531F0"/>
    <w:rsid w:val="0E5114F5"/>
    <w:rsid w:val="0E71088B"/>
    <w:rsid w:val="0E8A703D"/>
    <w:rsid w:val="0E8D69FB"/>
    <w:rsid w:val="0EB12B04"/>
    <w:rsid w:val="0EB8284C"/>
    <w:rsid w:val="0EBF4D9D"/>
    <w:rsid w:val="0EC853E9"/>
    <w:rsid w:val="0EDA48F5"/>
    <w:rsid w:val="0F37609A"/>
    <w:rsid w:val="0F5E7FAF"/>
    <w:rsid w:val="0F666CCA"/>
    <w:rsid w:val="0F801C32"/>
    <w:rsid w:val="0FC73BE9"/>
    <w:rsid w:val="0FDA0B8C"/>
    <w:rsid w:val="0FDD010F"/>
    <w:rsid w:val="0FEC00EE"/>
    <w:rsid w:val="0FEE6836"/>
    <w:rsid w:val="101A1FFE"/>
    <w:rsid w:val="103F1456"/>
    <w:rsid w:val="10574280"/>
    <w:rsid w:val="108A2DF9"/>
    <w:rsid w:val="109218D9"/>
    <w:rsid w:val="109501C0"/>
    <w:rsid w:val="10A1515D"/>
    <w:rsid w:val="10AB7642"/>
    <w:rsid w:val="10B637C0"/>
    <w:rsid w:val="10E66141"/>
    <w:rsid w:val="10EB474A"/>
    <w:rsid w:val="11170ED8"/>
    <w:rsid w:val="11347157"/>
    <w:rsid w:val="11467149"/>
    <w:rsid w:val="114E2AEE"/>
    <w:rsid w:val="115B567E"/>
    <w:rsid w:val="11633F2C"/>
    <w:rsid w:val="116A3D98"/>
    <w:rsid w:val="11A823B3"/>
    <w:rsid w:val="11AD4D9B"/>
    <w:rsid w:val="11BF6701"/>
    <w:rsid w:val="11C436DA"/>
    <w:rsid w:val="11CC3E60"/>
    <w:rsid w:val="11DC229F"/>
    <w:rsid w:val="121E0907"/>
    <w:rsid w:val="12417917"/>
    <w:rsid w:val="12423A2C"/>
    <w:rsid w:val="125C359D"/>
    <w:rsid w:val="12972A6D"/>
    <w:rsid w:val="12A03046"/>
    <w:rsid w:val="12F16C1F"/>
    <w:rsid w:val="132A0CBC"/>
    <w:rsid w:val="13452FC8"/>
    <w:rsid w:val="137F578F"/>
    <w:rsid w:val="138A5D40"/>
    <w:rsid w:val="138C7281"/>
    <w:rsid w:val="13B33EEB"/>
    <w:rsid w:val="13BC12BF"/>
    <w:rsid w:val="13BF768D"/>
    <w:rsid w:val="13CF3AB0"/>
    <w:rsid w:val="14034BB8"/>
    <w:rsid w:val="14236617"/>
    <w:rsid w:val="14405D22"/>
    <w:rsid w:val="1444201F"/>
    <w:rsid w:val="14806C8E"/>
    <w:rsid w:val="14990D44"/>
    <w:rsid w:val="149E3AC3"/>
    <w:rsid w:val="14BE5716"/>
    <w:rsid w:val="14C34F24"/>
    <w:rsid w:val="14EB19FB"/>
    <w:rsid w:val="14F670A8"/>
    <w:rsid w:val="151F00E8"/>
    <w:rsid w:val="153170A0"/>
    <w:rsid w:val="153C1486"/>
    <w:rsid w:val="1574696E"/>
    <w:rsid w:val="15907FBE"/>
    <w:rsid w:val="15BD2C4B"/>
    <w:rsid w:val="15C15585"/>
    <w:rsid w:val="15C6474A"/>
    <w:rsid w:val="15D762E2"/>
    <w:rsid w:val="15F46539"/>
    <w:rsid w:val="15F815D5"/>
    <w:rsid w:val="16326427"/>
    <w:rsid w:val="16433642"/>
    <w:rsid w:val="16441BC9"/>
    <w:rsid w:val="164A3658"/>
    <w:rsid w:val="164E4553"/>
    <w:rsid w:val="16621C8D"/>
    <w:rsid w:val="1665243A"/>
    <w:rsid w:val="167E64D5"/>
    <w:rsid w:val="16950C3B"/>
    <w:rsid w:val="16A13E1C"/>
    <w:rsid w:val="16B56AEF"/>
    <w:rsid w:val="16E77B3D"/>
    <w:rsid w:val="16F23CD8"/>
    <w:rsid w:val="16FA4E2C"/>
    <w:rsid w:val="171C17FB"/>
    <w:rsid w:val="171D46C2"/>
    <w:rsid w:val="171F74F7"/>
    <w:rsid w:val="174119F0"/>
    <w:rsid w:val="17580A4C"/>
    <w:rsid w:val="17593127"/>
    <w:rsid w:val="17607065"/>
    <w:rsid w:val="176F2E6E"/>
    <w:rsid w:val="17716EB9"/>
    <w:rsid w:val="17863661"/>
    <w:rsid w:val="17A941B6"/>
    <w:rsid w:val="17E2165E"/>
    <w:rsid w:val="180C7126"/>
    <w:rsid w:val="181C7503"/>
    <w:rsid w:val="18236833"/>
    <w:rsid w:val="18333BE2"/>
    <w:rsid w:val="18664E5B"/>
    <w:rsid w:val="18776039"/>
    <w:rsid w:val="188305B7"/>
    <w:rsid w:val="18B2001B"/>
    <w:rsid w:val="191C7213"/>
    <w:rsid w:val="196D36B1"/>
    <w:rsid w:val="19813A83"/>
    <w:rsid w:val="19845EE9"/>
    <w:rsid w:val="19874772"/>
    <w:rsid w:val="199D157A"/>
    <w:rsid w:val="199D5C40"/>
    <w:rsid w:val="19A940E1"/>
    <w:rsid w:val="19BA6784"/>
    <w:rsid w:val="19E80221"/>
    <w:rsid w:val="1A0B3DC0"/>
    <w:rsid w:val="1A2F6BB8"/>
    <w:rsid w:val="1A397664"/>
    <w:rsid w:val="1A700B7C"/>
    <w:rsid w:val="1A873FD2"/>
    <w:rsid w:val="1A9C70C5"/>
    <w:rsid w:val="1AB8269D"/>
    <w:rsid w:val="1AE41258"/>
    <w:rsid w:val="1AEB00AB"/>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6305B"/>
    <w:rsid w:val="1BF84AF8"/>
    <w:rsid w:val="1BFB09A3"/>
    <w:rsid w:val="1BFD6C7E"/>
    <w:rsid w:val="1C0B3C6C"/>
    <w:rsid w:val="1C164185"/>
    <w:rsid w:val="1C262354"/>
    <w:rsid w:val="1C374917"/>
    <w:rsid w:val="1C4D58A1"/>
    <w:rsid w:val="1C75643E"/>
    <w:rsid w:val="1C93342E"/>
    <w:rsid w:val="1C986933"/>
    <w:rsid w:val="1CBD2679"/>
    <w:rsid w:val="1CC31008"/>
    <w:rsid w:val="1CCC3CBC"/>
    <w:rsid w:val="1CD566D8"/>
    <w:rsid w:val="1CD974FA"/>
    <w:rsid w:val="1CDF3B2A"/>
    <w:rsid w:val="1CE4752C"/>
    <w:rsid w:val="1CE83302"/>
    <w:rsid w:val="1CEE68B6"/>
    <w:rsid w:val="1D123295"/>
    <w:rsid w:val="1D167EEA"/>
    <w:rsid w:val="1D1D0FA8"/>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75E82"/>
    <w:rsid w:val="1E096100"/>
    <w:rsid w:val="1E1D673B"/>
    <w:rsid w:val="1E231AEA"/>
    <w:rsid w:val="1E3824DF"/>
    <w:rsid w:val="1E5C7AA3"/>
    <w:rsid w:val="1E6426A0"/>
    <w:rsid w:val="1E8500B7"/>
    <w:rsid w:val="1E8D2FC4"/>
    <w:rsid w:val="1EAF7CA6"/>
    <w:rsid w:val="1ECA5910"/>
    <w:rsid w:val="1F26058A"/>
    <w:rsid w:val="1F5E1AA4"/>
    <w:rsid w:val="1F655403"/>
    <w:rsid w:val="1F7171A3"/>
    <w:rsid w:val="1F807C45"/>
    <w:rsid w:val="1F86142A"/>
    <w:rsid w:val="1F8D47B9"/>
    <w:rsid w:val="1F8E2E26"/>
    <w:rsid w:val="1F9E53C0"/>
    <w:rsid w:val="1FAB4F33"/>
    <w:rsid w:val="1FD224BF"/>
    <w:rsid w:val="1FE67D3D"/>
    <w:rsid w:val="1FE80522"/>
    <w:rsid w:val="1FE9475C"/>
    <w:rsid w:val="1FFC7D8E"/>
    <w:rsid w:val="20254C0F"/>
    <w:rsid w:val="204E5A2F"/>
    <w:rsid w:val="20664963"/>
    <w:rsid w:val="20A420AE"/>
    <w:rsid w:val="20A9754C"/>
    <w:rsid w:val="20BA111E"/>
    <w:rsid w:val="20C454B5"/>
    <w:rsid w:val="20FE67E9"/>
    <w:rsid w:val="211713ED"/>
    <w:rsid w:val="21241618"/>
    <w:rsid w:val="21460B4D"/>
    <w:rsid w:val="218B0B78"/>
    <w:rsid w:val="219B7DE7"/>
    <w:rsid w:val="21BA18CA"/>
    <w:rsid w:val="21BC3427"/>
    <w:rsid w:val="21C4457A"/>
    <w:rsid w:val="21C97397"/>
    <w:rsid w:val="21EC3353"/>
    <w:rsid w:val="21F05D61"/>
    <w:rsid w:val="21F1794A"/>
    <w:rsid w:val="21F3425F"/>
    <w:rsid w:val="21F44361"/>
    <w:rsid w:val="22001A09"/>
    <w:rsid w:val="22096FE7"/>
    <w:rsid w:val="221E50FA"/>
    <w:rsid w:val="222D1D02"/>
    <w:rsid w:val="227B4DAD"/>
    <w:rsid w:val="22AD31A5"/>
    <w:rsid w:val="22B4097F"/>
    <w:rsid w:val="22B64134"/>
    <w:rsid w:val="22D15291"/>
    <w:rsid w:val="22F22FF9"/>
    <w:rsid w:val="2302130E"/>
    <w:rsid w:val="230F42A2"/>
    <w:rsid w:val="23141D1B"/>
    <w:rsid w:val="231470B2"/>
    <w:rsid w:val="23260413"/>
    <w:rsid w:val="232E5C5F"/>
    <w:rsid w:val="236B31BC"/>
    <w:rsid w:val="236D4D88"/>
    <w:rsid w:val="237B3D5E"/>
    <w:rsid w:val="237D3953"/>
    <w:rsid w:val="23856F77"/>
    <w:rsid w:val="239177CA"/>
    <w:rsid w:val="23CB3857"/>
    <w:rsid w:val="23F35D0C"/>
    <w:rsid w:val="23FA7E69"/>
    <w:rsid w:val="241412F8"/>
    <w:rsid w:val="24315C04"/>
    <w:rsid w:val="244627A5"/>
    <w:rsid w:val="245323A6"/>
    <w:rsid w:val="2460107D"/>
    <w:rsid w:val="24756BA6"/>
    <w:rsid w:val="24B060A4"/>
    <w:rsid w:val="24B43F14"/>
    <w:rsid w:val="24E309A7"/>
    <w:rsid w:val="24E449CE"/>
    <w:rsid w:val="25116E92"/>
    <w:rsid w:val="2532575D"/>
    <w:rsid w:val="25555D52"/>
    <w:rsid w:val="255D2553"/>
    <w:rsid w:val="25927C62"/>
    <w:rsid w:val="259A0584"/>
    <w:rsid w:val="25A247E7"/>
    <w:rsid w:val="25A87042"/>
    <w:rsid w:val="25B03EE3"/>
    <w:rsid w:val="25B111B0"/>
    <w:rsid w:val="25B92E0A"/>
    <w:rsid w:val="25BA7C53"/>
    <w:rsid w:val="25BE204F"/>
    <w:rsid w:val="26153106"/>
    <w:rsid w:val="261673CB"/>
    <w:rsid w:val="26220DC8"/>
    <w:rsid w:val="262D2DD3"/>
    <w:rsid w:val="26322B7B"/>
    <w:rsid w:val="26361BCE"/>
    <w:rsid w:val="264A53DE"/>
    <w:rsid w:val="26501172"/>
    <w:rsid w:val="265509DB"/>
    <w:rsid w:val="26616E22"/>
    <w:rsid w:val="266B1340"/>
    <w:rsid w:val="267257B3"/>
    <w:rsid w:val="267A636E"/>
    <w:rsid w:val="268D7140"/>
    <w:rsid w:val="269711B9"/>
    <w:rsid w:val="269F39AF"/>
    <w:rsid w:val="26B26A7B"/>
    <w:rsid w:val="26BD6D0E"/>
    <w:rsid w:val="26D121AE"/>
    <w:rsid w:val="26E873DA"/>
    <w:rsid w:val="26FD77BC"/>
    <w:rsid w:val="270933F2"/>
    <w:rsid w:val="27187560"/>
    <w:rsid w:val="272A0C68"/>
    <w:rsid w:val="27326CB0"/>
    <w:rsid w:val="273D765A"/>
    <w:rsid w:val="27433C4E"/>
    <w:rsid w:val="27665E21"/>
    <w:rsid w:val="27736981"/>
    <w:rsid w:val="277C2603"/>
    <w:rsid w:val="278230B3"/>
    <w:rsid w:val="279961FC"/>
    <w:rsid w:val="27AE44D5"/>
    <w:rsid w:val="27D80610"/>
    <w:rsid w:val="27F52732"/>
    <w:rsid w:val="280944AF"/>
    <w:rsid w:val="282646EC"/>
    <w:rsid w:val="282C6E8B"/>
    <w:rsid w:val="283C2BCC"/>
    <w:rsid w:val="28662581"/>
    <w:rsid w:val="28687751"/>
    <w:rsid w:val="286B4291"/>
    <w:rsid w:val="289A528E"/>
    <w:rsid w:val="28A8460E"/>
    <w:rsid w:val="28C130D1"/>
    <w:rsid w:val="28C24CA3"/>
    <w:rsid w:val="28D74A8E"/>
    <w:rsid w:val="28F63507"/>
    <w:rsid w:val="28FC1E02"/>
    <w:rsid w:val="290E23D9"/>
    <w:rsid w:val="29157609"/>
    <w:rsid w:val="291D6FAC"/>
    <w:rsid w:val="29267D5D"/>
    <w:rsid w:val="292C56FA"/>
    <w:rsid w:val="29311834"/>
    <w:rsid w:val="29347D47"/>
    <w:rsid w:val="29611F8B"/>
    <w:rsid w:val="296C7C2C"/>
    <w:rsid w:val="299F4685"/>
    <w:rsid w:val="29AD67F7"/>
    <w:rsid w:val="29DC62F2"/>
    <w:rsid w:val="2A021B3E"/>
    <w:rsid w:val="2A290BDC"/>
    <w:rsid w:val="2A351F7B"/>
    <w:rsid w:val="2A3E35AD"/>
    <w:rsid w:val="2A4D76CB"/>
    <w:rsid w:val="2A652BD4"/>
    <w:rsid w:val="2A6C420C"/>
    <w:rsid w:val="2A9A3781"/>
    <w:rsid w:val="2AB26607"/>
    <w:rsid w:val="2ACE4FC6"/>
    <w:rsid w:val="2AD94755"/>
    <w:rsid w:val="2AF77367"/>
    <w:rsid w:val="2B0A0BD5"/>
    <w:rsid w:val="2B0A326E"/>
    <w:rsid w:val="2B381D70"/>
    <w:rsid w:val="2B411857"/>
    <w:rsid w:val="2B54148E"/>
    <w:rsid w:val="2B5C73EB"/>
    <w:rsid w:val="2B5E61B8"/>
    <w:rsid w:val="2B7118BF"/>
    <w:rsid w:val="2B724E22"/>
    <w:rsid w:val="2B8818D0"/>
    <w:rsid w:val="2B8A1EA0"/>
    <w:rsid w:val="2B9C27E4"/>
    <w:rsid w:val="2BDD6474"/>
    <w:rsid w:val="2BE13188"/>
    <w:rsid w:val="2BE713FE"/>
    <w:rsid w:val="2C053476"/>
    <w:rsid w:val="2C113654"/>
    <w:rsid w:val="2C1B212D"/>
    <w:rsid w:val="2C3E2C44"/>
    <w:rsid w:val="2C44674C"/>
    <w:rsid w:val="2C920372"/>
    <w:rsid w:val="2CC01D55"/>
    <w:rsid w:val="2CC3055F"/>
    <w:rsid w:val="2CDD2828"/>
    <w:rsid w:val="2D1D294F"/>
    <w:rsid w:val="2D28535E"/>
    <w:rsid w:val="2D66175A"/>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F4FB0"/>
    <w:rsid w:val="2F4A5657"/>
    <w:rsid w:val="2F4D6B27"/>
    <w:rsid w:val="2F543A38"/>
    <w:rsid w:val="2F553B82"/>
    <w:rsid w:val="2F7B59FE"/>
    <w:rsid w:val="2F9C2E37"/>
    <w:rsid w:val="2FB000FC"/>
    <w:rsid w:val="2FC93316"/>
    <w:rsid w:val="2FCC5583"/>
    <w:rsid w:val="2FD61001"/>
    <w:rsid w:val="30030473"/>
    <w:rsid w:val="300852DE"/>
    <w:rsid w:val="30464020"/>
    <w:rsid w:val="30497A4F"/>
    <w:rsid w:val="306B512F"/>
    <w:rsid w:val="306D5C41"/>
    <w:rsid w:val="30A83EC2"/>
    <w:rsid w:val="30B80D4C"/>
    <w:rsid w:val="30BD2B5F"/>
    <w:rsid w:val="30E1509C"/>
    <w:rsid w:val="30F84E6F"/>
    <w:rsid w:val="31127E0D"/>
    <w:rsid w:val="3129025F"/>
    <w:rsid w:val="31320998"/>
    <w:rsid w:val="31453C7B"/>
    <w:rsid w:val="314D312F"/>
    <w:rsid w:val="31542597"/>
    <w:rsid w:val="31615C49"/>
    <w:rsid w:val="316D7D22"/>
    <w:rsid w:val="31843543"/>
    <w:rsid w:val="31857990"/>
    <w:rsid w:val="318B126D"/>
    <w:rsid w:val="31A1157A"/>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11EE7"/>
    <w:rsid w:val="32D75F52"/>
    <w:rsid w:val="3311647A"/>
    <w:rsid w:val="332854D5"/>
    <w:rsid w:val="3329346A"/>
    <w:rsid w:val="333472C1"/>
    <w:rsid w:val="333659DA"/>
    <w:rsid w:val="335553C6"/>
    <w:rsid w:val="3357102E"/>
    <w:rsid w:val="33572FB0"/>
    <w:rsid w:val="33633EB8"/>
    <w:rsid w:val="336D250C"/>
    <w:rsid w:val="338D2239"/>
    <w:rsid w:val="33AE5BBA"/>
    <w:rsid w:val="33B30672"/>
    <w:rsid w:val="33D579CF"/>
    <w:rsid w:val="33E836FB"/>
    <w:rsid w:val="33F205F7"/>
    <w:rsid w:val="33FF2179"/>
    <w:rsid w:val="345E13BA"/>
    <w:rsid w:val="345E3292"/>
    <w:rsid w:val="34664A0B"/>
    <w:rsid w:val="346E2D0F"/>
    <w:rsid w:val="34AE1E6A"/>
    <w:rsid w:val="34F85D6A"/>
    <w:rsid w:val="350E3B42"/>
    <w:rsid w:val="35125628"/>
    <w:rsid w:val="352100FF"/>
    <w:rsid w:val="352167CF"/>
    <w:rsid w:val="35660444"/>
    <w:rsid w:val="3566212E"/>
    <w:rsid w:val="356B276A"/>
    <w:rsid w:val="358E654C"/>
    <w:rsid w:val="35965B9C"/>
    <w:rsid w:val="359F0A1F"/>
    <w:rsid w:val="35C43240"/>
    <w:rsid w:val="35D42CBE"/>
    <w:rsid w:val="360D03D3"/>
    <w:rsid w:val="361B3EDC"/>
    <w:rsid w:val="361F6493"/>
    <w:rsid w:val="365C025C"/>
    <w:rsid w:val="36626692"/>
    <w:rsid w:val="3671332B"/>
    <w:rsid w:val="367242E0"/>
    <w:rsid w:val="36897340"/>
    <w:rsid w:val="36A63BA7"/>
    <w:rsid w:val="36D05609"/>
    <w:rsid w:val="36E35E9F"/>
    <w:rsid w:val="36EC24B8"/>
    <w:rsid w:val="36FF2B34"/>
    <w:rsid w:val="3712448B"/>
    <w:rsid w:val="37734130"/>
    <w:rsid w:val="378E76E4"/>
    <w:rsid w:val="37936580"/>
    <w:rsid w:val="37A34A15"/>
    <w:rsid w:val="37A52ECC"/>
    <w:rsid w:val="37C64260"/>
    <w:rsid w:val="38282D9D"/>
    <w:rsid w:val="38473444"/>
    <w:rsid w:val="38496EE5"/>
    <w:rsid w:val="385308AB"/>
    <w:rsid w:val="38854458"/>
    <w:rsid w:val="38910EBC"/>
    <w:rsid w:val="389A51EB"/>
    <w:rsid w:val="38A22B6B"/>
    <w:rsid w:val="38D563EE"/>
    <w:rsid w:val="38EA10A6"/>
    <w:rsid w:val="390441CE"/>
    <w:rsid w:val="390B5D7B"/>
    <w:rsid w:val="39166111"/>
    <w:rsid w:val="39255B75"/>
    <w:rsid w:val="395370EE"/>
    <w:rsid w:val="39545D8E"/>
    <w:rsid w:val="397F2E9A"/>
    <w:rsid w:val="3985179C"/>
    <w:rsid w:val="39BF1CE5"/>
    <w:rsid w:val="3A0B1954"/>
    <w:rsid w:val="3A151FA0"/>
    <w:rsid w:val="3A2B232A"/>
    <w:rsid w:val="3A793A8F"/>
    <w:rsid w:val="3ABF2507"/>
    <w:rsid w:val="3AC32E01"/>
    <w:rsid w:val="3AC9498B"/>
    <w:rsid w:val="3B0953A4"/>
    <w:rsid w:val="3B256DAF"/>
    <w:rsid w:val="3B3616FD"/>
    <w:rsid w:val="3B533D48"/>
    <w:rsid w:val="3B5A1A2F"/>
    <w:rsid w:val="3B5B5758"/>
    <w:rsid w:val="3B8D3791"/>
    <w:rsid w:val="3BA27B10"/>
    <w:rsid w:val="3BA92E72"/>
    <w:rsid w:val="3BAA04FF"/>
    <w:rsid w:val="3BAD1686"/>
    <w:rsid w:val="3BAF6081"/>
    <w:rsid w:val="3BBD016F"/>
    <w:rsid w:val="3BE0479C"/>
    <w:rsid w:val="3BEE3761"/>
    <w:rsid w:val="3C0E5061"/>
    <w:rsid w:val="3C1F49BF"/>
    <w:rsid w:val="3C6D55F2"/>
    <w:rsid w:val="3C8051A6"/>
    <w:rsid w:val="3C9A335A"/>
    <w:rsid w:val="3CBB635D"/>
    <w:rsid w:val="3CC05722"/>
    <w:rsid w:val="3CDC396E"/>
    <w:rsid w:val="3CF248ED"/>
    <w:rsid w:val="3D0D4A0D"/>
    <w:rsid w:val="3D312940"/>
    <w:rsid w:val="3D681D5A"/>
    <w:rsid w:val="3D6A1C0B"/>
    <w:rsid w:val="3D8D6ED1"/>
    <w:rsid w:val="3D8F3E21"/>
    <w:rsid w:val="3DC31ADA"/>
    <w:rsid w:val="3DFD7731"/>
    <w:rsid w:val="3E0C733A"/>
    <w:rsid w:val="3E874902"/>
    <w:rsid w:val="3E921361"/>
    <w:rsid w:val="3EA96219"/>
    <w:rsid w:val="3EB06A0E"/>
    <w:rsid w:val="3EB31640"/>
    <w:rsid w:val="3EB54AE2"/>
    <w:rsid w:val="3EB92D62"/>
    <w:rsid w:val="3EF16D0C"/>
    <w:rsid w:val="3F15023A"/>
    <w:rsid w:val="3F2476CE"/>
    <w:rsid w:val="3F273217"/>
    <w:rsid w:val="3F2A77CA"/>
    <w:rsid w:val="3F5C67E0"/>
    <w:rsid w:val="3F6046C3"/>
    <w:rsid w:val="3F816C8A"/>
    <w:rsid w:val="3FA93691"/>
    <w:rsid w:val="3FC568AC"/>
    <w:rsid w:val="3FD0385B"/>
    <w:rsid w:val="3FD16045"/>
    <w:rsid w:val="3FE6347C"/>
    <w:rsid w:val="402F6781"/>
    <w:rsid w:val="40394958"/>
    <w:rsid w:val="403A1C8F"/>
    <w:rsid w:val="404D5299"/>
    <w:rsid w:val="404E76D3"/>
    <w:rsid w:val="408560B2"/>
    <w:rsid w:val="408F3C3B"/>
    <w:rsid w:val="40AD0BEA"/>
    <w:rsid w:val="40B45FA1"/>
    <w:rsid w:val="40C50789"/>
    <w:rsid w:val="40E2404A"/>
    <w:rsid w:val="40F7192E"/>
    <w:rsid w:val="40FA0619"/>
    <w:rsid w:val="41141D46"/>
    <w:rsid w:val="41262582"/>
    <w:rsid w:val="41277321"/>
    <w:rsid w:val="415C5513"/>
    <w:rsid w:val="41661CEC"/>
    <w:rsid w:val="417304D2"/>
    <w:rsid w:val="41756B51"/>
    <w:rsid w:val="41B67760"/>
    <w:rsid w:val="41F63571"/>
    <w:rsid w:val="4200486D"/>
    <w:rsid w:val="4202058A"/>
    <w:rsid w:val="42084854"/>
    <w:rsid w:val="420A4AA8"/>
    <w:rsid w:val="42204EB5"/>
    <w:rsid w:val="42341E3D"/>
    <w:rsid w:val="423C231C"/>
    <w:rsid w:val="424E5D3B"/>
    <w:rsid w:val="427C06FC"/>
    <w:rsid w:val="42894103"/>
    <w:rsid w:val="42DA35EB"/>
    <w:rsid w:val="42DC1373"/>
    <w:rsid w:val="42EB5F3F"/>
    <w:rsid w:val="42EE4ACA"/>
    <w:rsid w:val="433B4FAD"/>
    <w:rsid w:val="43494E83"/>
    <w:rsid w:val="434A1ED7"/>
    <w:rsid w:val="434B5F61"/>
    <w:rsid w:val="437769C4"/>
    <w:rsid w:val="439452CD"/>
    <w:rsid w:val="43987C3E"/>
    <w:rsid w:val="43DF168F"/>
    <w:rsid w:val="43EE52AD"/>
    <w:rsid w:val="43F70347"/>
    <w:rsid w:val="44051FFE"/>
    <w:rsid w:val="440D2A75"/>
    <w:rsid w:val="44151500"/>
    <w:rsid w:val="44225771"/>
    <w:rsid w:val="442E2C0A"/>
    <w:rsid w:val="443415E8"/>
    <w:rsid w:val="44471AAC"/>
    <w:rsid w:val="4491321B"/>
    <w:rsid w:val="449604FB"/>
    <w:rsid w:val="449A2A3E"/>
    <w:rsid w:val="44C0114A"/>
    <w:rsid w:val="44CA2639"/>
    <w:rsid w:val="44D23E79"/>
    <w:rsid w:val="44D50E68"/>
    <w:rsid w:val="44E25F72"/>
    <w:rsid w:val="44E32866"/>
    <w:rsid w:val="44EB189F"/>
    <w:rsid w:val="44FD7B3F"/>
    <w:rsid w:val="451136F6"/>
    <w:rsid w:val="45127E77"/>
    <w:rsid w:val="451417BD"/>
    <w:rsid w:val="45355F69"/>
    <w:rsid w:val="45387544"/>
    <w:rsid w:val="453975C8"/>
    <w:rsid w:val="453B0148"/>
    <w:rsid w:val="453B36EE"/>
    <w:rsid w:val="4552145A"/>
    <w:rsid w:val="45681A93"/>
    <w:rsid w:val="456F0597"/>
    <w:rsid w:val="458047D3"/>
    <w:rsid w:val="459020E6"/>
    <w:rsid w:val="45BF7797"/>
    <w:rsid w:val="45EB5B41"/>
    <w:rsid w:val="45FC5122"/>
    <w:rsid w:val="4608625E"/>
    <w:rsid w:val="460E37F4"/>
    <w:rsid w:val="462E28FA"/>
    <w:rsid w:val="463D21F4"/>
    <w:rsid w:val="4674757D"/>
    <w:rsid w:val="46C5265B"/>
    <w:rsid w:val="46E17C2E"/>
    <w:rsid w:val="46E66176"/>
    <w:rsid w:val="46F618BC"/>
    <w:rsid w:val="47172FCE"/>
    <w:rsid w:val="472D20DA"/>
    <w:rsid w:val="47322751"/>
    <w:rsid w:val="473E0204"/>
    <w:rsid w:val="473E1081"/>
    <w:rsid w:val="475075B1"/>
    <w:rsid w:val="477301BF"/>
    <w:rsid w:val="47770F2B"/>
    <w:rsid w:val="47935022"/>
    <w:rsid w:val="47B42327"/>
    <w:rsid w:val="47D9109A"/>
    <w:rsid w:val="47DF1EDE"/>
    <w:rsid w:val="47E32A44"/>
    <w:rsid w:val="48001EB1"/>
    <w:rsid w:val="48321F62"/>
    <w:rsid w:val="485F067A"/>
    <w:rsid w:val="48A46FB5"/>
    <w:rsid w:val="48C60564"/>
    <w:rsid w:val="48C63978"/>
    <w:rsid w:val="48D931CF"/>
    <w:rsid w:val="48DB1A95"/>
    <w:rsid w:val="48DE4B3F"/>
    <w:rsid w:val="49095468"/>
    <w:rsid w:val="492B4F94"/>
    <w:rsid w:val="492E6967"/>
    <w:rsid w:val="49803BA8"/>
    <w:rsid w:val="49A25D9E"/>
    <w:rsid w:val="49A96B07"/>
    <w:rsid w:val="49C51CAF"/>
    <w:rsid w:val="49F50A0E"/>
    <w:rsid w:val="49F53957"/>
    <w:rsid w:val="4A2057D5"/>
    <w:rsid w:val="4A2A06C4"/>
    <w:rsid w:val="4A38723F"/>
    <w:rsid w:val="4A6819DC"/>
    <w:rsid w:val="4A8A479E"/>
    <w:rsid w:val="4A8F0E29"/>
    <w:rsid w:val="4A902D26"/>
    <w:rsid w:val="4AAF4651"/>
    <w:rsid w:val="4AC17322"/>
    <w:rsid w:val="4AEB7F8C"/>
    <w:rsid w:val="4B1506E1"/>
    <w:rsid w:val="4B182BCD"/>
    <w:rsid w:val="4B2E3F72"/>
    <w:rsid w:val="4B341A2A"/>
    <w:rsid w:val="4B375FBE"/>
    <w:rsid w:val="4B3B7B1E"/>
    <w:rsid w:val="4B414BEA"/>
    <w:rsid w:val="4B587F93"/>
    <w:rsid w:val="4B7103C2"/>
    <w:rsid w:val="4B812B8E"/>
    <w:rsid w:val="4B85737C"/>
    <w:rsid w:val="4B9F74CF"/>
    <w:rsid w:val="4BA34B8C"/>
    <w:rsid w:val="4BC80844"/>
    <w:rsid w:val="4BD22165"/>
    <w:rsid w:val="4C073223"/>
    <w:rsid w:val="4C1A464A"/>
    <w:rsid w:val="4C274913"/>
    <w:rsid w:val="4C941131"/>
    <w:rsid w:val="4CA14D01"/>
    <w:rsid w:val="4CAC3D23"/>
    <w:rsid w:val="4CBB0999"/>
    <w:rsid w:val="4CCF792C"/>
    <w:rsid w:val="4CD64AED"/>
    <w:rsid w:val="4CED7708"/>
    <w:rsid w:val="4CFB7F38"/>
    <w:rsid w:val="4CFE7AD0"/>
    <w:rsid w:val="4D033455"/>
    <w:rsid w:val="4D10719D"/>
    <w:rsid w:val="4D2211D8"/>
    <w:rsid w:val="4D583F97"/>
    <w:rsid w:val="4D725764"/>
    <w:rsid w:val="4DC002E1"/>
    <w:rsid w:val="4DC07059"/>
    <w:rsid w:val="4DC332C4"/>
    <w:rsid w:val="4DD44A19"/>
    <w:rsid w:val="4DE75FC1"/>
    <w:rsid w:val="4E23527B"/>
    <w:rsid w:val="4E607B90"/>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0C69F6"/>
    <w:rsid w:val="502B1AD6"/>
    <w:rsid w:val="503112E9"/>
    <w:rsid w:val="50596932"/>
    <w:rsid w:val="50833C49"/>
    <w:rsid w:val="50880633"/>
    <w:rsid w:val="508F5958"/>
    <w:rsid w:val="509F4C2A"/>
    <w:rsid w:val="50A32944"/>
    <w:rsid w:val="50A32F39"/>
    <w:rsid w:val="50DD469C"/>
    <w:rsid w:val="50E26118"/>
    <w:rsid w:val="50E41AF7"/>
    <w:rsid w:val="50EC3EA9"/>
    <w:rsid w:val="50ED0E10"/>
    <w:rsid w:val="51053BF3"/>
    <w:rsid w:val="513B0119"/>
    <w:rsid w:val="513C7D41"/>
    <w:rsid w:val="515A0C65"/>
    <w:rsid w:val="515E27BB"/>
    <w:rsid w:val="51766187"/>
    <w:rsid w:val="51814622"/>
    <w:rsid w:val="518B5EA5"/>
    <w:rsid w:val="51A45F6D"/>
    <w:rsid w:val="51B907B6"/>
    <w:rsid w:val="51DF0CDF"/>
    <w:rsid w:val="51E30B98"/>
    <w:rsid w:val="51E97071"/>
    <w:rsid w:val="51FD61FC"/>
    <w:rsid w:val="52203D61"/>
    <w:rsid w:val="52386D39"/>
    <w:rsid w:val="523C3645"/>
    <w:rsid w:val="5242431B"/>
    <w:rsid w:val="5245699D"/>
    <w:rsid w:val="524877D4"/>
    <w:rsid w:val="524F0DF4"/>
    <w:rsid w:val="525A4087"/>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3B00DA"/>
    <w:rsid w:val="546D41B1"/>
    <w:rsid w:val="547701CD"/>
    <w:rsid w:val="549501D8"/>
    <w:rsid w:val="54A65B3A"/>
    <w:rsid w:val="54CD01EC"/>
    <w:rsid w:val="54F558F9"/>
    <w:rsid w:val="54FA6EB3"/>
    <w:rsid w:val="550348EE"/>
    <w:rsid w:val="550E3200"/>
    <w:rsid w:val="55135050"/>
    <w:rsid w:val="551E35E3"/>
    <w:rsid w:val="5520072C"/>
    <w:rsid w:val="55253F16"/>
    <w:rsid w:val="55373ACE"/>
    <w:rsid w:val="556A2277"/>
    <w:rsid w:val="556F068E"/>
    <w:rsid w:val="558D4430"/>
    <w:rsid w:val="559427CA"/>
    <w:rsid w:val="55C8191C"/>
    <w:rsid w:val="55C8432B"/>
    <w:rsid w:val="55D33DE7"/>
    <w:rsid w:val="56223544"/>
    <w:rsid w:val="562B0309"/>
    <w:rsid w:val="56320F1A"/>
    <w:rsid w:val="564D41A9"/>
    <w:rsid w:val="565E4274"/>
    <w:rsid w:val="5666031A"/>
    <w:rsid w:val="566A27F8"/>
    <w:rsid w:val="56803FF0"/>
    <w:rsid w:val="568F750C"/>
    <w:rsid w:val="569014CB"/>
    <w:rsid w:val="56925ED7"/>
    <w:rsid w:val="56B55995"/>
    <w:rsid w:val="56BC7408"/>
    <w:rsid w:val="56C91168"/>
    <w:rsid w:val="56D119CA"/>
    <w:rsid w:val="56E15BAE"/>
    <w:rsid w:val="56FA0DF2"/>
    <w:rsid w:val="56FF0F11"/>
    <w:rsid w:val="5714339A"/>
    <w:rsid w:val="5717042A"/>
    <w:rsid w:val="571A1A7B"/>
    <w:rsid w:val="57234DD3"/>
    <w:rsid w:val="572E4DA3"/>
    <w:rsid w:val="572E781C"/>
    <w:rsid w:val="575952E3"/>
    <w:rsid w:val="575F7462"/>
    <w:rsid w:val="5771432A"/>
    <w:rsid w:val="57842375"/>
    <w:rsid w:val="57866CAC"/>
    <w:rsid w:val="579B36BD"/>
    <w:rsid w:val="57B2220D"/>
    <w:rsid w:val="57C01362"/>
    <w:rsid w:val="57C76DE6"/>
    <w:rsid w:val="57D165DD"/>
    <w:rsid w:val="57D80574"/>
    <w:rsid w:val="580A0E63"/>
    <w:rsid w:val="580E3A4B"/>
    <w:rsid w:val="5814779C"/>
    <w:rsid w:val="584357AA"/>
    <w:rsid w:val="58764BA4"/>
    <w:rsid w:val="588221AB"/>
    <w:rsid w:val="58870496"/>
    <w:rsid w:val="588A1876"/>
    <w:rsid w:val="588D71B2"/>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A06B52"/>
    <w:rsid w:val="59A26243"/>
    <w:rsid w:val="59C76055"/>
    <w:rsid w:val="59E75FD1"/>
    <w:rsid w:val="59F42A57"/>
    <w:rsid w:val="5A065F4B"/>
    <w:rsid w:val="5A0B1C28"/>
    <w:rsid w:val="5A2255E6"/>
    <w:rsid w:val="5A317807"/>
    <w:rsid w:val="5A851E01"/>
    <w:rsid w:val="5A8F2EB6"/>
    <w:rsid w:val="5AA15ABA"/>
    <w:rsid w:val="5AB06C76"/>
    <w:rsid w:val="5AF63E2E"/>
    <w:rsid w:val="5B070568"/>
    <w:rsid w:val="5B1128EC"/>
    <w:rsid w:val="5B29025F"/>
    <w:rsid w:val="5B3143F9"/>
    <w:rsid w:val="5B503CBD"/>
    <w:rsid w:val="5BA069F2"/>
    <w:rsid w:val="5BF21181"/>
    <w:rsid w:val="5BFA46DF"/>
    <w:rsid w:val="5BFD0432"/>
    <w:rsid w:val="5C1974E5"/>
    <w:rsid w:val="5C1C7E80"/>
    <w:rsid w:val="5C4828EE"/>
    <w:rsid w:val="5C856CEB"/>
    <w:rsid w:val="5CA72002"/>
    <w:rsid w:val="5CBD3C20"/>
    <w:rsid w:val="5CBF734C"/>
    <w:rsid w:val="5CE075FF"/>
    <w:rsid w:val="5CE9518C"/>
    <w:rsid w:val="5D2166D8"/>
    <w:rsid w:val="5D272680"/>
    <w:rsid w:val="5D45468E"/>
    <w:rsid w:val="5D6B04DF"/>
    <w:rsid w:val="5D707B84"/>
    <w:rsid w:val="5D8F09AD"/>
    <w:rsid w:val="5D9B1497"/>
    <w:rsid w:val="5DA43D6D"/>
    <w:rsid w:val="5DDC51F6"/>
    <w:rsid w:val="5DE3422A"/>
    <w:rsid w:val="5E05130E"/>
    <w:rsid w:val="5E135B29"/>
    <w:rsid w:val="5E466F37"/>
    <w:rsid w:val="5E4E0751"/>
    <w:rsid w:val="5E597988"/>
    <w:rsid w:val="5E6A0CC2"/>
    <w:rsid w:val="5E845B3F"/>
    <w:rsid w:val="5E8D1899"/>
    <w:rsid w:val="5E9B47BF"/>
    <w:rsid w:val="5ED063E1"/>
    <w:rsid w:val="5EF4213A"/>
    <w:rsid w:val="5EF778DD"/>
    <w:rsid w:val="5F012051"/>
    <w:rsid w:val="5F150F5D"/>
    <w:rsid w:val="5F151A68"/>
    <w:rsid w:val="5F1E594E"/>
    <w:rsid w:val="5F2306D2"/>
    <w:rsid w:val="5F364291"/>
    <w:rsid w:val="5F720D05"/>
    <w:rsid w:val="5FB038A7"/>
    <w:rsid w:val="5FBB2542"/>
    <w:rsid w:val="5FFB489D"/>
    <w:rsid w:val="5FFF49BA"/>
    <w:rsid w:val="600D3A6B"/>
    <w:rsid w:val="6014637F"/>
    <w:rsid w:val="60304923"/>
    <w:rsid w:val="60340051"/>
    <w:rsid w:val="60350C06"/>
    <w:rsid w:val="603B74D8"/>
    <w:rsid w:val="60687CAA"/>
    <w:rsid w:val="6074197E"/>
    <w:rsid w:val="608508AD"/>
    <w:rsid w:val="60A7279D"/>
    <w:rsid w:val="60B817C2"/>
    <w:rsid w:val="60C625CB"/>
    <w:rsid w:val="60C71D15"/>
    <w:rsid w:val="61036CD9"/>
    <w:rsid w:val="61097F16"/>
    <w:rsid w:val="612451AE"/>
    <w:rsid w:val="613E3C59"/>
    <w:rsid w:val="61481242"/>
    <w:rsid w:val="61717233"/>
    <w:rsid w:val="61734481"/>
    <w:rsid w:val="61842912"/>
    <w:rsid w:val="619513BF"/>
    <w:rsid w:val="61A55E2E"/>
    <w:rsid w:val="61B90EE2"/>
    <w:rsid w:val="61C34C9F"/>
    <w:rsid w:val="61CF1FDD"/>
    <w:rsid w:val="61FA205F"/>
    <w:rsid w:val="620D15FF"/>
    <w:rsid w:val="624F2F20"/>
    <w:rsid w:val="626C2C39"/>
    <w:rsid w:val="627A61C5"/>
    <w:rsid w:val="62841CE0"/>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3D1673"/>
    <w:rsid w:val="64545838"/>
    <w:rsid w:val="64575064"/>
    <w:rsid w:val="645F02B5"/>
    <w:rsid w:val="64681B01"/>
    <w:rsid w:val="64867FEE"/>
    <w:rsid w:val="649007B3"/>
    <w:rsid w:val="64906A84"/>
    <w:rsid w:val="64A01F00"/>
    <w:rsid w:val="64AE06FA"/>
    <w:rsid w:val="64D401A5"/>
    <w:rsid w:val="65024685"/>
    <w:rsid w:val="652A7FEB"/>
    <w:rsid w:val="652B00E3"/>
    <w:rsid w:val="65535A5A"/>
    <w:rsid w:val="656424CF"/>
    <w:rsid w:val="659361E9"/>
    <w:rsid w:val="659D0DEE"/>
    <w:rsid w:val="65A6262A"/>
    <w:rsid w:val="65D219C2"/>
    <w:rsid w:val="65D21E1C"/>
    <w:rsid w:val="65DA54B3"/>
    <w:rsid w:val="65F549BD"/>
    <w:rsid w:val="65FB4D18"/>
    <w:rsid w:val="660A7073"/>
    <w:rsid w:val="660E3C9E"/>
    <w:rsid w:val="66164CE6"/>
    <w:rsid w:val="66425F55"/>
    <w:rsid w:val="664E5D65"/>
    <w:rsid w:val="665C5C0C"/>
    <w:rsid w:val="66BF254A"/>
    <w:rsid w:val="66E10ADE"/>
    <w:rsid w:val="66EE49DE"/>
    <w:rsid w:val="676F09D5"/>
    <w:rsid w:val="67790849"/>
    <w:rsid w:val="67AA7DCF"/>
    <w:rsid w:val="67B34464"/>
    <w:rsid w:val="67BD22B9"/>
    <w:rsid w:val="67E437EB"/>
    <w:rsid w:val="67F17500"/>
    <w:rsid w:val="67FE1162"/>
    <w:rsid w:val="681B0E12"/>
    <w:rsid w:val="688F28E2"/>
    <w:rsid w:val="68A11DD7"/>
    <w:rsid w:val="68A51FB8"/>
    <w:rsid w:val="68B731E7"/>
    <w:rsid w:val="68DB53E7"/>
    <w:rsid w:val="68E40F86"/>
    <w:rsid w:val="68EA3016"/>
    <w:rsid w:val="68EB7ABC"/>
    <w:rsid w:val="69062705"/>
    <w:rsid w:val="691B0B6B"/>
    <w:rsid w:val="692E16A7"/>
    <w:rsid w:val="693C3BC4"/>
    <w:rsid w:val="694E3F32"/>
    <w:rsid w:val="69782CD3"/>
    <w:rsid w:val="697F5EFC"/>
    <w:rsid w:val="698A7439"/>
    <w:rsid w:val="69936875"/>
    <w:rsid w:val="69964E32"/>
    <w:rsid w:val="69AE114D"/>
    <w:rsid w:val="69DC7E67"/>
    <w:rsid w:val="69E80350"/>
    <w:rsid w:val="69EF047B"/>
    <w:rsid w:val="69FB1963"/>
    <w:rsid w:val="6A087387"/>
    <w:rsid w:val="6A1D56B2"/>
    <w:rsid w:val="6A2B6FC3"/>
    <w:rsid w:val="6A2E3D63"/>
    <w:rsid w:val="6A3A339B"/>
    <w:rsid w:val="6A3A5E65"/>
    <w:rsid w:val="6A6F1C4C"/>
    <w:rsid w:val="6A7202DC"/>
    <w:rsid w:val="6AA45DD3"/>
    <w:rsid w:val="6AA74E35"/>
    <w:rsid w:val="6AC6225B"/>
    <w:rsid w:val="6B505BBB"/>
    <w:rsid w:val="6B560E7C"/>
    <w:rsid w:val="6B6333A7"/>
    <w:rsid w:val="6BCA5C39"/>
    <w:rsid w:val="6BE02E3B"/>
    <w:rsid w:val="6BE27CF9"/>
    <w:rsid w:val="6C2B32C6"/>
    <w:rsid w:val="6C2D1409"/>
    <w:rsid w:val="6C2D7D63"/>
    <w:rsid w:val="6C3206C8"/>
    <w:rsid w:val="6C357AB5"/>
    <w:rsid w:val="6C3628E8"/>
    <w:rsid w:val="6C3934B6"/>
    <w:rsid w:val="6C615C61"/>
    <w:rsid w:val="6C6367AC"/>
    <w:rsid w:val="6C80536B"/>
    <w:rsid w:val="6C862345"/>
    <w:rsid w:val="6C8B724B"/>
    <w:rsid w:val="6C9048E4"/>
    <w:rsid w:val="6C9E2A18"/>
    <w:rsid w:val="6CA35456"/>
    <w:rsid w:val="6CB017D7"/>
    <w:rsid w:val="6CB32B41"/>
    <w:rsid w:val="6CBC68B9"/>
    <w:rsid w:val="6CD66EDA"/>
    <w:rsid w:val="6D0F3EEF"/>
    <w:rsid w:val="6D146CD3"/>
    <w:rsid w:val="6D1566D6"/>
    <w:rsid w:val="6D1C589C"/>
    <w:rsid w:val="6D3F4DC5"/>
    <w:rsid w:val="6D5502AA"/>
    <w:rsid w:val="6DA31776"/>
    <w:rsid w:val="6DA45FD5"/>
    <w:rsid w:val="6DA65016"/>
    <w:rsid w:val="6DB921CC"/>
    <w:rsid w:val="6DCB15BA"/>
    <w:rsid w:val="6DEF5697"/>
    <w:rsid w:val="6E290AC9"/>
    <w:rsid w:val="6E2E4332"/>
    <w:rsid w:val="6E366026"/>
    <w:rsid w:val="6E3C157B"/>
    <w:rsid w:val="6E4628B1"/>
    <w:rsid w:val="6E5F7F64"/>
    <w:rsid w:val="6E6903A5"/>
    <w:rsid w:val="6E9905B2"/>
    <w:rsid w:val="6EB87125"/>
    <w:rsid w:val="6EBB6069"/>
    <w:rsid w:val="6EBB7EF6"/>
    <w:rsid w:val="6EC11D71"/>
    <w:rsid w:val="6EC407F2"/>
    <w:rsid w:val="6EC647CC"/>
    <w:rsid w:val="6EEB4982"/>
    <w:rsid w:val="6F1222C5"/>
    <w:rsid w:val="6F161214"/>
    <w:rsid w:val="6F317DD0"/>
    <w:rsid w:val="6F322D6E"/>
    <w:rsid w:val="6F3A0D2D"/>
    <w:rsid w:val="6F3E040D"/>
    <w:rsid w:val="6F424B2F"/>
    <w:rsid w:val="6F710F7D"/>
    <w:rsid w:val="6F757BA3"/>
    <w:rsid w:val="6F794E16"/>
    <w:rsid w:val="6F8E0F7C"/>
    <w:rsid w:val="6FA813AA"/>
    <w:rsid w:val="6FAF019B"/>
    <w:rsid w:val="6FB202FC"/>
    <w:rsid w:val="6FBA5851"/>
    <w:rsid w:val="6FD431BC"/>
    <w:rsid w:val="6FD64D8A"/>
    <w:rsid w:val="70225B85"/>
    <w:rsid w:val="70934920"/>
    <w:rsid w:val="709649ED"/>
    <w:rsid w:val="70A84AD3"/>
    <w:rsid w:val="70AE3508"/>
    <w:rsid w:val="70B351A6"/>
    <w:rsid w:val="70BF773C"/>
    <w:rsid w:val="70C41831"/>
    <w:rsid w:val="70CF7DE8"/>
    <w:rsid w:val="70E94F37"/>
    <w:rsid w:val="7117334E"/>
    <w:rsid w:val="711F7F62"/>
    <w:rsid w:val="712719C8"/>
    <w:rsid w:val="71336359"/>
    <w:rsid w:val="71492755"/>
    <w:rsid w:val="714B63FF"/>
    <w:rsid w:val="71527F65"/>
    <w:rsid w:val="716F4DBF"/>
    <w:rsid w:val="717A4EBB"/>
    <w:rsid w:val="71A121E2"/>
    <w:rsid w:val="71AA47BF"/>
    <w:rsid w:val="71CD5454"/>
    <w:rsid w:val="71D5629F"/>
    <w:rsid w:val="71D7672A"/>
    <w:rsid w:val="71EB57C6"/>
    <w:rsid w:val="71F46524"/>
    <w:rsid w:val="71FB06B4"/>
    <w:rsid w:val="720D5D43"/>
    <w:rsid w:val="72112D0B"/>
    <w:rsid w:val="72144DE3"/>
    <w:rsid w:val="72196118"/>
    <w:rsid w:val="723C3D7F"/>
    <w:rsid w:val="72736E18"/>
    <w:rsid w:val="728D1118"/>
    <w:rsid w:val="72B03A9F"/>
    <w:rsid w:val="72B25F6B"/>
    <w:rsid w:val="72B81190"/>
    <w:rsid w:val="72EF7206"/>
    <w:rsid w:val="7303055F"/>
    <w:rsid w:val="73032A0D"/>
    <w:rsid w:val="731F3B82"/>
    <w:rsid w:val="733D0DD5"/>
    <w:rsid w:val="734D21A1"/>
    <w:rsid w:val="73836ECE"/>
    <w:rsid w:val="73C67500"/>
    <w:rsid w:val="73C864B5"/>
    <w:rsid w:val="73DE7E71"/>
    <w:rsid w:val="74087657"/>
    <w:rsid w:val="744D411F"/>
    <w:rsid w:val="745C2CF4"/>
    <w:rsid w:val="74641182"/>
    <w:rsid w:val="74744A68"/>
    <w:rsid w:val="749D4770"/>
    <w:rsid w:val="74A622B2"/>
    <w:rsid w:val="74B50C75"/>
    <w:rsid w:val="74D01C2F"/>
    <w:rsid w:val="74D43FCD"/>
    <w:rsid w:val="74D736BD"/>
    <w:rsid w:val="74E403D4"/>
    <w:rsid w:val="74EA6DE6"/>
    <w:rsid w:val="74FC6F38"/>
    <w:rsid w:val="74FE3413"/>
    <w:rsid w:val="751029AE"/>
    <w:rsid w:val="751111C4"/>
    <w:rsid w:val="753649D0"/>
    <w:rsid w:val="756A1040"/>
    <w:rsid w:val="75921044"/>
    <w:rsid w:val="75970512"/>
    <w:rsid w:val="759944E1"/>
    <w:rsid w:val="759B5199"/>
    <w:rsid w:val="76053BCA"/>
    <w:rsid w:val="761A6BC1"/>
    <w:rsid w:val="763E74B8"/>
    <w:rsid w:val="765C476B"/>
    <w:rsid w:val="765D6FD0"/>
    <w:rsid w:val="76764904"/>
    <w:rsid w:val="76952171"/>
    <w:rsid w:val="76BA690C"/>
    <w:rsid w:val="76C36258"/>
    <w:rsid w:val="76EF17B7"/>
    <w:rsid w:val="76F275B7"/>
    <w:rsid w:val="77057570"/>
    <w:rsid w:val="773118FC"/>
    <w:rsid w:val="77313A2D"/>
    <w:rsid w:val="774A6DC8"/>
    <w:rsid w:val="77503EB2"/>
    <w:rsid w:val="77752D13"/>
    <w:rsid w:val="77953B9B"/>
    <w:rsid w:val="77CD4DD9"/>
    <w:rsid w:val="77D44FB1"/>
    <w:rsid w:val="77EB51F5"/>
    <w:rsid w:val="77F2017E"/>
    <w:rsid w:val="77FA423A"/>
    <w:rsid w:val="78005019"/>
    <w:rsid w:val="78092CC0"/>
    <w:rsid w:val="780C2435"/>
    <w:rsid w:val="7825164E"/>
    <w:rsid w:val="782A0B51"/>
    <w:rsid w:val="78353363"/>
    <w:rsid w:val="783A31FE"/>
    <w:rsid w:val="78486CF0"/>
    <w:rsid w:val="78534919"/>
    <w:rsid w:val="785663DA"/>
    <w:rsid w:val="78584462"/>
    <w:rsid w:val="78770683"/>
    <w:rsid w:val="7895462E"/>
    <w:rsid w:val="78AF42C1"/>
    <w:rsid w:val="78D631FC"/>
    <w:rsid w:val="78FC2FBF"/>
    <w:rsid w:val="78FD5501"/>
    <w:rsid w:val="791467F0"/>
    <w:rsid w:val="79430114"/>
    <w:rsid w:val="79430A37"/>
    <w:rsid w:val="795E7C16"/>
    <w:rsid w:val="795F01E3"/>
    <w:rsid w:val="79A81D28"/>
    <w:rsid w:val="79AD6C40"/>
    <w:rsid w:val="79B10333"/>
    <w:rsid w:val="79C95ADF"/>
    <w:rsid w:val="79EF0BCC"/>
    <w:rsid w:val="79FF02D1"/>
    <w:rsid w:val="7A0612C2"/>
    <w:rsid w:val="7A1833CE"/>
    <w:rsid w:val="7A1F3257"/>
    <w:rsid w:val="7A3C1967"/>
    <w:rsid w:val="7A60132A"/>
    <w:rsid w:val="7A6E2CF1"/>
    <w:rsid w:val="7A817696"/>
    <w:rsid w:val="7A8316B7"/>
    <w:rsid w:val="7A8D23E0"/>
    <w:rsid w:val="7AA05017"/>
    <w:rsid w:val="7AA86BBE"/>
    <w:rsid w:val="7AC51B7A"/>
    <w:rsid w:val="7AC94AC1"/>
    <w:rsid w:val="7AC977F9"/>
    <w:rsid w:val="7ACA7597"/>
    <w:rsid w:val="7AE11572"/>
    <w:rsid w:val="7AE31524"/>
    <w:rsid w:val="7AE70BEB"/>
    <w:rsid w:val="7B057C25"/>
    <w:rsid w:val="7B457D65"/>
    <w:rsid w:val="7B4C6C66"/>
    <w:rsid w:val="7B5C332E"/>
    <w:rsid w:val="7B904C22"/>
    <w:rsid w:val="7B9E18EF"/>
    <w:rsid w:val="7BB9672E"/>
    <w:rsid w:val="7BE45955"/>
    <w:rsid w:val="7C0968F5"/>
    <w:rsid w:val="7C1235AA"/>
    <w:rsid w:val="7C160893"/>
    <w:rsid w:val="7C5622FF"/>
    <w:rsid w:val="7C571497"/>
    <w:rsid w:val="7C585051"/>
    <w:rsid w:val="7C920181"/>
    <w:rsid w:val="7CB95588"/>
    <w:rsid w:val="7CBA56FF"/>
    <w:rsid w:val="7CE64D15"/>
    <w:rsid w:val="7CF732D1"/>
    <w:rsid w:val="7D131D7B"/>
    <w:rsid w:val="7D1E10B2"/>
    <w:rsid w:val="7D3D5EFF"/>
    <w:rsid w:val="7D435739"/>
    <w:rsid w:val="7D4B1C96"/>
    <w:rsid w:val="7D586CD5"/>
    <w:rsid w:val="7D7004C3"/>
    <w:rsid w:val="7D93221A"/>
    <w:rsid w:val="7DA977AA"/>
    <w:rsid w:val="7DAC0454"/>
    <w:rsid w:val="7DED2A89"/>
    <w:rsid w:val="7DFA3D48"/>
    <w:rsid w:val="7E4D4360"/>
    <w:rsid w:val="7E63789F"/>
    <w:rsid w:val="7E980733"/>
    <w:rsid w:val="7E9B4DC3"/>
    <w:rsid w:val="7EC57197"/>
    <w:rsid w:val="7EFB4248"/>
    <w:rsid w:val="7EFD7DC7"/>
    <w:rsid w:val="7F274E2A"/>
    <w:rsid w:val="7F2C2F55"/>
    <w:rsid w:val="7F45439F"/>
    <w:rsid w:val="7F4A4D43"/>
    <w:rsid w:val="7F545830"/>
    <w:rsid w:val="7F590F20"/>
    <w:rsid w:val="7F5D047E"/>
    <w:rsid w:val="7F8F3F40"/>
    <w:rsid w:val="7FA62478"/>
    <w:rsid w:val="7FB2257F"/>
    <w:rsid w:val="7FE92E70"/>
    <w:rsid w:val="7FF25596"/>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360" w:lineRule="auto"/>
      <w:outlineLvl w:val="0"/>
    </w:pPr>
    <w:rPr>
      <w:b/>
      <w:bCs/>
      <w:kern w:val="44"/>
      <w:sz w:val="28"/>
      <w:szCs w:val="44"/>
    </w:rPr>
  </w:style>
  <w:style w:type="paragraph" w:styleId="4">
    <w:name w:val="heading 2"/>
    <w:basedOn w:val="1"/>
    <w:next w:val="1"/>
    <w:autoRedefine/>
    <w:qFormat/>
    <w:uiPriority w:val="0"/>
    <w:pPr>
      <w:keepNext/>
      <w:keepLines/>
      <w:spacing w:line="413"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24" w:lineRule="auto"/>
      <w:outlineLvl w:val="2"/>
    </w:pPr>
    <w:rPr>
      <w:rFonts w:ascii="宋体" w:hAnsi="宋体"/>
      <w:b/>
      <w:bCs/>
      <w:kern w:val="0"/>
      <w:sz w:val="24"/>
      <w:szCs w:val="32"/>
    </w:rPr>
  </w:style>
  <w:style w:type="paragraph" w:styleId="6">
    <w:name w:val="heading 4"/>
    <w:basedOn w:val="1"/>
    <w:next w:val="1"/>
    <w:autoRedefine/>
    <w:unhideWhenUsed/>
    <w:qFormat/>
    <w:uiPriority w:val="0"/>
    <w:pPr>
      <w:spacing w:before="35"/>
      <w:ind w:left="142"/>
      <w:jc w:val="center"/>
      <w:outlineLvl w:val="3"/>
    </w:pPr>
    <w:rPr>
      <w:rFonts w:ascii="宋体" w:hAnsi="宋体" w:cs="宋体"/>
      <w:b/>
      <w:bCs/>
      <w:sz w:val="32"/>
      <w:szCs w:val="32"/>
      <w:lang w:val="zh-CN" w:bidi="zh-CN"/>
    </w:rPr>
  </w:style>
  <w:style w:type="paragraph" w:styleId="7">
    <w:name w:val="heading 5"/>
    <w:basedOn w:val="1"/>
    <w:next w:val="1"/>
    <w:autoRedefine/>
    <w:qFormat/>
    <w:uiPriority w:val="0"/>
    <w:pPr>
      <w:keepNext/>
      <w:keepLines/>
      <w:spacing w:line="372" w:lineRule="auto"/>
      <w:outlineLvl w:val="4"/>
    </w:pPr>
    <w:rPr>
      <w:b/>
      <w:bCs/>
      <w:sz w:val="28"/>
      <w:szCs w:val="28"/>
    </w:rPr>
  </w:style>
  <w:style w:type="paragraph" w:styleId="8">
    <w:name w:val="heading 7"/>
    <w:basedOn w:val="1"/>
    <w:next w:val="1"/>
    <w:autoRedefine/>
    <w:unhideWhenUsed/>
    <w:qFormat/>
    <w:uiPriority w:val="0"/>
    <w:pPr>
      <w:ind w:left="448"/>
      <w:outlineLvl w:val="6"/>
    </w:pPr>
    <w:rPr>
      <w:rFonts w:ascii="宋体" w:hAnsi="宋体" w:cs="宋体"/>
      <w:sz w:val="24"/>
      <w:lang w:val="zh-CN" w:bidi="zh-CN"/>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autoRedefine/>
    <w:qFormat/>
    <w:uiPriority w:val="0"/>
    <w:pPr>
      <w:spacing w:after="120" w:line="480" w:lineRule="auto"/>
      <w:ind w:left="200" w:leftChars="200"/>
    </w:pPr>
  </w:style>
  <w:style w:type="paragraph" w:styleId="9">
    <w:name w:val="Normal Indent"/>
    <w:basedOn w:val="1"/>
    <w:autoRedefine/>
    <w:unhideWhenUsed/>
    <w:qFormat/>
    <w:uiPriority w:val="0"/>
    <w:pPr>
      <w:ind w:firstLine="420" w:firstLineChars="200"/>
    </w:pPr>
  </w:style>
  <w:style w:type="paragraph" w:styleId="10">
    <w:name w:val="annotation text"/>
    <w:basedOn w:val="1"/>
    <w:link w:val="51"/>
    <w:autoRedefine/>
    <w:qFormat/>
    <w:uiPriority w:val="0"/>
    <w:pPr>
      <w:jc w:val="left"/>
    </w:pPr>
  </w:style>
  <w:style w:type="paragraph" w:styleId="11">
    <w:name w:val="Body Text"/>
    <w:basedOn w:val="1"/>
    <w:autoRedefine/>
    <w:qFormat/>
    <w:uiPriority w:val="0"/>
    <w:pPr>
      <w:autoSpaceDE w:val="0"/>
      <w:autoSpaceDN w:val="0"/>
      <w:adjustRightInd w:val="0"/>
      <w:spacing w:after="120"/>
      <w:jc w:val="left"/>
    </w:pPr>
    <w:rPr>
      <w:rFonts w:ascii="宋体"/>
      <w:kern w:val="0"/>
      <w:sz w:val="34"/>
      <w:szCs w:val="20"/>
    </w:rPr>
  </w:style>
  <w:style w:type="paragraph" w:styleId="12">
    <w:name w:val="Body Text Indent"/>
    <w:basedOn w:val="1"/>
    <w:next w:val="13"/>
    <w:autoRedefine/>
    <w:qFormat/>
    <w:uiPriority w:val="0"/>
    <w:pPr>
      <w:ind w:firstLine="830" w:firstLineChars="352"/>
    </w:pPr>
    <w:rPr>
      <w:rFonts w:ascii="仿宋_GB2312" w:eastAsia="仿宋_GB2312"/>
      <w:sz w:val="32"/>
      <w:szCs w:val="20"/>
    </w:rPr>
  </w:style>
  <w:style w:type="paragraph" w:styleId="13">
    <w:name w:val="envelope return"/>
    <w:basedOn w:val="1"/>
    <w:autoRedefine/>
    <w:unhideWhenUsed/>
    <w:qFormat/>
    <w:uiPriority w:val="0"/>
    <w:pPr>
      <w:snapToGrid w:val="0"/>
    </w:pPr>
    <w:rPr>
      <w:rFonts w:ascii="Arial" w:hAnsi="Arial"/>
    </w:rPr>
  </w:style>
  <w:style w:type="paragraph" w:styleId="14">
    <w:name w:val="List 2"/>
    <w:basedOn w:val="1"/>
    <w:autoRedefine/>
    <w:unhideWhenUsed/>
    <w:qFormat/>
    <w:uiPriority w:val="99"/>
    <w:pPr>
      <w:ind w:left="100" w:leftChars="200" w:hanging="200" w:hangingChars="200"/>
      <w:contextualSpacing/>
    </w:pPr>
  </w:style>
  <w:style w:type="paragraph" w:styleId="15">
    <w:name w:val="Plain Text"/>
    <w:basedOn w:val="1"/>
    <w:autoRedefine/>
    <w:qFormat/>
    <w:uiPriority w:val="0"/>
    <w:rPr>
      <w:rFonts w:ascii="宋体" w:hAnsi="Courier New" w:cs="Courier New"/>
      <w:szCs w:val="21"/>
    </w:rPr>
  </w:style>
  <w:style w:type="paragraph" w:styleId="16">
    <w:name w:val="Date"/>
    <w:basedOn w:val="1"/>
    <w:next w:val="1"/>
    <w:autoRedefine/>
    <w:qFormat/>
    <w:uiPriority w:val="0"/>
    <w:pPr>
      <w:ind w:left="100" w:leftChars="2500"/>
    </w:pPr>
    <w:rPr>
      <w:rFonts w:ascii="宋体" w:hAnsi="Courier New"/>
      <w:bCs/>
      <w:sz w:val="24"/>
    </w:rPr>
  </w:style>
  <w:style w:type="paragraph" w:styleId="17">
    <w:name w:val="Balloon Text"/>
    <w:basedOn w:val="1"/>
    <w:link w:val="53"/>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Body Text Indent 3"/>
    <w:basedOn w:val="1"/>
    <w:autoRedefine/>
    <w:qFormat/>
    <w:uiPriority w:val="0"/>
    <w:pPr>
      <w:spacing w:after="120"/>
      <w:ind w:left="420" w:leftChars="200"/>
    </w:pPr>
    <w:rPr>
      <w:sz w:val="16"/>
      <w:szCs w:val="16"/>
    </w:rPr>
  </w:style>
  <w:style w:type="paragraph" w:styleId="22">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23">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4">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5">
    <w:name w:val="index 1"/>
    <w:basedOn w:val="1"/>
    <w:next w:val="1"/>
    <w:autoRedefine/>
    <w:qFormat/>
    <w:uiPriority w:val="0"/>
    <w:rPr>
      <w:lang w:eastAsia="en-US"/>
    </w:rPr>
  </w:style>
  <w:style w:type="paragraph" w:styleId="26">
    <w:name w:val="Title"/>
    <w:basedOn w:val="1"/>
    <w:next w:val="1"/>
    <w:autoRedefine/>
    <w:qFormat/>
    <w:uiPriority w:val="0"/>
    <w:pPr>
      <w:spacing w:before="240" w:after="60"/>
      <w:jc w:val="center"/>
      <w:outlineLvl w:val="0"/>
    </w:pPr>
    <w:rPr>
      <w:rFonts w:ascii="Cambria" w:hAnsi="Cambria"/>
      <w:b/>
      <w:bCs/>
      <w:sz w:val="32"/>
      <w:szCs w:val="32"/>
    </w:rPr>
  </w:style>
  <w:style w:type="paragraph" w:styleId="27">
    <w:name w:val="annotation subject"/>
    <w:basedOn w:val="10"/>
    <w:next w:val="10"/>
    <w:link w:val="52"/>
    <w:autoRedefine/>
    <w:qFormat/>
    <w:uiPriority w:val="0"/>
    <w:rPr>
      <w:b/>
      <w:bCs/>
    </w:rPr>
  </w:style>
  <w:style w:type="paragraph" w:styleId="28">
    <w:name w:val="Body Text First Indent"/>
    <w:basedOn w:val="11"/>
    <w:next w:val="1"/>
    <w:autoRedefine/>
    <w:qFormat/>
    <w:uiPriority w:val="0"/>
    <w:pPr>
      <w:ind w:firstLine="420" w:firstLineChars="100"/>
    </w:pPr>
    <w:rPr>
      <w:rFonts w:ascii="Times New Roman"/>
      <w:sz w:val="21"/>
      <w:szCs w:val="24"/>
    </w:rPr>
  </w:style>
  <w:style w:type="paragraph" w:styleId="29">
    <w:name w:val="Body Text First Indent 2"/>
    <w:basedOn w:val="12"/>
    <w:next w:val="1"/>
    <w:autoRedefine/>
    <w:qFormat/>
    <w:uiPriority w:val="0"/>
    <w:pPr>
      <w:spacing w:line="360" w:lineRule="auto"/>
      <w:ind w:firstLine="420" w:firstLineChars="200"/>
    </w:pPr>
    <w:rPr>
      <w:sz w:val="24"/>
      <w:szCs w:val="24"/>
    </w:rPr>
  </w:style>
  <w:style w:type="table" w:styleId="31">
    <w:name w:val="Table Grid"/>
    <w:basedOn w:val="3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autoRedefine/>
    <w:qFormat/>
    <w:uiPriority w:val="0"/>
    <w:rPr>
      <w:b/>
    </w:rPr>
  </w:style>
  <w:style w:type="character" w:styleId="34">
    <w:name w:val="page number"/>
    <w:basedOn w:val="32"/>
    <w:autoRedefine/>
    <w:qFormat/>
    <w:uiPriority w:val="0"/>
  </w:style>
  <w:style w:type="character" w:styleId="35">
    <w:name w:val="FollowedHyperlink"/>
    <w:basedOn w:val="32"/>
    <w:qFormat/>
    <w:uiPriority w:val="0"/>
    <w:rPr>
      <w:color w:val="800080"/>
      <w:u w:val="none"/>
    </w:rPr>
  </w:style>
  <w:style w:type="character" w:styleId="36">
    <w:name w:val="HTML Definition"/>
    <w:basedOn w:val="32"/>
    <w:qFormat/>
    <w:uiPriority w:val="0"/>
  </w:style>
  <w:style w:type="character" w:styleId="37">
    <w:name w:val="HTML Typewriter"/>
    <w:basedOn w:val="32"/>
    <w:qFormat/>
    <w:uiPriority w:val="0"/>
    <w:rPr>
      <w:rFonts w:ascii="monospace" w:hAnsi="monospace" w:eastAsia="monospace" w:cs="monospace"/>
      <w:sz w:val="20"/>
    </w:rPr>
  </w:style>
  <w:style w:type="character" w:styleId="38">
    <w:name w:val="HTML Acronym"/>
    <w:basedOn w:val="32"/>
    <w:qFormat/>
    <w:uiPriority w:val="0"/>
  </w:style>
  <w:style w:type="character" w:styleId="39">
    <w:name w:val="HTML Variable"/>
    <w:basedOn w:val="32"/>
    <w:qFormat/>
    <w:uiPriority w:val="0"/>
  </w:style>
  <w:style w:type="character" w:styleId="40">
    <w:name w:val="Hyperlink"/>
    <w:basedOn w:val="32"/>
    <w:autoRedefine/>
    <w:unhideWhenUsed/>
    <w:qFormat/>
    <w:uiPriority w:val="99"/>
    <w:rPr>
      <w:color w:val="0000FF"/>
      <w:u w:val="single"/>
    </w:rPr>
  </w:style>
  <w:style w:type="character" w:styleId="41">
    <w:name w:val="HTML Code"/>
    <w:basedOn w:val="32"/>
    <w:qFormat/>
    <w:uiPriority w:val="0"/>
    <w:rPr>
      <w:rFonts w:hint="default" w:ascii="monospace" w:hAnsi="monospace" w:eastAsia="monospace" w:cs="monospace"/>
      <w:sz w:val="20"/>
    </w:rPr>
  </w:style>
  <w:style w:type="character" w:styleId="42">
    <w:name w:val="annotation reference"/>
    <w:autoRedefine/>
    <w:qFormat/>
    <w:uiPriority w:val="0"/>
    <w:rPr>
      <w:sz w:val="21"/>
      <w:szCs w:val="21"/>
    </w:rPr>
  </w:style>
  <w:style w:type="character" w:styleId="43">
    <w:name w:val="HTML Cite"/>
    <w:basedOn w:val="32"/>
    <w:qFormat/>
    <w:uiPriority w:val="0"/>
  </w:style>
  <w:style w:type="character" w:styleId="44">
    <w:name w:val="HTML Keyboard"/>
    <w:basedOn w:val="32"/>
    <w:qFormat/>
    <w:uiPriority w:val="0"/>
    <w:rPr>
      <w:rFonts w:hint="default" w:ascii="monospace" w:hAnsi="monospace" w:eastAsia="monospace" w:cs="monospace"/>
      <w:sz w:val="20"/>
    </w:rPr>
  </w:style>
  <w:style w:type="character" w:styleId="45">
    <w:name w:val="HTML Sample"/>
    <w:basedOn w:val="32"/>
    <w:autoRedefine/>
    <w:qFormat/>
    <w:uiPriority w:val="0"/>
    <w:rPr>
      <w:rFonts w:hint="default" w:ascii="monospace" w:hAnsi="monospace" w:eastAsia="monospace" w:cs="monospace"/>
    </w:rPr>
  </w:style>
  <w:style w:type="paragraph" w:customStyle="1" w:styleId="46">
    <w:name w:val="Default"/>
    <w:autoRedefine/>
    <w:qFormat/>
    <w:uiPriority w:val="0"/>
    <w:pPr>
      <w:widowControl w:val="0"/>
      <w:autoSpaceDE w:val="0"/>
      <w:autoSpaceDN w:val="0"/>
      <w:adjustRightInd w:val="0"/>
    </w:pPr>
    <w:rPr>
      <w:rFonts w:ascii="......." w:hAnsi="......." w:eastAsia="......." w:cs="......."/>
      <w:color w:val="000000"/>
      <w:sz w:val="21"/>
      <w:szCs w:val="24"/>
      <w:lang w:val="en-US" w:eastAsia="zh-CN" w:bidi="ar-SA"/>
    </w:rPr>
  </w:style>
  <w:style w:type="paragraph" w:customStyle="1" w:styleId="47">
    <w:name w:val="表格文字"/>
    <w:basedOn w:val="12"/>
    <w:next w:val="11"/>
    <w:autoRedefine/>
    <w:qFormat/>
    <w:uiPriority w:val="99"/>
    <w:pPr>
      <w:spacing w:before="25" w:after="25"/>
      <w:jc w:val="left"/>
    </w:pPr>
    <w:rPr>
      <w:bCs/>
      <w:spacing w:val="10"/>
      <w:kern w:val="0"/>
      <w:sz w:val="24"/>
    </w:rPr>
  </w:style>
  <w:style w:type="paragraph" w:styleId="48">
    <w:name w:val="List Paragraph"/>
    <w:basedOn w:val="1"/>
    <w:autoRedefine/>
    <w:qFormat/>
    <w:uiPriority w:val="34"/>
    <w:pPr>
      <w:ind w:firstLine="420" w:firstLineChars="200"/>
    </w:pPr>
  </w:style>
  <w:style w:type="paragraph" w:customStyle="1" w:styleId="49">
    <w:name w:val="Plain Text1"/>
    <w:basedOn w:val="1"/>
    <w:autoRedefine/>
    <w:qFormat/>
    <w:uiPriority w:val="0"/>
    <w:rPr>
      <w:rFonts w:ascii="宋体" w:hAnsi="Courier New" w:cs="Courier New"/>
      <w:szCs w:val="21"/>
    </w:rPr>
  </w:style>
  <w:style w:type="paragraph" w:customStyle="1" w:styleId="50">
    <w:name w:val="Table Paragraph"/>
    <w:basedOn w:val="1"/>
    <w:autoRedefine/>
    <w:qFormat/>
    <w:uiPriority w:val="1"/>
    <w:rPr>
      <w:rFonts w:ascii="宋体" w:hAnsi="宋体" w:cs="宋体"/>
      <w:lang w:val="zh-CN" w:bidi="zh-CN"/>
    </w:rPr>
  </w:style>
  <w:style w:type="character" w:customStyle="1" w:styleId="51">
    <w:name w:val="批注文字 字符"/>
    <w:basedOn w:val="32"/>
    <w:link w:val="10"/>
    <w:autoRedefine/>
    <w:qFormat/>
    <w:uiPriority w:val="0"/>
    <w:rPr>
      <w:kern w:val="2"/>
      <w:sz w:val="21"/>
      <w:szCs w:val="24"/>
    </w:rPr>
  </w:style>
  <w:style w:type="character" w:customStyle="1" w:styleId="52">
    <w:name w:val="批注主题 字符"/>
    <w:basedOn w:val="51"/>
    <w:link w:val="27"/>
    <w:autoRedefine/>
    <w:qFormat/>
    <w:uiPriority w:val="0"/>
    <w:rPr>
      <w:b/>
      <w:bCs/>
      <w:kern w:val="2"/>
      <w:sz w:val="21"/>
      <w:szCs w:val="24"/>
    </w:rPr>
  </w:style>
  <w:style w:type="character" w:customStyle="1" w:styleId="53">
    <w:name w:val="批注框文本 字符"/>
    <w:basedOn w:val="32"/>
    <w:link w:val="17"/>
    <w:autoRedefine/>
    <w:qFormat/>
    <w:uiPriority w:val="0"/>
    <w:rPr>
      <w:kern w:val="2"/>
      <w:sz w:val="18"/>
      <w:szCs w:val="18"/>
    </w:rPr>
  </w:style>
  <w:style w:type="paragraph" w:customStyle="1" w:styleId="54">
    <w:name w:val="纯文本1"/>
    <w:basedOn w:val="1"/>
    <w:autoRedefine/>
    <w:qFormat/>
    <w:uiPriority w:val="0"/>
    <w:pPr>
      <w:suppressAutoHyphens/>
    </w:pPr>
    <w:rPr>
      <w:rFonts w:ascii="宋体" w:hAnsi="宋体" w:cs="Courier New"/>
      <w:szCs w:val="21"/>
      <w:lang w:eastAsia="ar-SA"/>
    </w:rPr>
  </w:style>
  <w:style w:type="paragraph" w:customStyle="1" w:styleId="5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2"/>
    <w:autoRedefine/>
    <w:qFormat/>
    <w:uiPriority w:val="0"/>
  </w:style>
  <w:style w:type="paragraph" w:customStyle="1" w:styleId="57">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58">
    <w:name w:val="WPSOffice手动目录 1"/>
    <w:autoRedefine/>
    <w:qFormat/>
    <w:uiPriority w:val="0"/>
    <w:rPr>
      <w:rFonts w:ascii="Times New Roman" w:hAnsi="Times New Roman" w:eastAsia="宋体" w:cs="Times New Roman"/>
      <w:lang w:val="en-US" w:eastAsia="zh-CN" w:bidi="ar-SA"/>
    </w:rPr>
  </w:style>
  <w:style w:type="table" w:customStyle="1" w:styleId="59">
    <w:name w:val="Table Normal"/>
    <w:autoRedefine/>
    <w:semiHidden/>
    <w:unhideWhenUsed/>
    <w:qFormat/>
    <w:uiPriority w:val="0"/>
    <w:tblPr>
      <w:tblCellMar>
        <w:top w:w="0" w:type="dxa"/>
        <w:left w:w="0" w:type="dxa"/>
        <w:bottom w:w="0" w:type="dxa"/>
        <w:right w:w="0" w:type="dxa"/>
      </w:tblCellMar>
    </w:tblPr>
  </w:style>
  <w:style w:type="paragraph" w:customStyle="1" w:styleId="6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autoRedefine/>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autoRedefine/>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autoRedefine/>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autoRedefine/>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autoRedefine/>
    <w:qFormat/>
    <w:uiPriority w:val="0"/>
    <w:rPr>
      <w:rFonts w:ascii="Times New Roman" w:hAnsi="Times New Roman" w:eastAsia="Times New Roman"/>
      <w:color w:val="000000"/>
      <w:sz w:val="24"/>
      <w:szCs w:val="24"/>
      <w:lang w:eastAsia="en-US" w:bidi="en-US"/>
    </w:rPr>
  </w:style>
  <w:style w:type="paragraph" w:customStyle="1" w:styleId="69">
    <w:name w:val="正文_3"/>
    <w:basedOn w:val="60"/>
    <w:autoRedefine/>
    <w:qFormat/>
    <w:uiPriority w:val="0"/>
  </w:style>
  <w:style w:type="paragraph" w:customStyle="1" w:styleId="70">
    <w:name w:val="标题 3_1"/>
    <w:basedOn w:val="68"/>
    <w:next w:val="68"/>
    <w:autoRedefine/>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autoRedefine/>
    <w:qFormat/>
    <w:uiPriority w:val="0"/>
    <w:pPr>
      <w:spacing w:after="30"/>
      <w:ind w:firstLine="420"/>
    </w:pPr>
    <w:rPr>
      <w:rFonts w:eastAsia="宋体"/>
      <w:color w:val="auto"/>
      <w:sz w:val="20"/>
      <w:szCs w:val="20"/>
      <w:lang w:bidi="ar-SA"/>
    </w:rPr>
  </w:style>
  <w:style w:type="paragraph" w:customStyle="1" w:styleId="73">
    <w:name w:val="Other|1_1"/>
    <w:basedOn w:val="68"/>
    <w:autoRedefine/>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autoRedefine/>
    <w:qFormat/>
    <w:uiPriority w:val="0"/>
    <w:rPr>
      <w:rFonts w:eastAsia="宋体"/>
      <w:lang w:eastAsia="zh-CN" w:bidi="ar-SA"/>
    </w:rPr>
  </w:style>
  <w:style w:type="character" w:customStyle="1" w:styleId="75">
    <w:name w:val="10"/>
    <w:autoRedefine/>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autoRedefine/>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autoRedefine/>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autoRedefine/>
    <w:qFormat/>
    <w:uiPriority w:val="99"/>
    <w:rPr>
      <w:szCs w:val="20"/>
    </w:rPr>
  </w:style>
  <w:style w:type="paragraph" w:customStyle="1" w:styleId="81">
    <w:name w:val="纯文本_0"/>
    <w:basedOn w:val="1"/>
    <w:autoRedefine/>
    <w:qFormat/>
    <w:uiPriority w:val="99"/>
    <w:rPr>
      <w:szCs w:val="20"/>
    </w:rPr>
  </w:style>
  <w:style w:type="paragraph" w:customStyle="1" w:styleId="82">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83">
    <w:name w:val="正文_5"/>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Unresolved Mention"/>
    <w:basedOn w:val="32"/>
    <w:semiHidden/>
    <w:unhideWhenUsed/>
    <w:qFormat/>
    <w:uiPriority w:val="99"/>
    <w:rPr>
      <w:color w:val="605E5C"/>
      <w:shd w:val="clear" w:color="auto" w:fill="E1DFDD"/>
    </w:rPr>
  </w:style>
  <w:style w:type="character" w:customStyle="1" w:styleId="85">
    <w:name w:val="layui-layer-tabnow"/>
    <w:basedOn w:val="32"/>
    <w:qFormat/>
    <w:uiPriority w:val="0"/>
    <w:rPr>
      <w:bdr w:val="single" w:color="CCCCCC" w:sz="6" w:space="0"/>
      <w:shd w:val="clear" w:fill="FFFFFF"/>
    </w:rPr>
  </w:style>
  <w:style w:type="character" w:customStyle="1" w:styleId="86">
    <w:name w:val="first-child"/>
    <w:basedOn w:val="32"/>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82</Pages>
  <Words>16054</Words>
  <Characters>17404</Characters>
  <Lines>729</Lines>
  <Paragraphs>205</Paragraphs>
  <TotalTime>0</TotalTime>
  <ScaleCrop>false</ScaleCrop>
  <LinksUpToDate>false</LinksUpToDate>
  <CharactersWithSpaces>17650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2018-08-29T07:43:00Z</dcterms:created>
  <dc:creator>Administrator</dc:creator>
  <cp:lastModifiedBy>鱼刺@猫骨</cp:lastModifiedBy>
  <cp:lastPrinted>2023-12-28T08:32:00Z</cp:lastPrinted>
  <dcterms:modified xsi:type="dcterms:W3CDTF">2026-07-03T07:42:16Z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B4F11B0C4B1044E6933CEA860604A3D8_13</vt:lpwstr>
  </property>
  <property fmtid="{D5CDD505-2E9C-101B-9397-08002B2CF9AE}" pid="4" name="KSOTemplateDocerSaveRecord">
    <vt:lpwstr>eyJoZGlkIjoiYTY3NjZlMTJjMmU4NjIyNThiZjFhM2Q5Y2FkODUwYzciLCJ1c2VySWQiOiIxMzIwNjU4OTIyIn0=</vt:lpwstr>
  </property>
</Properties>
</file>